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8" w:lineRule="auto"/>
        <w:rPr>
          <w:rFonts w:ascii="黑体" w:hAnsi="黑体" w:eastAsia="黑体" w:cs="黑体"/>
          <w:bCs/>
          <w:sz w:val="32"/>
          <w:szCs w:val="32"/>
        </w:rPr>
      </w:pPr>
    </w:p>
    <w:p>
      <w:pPr>
        <w:spacing w:line="348" w:lineRule="auto"/>
        <w:rPr>
          <w:rFonts w:ascii="黑体" w:hAnsi="黑体" w:eastAsia="黑体" w:cs="黑体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60" w:lineRule="exact"/>
        <w:jc w:val="center"/>
        <w:textAlignment w:val="auto"/>
        <w:rPr>
          <w:rFonts w:eastAsia="方正小标宋简体"/>
          <w:bCs/>
          <w:sz w:val="44"/>
          <w:szCs w:val="44"/>
        </w:rPr>
      </w:pPr>
      <w:r>
        <w:rPr>
          <w:rFonts w:hint="eastAsia" w:eastAsia="方正小标宋简体" w:cs="方正小标宋简体"/>
          <w:bCs/>
          <w:sz w:val="44"/>
          <w:szCs w:val="44"/>
        </w:rPr>
        <w:t>岳阳经济技术开发区</w:t>
      </w:r>
      <w:r>
        <w:rPr>
          <w:rFonts w:hint="eastAsia" w:eastAsia="方正小标宋简体"/>
          <w:bCs/>
          <w:sz w:val="44"/>
          <w:szCs w:val="44"/>
        </w:rPr>
        <w:t>财政支出绩效评价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60" w:lineRule="exact"/>
        <w:jc w:val="center"/>
        <w:textAlignment w:val="auto"/>
        <w:rPr>
          <w:rFonts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b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b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70" w:firstLineChars="147"/>
        <w:textAlignment w:val="auto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评价类型：项目实施过程评价</w:t>
      </w:r>
      <w:r>
        <w:rPr>
          <w:rFonts w:hint="eastAsia" w:eastAsia="仿宋_GB2312"/>
          <w:sz w:val="32"/>
          <w:szCs w:val="32"/>
        </w:rPr>
        <w:sym w:font="Wingdings 2" w:char="0052"/>
      </w:r>
      <w:r>
        <w:rPr>
          <w:rFonts w:hint="eastAsia" w:eastAsia="仿宋_GB2312"/>
          <w:sz w:val="32"/>
          <w:szCs w:val="32"/>
        </w:rPr>
        <w:t xml:space="preserve">   项目完成结果评价□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60" w:lineRule="exact"/>
        <w:ind w:firstLine="480" w:firstLineChars="150"/>
        <w:textAlignment w:val="auto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项目名称：</w:t>
      </w:r>
      <w:r>
        <w:rPr>
          <w:rFonts w:hint="eastAsia" w:eastAsia="仿宋_GB2312"/>
          <w:sz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2"/>
          <w:u w:val="single"/>
        </w:rPr>
        <w:t xml:space="preserve">2021年乡镇、管理处村（社区）运转保障经费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60" w:lineRule="exact"/>
        <w:ind w:firstLine="480" w:firstLineChars="150"/>
        <w:textAlignment w:val="auto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项目单位：</w:t>
      </w:r>
      <w:r>
        <w:rPr>
          <w:rFonts w:hint="eastAsia" w:eastAsia="仿宋_GB2312"/>
          <w:sz w:val="32"/>
          <w:u w:val="single"/>
        </w:rPr>
        <w:t xml:space="preserve">    岳阳经济技术开发区党群工作部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60" w:lineRule="exact"/>
        <w:ind w:firstLine="480" w:firstLineChars="150"/>
        <w:textAlignment w:val="auto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主管部门：</w:t>
      </w:r>
      <w:r>
        <w:rPr>
          <w:rFonts w:hint="eastAsia" w:eastAsia="仿宋_GB2312"/>
          <w:sz w:val="32"/>
          <w:u w:val="single"/>
        </w:rPr>
        <w:t xml:space="preserve">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60" w:lineRule="exact"/>
        <w:ind w:firstLine="480" w:firstLineChars="150"/>
        <w:textAlignment w:val="auto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评价方式：</w:t>
      </w:r>
      <w:r>
        <w:rPr>
          <w:rFonts w:hint="eastAsia" w:eastAsia="仿宋_GB2312"/>
          <w:sz w:val="28"/>
          <w:szCs w:val="28"/>
        </w:rPr>
        <w:t>部门（单位）绩效自评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60" w:lineRule="exact"/>
        <w:ind w:firstLine="480" w:firstLineChars="150"/>
        <w:textAlignment w:val="auto"/>
        <w:rPr>
          <w:rFonts w:eastAsia="仿宋_GB2312"/>
          <w:sz w:val="28"/>
          <w:szCs w:val="28"/>
        </w:rPr>
      </w:pPr>
      <w:r>
        <w:rPr>
          <w:rFonts w:hint="eastAsia" w:eastAsia="仿宋_GB2312"/>
          <w:sz w:val="32"/>
          <w:szCs w:val="32"/>
        </w:rPr>
        <w:t>评价机构：</w:t>
      </w:r>
      <w:r>
        <w:rPr>
          <w:rFonts w:hint="eastAsia" w:eastAsia="仿宋_GB2312"/>
          <w:sz w:val="28"/>
          <w:szCs w:val="28"/>
        </w:rPr>
        <w:t xml:space="preserve">部门（单位）评价组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60" w:lineRule="exact"/>
        <w:textAlignment w:val="auto"/>
        <w:rPr>
          <w:rFonts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60" w:lineRule="exact"/>
        <w:textAlignment w:val="auto"/>
        <w:rPr>
          <w:rFonts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60" w:lineRule="exact"/>
        <w:ind w:firstLine="420" w:firstLineChars="150"/>
        <w:textAlignment w:val="auto"/>
        <w:rPr>
          <w:rFonts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60" w:lineRule="exact"/>
        <w:textAlignment w:val="auto"/>
        <w:rPr>
          <w:rFonts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报告</w:t>
      </w:r>
      <w:r>
        <w:rPr>
          <w:rFonts w:hint="eastAsia" w:ascii="仿宋_GB2312" w:hAnsi="仿宋_GB2312" w:eastAsia="仿宋_GB2312" w:cs="仿宋_GB2312"/>
          <w:sz w:val="32"/>
        </w:rPr>
        <w:t>日期： 2022年10月17日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岳阳经济技术开发区财政局（制）</w:t>
      </w:r>
    </w:p>
    <w:p>
      <w:pPr>
        <w:spacing w:line="100" w:lineRule="exact"/>
        <w:jc w:val="center"/>
        <w:rPr>
          <w:rFonts w:eastAsia="仿宋_GB2312"/>
          <w:sz w:val="32"/>
        </w:rPr>
      </w:pPr>
    </w:p>
    <w:p>
      <w:pPr>
        <w:spacing w:line="100" w:lineRule="exact"/>
        <w:jc w:val="center"/>
        <w:rPr>
          <w:rFonts w:eastAsia="仿宋_GB2312"/>
          <w:sz w:val="32"/>
        </w:rPr>
      </w:pPr>
    </w:p>
    <w:p>
      <w:pPr>
        <w:spacing w:line="100" w:lineRule="exact"/>
        <w:jc w:val="center"/>
        <w:rPr>
          <w:rFonts w:eastAsia="仿宋_GB2312"/>
          <w:sz w:val="32"/>
        </w:rPr>
      </w:pPr>
    </w:p>
    <w:tbl>
      <w:tblPr>
        <w:tblStyle w:val="9"/>
        <w:tblW w:w="95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89"/>
        <w:gridCol w:w="602"/>
        <w:gridCol w:w="118"/>
        <w:gridCol w:w="1770"/>
        <w:gridCol w:w="444"/>
        <w:gridCol w:w="306"/>
        <w:gridCol w:w="918"/>
        <w:gridCol w:w="429"/>
        <w:gridCol w:w="297"/>
        <w:gridCol w:w="560"/>
        <w:gridCol w:w="196"/>
        <w:gridCol w:w="1584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82" w:type="dxa"/>
            <w:gridSpan w:val="14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</w:rPr>
              <w:t>一、项目基本概况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项目负责人</w:t>
            </w:r>
          </w:p>
        </w:tc>
        <w:tc>
          <w:tcPr>
            <w:tcW w:w="3240" w:type="dxa"/>
            <w:gridSpan w:val="5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欧新平</w:t>
            </w:r>
          </w:p>
        </w:tc>
        <w:tc>
          <w:tcPr>
            <w:tcW w:w="1347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联系电话</w:t>
            </w:r>
          </w:p>
        </w:tc>
        <w:tc>
          <w:tcPr>
            <w:tcW w:w="3333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18573075366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项目地址</w:t>
            </w:r>
          </w:p>
        </w:tc>
        <w:tc>
          <w:tcPr>
            <w:tcW w:w="3240" w:type="dxa"/>
            <w:gridSpan w:val="5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47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邮  编</w:t>
            </w:r>
          </w:p>
        </w:tc>
        <w:tc>
          <w:tcPr>
            <w:tcW w:w="3333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414000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项目起止时间</w:t>
            </w:r>
          </w:p>
        </w:tc>
        <w:tc>
          <w:tcPr>
            <w:tcW w:w="7920" w:type="dxa"/>
            <w:gridSpan w:val="1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2021年1月1日—2021年12月31日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计划安排资金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20"/>
                <w:szCs w:val="20"/>
              </w:rPr>
              <w:t>1905.4</w:t>
            </w:r>
          </w:p>
        </w:tc>
        <w:tc>
          <w:tcPr>
            <w:tcW w:w="177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实际到位资金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20"/>
                <w:szCs w:val="20"/>
              </w:rPr>
              <w:t>1905.4</w:t>
            </w:r>
          </w:p>
        </w:tc>
        <w:tc>
          <w:tcPr>
            <w:tcW w:w="164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5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20"/>
                <w:szCs w:val="20"/>
              </w:rPr>
              <w:t>1905.4</w:t>
            </w:r>
          </w:p>
        </w:tc>
        <w:tc>
          <w:tcPr>
            <w:tcW w:w="1584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结余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  <w:jc w:val="center"/>
        </w:trPr>
        <w:tc>
          <w:tcPr>
            <w:tcW w:w="16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0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其中：中央财政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7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  <w:r>
              <w:rPr>
                <w:rFonts w:hint="eastAsia" w:eastAsia="仿宋_GB2312"/>
                <w:spacing w:val="-6"/>
                <w:sz w:val="24"/>
              </w:rPr>
              <w:t>其中：中央财政</w:t>
            </w:r>
          </w:p>
        </w:tc>
        <w:tc>
          <w:tcPr>
            <w:tcW w:w="7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pacing w:val="-6"/>
                <w:sz w:val="24"/>
              </w:rPr>
            </w:pPr>
          </w:p>
        </w:tc>
        <w:tc>
          <w:tcPr>
            <w:tcW w:w="164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75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pacing w:val="-6"/>
                <w:sz w:val="24"/>
              </w:rPr>
            </w:pPr>
          </w:p>
        </w:tc>
        <w:tc>
          <w:tcPr>
            <w:tcW w:w="1584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7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4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5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84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7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4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5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84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20"/>
                <w:szCs w:val="20"/>
              </w:rPr>
              <w:t>1905.4</w:t>
            </w:r>
          </w:p>
        </w:tc>
        <w:tc>
          <w:tcPr>
            <w:tcW w:w="177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7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20"/>
                <w:szCs w:val="20"/>
              </w:rPr>
              <w:t>1905.4</w:t>
            </w:r>
          </w:p>
        </w:tc>
        <w:tc>
          <w:tcPr>
            <w:tcW w:w="164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75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20"/>
                <w:szCs w:val="20"/>
              </w:rPr>
              <w:t>1905.4</w:t>
            </w:r>
          </w:p>
        </w:tc>
        <w:tc>
          <w:tcPr>
            <w:tcW w:w="1584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77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4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5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84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</w:rPr>
              <w:t>二、项目支出明细情况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支出内容</w:t>
            </w:r>
          </w:p>
        </w:tc>
        <w:tc>
          <w:tcPr>
            <w:tcW w:w="17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</w:rPr>
              <w:t>实际支出数</w:t>
            </w:r>
            <w:r>
              <w:rPr>
                <w:rFonts w:hint="eastAsia" w:eastAsia="仿宋_GB2312"/>
                <w:sz w:val="24"/>
                <w:lang w:eastAsia="zh-CN"/>
              </w:rPr>
              <w:t>（元）</w:t>
            </w:r>
          </w:p>
        </w:tc>
        <w:tc>
          <w:tcPr>
            <w:tcW w:w="2394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会计凭证号</w:t>
            </w:r>
          </w:p>
        </w:tc>
        <w:tc>
          <w:tcPr>
            <w:tcW w:w="303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木里港管理处</w:t>
            </w:r>
          </w:p>
        </w:tc>
        <w:tc>
          <w:tcPr>
            <w:tcW w:w="17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2900000</w:t>
            </w:r>
          </w:p>
        </w:tc>
        <w:tc>
          <w:tcPr>
            <w:tcW w:w="2394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4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由区财政局直接下拨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康王乡</w:t>
            </w:r>
          </w:p>
        </w:tc>
        <w:tc>
          <w:tcPr>
            <w:tcW w:w="17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3216000</w:t>
            </w:r>
          </w:p>
        </w:tc>
        <w:tc>
          <w:tcPr>
            <w:tcW w:w="2394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4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西塘镇</w:t>
            </w:r>
          </w:p>
        </w:tc>
        <w:tc>
          <w:tcPr>
            <w:tcW w:w="17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6126000</w:t>
            </w:r>
          </w:p>
        </w:tc>
        <w:tc>
          <w:tcPr>
            <w:tcW w:w="2394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4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金凤桥管理处</w:t>
            </w:r>
          </w:p>
        </w:tc>
        <w:tc>
          <w:tcPr>
            <w:tcW w:w="17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3552000</w:t>
            </w:r>
          </w:p>
        </w:tc>
        <w:tc>
          <w:tcPr>
            <w:tcW w:w="2394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036" w:type="dxa"/>
            <w:gridSpan w:val="4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通海路管理处</w:t>
            </w:r>
          </w:p>
        </w:tc>
        <w:tc>
          <w:tcPr>
            <w:tcW w:w="17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3260000</w:t>
            </w:r>
          </w:p>
        </w:tc>
        <w:tc>
          <w:tcPr>
            <w:tcW w:w="2394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036" w:type="dxa"/>
            <w:gridSpan w:val="4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</w:rPr>
              <w:t>支出合计</w:t>
            </w:r>
          </w:p>
        </w:tc>
        <w:tc>
          <w:tcPr>
            <w:tcW w:w="17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19054000</w:t>
            </w:r>
          </w:p>
        </w:tc>
        <w:tc>
          <w:tcPr>
            <w:tcW w:w="2394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303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</w:rPr>
              <w:t>三、项目绩效自评情况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项目绩效定性目标及实施计划完成情况</w:t>
            </w:r>
          </w:p>
        </w:tc>
        <w:tc>
          <w:tcPr>
            <w:tcW w:w="5633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  期  目  标</w:t>
            </w: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48" w:hRule="atLeast"/>
          <w:jc w:val="center"/>
        </w:trPr>
        <w:tc>
          <w:tcPr>
            <w:tcW w:w="147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5633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落实《关于进一步完善村级组织运转经费保障机制有关问题的通知》（湘组发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〔2017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〕5号）文件精神，拨付全区4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个村（社区）基层组织运转保障经费，确保基层组织有资源、有条件为群众服务。包括：办公经费、服务群众资金、惠民项目资金、村（社区）干部工资、便民服务员工资。</w:t>
            </w: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完成100%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3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项目绩效定量目标（指标）及完成情况</w:t>
            </w:r>
          </w:p>
        </w:tc>
        <w:tc>
          <w:tcPr>
            <w:tcW w:w="90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一级指标</w:t>
            </w:r>
          </w:p>
        </w:tc>
        <w:tc>
          <w:tcPr>
            <w:tcW w:w="177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二级指标</w:t>
            </w:r>
          </w:p>
        </w:tc>
        <w:tc>
          <w:tcPr>
            <w:tcW w:w="16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指标内容</w:t>
            </w: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指标（目标）值</w:t>
            </w: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项目产出指标</w:t>
            </w:r>
          </w:p>
        </w:tc>
        <w:tc>
          <w:tcPr>
            <w:tcW w:w="177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数量指标</w:t>
            </w:r>
          </w:p>
        </w:tc>
        <w:tc>
          <w:tcPr>
            <w:tcW w:w="16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村（社区）</w:t>
            </w: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个</w:t>
            </w: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7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村（社区）“两委”在职干部</w:t>
            </w: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208人</w:t>
            </w: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208人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7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便民服务员</w:t>
            </w: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64人</w:t>
            </w: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64人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7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离任村干部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主职</w:t>
            </w: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257人</w:t>
            </w: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257人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7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质量指标</w:t>
            </w:r>
          </w:p>
        </w:tc>
        <w:tc>
          <w:tcPr>
            <w:tcW w:w="16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发放率</w:t>
            </w: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100%</w:t>
            </w: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eastAsia="仿宋_GB2312"/>
                <w:sz w:val="21"/>
                <w:szCs w:val="21"/>
              </w:rPr>
            </w:pP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eastAsia="仿宋_GB2312"/>
                <w:sz w:val="21"/>
                <w:szCs w:val="21"/>
              </w:rPr>
            </w:pP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时效指标</w:t>
            </w:r>
          </w:p>
        </w:tc>
        <w:tc>
          <w:tcPr>
            <w:tcW w:w="16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发放时间</w:t>
            </w: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按月打卡发放</w:t>
            </w: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已完成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成本指标</w:t>
            </w:r>
          </w:p>
        </w:tc>
        <w:tc>
          <w:tcPr>
            <w:tcW w:w="16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村（社区）书记工资标准</w:t>
            </w: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5.5-6万/人·年</w:t>
            </w: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已完成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其他村（社区）干部</w:t>
            </w: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3.85-4.2万/人·年</w:t>
            </w: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已完成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运转经费</w:t>
            </w: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17-40万/个·年</w:t>
            </w: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已完成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村级办公经费</w:t>
            </w: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3万/个·年</w:t>
            </w: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已完成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村级服务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群众经费</w:t>
            </w: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1万/个·年</w:t>
            </w: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已完成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社区惠民资金</w:t>
            </w: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5-10万/个·年</w:t>
            </w: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已完成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便民服务员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工资</w:t>
            </w: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3.6万/人·年</w:t>
            </w: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已完成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按政策提高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标准</w:t>
            </w: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4-14万/个·年</w:t>
            </w: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已完成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项目效益指标</w:t>
            </w:r>
          </w:p>
        </w:tc>
        <w:tc>
          <w:tcPr>
            <w:tcW w:w="177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经济效益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6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乡村振兴</w:t>
            </w: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效果明显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社会效益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66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村级治理规范有序，基层治理能力不断提升</w:t>
            </w:r>
          </w:p>
        </w:tc>
        <w:tc>
          <w:tcPr>
            <w:tcW w:w="128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效果明显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生态效益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6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eastAsia="仿宋_GB2312"/>
                <w:sz w:val="21"/>
                <w:szCs w:val="21"/>
              </w:rPr>
            </w:pP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eastAsia="仿宋_GB2312"/>
                <w:sz w:val="21"/>
                <w:szCs w:val="21"/>
              </w:rPr>
            </w:pP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服务对象满意度指标</w:t>
            </w:r>
          </w:p>
        </w:tc>
        <w:tc>
          <w:tcPr>
            <w:tcW w:w="16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村（社区）党组织满意度</w:t>
            </w: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100%</w:t>
            </w: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已完成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村（社区）群众满意度</w:t>
            </w:r>
          </w:p>
        </w:tc>
        <w:tc>
          <w:tcPr>
            <w:tcW w:w="12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≥95%</w:t>
            </w:r>
          </w:p>
        </w:tc>
        <w:tc>
          <w:tcPr>
            <w:tcW w:w="24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已完成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绩效自评综合得分</w:t>
            </w:r>
          </w:p>
        </w:tc>
        <w:tc>
          <w:tcPr>
            <w:tcW w:w="7200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96分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评价等次</w:t>
            </w:r>
          </w:p>
        </w:tc>
        <w:tc>
          <w:tcPr>
            <w:tcW w:w="7200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82" w:type="dxa"/>
            <w:gridSpan w:val="14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</w:rPr>
              <w:t>四、评价人员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64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2332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职称/职务</w:t>
            </w:r>
          </w:p>
        </w:tc>
        <w:tc>
          <w:tcPr>
            <w:tcW w:w="2510" w:type="dxa"/>
            <w:gridSpan w:val="5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  位</w:t>
            </w:r>
          </w:p>
        </w:tc>
        <w:tc>
          <w:tcPr>
            <w:tcW w:w="2476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64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胡国华</w:t>
            </w:r>
          </w:p>
        </w:tc>
        <w:tc>
          <w:tcPr>
            <w:tcW w:w="2332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副部长</w:t>
            </w:r>
          </w:p>
        </w:tc>
        <w:tc>
          <w:tcPr>
            <w:tcW w:w="2510" w:type="dxa"/>
            <w:gridSpan w:val="5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区党群工作部</w:t>
            </w:r>
          </w:p>
        </w:tc>
        <w:tc>
          <w:tcPr>
            <w:tcW w:w="2476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64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欧新平</w:t>
            </w:r>
          </w:p>
        </w:tc>
        <w:tc>
          <w:tcPr>
            <w:tcW w:w="2332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2"/>
              </w:rPr>
              <w:t>两新工委专职副书记</w:t>
            </w:r>
          </w:p>
        </w:tc>
        <w:tc>
          <w:tcPr>
            <w:tcW w:w="2510" w:type="dxa"/>
            <w:gridSpan w:val="5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区党群工作部</w:t>
            </w:r>
          </w:p>
        </w:tc>
        <w:tc>
          <w:tcPr>
            <w:tcW w:w="2476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64" w:type="dxa"/>
            <w:gridSpan w:val="3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周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sz w:val="24"/>
                <w:lang w:eastAsia="zh-CN"/>
              </w:rPr>
              <w:t>全</w:t>
            </w:r>
          </w:p>
        </w:tc>
        <w:tc>
          <w:tcPr>
            <w:tcW w:w="2332" w:type="dxa"/>
            <w:gridSpan w:val="3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党建办干部</w:t>
            </w:r>
          </w:p>
        </w:tc>
        <w:tc>
          <w:tcPr>
            <w:tcW w:w="2510" w:type="dxa"/>
            <w:gridSpan w:val="5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区党群工作部</w:t>
            </w:r>
          </w:p>
        </w:tc>
        <w:tc>
          <w:tcPr>
            <w:tcW w:w="2476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8" w:hRule="exact"/>
          <w:jc w:val="center"/>
        </w:trPr>
        <w:tc>
          <w:tcPr>
            <w:tcW w:w="9582" w:type="dxa"/>
            <w:gridSpan w:val="14"/>
            <w:vAlign w:val="center"/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评价组组长（签字）：         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5" w:hRule="exac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项目单位意见：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项目单位负责人（签章）：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4" w:hRule="exact"/>
          <w:jc w:val="center"/>
        </w:trPr>
        <w:tc>
          <w:tcPr>
            <w:tcW w:w="9582" w:type="dxa"/>
            <w:gridSpan w:val="14"/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主管部门意见：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主管部门负责人（签章）：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8" w:hRule="exac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财政部门归口业务科室意见：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 xml:space="preserve">  财政部门归口业务科室负责人（签章）：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eastAsia="仿宋_GB2312" w:cs="仿宋_GB2312"/>
          <w:bCs/>
          <w:sz w:val="24"/>
          <w:szCs w:val="24"/>
        </w:rPr>
      </w:pPr>
      <w:r>
        <w:rPr>
          <w:rFonts w:hint="eastAsia" w:eastAsia="仿宋_GB2312" w:cs="仿宋_GB2312"/>
          <w:bCs/>
          <w:sz w:val="24"/>
          <w:szCs w:val="24"/>
        </w:rPr>
        <w:t>填报人（签名）：                          联系电话：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2" w:hRule="atLeast"/>
          <w:jc w:val="center"/>
        </w:trPr>
        <w:tc>
          <w:tcPr>
            <w:tcW w:w="9369" w:type="dxa"/>
          </w:tcPr>
          <w:p>
            <w:pPr>
              <w:spacing w:line="52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五、评价报告综述（文字部分）</w:t>
            </w:r>
          </w:p>
          <w:p>
            <w:pPr>
              <w:spacing w:line="520" w:lineRule="exact"/>
              <w:ind w:firstLine="640" w:firstLineChars="200"/>
              <w:rPr>
                <w:rFonts w:eastAsia="仿宋_GB2312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一、项目基本概况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为了认真贯彻落实中共湖南省委组织部、湖南省财政厅《关于进一步完善村级组织运转经费保障机制有关问题的通知》（湘组发〔2017〕5号）文件精神，进一步完善我省村级组织运转经费保障机制，促进农村基层组织建设。根据我区实际，经区财政局审批“202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乡镇、管理处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村（社区）运转保障经费”项目预算为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1905.4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万元。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 xml:space="preserve">二、项目资金使用及管理情况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年，年初预算安排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1905.4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万元。根据实际情况，由区财政局直接下拨经费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1905.4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万元至乡镇、管理处。项目资金拨付和使用合法合规，不存在截留、挤占、挪用专项资金等情况。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三、项目组织实施情况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截止202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年12月31日，该项目全年支出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1905.4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万元，主要用于全区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49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个村（社区）基层组织运转保障经费，包括：办公经费、服务群众资金、惠民项目资金、村（社区）干部工资、便民服务员工资，经费拨付标准严格按照相关文件规定。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四、综合评价情况及评价结论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经评价，该项目总体完成情况良好，资金绩效目标明确，预算编制合理，项目和资金管理较为落实，整体项目效果良好。该项目总得分为100分，自评得分96分。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（一）项目决策总分20分，自评得分20分。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（二）项目管理总分25分，自评得分25分。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（三）项目绩效总分55分，自评得分51分。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五、项目主要绩效情况分析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2" w:firstLineChars="200"/>
              <w:textAlignment w:val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</w:rPr>
              <w:t>不断强化经费保障。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村按照统一标准、社区按照一至三类保障运转经费，超过省定标准。</w:t>
            </w:r>
            <w:r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</w:rPr>
              <w:t>不断强化村干部队伍建设。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创新培训思路，通过支部找碴、案例剖析、现场观摩等环节，提升培训实效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。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与此同时，各乡镇、管理处分期分批安排村（社区）党组织书记到岳阳楼区、湘阴县、汨罗市等区外先进地区学习，通过鲜活的发展事例，本地新旧对比的发展历程，激发村（社区）党组织书记干事创业的热情。</w:t>
            </w:r>
            <w:r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</w:rPr>
              <w:t>不断增强基层治理水平。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49个村（社区）均结合实际制定村规民约，由党员骨干或党小组长牵头，全区各村（社区）普遍成立党员志愿服务队等52个，成立红白理事会等协会91个，在党组织的领导下发挥作用。严格落实“四议两公开”制度，培育新乡贤，推进移风易俗，依靠基层党员和人民群众，积极参与扫黑除恶专项斗争，不断构建自治、法治、德治相结合的乡村治理体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六、主要经验及做法、存在问题和建议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1.按照上级要求，结合周边兄弟县市区村（社区）运转经费使用情况，年初预算经费，按程序进行申报。村（社区）干部工资按月打卡发放，村（社区）办公经费和离任村干部主职补贴按年发放。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2.存在的问题：每年村级运转经费都会按比例进行调标，所以在申报的时候会超出年初预算的经费。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eastAsia="楷体_GB2312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七、附件</w:t>
            </w:r>
          </w:p>
        </w:tc>
      </w:tr>
    </w:tbl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7219" w:firstLineChars="3008"/>
      <w:rPr>
        <w:rFonts w:ascii="宋体" w:hAnsi="宋体"/>
        <w:sz w:val="24"/>
      </w:rPr>
    </w:pPr>
    <w:r>
      <w:rPr>
        <w:rStyle w:val="12"/>
        <w:rFonts w:hint="eastAsia" w:ascii="宋体" w:hAnsi="宋体"/>
        <w:sz w:val="24"/>
      </w:rPr>
      <w:t xml:space="preserve">— </w:t>
    </w:r>
    <w:r>
      <w:rPr>
        <w:rFonts w:ascii="宋体" w:hAnsi="宋体"/>
        <w:sz w:val="24"/>
      </w:rPr>
      <w:fldChar w:fldCharType="begin"/>
    </w:r>
    <w:r>
      <w:rPr>
        <w:rStyle w:val="12"/>
        <w:rFonts w:ascii="宋体" w:hAnsi="宋体"/>
        <w:sz w:val="24"/>
      </w:rPr>
      <w:instrText xml:space="preserve"> PAGE </w:instrText>
    </w:r>
    <w:r>
      <w:rPr>
        <w:rFonts w:ascii="宋体" w:hAnsi="宋体"/>
        <w:sz w:val="24"/>
      </w:rPr>
      <w:fldChar w:fldCharType="separate"/>
    </w:r>
    <w:r>
      <w:rPr>
        <w:rStyle w:val="12"/>
        <w:rFonts w:ascii="宋体" w:hAnsi="宋体"/>
        <w:sz w:val="24"/>
      </w:rPr>
      <w:t>8</w:t>
    </w:r>
    <w:r>
      <w:rPr>
        <w:rFonts w:ascii="宋体" w:hAnsi="宋体"/>
        <w:sz w:val="24"/>
      </w:rPr>
      <w:fldChar w:fldCharType="end"/>
    </w:r>
    <w:r>
      <w:rPr>
        <w:rStyle w:val="12"/>
        <w:rFonts w:hint="eastAsia" w:ascii="宋体" w:hAnsi="宋体"/>
        <w:sz w:val="24"/>
      </w:rPr>
      <w:t xml:space="preserve"> 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B"/>
    <w:multiLevelType w:val="multilevel"/>
    <w:tmpl w:val="0000000B"/>
    <w:lvl w:ilvl="0" w:tentative="0">
      <w:start w:val="2"/>
      <w:numFmt w:val="decimal"/>
      <w:pStyle w:val="13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Text w:val="%2"/>
      <w:lvlJc w:val="left"/>
      <w:pPr>
        <w:tabs>
          <w:tab w:val="left" w:pos="576"/>
        </w:tabs>
        <w:ind w:left="576" w:hanging="576"/>
      </w:pPr>
      <w:rPr>
        <w:rFonts w:ascii="Times New Roman" w:hAnsi="Times New Roman" w:eastAsia="Times New Roman" w:cs="Times New Roman"/>
      </w:rPr>
    </w:lvl>
    <w:lvl w:ilvl="2" w:tentative="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isLgl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g2YzFiMmFkMTU0N2ZjNTFiMWVlY2FiMGUyYTM1ZDQifQ=="/>
  </w:docVars>
  <w:rsids>
    <w:rsidRoot w:val="00E92830"/>
    <w:rsid w:val="000765D4"/>
    <w:rsid w:val="002C11A2"/>
    <w:rsid w:val="002C393B"/>
    <w:rsid w:val="003239DD"/>
    <w:rsid w:val="00366C92"/>
    <w:rsid w:val="00392D8F"/>
    <w:rsid w:val="0041190A"/>
    <w:rsid w:val="004517CD"/>
    <w:rsid w:val="004565E4"/>
    <w:rsid w:val="005B5B0E"/>
    <w:rsid w:val="00650E29"/>
    <w:rsid w:val="0066256D"/>
    <w:rsid w:val="006641E1"/>
    <w:rsid w:val="00675A7A"/>
    <w:rsid w:val="00681108"/>
    <w:rsid w:val="0069735F"/>
    <w:rsid w:val="0078216C"/>
    <w:rsid w:val="0078454E"/>
    <w:rsid w:val="007A28E0"/>
    <w:rsid w:val="009E7BD8"/>
    <w:rsid w:val="00A86EC3"/>
    <w:rsid w:val="00AE4CF8"/>
    <w:rsid w:val="00AF5F9B"/>
    <w:rsid w:val="00B87333"/>
    <w:rsid w:val="00BD16FC"/>
    <w:rsid w:val="00BD467B"/>
    <w:rsid w:val="00BF0D08"/>
    <w:rsid w:val="00C84FFD"/>
    <w:rsid w:val="00D65041"/>
    <w:rsid w:val="00DC0A0A"/>
    <w:rsid w:val="00E77E6F"/>
    <w:rsid w:val="00E92830"/>
    <w:rsid w:val="00F25231"/>
    <w:rsid w:val="00FC7D20"/>
    <w:rsid w:val="047264F3"/>
    <w:rsid w:val="04E7611E"/>
    <w:rsid w:val="069944B0"/>
    <w:rsid w:val="071E2D3E"/>
    <w:rsid w:val="07B52B39"/>
    <w:rsid w:val="087C7E39"/>
    <w:rsid w:val="08A05EFD"/>
    <w:rsid w:val="09AD5748"/>
    <w:rsid w:val="0A8B5DC4"/>
    <w:rsid w:val="0B983A08"/>
    <w:rsid w:val="0BDB751F"/>
    <w:rsid w:val="0D1B68DB"/>
    <w:rsid w:val="0E494BF7"/>
    <w:rsid w:val="0EA958B4"/>
    <w:rsid w:val="0F3A2C93"/>
    <w:rsid w:val="0F44355D"/>
    <w:rsid w:val="10491F31"/>
    <w:rsid w:val="11034D52"/>
    <w:rsid w:val="11E741F6"/>
    <w:rsid w:val="124E11A9"/>
    <w:rsid w:val="143558A1"/>
    <w:rsid w:val="15805455"/>
    <w:rsid w:val="1716069D"/>
    <w:rsid w:val="178948BD"/>
    <w:rsid w:val="17FD7FEE"/>
    <w:rsid w:val="18EE32CA"/>
    <w:rsid w:val="18F41B72"/>
    <w:rsid w:val="19D41A45"/>
    <w:rsid w:val="1B9F4A89"/>
    <w:rsid w:val="1C025FB8"/>
    <w:rsid w:val="1C3345D0"/>
    <w:rsid w:val="1EFB44E4"/>
    <w:rsid w:val="223B434C"/>
    <w:rsid w:val="2260579D"/>
    <w:rsid w:val="23D52A7A"/>
    <w:rsid w:val="244F6C71"/>
    <w:rsid w:val="24A826C3"/>
    <w:rsid w:val="24D47306"/>
    <w:rsid w:val="24DB5E33"/>
    <w:rsid w:val="25320625"/>
    <w:rsid w:val="25661C1F"/>
    <w:rsid w:val="260366D1"/>
    <w:rsid w:val="276C7DE2"/>
    <w:rsid w:val="27FE2205"/>
    <w:rsid w:val="2B67530D"/>
    <w:rsid w:val="2C1B6AC4"/>
    <w:rsid w:val="2E0A2945"/>
    <w:rsid w:val="2F103ECD"/>
    <w:rsid w:val="2F85435E"/>
    <w:rsid w:val="2FEF1008"/>
    <w:rsid w:val="30286D46"/>
    <w:rsid w:val="319D13E0"/>
    <w:rsid w:val="31C73C5F"/>
    <w:rsid w:val="31ED3189"/>
    <w:rsid w:val="32D34808"/>
    <w:rsid w:val="34975D0C"/>
    <w:rsid w:val="34E561CA"/>
    <w:rsid w:val="3561047F"/>
    <w:rsid w:val="365B04AF"/>
    <w:rsid w:val="36927CA0"/>
    <w:rsid w:val="37482F9A"/>
    <w:rsid w:val="37BA64D2"/>
    <w:rsid w:val="388E3A32"/>
    <w:rsid w:val="3A60099C"/>
    <w:rsid w:val="3B3940D6"/>
    <w:rsid w:val="3D2849EB"/>
    <w:rsid w:val="3DD808F7"/>
    <w:rsid w:val="3F2045AA"/>
    <w:rsid w:val="3FD01420"/>
    <w:rsid w:val="4036721E"/>
    <w:rsid w:val="428D793E"/>
    <w:rsid w:val="42DA36E2"/>
    <w:rsid w:val="44082EA3"/>
    <w:rsid w:val="448F575E"/>
    <w:rsid w:val="468121BE"/>
    <w:rsid w:val="46955D49"/>
    <w:rsid w:val="46DE2411"/>
    <w:rsid w:val="47671B23"/>
    <w:rsid w:val="48A9188A"/>
    <w:rsid w:val="498056A4"/>
    <w:rsid w:val="4B5414FD"/>
    <w:rsid w:val="4C1D747F"/>
    <w:rsid w:val="4C723EDC"/>
    <w:rsid w:val="4D6E1594"/>
    <w:rsid w:val="4D826A23"/>
    <w:rsid w:val="4E287294"/>
    <w:rsid w:val="4EB0516F"/>
    <w:rsid w:val="4F047D44"/>
    <w:rsid w:val="4F397B11"/>
    <w:rsid w:val="527B4B9C"/>
    <w:rsid w:val="528D20F2"/>
    <w:rsid w:val="5301443B"/>
    <w:rsid w:val="53EE2F84"/>
    <w:rsid w:val="540B3F15"/>
    <w:rsid w:val="546D5136"/>
    <w:rsid w:val="54C44EC1"/>
    <w:rsid w:val="58416CB5"/>
    <w:rsid w:val="595E0345"/>
    <w:rsid w:val="5B434F44"/>
    <w:rsid w:val="5C7E69A6"/>
    <w:rsid w:val="5C9F6823"/>
    <w:rsid w:val="5D7D43D2"/>
    <w:rsid w:val="5DF13F91"/>
    <w:rsid w:val="5F4E1DFD"/>
    <w:rsid w:val="5F520BC3"/>
    <w:rsid w:val="5FED5F7E"/>
    <w:rsid w:val="601F745F"/>
    <w:rsid w:val="60276122"/>
    <w:rsid w:val="6106014D"/>
    <w:rsid w:val="62686DB5"/>
    <w:rsid w:val="627D7975"/>
    <w:rsid w:val="62D234A6"/>
    <w:rsid w:val="62EE2F05"/>
    <w:rsid w:val="637D13C6"/>
    <w:rsid w:val="65BA2914"/>
    <w:rsid w:val="66A713C4"/>
    <w:rsid w:val="67751B11"/>
    <w:rsid w:val="67DF08A2"/>
    <w:rsid w:val="68624061"/>
    <w:rsid w:val="6C3451F3"/>
    <w:rsid w:val="6E2111C9"/>
    <w:rsid w:val="6E92083F"/>
    <w:rsid w:val="6E937DB2"/>
    <w:rsid w:val="6EA25B6B"/>
    <w:rsid w:val="6F943691"/>
    <w:rsid w:val="70F26688"/>
    <w:rsid w:val="70F547BB"/>
    <w:rsid w:val="714067F4"/>
    <w:rsid w:val="71823E92"/>
    <w:rsid w:val="72DC4F5F"/>
    <w:rsid w:val="748A7069"/>
    <w:rsid w:val="750450EB"/>
    <w:rsid w:val="758C3A60"/>
    <w:rsid w:val="75911025"/>
    <w:rsid w:val="75933C53"/>
    <w:rsid w:val="76EB7E51"/>
    <w:rsid w:val="79732936"/>
    <w:rsid w:val="79CE0AB5"/>
    <w:rsid w:val="7B763651"/>
    <w:rsid w:val="7C63797B"/>
    <w:rsid w:val="7D38542E"/>
    <w:rsid w:val="7D43322A"/>
    <w:rsid w:val="7E713A57"/>
    <w:rsid w:val="7F2D3C37"/>
    <w:rsid w:val="7F7720EF"/>
    <w:rsid w:val="7FA641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ind w:firstLine="720" w:firstLineChars="200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link w:val="14"/>
    <w:qFormat/>
    <w:uiPriority w:val="0"/>
    <w:pPr>
      <w:keepNext/>
      <w:keepLines/>
      <w:spacing w:line="360" w:lineRule="auto"/>
      <w:outlineLvl w:val="2"/>
    </w:pPr>
    <w:rPr>
      <w:rFonts w:ascii="Times New Roman" w:hAnsi="Times New Roman" w:eastAsia="楷体_GB2312"/>
      <w:b/>
      <w:sz w:val="32"/>
    </w:rPr>
  </w:style>
  <w:style w:type="paragraph" w:styleId="4">
    <w:name w:val="heading 4"/>
    <w:basedOn w:val="1"/>
    <w:next w:val="1"/>
    <w:qFormat/>
    <w:uiPriority w:val="0"/>
    <w:pPr>
      <w:spacing w:before="100" w:beforeAutospacing="1" w:after="100" w:afterAutospacing="1"/>
      <w:jc w:val="left"/>
      <w:outlineLvl w:val="3"/>
    </w:pPr>
    <w:rPr>
      <w:rFonts w:hint="eastAsia" w:ascii="宋体" w:hAnsi="宋体"/>
      <w:b/>
      <w:kern w:val="0"/>
      <w:sz w:val="24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Indent 2"/>
    <w:basedOn w:val="1"/>
    <w:qFormat/>
    <w:uiPriority w:val="0"/>
    <w:pPr>
      <w:ind w:firstLine="588" w:firstLineChars="200"/>
    </w:pPr>
    <w:rPr>
      <w:rFonts w:ascii="仿宋_GB231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8">
    <w:name w:val="Normal (Web)"/>
    <w:basedOn w:val="1"/>
    <w:qFormat/>
    <w:uiPriority w:val="0"/>
    <w:pPr>
      <w:jc w:val="left"/>
    </w:pPr>
    <w:rPr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Char1 Char Char Char"/>
    <w:basedOn w:val="1"/>
    <w:qFormat/>
    <w:uiPriority w:val="0"/>
    <w:pPr>
      <w:numPr>
        <w:ilvl w:val="0"/>
        <w:numId w:val="1"/>
      </w:numPr>
      <w:tabs>
        <w:tab w:val="left" w:pos="1280"/>
        <w:tab w:val="clear" w:pos="432"/>
      </w:tabs>
    </w:pPr>
  </w:style>
  <w:style w:type="character" w:customStyle="1" w:styleId="14">
    <w:name w:val="标题 3 Char"/>
    <w:link w:val="3"/>
    <w:qFormat/>
    <w:uiPriority w:val="0"/>
    <w:rPr>
      <w:rFonts w:ascii="Times New Roman" w:hAnsi="Times New Roman" w:eastAsia="楷体_GB2312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2195</Words>
  <Characters>2401</Characters>
  <Lines>23</Lines>
  <Paragraphs>6</Paragraphs>
  <TotalTime>7</TotalTime>
  <ScaleCrop>false</ScaleCrop>
  <LinksUpToDate>false</LinksUpToDate>
  <CharactersWithSpaces>2909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2022-10-26T03:20:00Z</dcterms:created>
  <dc:creator>Administrator</dc:creator>
  <cp:lastModifiedBy>WPS_1556155046</cp:lastModifiedBy>
  <cp:lastPrinted>2019-08-19T01:31:00Z</cp:lastPrinted>
  <dcterms:modified xsi:type="dcterms:W3CDTF">2022-10-26T09:18:53Z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BF95169F7DA94B7A854838B3F20AD0E6</vt:lpwstr>
  </property>
</Properties>
</file>