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480" w:lineRule="exact"/>
        <w:textAlignment w:val="top"/>
        <w:rPr>
          <w:rFonts w:eastAsia="黑体"/>
          <w:b/>
          <w:kern w:val="2"/>
          <w:sz w:val="36"/>
        </w:rPr>
      </w:pPr>
      <w:r>
        <w:rPr>
          <w:rFonts w:hint="eastAsia" w:eastAsia="黑体"/>
          <w:b/>
          <w:kern w:val="2"/>
          <w:sz w:val="36"/>
        </w:rPr>
        <w:t xml:space="preserve">                           </w:t>
      </w:r>
    </w:p>
    <w:p>
      <w:pPr>
        <w:pStyle w:val="11"/>
        <w:spacing w:line="480" w:lineRule="exact"/>
        <w:textAlignment w:val="top"/>
        <w:rPr>
          <w:rFonts w:eastAsia="黑体"/>
          <w:b/>
          <w:kern w:val="2"/>
          <w:sz w:val="36"/>
        </w:rPr>
      </w:pPr>
      <w:r>
        <w:rPr>
          <w:rFonts w:hint="eastAsia" w:eastAsia="黑体"/>
          <w:b/>
          <w:kern w:val="2"/>
          <w:sz w:val="36"/>
        </w:rPr>
        <w:t xml:space="preserve">    </w:t>
      </w:r>
    </w:p>
    <w:p>
      <w:pPr>
        <w:pStyle w:val="11"/>
        <w:spacing w:line="480" w:lineRule="exact"/>
        <w:textAlignment w:val="top"/>
        <w:rPr>
          <w:rFonts w:eastAsia="黑体"/>
          <w:b/>
          <w:kern w:val="2"/>
          <w:sz w:val="36"/>
        </w:rPr>
      </w:pPr>
    </w:p>
    <w:p>
      <w:pPr>
        <w:pStyle w:val="11"/>
        <w:spacing w:line="480" w:lineRule="exact"/>
        <w:textAlignment w:val="top"/>
        <w:rPr>
          <w:rFonts w:eastAsia="黑体"/>
          <w:b/>
          <w:kern w:val="2"/>
          <w:sz w:val="36"/>
        </w:rPr>
      </w:pPr>
    </w:p>
    <w:p>
      <w:pPr>
        <w:pStyle w:val="11"/>
        <w:spacing w:line="480" w:lineRule="exact"/>
        <w:ind w:firstLine="4879" w:firstLineChars="1350"/>
        <w:textAlignment w:val="top"/>
        <w:rPr>
          <w:rFonts w:eastAsia="黑体"/>
          <w:b/>
          <w:kern w:val="2"/>
          <w:sz w:val="36"/>
        </w:rPr>
      </w:pPr>
      <w:r>
        <w:rPr>
          <w:rFonts w:hint="eastAsia" w:eastAsia="黑体"/>
          <w:b/>
          <w:kern w:val="2"/>
          <w:sz w:val="36"/>
        </w:rPr>
        <w:t xml:space="preserve">    </w:t>
      </w:r>
      <w:r>
        <w:rPr>
          <w:rFonts w:hint="eastAsia" w:eastAsia="楷体_GB2312"/>
          <w:color w:val="000000"/>
          <w:sz w:val="30"/>
          <w:szCs w:val="30"/>
        </w:rPr>
        <w:t xml:space="preserve"> </w:t>
      </w:r>
      <w:r>
        <w:rPr>
          <w:rFonts w:hint="eastAsia" w:ascii="仿宋_GB2312" w:hAnsi="宋体" w:eastAsia="仿宋_GB2312"/>
          <w:sz w:val="28"/>
          <w:szCs w:val="28"/>
        </w:rPr>
        <w:t>岳经环评[20</w:t>
      </w:r>
      <w:r>
        <w:rPr>
          <w:rFonts w:hint="eastAsia" w:ascii="仿宋_GB2312" w:hAnsi="宋体" w:eastAsia="仿宋_GB2312"/>
          <w:sz w:val="28"/>
          <w:szCs w:val="28"/>
          <w:lang w:val="en-US" w:eastAsia="zh-CN"/>
        </w:rPr>
        <w:t>21</w:t>
      </w:r>
      <w:r>
        <w:rPr>
          <w:rFonts w:hint="eastAsia" w:ascii="仿宋_GB2312" w:hAnsi="宋体" w:eastAsia="仿宋_GB2312"/>
          <w:sz w:val="28"/>
          <w:szCs w:val="28"/>
        </w:rPr>
        <w:t>]</w:t>
      </w:r>
      <w:r>
        <w:rPr>
          <w:rFonts w:hint="eastAsia" w:ascii="仿宋_GB2312" w:hAnsi="宋体" w:eastAsia="仿宋_GB2312"/>
          <w:sz w:val="28"/>
          <w:szCs w:val="28"/>
          <w:lang w:val="en-US" w:eastAsia="zh-CN"/>
        </w:rPr>
        <w:t>08</w:t>
      </w:r>
      <w:r>
        <w:rPr>
          <w:rFonts w:hint="eastAsia" w:ascii="仿宋_GB2312" w:hAnsi="宋体" w:eastAsia="仿宋_GB2312"/>
          <w:sz w:val="28"/>
          <w:szCs w:val="28"/>
        </w:rPr>
        <w:t>号</w:t>
      </w:r>
      <w:r>
        <w:rPr>
          <w:rFonts w:hint="eastAsia" w:eastAsia="黑体"/>
          <w:b/>
          <w:kern w:val="2"/>
          <w:sz w:val="36"/>
        </w:rPr>
        <w:t xml:space="preserve">                    </w:t>
      </w:r>
    </w:p>
    <w:p>
      <w:pPr>
        <w:spacing w:line="0" w:lineRule="atLeast"/>
        <w:ind w:left="361" w:leftChars="0" w:hanging="361" w:hangingChars="100"/>
        <w:jc w:val="center"/>
        <w:rPr>
          <w:rFonts w:hint="eastAsia" w:ascii="宋体" w:hAnsi="宋体" w:eastAsia="宋体" w:cs="宋体"/>
          <w:b/>
          <w:bCs w:val="0"/>
          <w:sz w:val="36"/>
          <w:szCs w:val="36"/>
        </w:rPr>
      </w:pPr>
      <w:r>
        <w:rPr>
          <w:rFonts w:hint="eastAsia" w:ascii="宋体" w:hAnsi="宋体" w:eastAsia="宋体" w:cs="宋体"/>
          <w:b/>
          <w:bCs w:val="0"/>
          <w:sz w:val="36"/>
          <w:szCs w:val="36"/>
        </w:rPr>
        <w:t>关于</w:t>
      </w:r>
      <w:r>
        <w:rPr>
          <w:rFonts w:hint="eastAsia" w:ascii="宋体" w:hAnsi="宋体" w:eastAsia="宋体" w:cs="宋体"/>
          <w:b/>
          <w:bCs w:val="0"/>
          <w:sz w:val="36"/>
          <w:szCs w:val="36"/>
          <w:lang w:val="en-US" w:eastAsia="zh-CN"/>
        </w:rPr>
        <w:t>西塘镇</w:t>
      </w:r>
      <w:r>
        <w:rPr>
          <w:rFonts w:hint="eastAsia" w:ascii="宋体" w:hAnsi="宋体" w:eastAsia="宋体" w:cs="宋体"/>
          <w:b/>
          <w:bCs w:val="0"/>
          <w:sz w:val="36"/>
          <w:szCs w:val="36"/>
        </w:rPr>
        <w:t>污水处理厂</w:t>
      </w:r>
      <w:r>
        <w:rPr>
          <w:rFonts w:hint="eastAsia" w:ascii="宋体" w:hAnsi="宋体" w:eastAsia="宋体" w:cs="宋体"/>
          <w:b/>
          <w:bCs w:val="0"/>
          <w:sz w:val="36"/>
          <w:szCs w:val="36"/>
          <w:lang w:eastAsia="zh-CN"/>
        </w:rPr>
        <w:t>（</w:t>
      </w:r>
      <w:r>
        <w:rPr>
          <w:rFonts w:hint="eastAsia" w:ascii="宋体" w:hAnsi="宋体" w:eastAsia="宋体" w:cs="宋体"/>
          <w:b/>
          <w:bCs w:val="0"/>
          <w:sz w:val="36"/>
          <w:szCs w:val="36"/>
          <w:lang w:val="en-US" w:eastAsia="zh-CN"/>
        </w:rPr>
        <w:t>7</w:t>
      </w:r>
      <w:r>
        <w:rPr>
          <w:rFonts w:hint="eastAsia" w:ascii="宋体" w:hAnsi="宋体" w:eastAsia="宋体" w:cs="宋体"/>
          <w:b/>
          <w:bCs w:val="0"/>
          <w:sz w:val="36"/>
          <w:szCs w:val="36"/>
          <w:lang w:eastAsia="zh-CN"/>
        </w:rPr>
        <w:t>00m</w:t>
      </w:r>
      <w:r>
        <w:rPr>
          <w:rFonts w:hint="eastAsia" w:ascii="宋体" w:hAnsi="宋体" w:eastAsia="宋体" w:cs="宋体"/>
          <w:b/>
          <w:bCs w:val="0"/>
          <w:sz w:val="36"/>
          <w:szCs w:val="36"/>
          <w:vertAlign w:val="superscript"/>
          <w:lang w:eastAsia="zh-CN"/>
        </w:rPr>
        <w:t>3</w:t>
      </w:r>
      <w:r>
        <w:rPr>
          <w:rFonts w:hint="eastAsia" w:ascii="宋体" w:hAnsi="宋体" w:eastAsia="宋体" w:cs="宋体"/>
          <w:b/>
          <w:bCs w:val="0"/>
          <w:sz w:val="36"/>
          <w:szCs w:val="36"/>
          <w:lang w:eastAsia="zh-CN"/>
        </w:rPr>
        <w:t>/d）</w:t>
      </w:r>
      <w:r>
        <w:rPr>
          <w:rFonts w:hint="eastAsia" w:ascii="宋体" w:hAnsi="宋体" w:eastAsia="宋体" w:cs="宋体"/>
          <w:b/>
          <w:bCs w:val="0"/>
          <w:sz w:val="36"/>
          <w:szCs w:val="36"/>
        </w:rPr>
        <w:t>及配套管网工程</w:t>
      </w:r>
    </w:p>
    <w:p>
      <w:pPr>
        <w:spacing w:line="0" w:lineRule="atLeast"/>
        <w:ind w:left="361" w:leftChars="0" w:hanging="361" w:hangingChars="100"/>
        <w:jc w:val="center"/>
        <w:rPr>
          <w:rFonts w:hint="eastAsia" w:ascii="宋体" w:hAnsi="宋体" w:eastAsia="黑体" w:cs="Times New Roman"/>
          <w:b/>
          <w:sz w:val="36"/>
          <w:szCs w:val="22"/>
        </w:rPr>
      </w:pPr>
      <w:r>
        <w:rPr>
          <w:rFonts w:hint="eastAsia" w:ascii="宋体" w:hAnsi="宋体" w:eastAsia="宋体" w:cs="宋体"/>
          <w:b/>
          <w:bCs w:val="0"/>
          <w:sz w:val="36"/>
          <w:szCs w:val="36"/>
        </w:rPr>
        <w:t>建设项目环境影响报告表的批复</w:t>
      </w:r>
    </w:p>
    <w:p>
      <w:pPr>
        <w:spacing w:line="0" w:lineRule="atLeast"/>
        <w:ind w:firstLine="723"/>
        <w:jc w:val="center"/>
        <w:rPr>
          <w:rFonts w:hint="eastAsia" w:ascii="宋体" w:hAnsi="宋体" w:eastAsia="黑体" w:cs="Times New Roman"/>
          <w:b/>
          <w:sz w:val="36"/>
          <w:szCs w:val="22"/>
        </w:rPr>
      </w:pPr>
    </w:p>
    <w:p>
      <w:pPr>
        <w:keepNext w:val="0"/>
        <w:keepLines w:val="0"/>
        <w:pageBreakBefore w:val="0"/>
        <w:kinsoku/>
        <w:wordWrap/>
        <w:overflowPunct/>
        <w:topLinePunct w:val="0"/>
        <w:autoSpaceDE/>
        <w:autoSpaceDN/>
        <w:bidi w:val="0"/>
        <w:adjustRightInd w:val="0"/>
        <w:snapToGrid w:val="0"/>
        <w:spacing w:line="560" w:lineRule="atLeast"/>
        <w:ind w:firstLine="640" w:firstLineChars="200"/>
        <w:jc w:val="both"/>
        <w:rPr>
          <w:rFonts w:hint="eastAsia" w:eastAsia="仿宋"/>
          <w:sz w:val="32"/>
          <w:szCs w:val="32"/>
          <w:lang w:bidi="en-US"/>
        </w:rPr>
      </w:pPr>
      <w:r>
        <w:rPr>
          <w:rFonts w:hint="eastAsia" w:ascii="Times New Roman" w:hAnsi="Times New Roman" w:eastAsia="仿宋" w:cs="Times New Roman"/>
          <w:sz w:val="32"/>
          <w:szCs w:val="32"/>
          <w:lang w:eastAsia="zh-CN" w:bidi="en-US"/>
        </w:rPr>
        <w:t>岳阳经开区西塘镇</w:t>
      </w:r>
      <w:r>
        <w:rPr>
          <w:rFonts w:hint="eastAsia" w:ascii="Times New Roman" w:hAnsi="Times New Roman" w:eastAsia="仿宋" w:cs="Times New Roman"/>
          <w:sz w:val="32"/>
          <w:szCs w:val="32"/>
          <w:lang w:bidi="en-US"/>
        </w:rPr>
        <w:t>人民政府拟在</w:t>
      </w:r>
      <w:r>
        <w:rPr>
          <w:rFonts w:hint="eastAsia" w:ascii="Times New Roman" w:hAnsi="Times New Roman" w:eastAsia="仿宋" w:cs="Times New Roman"/>
          <w:sz w:val="32"/>
          <w:szCs w:val="32"/>
          <w:lang w:eastAsia="zh-CN" w:bidi="en-US"/>
        </w:rPr>
        <w:t>岳阳经开区</w:t>
      </w:r>
      <w:r>
        <w:rPr>
          <w:rFonts w:hint="eastAsia" w:ascii="Times New Roman" w:hAnsi="Times New Roman" w:eastAsia="仿宋" w:cs="Times New Roman"/>
          <w:sz w:val="32"/>
          <w:szCs w:val="32"/>
          <w:lang w:val="en-US" w:eastAsia="zh-CN" w:bidi="en-US"/>
        </w:rPr>
        <w:t>西塘镇</w:t>
      </w:r>
      <w:r>
        <w:rPr>
          <w:rFonts w:hint="eastAsia" w:ascii="Times New Roman" w:hAnsi="Times New Roman" w:eastAsia="仿宋" w:cs="Times New Roman"/>
          <w:sz w:val="32"/>
          <w:szCs w:val="32"/>
          <w:lang w:bidi="en-US"/>
        </w:rPr>
        <w:t>建设</w:t>
      </w:r>
      <w:r>
        <w:rPr>
          <w:rFonts w:hint="eastAsia" w:ascii="Times New Roman" w:hAnsi="Times New Roman" w:eastAsia="仿宋" w:cs="Times New Roman"/>
          <w:sz w:val="32"/>
          <w:szCs w:val="32"/>
          <w:lang w:eastAsia="zh-CN" w:bidi="en-US"/>
        </w:rPr>
        <w:t>岳阳经开区西塘镇污水处理厂及配套管网工程</w:t>
      </w:r>
      <w:r>
        <w:rPr>
          <w:rFonts w:hint="eastAsia" w:ascii="Times New Roman" w:hAnsi="Times New Roman" w:eastAsia="仿宋" w:cs="Times New Roman"/>
          <w:sz w:val="32"/>
          <w:szCs w:val="32"/>
          <w:lang w:bidi="en-US"/>
        </w:rPr>
        <w:t>项目。</w:t>
      </w:r>
      <w:r>
        <w:rPr>
          <w:rFonts w:hint="eastAsia" w:ascii="Times New Roman" w:hAnsi="Times New Roman" w:eastAsia="仿宋" w:cs="Times New Roman"/>
          <w:sz w:val="32"/>
          <w:szCs w:val="32"/>
          <w:lang w:val="en-US" w:eastAsia="zh-CN" w:bidi="en-US"/>
        </w:rPr>
        <w:t>对当地居民的生活污水集中收集，处理后达标排放。</w:t>
      </w:r>
      <w:r>
        <w:rPr>
          <w:rFonts w:hint="eastAsia" w:ascii="Times New Roman" w:hAnsi="Times New Roman" w:eastAsia="仿宋" w:cs="Times New Roman"/>
          <w:sz w:val="32"/>
          <w:szCs w:val="32"/>
          <w:lang w:bidi="en-US"/>
        </w:rPr>
        <w:t>工程总投资</w:t>
      </w:r>
      <w:r>
        <w:rPr>
          <w:rFonts w:hint="eastAsia" w:ascii="Times New Roman" w:hAnsi="Times New Roman" w:eastAsia="仿宋" w:cs="Times New Roman"/>
          <w:sz w:val="32"/>
          <w:szCs w:val="32"/>
          <w:lang w:val="en-US" w:eastAsia="zh-CN" w:bidi="en-US"/>
        </w:rPr>
        <w:t>3607.88</w:t>
      </w:r>
      <w:r>
        <w:rPr>
          <w:rFonts w:hint="eastAsia" w:ascii="Times New Roman" w:hAnsi="Times New Roman" w:eastAsia="仿宋" w:cs="Times New Roman"/>
          <w:sz w:val="32"/>
          <w:szCs w:val="32"/>
          <w:lang w:bidi="en-US"/>
        </w:rPr>
        <w:t>万元，其中环保投资8</w:t>
      </w:r>
      <w:r>
        <w:rPr>
          <w:rFonts w:hint="eastAsia" w:ascii="Times New Roman" w:hAnsi="Times New Roman" w:eastAsia="仿宋" w:cs="Times New Roman"/>
          <w:sz w:val="32"/>
          <w:szCs w:val="32"/>
          <w:lang w:val="en-US" w:eastAsia="zh-CN" w:bidi="en-US"/>
        </w:rPr>
        <w:t>3</w:t>
      </w:r>
      <w:r>
        <w:rPr>
          <w:rFonts w:hint="eastAsia" w:ascii="Times New Roman" w:hAnsi="Times New Roman" w:eastAsia="仿宋" w:cs="Times New Roman"/>
          <w:sz w:val="32"/>
          <w:szCs w:val="32"/>
          <w:lang w:bidi="en-US"/>
        </w:rPr>
        <w:t>万元</w:t>
      </w:r>
      <w:r>
        <w:rPr>
          <w:rFonts w:hint="eastAsia" w:ascii="Times New Roman" w:hAnsi="Times New Roman" w:eastAsia="仿宋" w:cs="Times New Roman"/>
          <w:sz w:val="32"/>
          <w:szCs w:val="32"/>
          <w:lang w:eastAsia="zh-CN" w:bidi="en-US"/>
        </w:rPr>
        <w:t>。</w:t>
      </w:r>
      <w:r>
        <w:rPr>
          <w:rFonts w:hint="eastAsia" w:ascii="Times New Roman" w:hAnsi="Times New Roman" w:eastAsia="仿宋" w:cs="Times New Roman"/>
          <w:sz w:val="32"/>
          <w:szCs w:val="32"/>
          <w:lang w:bidi="en-US"/>
        </w:rPr>
        <w:t>本项目主要建设内容</w:t>
      </w:r>
      <w:r>
        <w:rPr>
          <w:rFonts w:hint="eastAsia" w:ascii="Times New Roman" w:hAnsi="Times New Roman" w:eastAsia="仿宋" w:cs="Times New Roman"/>
          <w:sz w:val="32"/>
          <w:szCs w:val="32"/>
          <w:lang w:val="en-US" w:eastAsia="zh-CN" w:bidi="en-US"/>
        </w:rPr>
        <w:t>为：</w:t>
      </w:r>
      <w:r>
        <w:rPr>
          <w:rFonts w:hint="eastAsia" w:ascii="Times New Roman" w:hAnsi="Times New Roman" w:eastAsia="仿宋" w:cs="Times New Roman"/>
          <w:sz w:val="32"/>
          <w:szCs w:val="32"/>
          <w:lang w:bidi="en-US"/>
        </w:rPr>
        <w:t>格栅井、调节池、一体化污水处理设备</w:t>
      </w:r>
      <w:r>
        <w:rPr>
          <w:rFonts w:hint="eastAsia" w:ascii="Times New Roman" w:hAnsi="Times New Roman" w:eastAsia="仿宋" w:cs="Times New Roman"/>
          <w:sz w:val="32"/>
          <w:szCs w:val="32"/>
          <w:lang w:eastAsia="zh-CN" w:bidi="en-US"/>
        </w:rPr>
        <w:t>、</w:t>
      </w:r>
      <w:r>
        <w:rPr>
          <w:rFonts w:hint="eastAsia" w:ascii="Times New Roman" w:hAnsi="Times New Roman" w:eastAsia="仿宋" w:cs="Times New Roman"/>
          <w:sz w:val="32"/>
          <w:szCs w:val="32"/>
          <w:lang w:val="en-US" w:eastAsia="zh-CN" w:bidi="en-US"/>
        </w:rPr>
        <w:t>贮泥脱水车间</w:t>
      </w:r>
      <w:r>
        <w:rPr>
          <w:rFonts w:hint="eastAsia" w:ascii="Times New Roman" w:hAnsi="Times New Roman" w:eastAsia="仿宋" w:cs="Times New Roman"/>
          <w:sz w:val="32"/>
          <w:szCs w:val="32"/>
          <w:lang w:bidi="en-US"/>
        </w:rPr>
        <w:t>及其配套管网工程等。</w:t>
      </w:r>
      <w:r>
        <w:rPr>
          <w:rFonts w:hint="eastAsia" w:ascii="Times New Roman" w:hAnsi="Times New Roman" w:eastAsia="仿宋" w:cs="Times New Roman"/>
          <w:sz w:val="32"/>
          <w:szCs w:val="32"/>
          <w:lang w:val="en-US" w:eastAsia="zh-CN" w:bidi="en-US"/>
        </w:rPr>
        <w:t>设计日处理能力700m</w:t>
      </w:r>
      <w:r>
        <w:rPr>
          <w:rFonts w:hint="eastAsia" w:ascii="Times New Roman" w:hAnsi="Times New Roman" w:eastAsia="仿宋" w:cs="Times New Roman"/>
          <w:sz w:val="32"/>
          <w:szCs w:val="32"/>
          <w:vertAlign w:val="superscript"/>
          <w:lang w:val="en-US" w:eastAsia="zh-CN" w:bidi="en-US"/>
        </w:rPr>
        <w:t>3</w:t>
      </w:r>
      <w:r>
        <w:rPr>
          <w:rFonts w:hint="eastAsia" w:ascii="Times New Roman" w:hAnsi="Times New Roman" w:eastAsia="仿宋" w:cs="Times New Roman"/>
          <w:sz w:val="32"/>
          <w:szCs w:val="32"/>
          <w:lang w:val="en-US" w:eastAsia="zh-CN" w:bidi="en-US"/>
        </w:rPr>
        <w:t>/d</w:t>
      </w:r>
      <w:r>
        <w:rPr>
          <w:rFonts w:hint="eastAsia" w:eastAsia="仿宋" w:cs="Times New Roman"/>
          <w:sz w:val="32"/>
          <w:szCs w:val="32"/>
          <w:lang w:val="en-US" w:eastAsia="zh-CN" w:bidi="en-US"/>
        </w:rPr>
        <w:t>。</w:t>
      </w:r>
      <w:r>
        <w:rPr>
          <w:rFonts w:hint="eastAsia" w:ascii="Times New Roman" w:hAnsi="Times New Roman" w:eastAsia="仿宋" w:cs="Times New Roman"/>
          <w:sz w:val="32"/>
          <w:szCs w:val="32"/>
          <w:lang w:val="en-US" w:eastAsia="zh-CN" w:bidi="en-US"/>
        </w:rPr>
        <w:t>污水处理厂规模：主污水管道2811m（DN600管道501m、DN500管道2310m）、支污水管道17282m（DN400管道1429m、DN300管道11853m、DN150管道4000m），设置检查井591个。项目符合国家产业政策，</w:t>
      </w:r>
      <w:r>
        <w:rPr>
          <w:rFonts w:hint="eastAsia" w:ascii="Times New Roman" w:hAnsi="Times New Roman" w:eastAsia="仿宋" w:cs="Times New Roman"/>
          <w:sz w:val="32"/>
          <w:szCs w:val="32"/>
          <w:lang w:bidi="en-US"/>
        </w:rPr>
        <w:t>根据</w:t>
      </w:r>
      <w:r>
        <w:rPr>
          <w:rFonts w:hint="eastAsia" w:ascii="Times New Roman" w:hAnsi="Times New Roman" w:eastAsia="仿宋" w:cs="Times New Roman"/>
          <w:sz w:val="32"/>
          <w:szCs w:val="32"/>
          <w:lang w:val="en-US" w:eastAsia="zh-CN" w:bidi="en-US"/>
        </w:rPr>
        <w:t>湖南环美达环保科技有限公司</w:t>
      </w:r>
      <w:r>
        <w:rPr>
          <w:rFonts w:hint="eastAsia" w:ascii="Times New Roman" w:hAnsi="Times New Roman" w:eastAsia="仿宋" w:cs="Times New Roman"/>
          <w:sz w:val="32"/>
          <w:szCs w:val="32"/>
          <w:lang w:bidi="en-US"/>
        </w:rPr>
        <w:t>编制的《</w:t>
      </w:r>
      <w:r>
        <w:rPr>
          <w:rFonts w:hint="eastAsia" w:ascii="Times New Roman" w:hAnsi="Times New Roman" w:eastAsia="仿宋" w:cs="Times New Roman"/>
          <w:sz w:val="32"/>
          <w:szCs w:val="32"/>
          <w:lang w:val="en-US" w:eastAsia="zh-CN" w:bidi="en-US"/>
        </w:rPr>
        <w:t>西塘镇</w:t>
      </w:r>
      <w:r>
        <w:rPr>
          <w:rFonts w:hint="eastAsia" w:ascii="Times New Roman" w:hAnsi="Times New Roman" w:eastAsia="仿宋" w:cs="Times New Roman"/>
          <w:sz w:val="32"/>
          <w:szCs w:val="32"/>
          <w:lang w:bidi="en-US"/>
        </w:rPr>
        <w:t>污水处理厂</w:t>
      </w:r>
      <w:r>
        <w:rPr>
          <w:rFonts w:hint="eastAsia" w:ascii="Times New Roman" w:hAnsi="Times New Roman" w:eastAsia="仿宋" w:cs="Times New Roman"/>
          <w:sz w:val="32"/>
          <w:szCs w:val="32"/>
          <w:lang w:eastAsia="zh-CN" w:bidi="en-US"/>
        </w:rPr>
        <w:t>（</w:t>
      </w:r>
      <w:r>
        <w:rPr>
          <w:rFonts w:hint="eastAsia" w:ascii="Times New Roman" w:hAnsi="Times New Roman" w:eastAsia="仿宋" w:cs="Times New Roman"/>
          <w:sz w:val="32"/>
          <w:szCs w:val="32"/>
          <w:lang w:val="en-US" w:eastAsia="zh-CN" w:bidi="en-US"/>
        </w:rPr>
        <w:t>7</w:t>
      </w:r>
      <w:r>
        <w:rPr>
          <w:rFonts w:hint="eastAsia" w:ascii="Times New Roman" w:hAnsi="Times New Roman" w:eastAsia="仿宋" w:cs="Times New Roman"/>
          <w:sz w:val="32"/>
          <w:szCs w:val="32"/>
          <w:lang w:eastAsia="zh-CN" w:bidi="en-US"/>
        </w:rPr>
        <w:t>00m3/d）</w:t>
      </w:r>
      <w:r>
        <w:rPr>
          <w:rFonts w:hint="eastAsia" w:ascii="Times New Roman" w:hAnsi="Times New Roman" w:eastAsia="仿宋" w:cs="Times New Roman"/>
          <w:sz w:val="32"/>
          <w:szCs w:val="32"/>
          <w:lang w:bidi="en-US"/>
        </w:rPr>
        <w:t>及配套管网工程建设项目环境影响报告表</w:t>
      </w:r>
      <w:r>
        <w:rPr>
          <w:rFonts w:hint="eastAsia" w:eastAsia="仿宋"/>
          <w:sz w:val="32"/>
          <w:szCs w:val="32"/>
          <w:lang w:bidi="en-US"/>
        </w:rPr>
        <w:t>（报批稿）》基本内容、结论、专家评审意见，综合考虑，我</w:t>
      </w:r>
      <w:r>
        <w:rPr>
          <w:rFonts w:hint="eastAsia" w:eastAsia="仿宋"/>
          <w:sz w:val="32"/>
          <w:szCs w:val="32"/>
          <w:lang w:val="en-US" w:eastAsia="zh-CN" w:bidi="en-US"/>
        </w:rPr>
        <w:t>分</w:t>
      </w:r>
      <w:r>
        <w:rPr>
          <w:rFonts w:hint="eastAsia" w:eastAsia="仿宋"/>
          <w:sz w:val="32"/>
          <w:szCs w:val="32"/>
          <w:lang w:bidi="en-US"/>
        </w:rPr>
        <w:t xml:space="preserve">局原则同意你公司环境影响报告表中所列建设项目的性质、规模、工艺、地点和环境保护对策措施。      </w:t>
      </w:r>
    </w:p>
    <w:p>
      <w:pPr>
        <w:keepNext w:val="0"/>
        <w:keepLines w:val="0"/>
        <w:pageBreakBefore w:val="0"/>
        <w:kinsoku/>
        <w:wordWrap/>
        <w:overflowPunct/>
        <w:topLinePunct w:val="0"/>
        <w:autoSpaceDE/>
        <w:autoSpaceDN/>
        <w:bidi w:val="0"/>
        <w:adjustRightInd/>
        <w:spacing w:line="560" w:lineRule="atLeast"/>
        <w:ind w:firstLine="640" w:firstLineChars="200"/>
        <w:jc w:val="both"/>
        <w:rPr>
          <w:rFonts w:eastAsia="仿宋"/>
          <w:sz w:val="32"/>
          <w:szCs w:val="32"/>
          <w:lang w:bidi="en-US"/>
        </w:rPr>
      </w:pPr>
      <w:r>
        <w:rPr>
          <w:rFonts w:hint="eastAsia" w:ascii="仿宋" w:hAnsi="仿宋" w:eastAsia="仿宋"/>
          <w:sz w:val="32"/>
          <w:szCs w:val="32"/>
          <w:lang w:val="en-US" w:eastAsia="zh-CN"/>
        </w:rPr>
        <w:t>一</w:t>
      </w:r>
      <w:r>
        <w:rPr>
          <w:rFonts w:hint="eastAsia" w:ascii="仿宋" w:hAnsi="仿宋" w:eastAsia="仿宋"/>
          <w:sz w:val="32"/>
          <w:szCs w:val="32"/>
        </w:rPr>
        <w:t>、</w:t>
      </w:r>
      <w:r>
        <w:rPr>
          <w:rFonts w:eastAsia="仿宋"/>
          <w:sz w:val="32"/>
          <w:szCs w:val="32"/>
          <w:lang w:bidi="en-US"/>
        </w:rPr>
        <w:t>认真落实专家</w:t>
      </w:r>
      <w:r>
        <w:rPr>
          <w:rFonts w:hint="eastAsia" w:eastAsia="仿宋"/>
          <w:sz w:val="32"/>
          <w:szCs w:val="32"/>
          <w:lang w:bidi="en-US"/>
        </w:rPr>
        <w:t>意见</w:t>
      </w:r>
      <w:r>
        <w:rPr>
          <w:rFonts w:eastAsia="仿宋"/>
          <w:sz w:val="32"/>
          <w:szCs w:val="32"/>
          <w:lang w:bidi="en-US"/>
        </w:rPr>
        <w:t>及环境影响报告</w:t>
      </w:r>
      <w:r>
        <w:rPr>
          <w:rFonts w:hint="eastAsia" w:eastAsia="仿宋"/>
          <w:sz w:val="32"/>
          <w:szCs w:val="32"/>
          <w:lang w:bidi="en-US"/>
        </w:rPr>
        <w:t>表</w:t>
      </w:r>
      <w:r>
        <w:rPr>
          <w:rFonts w:eastAsia="仿宋"/>
          <w:sz w:val="32"/>
          <w:szCs w:val="32"/>
          <w:lang w:bidi="en-US"/>
        </w:rPr>
        <w:t>中提出的各项污染防治措施，并应着重注意以下问题：</w:t>
      </w:r>
    </w:p>
    <w:p>
      <w:pPr>
        <w:keepNext w:val="0"/>
        <w:keepLines w:val="0"/>
        <w:pageBreakBefore w:val="0"/>
        <w:kinsoku/>
        <w:wordWrap/>
        <w:overflowPunct/>
        <w:topLinePunct w:val="0"/>
        <w:autoSpaceDE/>
        <w:autoSpaceDN/>
        <w:bidi w:val="0"/>
        <w:adjustRightInd/>
        <w:spacing w:line="560" w:lineRule="atLeas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加强施工期环境管理。严格落实报告表中提出的施工扬尘、噪声等防治措施，避免工程施工期噪声、扬尘和水土流失对周边环境的影响。</w:t>
      </w:r>
    </w:p>
    <w:p>
      <w:pPr>
        <w:keepNext w:val="0"/>
        <w:keepLines w:val="0"/>
        <w:pageBreakBefore w:val="0"/>
        <w:numPr>
          <w:ilvl w:val="0"/>
          <w:numId w:val="0"/>
        </w:numPr>
        <w:kinsoku/>
        <w:wordWrap/>
        <w:overflowPunct/>
        <w:topLinePunct w:val="0"/>
        <w:autoSpaceDE/>
        <w:autoSpaceDN/>
        <w:bidi w:val="0"/>
        <w:adjustRightInd w:val="0"/>
        <w:snapToGrid w:val="0"/>
        <w:spacing w:line="560" w:lineRule="atLeast"/>
        <w:ind w:firstLine="640" w:firstLineChars="200"/>
        <w:jc w:val="both"/>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2、加强水污染防治措施。严格按“雨污分流、污污分流”原则，规范建设厂区雨污管网。</w:t>
      </w:r>
      <w:r>
        <w:rPr>
          <w:rFonts w:hint="eastAsia" w:ascii="仿宋" w:hAnsi="仿宋" w:eastAsia="仿宋" w:cs="Times New Roman"/>
          <w:b w:val="0"/>
          <w:sz w:val="32"/>
          <w:szCs w:val="32"/>
          <w:lang w:val="en-US" w:eastAsia="zh-CN" w:bidi="ar-SA"/>
        </w:rPr>
        <w:t>施工区四周设置沉淀池和隔油池，施工生产废水全部综合利用，不得排入周边环境。按规范要求设置排污口及进出水在线监测系统，并与生态环境部门联网。</w:t>
      </w:r>
      <w:r>
        <w:rPr>
          <w:rFonts w:hint="eastAsia" w:ascii="仿宋" w:hAnsi="仿宋" w:eastAsia="仿宋" w:cs="Times New Roman"/>
          <w:sz w:val="32"/>
          <w:szCs w:val="32"/>
          <w:lang w:val="en-US" w:eastAsia="zh-CN"/>
        </w:rPr>
        <w:t>出水水质达到《城镇污水处理厂污染物排放标准》（GB18918-2002）一级A标准。</w:t>
      </w:r>
    </w:p>
    <w:p>
      <w:pPr>
        <w:pStyle w:val="2"/>
        <w:keepNext w:val="0"/>
        <w:keepLines w:val="0"/>
        <w:pageBreakBefore w:val="0"/>
        <w:kinsoku/>
        <w:wordWrap/>
        <w:overflowPunct/>
        <w:topLinePunct w:val="0"/>
        <w:autoSpaceDE/>
        <w:autoSpaceDN/>
        <w:bidi w:val="0"/>
        <w:spacing w:line="560" w:lineRule="atLeast"/>
        <w:ind w:firstLine="640" w:firstLineChars="200"/>
        <w:jc w:val="both"/>
        <w:rPr>
          <w:rFonts w:hint="default"/>
          <w:lang w:val="en-US" w:eastAsia="zh-CN"/>
        </w:rPr>
      </w:pPr>
      <w:r>
        <w:rPr>
          <w:rFonts w:hint="eastAsia" w:ascii="仿宋" w:hAnsi="仿宋" w:eastAsia="仿宋" w:cs="Times New Roman"/>
          <w:sz w:val="32"/>
          <w:szCs w:val="32"/>
          <w:lang w:val="en-US" w:eastAsia="zh-CN"/>
        </w:rPr>
        <w:t>3、地下水污染防治工作。做好污水管网</w:t>
      </w:r>
      <w:r>
        <w:rPr>
          <w:rFonts w:hint="eastAsia" w:ascii="Times New Roman" w:hAnsi="Times New Roman" w:eastAsia="仿宋" w:cs="Times New Roman"/>
          <w:sz w:val="32"/>
          <w:szCs w:val="32"/>
          <w:lang w:eastAsia="zh-CN" w:bidi="en-US"/>
        </w:rPr>
        <w:t>及配套管网</w:t>
      </w:r>
      <w:r>
        <w:rPr>
          <w:rFonts w:hint="eastAsia" w:ascii="仿宋" w:hAnsi="仿宋" w:eastAsia="仿宋" w:cs="Times New Roman"/>
          <w:sz w:val="32"/>
          <w:szCs w:val="32"/>
          <w:lang w:val="en-US" w:eastAsia="zh-CN"/>
        </w:rPr>
        <w:t>密封防腐和各类池体及栅渣、污泥暂存等场所防渗、防漏工作，防止发生渗漏对区域地下水造成污染。项目运营后，定期跟踪监测项目所在地地下水水质情况。</w:t>
      </w:r>
    </w:p>
    <w:p>
      <w:pPr>
        <w:keepNext w:val="0"/>
        <w:keepLines w:val="0"/>
        <w:pageBreakBefore w:val="0"/>
        <w:kinsoku/>
        <w:wordWrap/>
        <w:overflowPunct/>
        <w:topLinePunct w:val="0"/>
        <w:autoSpaceDE/>
        <w:autoSpaceDN/>
        <w:bidi w:val="0"/>
        <w:adjustRightInd/>
        <w:spacing w:line="560" w:lineRule="atLeast"/>
        <w:ind w:firstLine="640" w:firstLineChars="200"/>
        <w:jc w:val="both"/>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、落实生态保护和水土保持措施。施工中剥离的表土应妥善存放，回用于项目绿化；避免雨季作业，并配备塑料布、苫布等遮盖物品；尽可能保留项目用地范围内可利用的植物。</w:t>
      </w:r>
    </w:p>
    <w:p>
      <w:pPr>
        <w:keepNext w:val="0"/>
        <w:keepLines w:val="0"/>
        <w:pageBreakBefore w:val="0"/>
        <w:kinsoku/>
        <w:wordWrap/>
        <w:overflowPunct/>
        <w:topLinePunct w:val="0"/>
        <w:autoSpaceDE/>
        <w:autoSpaceDN/>
        <w:bidi w:val="0"/>
        <w:adjustRightInd/>
        <w:spacing w:line="560" w:lineRule="atLeast"/>
        <w:ind w:firstLine="640" w:firstLineChars="200"/>
        <w:jc w:val="both"/>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废气污染防治措施</w:t>
      </w:r>
      <w:r>
        <w:rPr>
          <w:rFonts w:hint="eastAsia" w:ascii="仿宋" w:hAnsi="仿宋" w:eastAsia="仿宋"/>
          <w:sz w:val="32"/>
          <w:szCs w:val="32"/>
        </w:rPr>
        <w:t>。</w:t>
      </w:r>
      <w:r>
        <w:rPr>
          <w:rFonts w:hint="eastAsia" w:ascii="仿宋" w:hAnsi="仿宋" w:eastAsia="仿宋"/>
          <w:sz w:val="32"/>
          <w:szCs w:val="32"/>
          <w:lang w:val="en-US" w:eastAsia="zh-CN"/>
        </w:rPr>
        <w:t>合理优化平面布局，加强厂区厂界绿化工作，项目采用一体化污水处理工艺（进水→格栅井→调节池→一体化污水处理设备（包括AAO生化池、二沉池、混凝沉淀池、纤维转盘滤池、紫外消毒池及相关仪表管道等）→达标排放），采取投加除臭药剂、及时清运</w:t>
      </w:r>
      <w:r>
        <w:rPr>
          <w:rFonts w:hint="eastAsia" w:ascii="仿宋" w:hAnsi="仿宋" w:eastAsia="仿宋" w:cs="Times New Roman"/>
          <w:sz w:val="32"/>
          <w:szCs w:val="32"/>
          <w:lang w:val="en-US" w:eastAsia="zh-CN"/>
        </w:rPr>
        <w:t>栅渣、污泥等措施，确保厂界废气排放最高浓度满足《城镇污水处理厂污染物排放标准》（GB18918-2002）表4中相关限值要求。</w:t>
      </w:r>
    </w:p>
    <w:p>
      <w:pPr>
        <w:pStyle w:val="2"/>
        <w:keepNext w:val="0"/>
        <w:keepLines w:val="0"/>
        <w:pageBreakBefore w:val="0"/>
        <w:kinsoku/>
        <w:wordWrap/>
        <w:overflowPunct/>
        <w:topLinePunct w:val="0"/>
        <w:autoSpaceDE/>
        <w:autoSpaceDN/>
        <w:bidi w:val="0"/>
        <w:spacing w:line="560" w:lineRule="atLeast"/>
        <w:ind w:firstLine="640" w:firstLineChars="200"/>
        <w:jc w:val="both"/>
        <w:rPr>
          <w:rFonts w:hint="default"/>
          <w:lang w:val="en-US" w:eastAsia="zh-CN"/>
        </w:rPr>
      </w:pPr>
      <w:r>
        <w:rPr>
          <w:rFonts w:hint="eastAsia" w:ascii="仿宋" w:hAnsi="仿宋" w:eastAsia="仿宋" w:cs="Times New Roman"/>
          <w:sz w:val="32"/>
          <w:szCs w:val="32"/>
          <w:lang w:val="en-US" w:eastAsia="zh-CN"/>
        </w:rPr>
        <w:t>6、固体废物防治工作。</w:t>
      </w:r>
      <w:r>
        <w:rPr>
          <w:rFonts w:hint="eastAsia" w:ascii="仿宋" w:hAnsi="仿宋" w:eastAsia="仿宋"/>
          <w:sz w:val="32"/>
          <w:szCs w:val="32"/>
        </w:rPr>
        <w:t>严格按照《一般工业固体废物贮存、处置场污染控制标准》（GB18599-2001）及2013年修改单、《危险废物贮存污染控制标准》（</w:t>
      </w:r>
      <w:r>
        <w:rPr>
          <w:rFonts w:ascii="仿宋" w:hAnsi="仿宋" w:eastAsia="仿宋"/>
          <w:sz w:val="32"/>
          <w:szCs w:val="32"/>
        </w:rPr>
        <w:t>GB18597-2001</w:t>
      </w:r>
      <w:r>
        <w:rPr>
          <w:rFonts w:hint="eastAsia" w:ascii="仿宋" w:hAnsi="仿宋" w:eastAsia="仿宋"/>
          <w:sz w:val="32"/>
          <w:szCs w:val="32"/>
        </w:rPr>
        <w:t>）及2013年修改单中的相关规定，规范</w:t>
      </w:r>
      <w:r>
        <w:rPr>
          <w:rFonts w:hint="eastAsia" w:ascii="仿宋" w:hAnsi="仿宋" w:eastAsia="仿宋"/>
          <w:sz w:val="32"/>
          <w:szCs w:val="32"/>
          <w:lang w:val="en-US" w:eastAsia="zh-CN"/>
        </w:rPr>
        <w:t>设置临时贮存场所。</w:t>
      </w:r>
      <w:r>
        <w:rPr>
          <w:rFonts w:hint="eastAsia" w:ascii="仿宋" w:hAnsi="仿宋" w:eastAsia="仿宋"/>
          <w:sz w:val="32"/>
          <w:szCs w:val="32"/>
        </w:rPr>
        <w:t>建立固体废物和危险废物</w:t>
      </w:r>
      <w:r>
        <w:rPr>
          <w:rFonts w:hint="eastAsia" w:ascii="仿宋" w:hAnsi="仿宋" w:eastAsia="仿宋"/>
          <w:sz w:val="32"/>
          <w:szCs w:val="32"/>
          <w:lang w:val="en-US" w:eastAsia="zh-CN"/>
        </w:rPr>
        <w:t>暂存</w:t>
      </w:r>
      <w:r>
        <w:rPr>
          <w:rFonts w:hint="eastAsia" w:ascii="仿宋" w:hAnsi="仿宋" w:eastAsia="仿宋"/>
          <w:sz w:val="32"/>
          <w:szCs w:val="32"/>
        </w:rPr>
        <w:t>、转运、处置管理台帐。</w:t>
      </w:r>
      <w:r>
        <w:rPr>
          <w:rFonts w:hint="eastAsia" w:ascii="仿宋" w:hAnsi="仿宋" w:eastAsia="仿宋" w:cs="Times New Roman"/>
          <w:sz w:val="32"/>
          <w:szCs w:val="32"/>
          <w:lang w:val="en-US" w:eastAsia="zh-CN"/>
        </w:rPr>
        <w:t>营运期工作人员产生的生活垃圾，经收集后定期由环卫部门进行清运处置；污水处理设施产生的栅渣及污泥经收集后定期由环卫部门进行清运处置；废机油、废灯管经收集后暂存于危废间，定期交由有资质单位处理。</w:t>
      </w:r>
    </w:p>
    <w:p>
      <w:pPr>
        <w:keepNext w:val="0"/>
        <w:keepLines w:val="0"/>
        <w:pageBreakBefore w:val="0"/>
        <w:kinsoku/>
        <w:wordWrap/>
        <w:overflowPunct/>
        <w:topLinePunct w:val="0"/>
        <w:autoSpaceDE/>
        <w:autoSpaceDN/>
        <w:bidi w:val="0"/>
        <w:adjustRightInd/>
        <w:spacing w:line="560" w:lineRule="atLeast"/>
        <w:ind w:firstLine="640" w:firstLineChars="200"/>
        <w:jc w:val="both"/>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控制噪声对周边环境影响。科学制定施工计划和运输方案，合理选取车辆运输时间、路线，采用低噪声设备、先进施工工艺和合适的施工方式，加强运输车辆、施工机械和设备管理及维护。禁止噪声较强的机械在居民夜间、午间休息时间进行施工，减少噪声扰民。</w:t>
      </w:r>
    </w:p>
    <w:p>
      <w:pPr>
        <w:keepNext w:val="0"/>
        <w:keepLines w:val="0"/>
        <w:pageBreakBefore w:val="0"/>
        <w:kinsoku/>
        <w:wordWrap/>
        <w:overflowPunct/>
        <w:topLinePunct w:val="0"/>
        <w:autoSpaceDE/>
        <w:autoSpaceDN/>
        <w:bidi w:val="0"/>
        <w:adjustRightInd/>
        <w:spacing w:line="560" w:lineRule="atLeast"/>
        <w:ind w:firstLine="640" w:firstLineChars="200"/>
        <w:jc w:val="both"/>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、加强环境管理，建立健全各类污染防治设施运行管理台帐，设专门的环保机构及环保人员，确保各项污染防治和生态保护措施得到有效落实。</w:t>
      </w:r>
    </w:p>
    <w:p>
      <w:pPr>
        <w:keepNext w:val="0"/>
        <w:keepLines w:val="0"/>
        <w:pageBreakBefore w:val="0"/>
        <w:kinsoku/>
        <w:wordWrap/>
        <w:overflowPunct/>
        <w:topLinePunct w:val="0"/>
        <w:autoSpaceDE/>
        <w:autoSpaceDN/>
        <w:bidi w:val="0"/>
        <w:adjustRightInd/>
        <w:spacing w:line="560" w:lineRule="atLeast"/>
        <w:ind w:left="0" w:leftChars="0" w:firstLine="640" w:firstLineChars="200"/>
        <w:jc w:val="both"/>
        <w:textAlignment w:val="auto"/>
        <w:rPr>
          <w:rFonts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、项目建设的日常环境监督管理工作由岳阳市生态环境局岳阳经济技术开发区生态环境保护综合行政执法大队具体负责。</w:t>
      </w:r>
    </w:p>
    <w:p>
      <w:pPr>
        <w:pStyle w:val="2"/>
        <w:keepNext w:val="0"/>
        <w:keepLines w:val="0"/>
        <w:pageBreakBefore w:val="0"/>
        <w:kinsoku/>
        <w:wordWrap/>
        <w:overflowPunct/>
        <w:topLinePunct w:val="0"/>
        <w:autoSpaceDE/>
        <w:autoSpaceDN/>
        <w:bidi w:val="0"/>
        <w:adjustRightInd/>
        <w:spacing w:line="560" w:lineRule="atLeast"/>
        <w:ind w:firstLine="640" w:firstLineChars="200"/>
        <w:jc w:val="both"/>
        <w:rPr>
          <w:rFonts w:hint="eastAsia" w:ascii="仿宋" w:hAnsi="仿宋" w:eastAsia="仿宋"/>
          <w:sz w:val="32"/>
          <w:szCs w:val="32"/>
        </w:rPr>
      </w:pPr>
    </w:p>
    <w:p>
      <w:pPr>
        <w:pStyle w:val="2"/>
        <w:keepNext w:val="0"/>
        <w:keepLines w:val="0"/>
        <w:pageBreakBefore w:val="0"/>
        <w:kinsoku/>
        <w:wordWrap/>
        <w:overflowPunct/>
        <w:topLinePunct w:val="0"/>
        <w:autoSpaceDE/>
        <w:autoSpaceDN/>
        <w:bidi w:val="0"/>
        <w:adjustRightInd/>
        <w:spacing w:line="560" w:lineRule="atLeast"/>
        <w:ind w:firstLine="640" w:firstLineChars="200"/>
        <w:jc w:val="both"/>
        <w:rPr>
          <w:rFonts w:ascii="仿宋" w:hAnsi="仿宋" w:eastAsia="仿宋"/>
          <w:sz w:val="32"/>
          <w:szCs w:val="32"/>
        </w:rPr>
      </w:pPr>
      <w:r>
        <w:rPr>
          <w:rFonts w:hint="eastAsia" w:ascii="仿宋" w:hAnsi="仿宋" w:eastAsia="仿宋"/>
          <w:sz w:val="32"/>
          <w:szCs w:val="32"/>
        </w:rPr>
        <w:t xml:space="preserve"> 岳阳市生态环境局岳阳经济技术开发区分局</w:t>
      </w:r>
    </w:p>
    <w:p>
      <w:pPr>
        <w:pStyle w:val="2"/>
        <w:keepNext w:val="0"/>
        <w:keepLines w:val="0"/>
        <w:pageBreakBefore w:val="0"/>
        <w:kinsoku/>
        <w:wordWrap/>
        <w:overflowPunct/>
        <w:topLinePunct w:val="0"/>
        <w:autoSpaceDE/>
        <w:autoSpaceDN/>
        <w:bidi w:val="0"/>
        <w:adjustRightInd/>
        <w:spacing w:line="560" w:lineRule="atLeast"/>
        <w:ind w:firstLine="640" w:firstLineChars="200"/>
        <w:jc w:val="both"/>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202</w:t>
      </w:r>
      <w:r>
        <w:rPr>
          <w:rFonts w:hint="eastAsia" w:ascii="仿宋" w:hAnsi="仿宋" w:eastAsia="仿宋"/>
          <w:sz w:val="32"/>
          <w:szCs w:val="32"/>
          <w:lang w:val="en-US" w:eastAsia="zh-CN"/>
        </w:rPr>
        <w:t>1</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hint="eastAsia" w:ascii="仿宋" w:hAnsi="仿宋" w:eastAsia="仿宋"/>
          <w:sz w:val="32"/>
          <w:szCs w:val="32"/>
          <w:lang w:eastAsia="zh-CN"/>
        </w:rPr>
        <w:t>月</w:t>
      </w:r>
      <w:r>
        <w:rPr>
          <w:rFonts w:hint="eastAsia" w:ascii="仿宋" w:hAnsi="仿宋" w:eastAsia="仿宋"/>
          <w:sz w:val="32"/>
          <w:szCs w:val="32"/>
          <w:lang w:val="en-US" w:eastAsia="zh-CN"/>
        </w:rPr>
        <w:t>9</w:t>
      </w:r>
      <w:bookmarkStart w:id="0" w:name="_GoBack"/>
      <w:bookmarkEnd w:id="0"/>
      <w:r>
        <w:rPr>
          <w:rFonts w:hint="eastAsia" w:ascii="仿宋" w:hAnsi="仿宋" w:eastAsia="仿宋"/>
          <w:sz w:val="32"/>
          <w:szCs w:val="32"/>
          <w:lang w:eastAsia="zh-CN"/>
        </w:rPr>
        <w:t>日</w:t>
      </w:r>
    </w:p>
    <w:p>
      <w:pPr>
        <w:pStyle w:val="2"/>
        <w:keepNext w:val="0"/>
        <w:keepLines w:val="0"/>
        <w:pageBreakBefore w:val="0"/>
        <w:kinsoku/>
        <w:wordWrap/>
        <w:overflowPunct/>
        <w:topLinePunct w:val="0"/>
        <w:autoSpaceDE/>
        <w:autoSpaceDN/>
        <w:bidi w:val="0"/>
        <w:adjustRightInd/>
        <w:spacing w:line="560" w:lineRule="atLeast"/>
        <w:ind w:firstLine="640" w:firstLineChars="200"/>
        <w:jc w:val="both"/>
        <w:rPr>
          <w:rFonts w:ascii="仿宋" w:hAnsi="仿宋" w:eastAsia="仿宋"/>
          <w:sz w:val="32"/>
          <w:szCs w:val="32"/>
        </w:rPr>
      </w:pPr>
    </w:p>
    <w:p>
      <w:pPr>
        <w:pStyle w:val="15"/>
        <w:keepNext w:val="0"/>
        <w:keepLines w:val="0"/>
        <w:pageBreakBefore w:val="0"/>
        <w:kinsoku/>
        <w:wordWrap/>
        <w:overflowPunct/>
        <w:topLinePunct w:val="0"/>
        <w:autoSpaceDE/>
        <w:autoSpaceDN/>
        <w:bidi w:val="0"/>
        <w:spacing w:line="560" w:lineRule="atLeast"/>
        <w:ind w:left="400" w:leftChars="200" w:firstLine="640" w:firstLineChars="200"/>
        <w:jc w:val="both"/>
        <w:rPr>
          <w:rFonts w:ascii="仿宋" w:hAnsi="仿宋" w:eastAsia="仿宋"/>
          <w:sz w:val="32"/>
          <w:szCs w:val="32"/>
        </w:rPr>
      </w:pPr>
    </w:p>
    <w:p>
      <w:pPr>
        <w:pStyle w:val="15"/>
        <w:keepNext w:val="0"/>
        <w:keepLines w:val="0"/>
        <w:pageBreakBefore w:val="0"/>
        <w:kinsoku/>
        <w:wordWrap/>
        <w:overflowPunct/>
        <w:topLinePunct w:val="0"/>
        <w:autoSpaceDE/>
        <w:autoSpaceDN/>
        <w:bidi w:val="0"/>
        <w:spacing w:line="560" w:lineRule="atLeast"/>
        <w:ind w:left="400" w:leftChars="200" w:firstLine="640" w:firstLineChars="200"/>
        <w:jc w:val="both"/>
        <w:rPr>
          <w:rFonts w:ascii="仿宋" w:hAnsi="仿宋" w:eastAsia="仿宋"/>
          <w:sz w:val="32"/>
          <w:szCs w:val="32"/>
        </w:rPr>
      </w:pPr>
    </w:p>
    <w:p>
      <w:pPr>
        <w:pStyle w:val="15"/>
        <w:keepNext w:val="0"/>
        <w:keepLines w:val="0"/>
        <w:pageBreakBefore w:val="0"/>
        <w:kinsoku/>
        <w:wordWrap/>
        <w:overflowPunct/>
        <w:topLinePunct w:val="0"/>
        <w:autoSpaceDE/>
        <w:autoSpaceDN/>
        <w:bidi w:val="0"/>
        <w:spacing w:line="560" w:lineRule="atLeast"/>
        <w:ind w:left="0" w:firstLine="640" w:firstLineChars="200"/>
        <w:jc w:val="both"/>
        <w:rPr>
          <w:rFonts w:ascii="仿宋_GB2312" w:hAnsi="仿宋_GB2312" w:eastAsia="仿宋_GB2312" w:cs="仿宋_GB2312"/>
          <w:sz w:val="32"/>
          <w:szCs w:val="32"/>
        </w:rPr>
      </w:pPr>
    </w:p>
    <w:p>
      <w:pPr>
        <w:pStyle w:val="15"/>
        <w:keepNext w:val="0"/>
        <w:keepLines w:val="0"/>
        <w:pageBreakBefore w:val="0"/>
        <w:kinsoku/>
        <w:wordWrap/>
        <w:overflowPunct/>
        <w:topLinePunct w:val="0"/>
        <w:autoSpaceDE/>
        <w:autoSpaceDN/>
        <w:bidi w:val="0"/>
        <w:spacing w:line="560" w:lineRule="atLeast"/>
        <w:ind w:left="0" w:firstLine="640" w:firstLineChars="200"/>
        <w:jc w:val="both"/>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atLeast"/>
        <w:ind w:firstLine="640" w:firstLineChars="200"/>
        <w:jc w:val="both"/>
        <w:rPr>
          <w:rFonts w:ascii="仿宋_GB2312" w:hAnsi="宋体" w:eastAsia="仿宋_GB2312"/>
          <w:sz w:val="32"/>
          <w:szCs w:val="32"/>
        </w:rPr>
      </w:pPr>
      <w:r>
        <w:rPr>
          <w:rFonts w:hint="eastAsia" w:ascii="仿宋_GB2312" w:hAnsi="宋体" w:eastAsia="仿宋_GB2312"/>
          <w:sz w:val="32"/>
          <w:szCs w:val="32"/>
        </w:rPr>
        <w:t xml:space="preserve">   </w:t>
      </w:r>
    </w:p>
    <w:p>
      <w:pPr>
        <w:keepNext w:val="0"/>
        <w:keepLines w:val="0"/>
        <w:pageBreakBefore w:val="0"/>
        <w:kinsoku/>
        <w:wordWrap/>
        <w:overflowPunct/>
        <w:topLinePunct w:val="0"/>
        <w:autoSpaceDE/>
        <w:autoSpaceDN/>
        <w:bidi w:val="0"/>
        <w:spacing w:line="560" w:lineRule="atLeast"/>
        <w:ind w:firstLine="400" w:firstLineChars="200"/>
        <w:jc w:val="both"/>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40"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2</w:t>
    </w:r>
    <w: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218E7"/>
    <w:multiLevelType w:val="multilevel"/>
    <w:tmpl w:val="778218E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BB"/>
    <w:rsid w:val="00090B17"/>
    <w:rsid w:val="000928FF"/>
    <w:rsid w:val="00176CCC"/>
    <w:rsid w:val="001807CB"/>
    <w:rsid w:val="0018284F"/>
    <w:rsid w:val="00216C27"/>
    <w:rsid w:val="00240AC0"/>
    <w:rsid w:val="002C4AB5"/>
    <w:rsid w:val="00350E66"/>
    <w:rsid w:val="003D6ED6"/>
    <w:rsid w:val="003F172A"/>
    <w:rsid w:val="00473616"/>
    <w:rsid w:val="004C26DD"/>
    <w:rsid w:val="0052560C"/>
    <w:rsid w:val="00531ACA"/>
    <w:rsid w:val="0057612C"/>
    <w:rsid w:val="005B516B"/>
    <w:rsid w:val="00625A3B"/>
    <w:rsid w:val="0066181C"/>
    <w:rsid w:val="006E6A9F"/>
    <w:rsid w:val="00714430"/>
    <w:rsid w:val="0085038C"/>
    <w:rsid w:val="009135F7"/>
    <w:rsid w:val="00A014BB"/>
    <w:rsid w:val="00A448D6"/>
    <w:rsid w:val="00A634AF"/>
    <w:rsid w:val="00AC5FC3"/>
    <w:rsid w:val="00B71DE9"/>
    <w:rsid w:val="00B759E8"/>
    <w:rsid w:val="00B84399"/>
    <w:rsid w:val="00BB605C"/>
    <w:rsid w:val="00BD27EE"/>
    <w:rsid w:val="00C21B20"/>
    <w:rsid w:val="00C53095"/>
    <w:rsid w:val="00D1765E"/>
    <w:rsid w:val="00DC0F22"/>
    <w:rsid w:val="00E00EF7"/>
    <w:rsid w:val="00E034C2"/>
    <w:rsid w:val="00EA54B4"/>
    <w:rsid w:val="00ED5644"/>
    <w:rsid w:val="00F04504"/>
    <w:rsid w:val="00F34F19"/>
    <w:rsid w:val="00FA251A"/>
    <w:rsid w:val="045E6A61"/>
    <w:rsid w:val="09753B37"/>
    <w:rsid w:val="12641CB6"/>
    <w:rsid w:val="12B6185F"/>
    <w:rsid w:val="12CA550C"/>
    <w:rsid w:val="14D10024"/>
    <w:rsid w:val="1BCA6339"/>
    <w:rsid w:val="1C391F81"/>
    <w:rsid w:val="1ECA7E02"/>
    <w:rsid w:val="207232F5"/>
    <w:rsid w:val="20964F89"/>
    <w:rsid w:val="26FD68AD"/>
    <w:rsid w:val="27B767DD"/>
    <w:rsid w:val="297C078B"/>
    <w:rsid w:val="2C0B4FBF"/>
    <w:rsid w:val="2C517D32"/>
    <w:rsid w:val="2DF0061D"/>
    <w:rsid w:val="39C6548B"/>
    <w:rsid w:val="3DA613BA"/>
    <w:rsid w:val="3F13359A"/>
    <w:rsid w:val="49EF4A46"/>
    <w:rsid w:val="4C630AD0"/>
    <w:rsid w:val="4E376171"/>
    <w:rsid w:val="509F51DC"/>
    <w:rsid w:val="56F80D7B"/>
    <w:rsid w:val="58BA0629"/>
    <w:rsid w:val="5A1209A2"/>
    <w:rsid w:val="5B553964"/>
    <w:rsid w:val="5B6C634A"/>
    <w:rsid w:val="5EE53C92"/>
    <w:rsid w:val="6485728D"/>
    <w:rsid w:val="655D618F"/>
    <w:rsid w:val="6CFF7ECF"/>
    <w:rsid w:val="71E44062"/>
    <w:rsid w:val="75761D84"/>
    <w:rsid w:val="76FD48B1"/>
    <w:rsid w:val="77863152"/>
    <w:rsid w:val="7A7F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3"/>
    <w:basedOn w:val="1"/>
    <w:next w:val="1"/>
    <w:unhideWhenUsed/>
    <w:qFormat/>
    <w:uiPriority w:val="0"/>
    <w:pPr>
      <w:keepNext/>
      <w:keepLines/>
      <w:numPr>
        <w:ilvl w:val="2"/>
        <w:numId w:val="1"/>
      </w:numPr>
      <w:spacing w:line="360" w:lineRule="auto"/>
      <w:outlineLvl w:val="2"/>
    </w:pPr>
    <w:rPr>
      <w:bCs/>
      <w:kern w:val="0"/>
      <w:sz w:val="2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0"/>
    <w:pPr>
      <w:ind w:firstLine="0" w:firstLineChars="0"/>
      <w:jc w:val="both"/>
    </w:pPr>
    <w:rPr>
      <w:rFonts w:ascii="Calibri" w:hAnsi="Calibri" w:cs="宋体"/>
      <w:kern w:val="2"/>
      <w:sz w:val="21"/>
      <w:szCs w:val="24"/>
    </w:rPr>
  </w:style>
  <w:style w:type="paragraph" w:styleId="4">
    <w:name w:val="footer"/>
    <w:basedOn w:val="1"/>
    <w:link w:val="9"/>
    <w:qFormat/>
    <w:uiPriority w:val="99"/>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9">
    <w:name w:val="页脚 Char"/>
    <w:basedOn w:val="7"/>
    <w:link w:val="4"/>
    <w:qFormat/>
    <w:uiPriority w:val="99"/>
    <w:rPr>
      <w:rFonts w:ascii="Times New Roman" w:hAnsi="Times New Roman" w:eastAsia="宋体" w:cs="Times New Roman"/>
      <w:kern w:val="0"/>
      <w:sz w:val="18"/>
      <w:szCs w:val="18"/>
    </w:rPr>
  </w:style>
  <w:style w:type="character" w:customStyle="1" w:styleId="10">
    <w:name w:val="页眉 Char"/>
    <w:basedOn w:val="7"/>
    <w:link w:val="5"/>
    <w:qFormat/>
    <w:uiPriority w:val="0"/>
    <w:rPr>
      <w:rFonts w:ascii="Times New Roman" w:hAnsi="Times New Roman" w:eastAsia="宋体" w:cs="Times New Roman"/>
      <w:kern w:val="0"/>
      <w:sz w:val="18"/>
      <w:szCs w:val="18"/>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表格 Char"/>
    <w:link w:val="13"/>
    <w:qFormat/>
    <w:uiPriority w:val="0"/>
    <w:rPr>
      <w:bCs/>
      <w:snapToGrid w:val="0"/>
      <w:color w:val="FF0000"/>
      <w:szCs w:val="21"/>
    </w:rPr>
  </w:style>
  <w:style w:type="paragraph" w:customStyle="1" w:styleId="13">
    <w:name w:val="表格"/>
    <w:basedOn w:val="1"/>
    <w:link w:val="12"/>
    <w:qFormat/>
    <w:uiPriority w:val="0"/>
    <w:pPr>
      <w:adjustRightInd w:val="0"/>
      <w:snapToGrid w:val="0"/>
      <w:spacing w:line="240" w:lineRule="exact"/>
      <w:ind w:firstLine="0" w:firstLineChars="0"/>
      <w:jc w:val="center"/>
    </w:pPr>
    <w:rPr>
      <w:rFonts w:asciiTheme="minorHAnsi" w:hAnsiTheme="minorHAnsi" w:eastAsiaTheme="minorEastAsia" w:cstheme="minorBidi"/>
      <w:bCs/>
      <w:snapToGrid w:val="0"/>
      <w:color w:val="FF0000"/>
      <w:kern w:val="2"/>
      <w:sz w:val="21"/>
      <w:szCs w:val="21"/>
    </w:rPr>
  </w:style>
  <w:style w:type="character" w:customStyle="1" w:styleId="14">
    <w:name w:val="正文文本 Char"/>
    <w:basedOn w:val="7"/>
    <w:link w:val="2"/>
    <w:qFormat/>
    <w:uiPriority w:val="0"/>
    <w:rPr>
      <w:rFonts w:ascii="Calibri" w:hAnsi="Calibri" w:eastAsia="宋体" w:cs="宋体"/>
      <w:szCs w:val="24"/>
    </w:rPr>
  </w:style>
  <w:style w:type="paragraph" w:customStyle="1" w:styleId="15">
    <w:name w:val="0"/>
    <w:basedOn w:val="1"/>
    <w:qFormat/>
    <w:uiPriority w:val="0"/>
    <w:pPr>
      <w:widowControl/>
      <w:snapToGrid w:val="0"/>
      <w:spacing w:line="365" w:lineRule="atLeast"/>
      <w:ind w:left="1" w:firstLine="0" w:firstLineChars="0"/>
      <w:jc w:val="both"/>
      <w:textAlignment w:val="bottom"/>
    </w:pPr>
    <w:rPr>
      <w:rFonts w:ascii="Calibri" w:hAnsi="Calibri" w:cs="宋体"/>
    </w:rPr>
  </w:style>
  <w:style w:type="paragraph" w:customStyle="1" w:styleId="16">
    <w:name w:val="p0"/>
    <w:basedOn w:val="1"/>
    <w:qFormat/>
    <w:uiPriority w:val="0"/>
    <w:pPr>
      <w:widowControl/>
      <w:ind w:firstLine="0" w:firstLineChars="0"/>
      <w:jc w:val="both"/>
    </w:pPr>
    <w:rPr>
      <w:rFonts w:ascii="Calibri" w:hAnsi="Calibri" w:cs="宋体"/>
      <w:sz w:val="32"/>
      <w:szCs w:val="32"/>
    </w:rPr>
  </w:style>
  <w:style w:type="paragraph" w:customStyle="1" w:styleId="17">
    <w:name w:val="表格题注"/>
    <w:qFormat/>
    <w:uiPriority w:val="0"/>
    <w:pPr>
      <w:jc w:val="center"/>
    </w:pPr>
    <w:rPr>
      <w:rFonts w:ascii="Times New Roman" w:hAnsi="Times New Roman" w:eastAsia="宋体" w:cs="Times New Roman"/>
      <w:b/>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1112</Characters>
  <Lines>9</Lines>
  <Paragraphs>2</Paragraphs>
  <TotalTime>7</TotalTime>
  <ScaleCrop>false</ScaleCrop>
  <LinksUpToDate>false</LinksUpToDate>
  <CharactersWithSpaces>1304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2020-07-28T07:27:00Z</dcterms:created>
  <dc:creator>lenovo</dc:creator>
  <cp:lastModifiedBy>Administrator</cp:lastModifiedBy>
  <cp:lastPrinted>2021-06-09T01:08:58Z</cp:lastPrinted>
  <dcterms:modified xsi:type="dcterms:W3CDTF">2021-06-09T01:09:28Z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6C795775D9904669BD224E70F05DEF89</vt:lpwstr>
  </property>
</Properties>
</file>