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宋体"/>
          <w:b/>
          <w:color w:val="auto"/>
          <w:sz w:val="72"/>
          <w:lang w:eastAsia="zh-CN"/>
        </w:rPr>
      </w:pPr>
      <w:r>
        <w:rPr>
          <w:rFonts w:hint="eastAsia" w:eastAsia="宋体"/>
          <w:b/>
          <w:color w:val="auto"/>
          <w:sz w:val="72"/>
          <w:lang w:eastAsia="zh-CN"/>
        </w:rPr>
        <w:drawing>
          <wp:anchor distT="0" distB="0" distL="114300" distR="114300" simplePos="0" relativeHeight="2220705792" behindDoc="1" locked="0" layoutInCell="1" allowOverlap="1">
            <wp:simplePos x="0" y="0"/>
            <wp:positionH relativeFrom="column">
              <wp:posOffset>-1152525</wp:posOffset>
            </wp:positionH>
            <wp:positionV relativeFrom="paragraph">
              <wp:posOffset>-912495</wp:posOffset>
            </wp:positionV>
            <wp:extent cx="7576185" cy="10714355"/>
            <wp:effectExtent l="0" t="0" r="5715" b="10795"/>
            <wp:wrapNone/>
            <wp:docPr id="7" name="图片 7" descr="封面（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封面（A4）"/>
                    <pic:cNvPicPr>
                      <a:picLocks noChangeAspect="1"/>
                    </pic:cNvPicPr>
                  </pic:nvPicPr>
                  <pic:blipFill>
                    <a:blip r:embed="rId9"/>
                    <a:stretch>
                      <a:fillRect/>
                    </a:stretch>
                  </pic:blipFill>
                  <pic:spPr>
                    <a:xfrm>
                      <a:off x="0" y="0"/>
                      <a:ext cx="7576185" cy="10714355"/>
                    </a:xfrm>
                    <a:prstGeom prst="rect">
                      <a:avLst/>
                    </a:prstGeom>
                  </pic:spPr>
                </pic:pic>
              </a:graphicData>
            </a:graphic>
          </wp:anchor>
        </w:drawing>
      </w:r>
    </w:p>
    <w:p>
      <w:pPr>
        <w:pStyle w:val="35"/>
      </w:pPr>
    </w:p>
    <w:p>
      <w:pPr>
        <w:jc w:val="center"/>
        <w:rPr>
          <w:b/>
          <w:color w:val="auto"/>
          <w:sz w:val="72"/>
        </w:rPr>
      </w:pPr>
      <w:r>
        <w:rPr>
          <w:b/>
          <w:color w:val="auto"/>
          <w:sz w:val="72"/>
        </w:rPr>
        <w:t>建设项目环境影响报告表</w:t>
      </w:r>
    </w:p>
    <w:p>
      <w:pPr>
        <w:jc w:val="center"/>
        <w:rPr>
          <w:b/>
          <w:bCs/>
          <w:color w:val="auto"/>
          <w:sz w:val="32"/>
        </w:rPr>
      </w:pPr>
      <w:r>
        <w:rPr>
          <w:b/>
          <w:bCs/>
          <w:color w:val="auto"/>
          <w:sz w:val="32"/>
        </w:rPr>
        <w:t>（</w:t>
      </w:r>
      <w:r>
        <w:rPr>
          <w:rFonts w:hint="eastAsia"/>
          <w:b/>
          <w:bCs/>
          <w:color w:val="auto"/>
          <w:sz w:val="32"/>
          <w:lang w:eastAsia="zh-CN"/>
        </w:rPr>
        <w:t>报批</w:t>
      </w:r>
      <w:r>
        <w:rPr>
          <w:b/>
          <w:bCs/>
          <w:color w:val="auto"/>
          <w:sz w:val="32"/>
        </w:rPr>
        <w:t>稿）</w:t>
      </w:r>
    </w:p>
    <w:p>
      <w:pPr>
        <w:rPr>
          <w:color w:val="auto"/>
          <w:sz w:val="32"/>
        </w:rPr>
      </w:pPr>
    </w:p>
    <w:p>
      <w:pPr>
        <w:pStyle w:val="25"/>
        <w:rPr>
          <w:color w:val="auto"/>
        </w:rPr>
      </w:pPr>
    </w:p>
    <w:p>
      <w:pPr>
        <w:rPr>
          <w:color w:val="auto"/>
          <w:sz w:val="32"/>
        </w:rPr>
      </w:pPr>
    </w:p>
    <w:p>
      <w:pPr>
        <w:rPr>
          <w:color w:val="auto"/>
          <w:sz w:val="32"/>
        </w:rPr>
      </w:pPr>
    </w:p>
    <w:p>
      <w:pPr>
        <w:rPr>
          <w:color w:val="auto"/>
          <w:sz w:val="32"/>
        </w:rPr>
      </w:pPr>
    </w:p>
    <w:p>
      <w:pPr>
        <w:pStyle w:val="25"/>
        <w:ind w:left="0" w:leftChars="0" w:firstLine="0" w:firstLineChars="0"/>
        <w:rPr>
          <w:color w:val="auto"/>
          <w:sz w:val="32"/>
        </w:rPr>
      </w:pPr>
    </w:p>
    <w:p>
      <w:pPr>
        <w:ind w:firstLine="643" w:firstLineChars="200"/>
        <w:jc w:val="left"/>
        <w:rPr>
          <w:rFonts w:hint="eastAsia" w:eastAsia="宋体"/>
          <w:b/>
          <w:color w:val="auto"/>
          <w:sz w:val="32"/>
          <w:szCs w:val="32"/>
          <w:u w:val="single"/>
          <w:lang w:val="en-US" w:eastAsia="zh-CN"/>
        </w:rPr>
      </w:pPr>
      <w:r>
        <w:rPr>
          <w:b/>
          <w:color w:val="auto"/>
          <w:sz w:val="32"/>
          <w:szCs w:val="32"/>
        </w:rPr>
        <w:t>项目名称：</w:t>
      </w:r>
      <w:r>
        <w:rPr>
          <w:rFonts w:hint="eastAsia"/>
          <w:b/>
          <w:color w:val="auto"/>
          <w:sz w:val="32"/>
          <w:szCs w:val="32"/>
          <w:u w:val="single"/>
          <w:lang w:eastAsia="zh-CN"/>
        </w:rPr>
        <w:t>罗家坡污水系统收集管网完善工程建设项目</w:t>
      </w:r>
    </w:p>
    <w:p>
      <w:pPr>
        <w:pStyle w:val="35"/>
        <w:rPr>
          <w:color w:val="auto"/>
        </w:rPr>
      </w:pPr>
    </w:p>
    <w:p>
      <w:pPr>
        <w:ind w:firstLine="643" w:firstLineChars="200"/>
        <w:jc w:val="both"/>
        <w:rPr>
          <w:b/>
          <w:color w:val="auto"/>
          <w:sz w:val="32"/>
          <w:szCs w:val="32"/>
        </w:rPr>
      </w:pPr>
      <w:r>
        <w:rPr>
          <w:b/>
          <w:color w:val="auto"/>
          <w:sz w:val="32"/>
          <w:szCs w:val="32"/>
        </w:rPr>
        <w:t>建设单位：</w:t>
      </w:r>
      <w:r>
        <w:rPr>
          <w:rFonts w:hint="eastAsia"/>
          <w:b/>
          <w:color w:val="auto"/>
          <w:sz w:val="32"/>
          <w:szCs w:val="32"/>
          <w:u w:val="single"/>
          <w:lang w:val="en-US" w:eastAsia="zh-CN"/>
        </w:rPr>
        <w:t>中国市政工程华北设计研究总院有限公司</w:t>
      </w:r>
    </w:p>
    <w:p>
      <w:pPr>
        <w:ind w:firstLine="1285" w:firstLineChars="400"/>
        <w:jc w:val="both"/>
        <w:rPr>
          <w:b/>
          <w:color w:val="auto"/>
          <w:sz w:val="32"/>
          <w:szCs w:val="32"/>
          <w:u w:val="single"/>
        </w:rPr>
      </w:pPr>
    </w:p>
    <w:p>
      <w:pPr>
        <w:rPr>
          <w:color w:val="auto"/>
          <w:sz w:val="32"/>
          <w:szCs w:val="32"/>
        </w:rPr>
      </w:pPr>
    </w:p>
    <w:p>
      <w:pPr>
        <w:rPr>
          <w:color w:val="auto"/>
          <w:sz w:val="32"/>
        </w:rPr>
      </w:pPr>
    </w:p>
    <w:p>
      <w:pPr>
        <w:pStyle w:val="35"/>
      </w:pPr>
    </w:p>
    <w:p>
      <w:pPr>
        <w:rPr>
          <w:color w:val="auto"/>
          <w:sz w:val="32"/>
        </w:rPr>
      </w:pPr>
    </w:p>
    <w:p>
      <w:pPr>
        <w:pStyle w:val="25"/>
      </w:pPr>
    </w:p>
    <w:p>
      <w:pPr>
        <w:pStyle w:val="25"/>
        <w:rPr>
          <w:color w:val="auto"/>
          <w:sz w:val="32"/>
        </w:rPr>
      </w:pPr>
    </w:p>
    <w:p>
      <w:pPr>
        <w:ind w:left="840" w:leftChars="400" w:firstLine="0" w:firstLineChars="0"/>
        <w:jc w:val="both"/>
        <w:rPr>
          <w:rFonts w:hint="eastAsia" w:eastAsia="方正北魏楷书简体"/>
          <w:b/>
          <w:color w:val="auto"/>
          <w:spacing w:val="0"/>
          <w:sz w:val="32"/>
          <w:szCs w:val="32"/>
          <w:lang w:val="en-US" w:eastAsia="zh-CN"/>
        </w:rPr>
      </w:pPr>
      <w:r>
        <w:rPr>
          <w:rFonts w:hint="eastAsia" w:eastAsia="方正北魏楷书简体"/>
          <w:b/>
          <w:color w:val="auto"/>
          <w:spacing w:val="0"/>
          <w:sz w:val="32"/>
          <w:szCs w:val="32"/>
          <w:lang w:val="en-US" w:eastAsia="zh-CN"/>
        </w:rPr>
        <w:t>编制单位：湖南朋乐达环保科技有限公司</w:t>
      </w:r>
    </w:p>
    <w:p>
      <w:pPr>
        <w:ind w:left="840" w:leftChars="400" w:firstLine="0" w:firstLineChars="0"/>
        <w:jc w:val="both"/>
        <w:rPr>
          <w:b/>
          <w:color w:val="auto"/>
          <w:spacing w:val="26"/>
          <w:sz w:val="32"/>
          <w:szCs w:val="32"/>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r>
        <w:rPr>
          <w:rFonts w:hint="eastAsia"/>
          <w:b/>
          <w:color w:val="auto"/>
          <w:spacing w:val="0"/>
          <w:sz w:val="32"/>
          <w:szCs w:val="32"/>
          <w:lang w:val="en-US" w:eastAsia="zh-CN"/>
        </w:rPr>
        <w:t>编制时间：</w:t>
      </w:r>
      <w:r>
        <w:rPr>
          <w:b/>
          <w:color w:val="auto"/>
          <w:spacing w:val="0"/>
          <w:sz w:val="32"/>
          <w:szCs w:val="32"/>
        </w:rPr>
        <w:t>20</w:t>
      </w:r>
      <w:r>
        <w:rPr>
          <w:rFonts w:hint="eastAsia"/>
          <w:b/>
          <w:color w:val="auto"/>
          <w:spacing w:val="0"/>
          <w:sz w:val="32"/>
          <w:szCs w:val="32"/>
          <w:lang w:val="en-US" w:eastAsia="zh-CN"/>
        </w:rPr>
        <w:t>20</w:t>
      </w:r>
      <w:r>
        <w:rPr>
          <w:b/>
          <w:color w:val="auto"/>
          <w:spacing w:val="0"/>
          <w:sz w:val="32"/>
          <w:szCs w:val="32"/>
        </w:rPr>
        <w:t>年</w:t>
      </w:r>
      <w:r>
        <w:rPr>
          <w:rFonts w:hint="eastAsia"/>
          <w:b/>
          <w:color w:val="auto"/>
          <w:spacing w:val="0"/>
          <w:sz w:val="32"/>
          <w:szCs w:val="32"/>
          <w:lang w:val="en-US" w:eastAsia="zh-CN"/>
        </w:rPr>
        <w:t>09</w:t>
      </w:r>
      <w:r>
        <w:rPr>
          <w:b/>
          <w:color w:val="auto"/>
          <w:spacing w:val="0"/>
          <w:sz w:val="32"/>
          <w:szCs w:val="32"/>
        </w:rPr>
        <w:t>月</w:t>
      </w:r>
    </w:p>
    <w:p>
      <w:pPr>
        <w:pageBreakBefore/>
        <w:spacing w:beforeLines="100" w:afterLines="100" w:line="360" w:lineRule="auto"/>
        <w:jc w:val="center"/>
        <w:rPr>
          <w:b/>
          <w:color w:val="auto"/>
          <w:sz w:val="36"/>
        </w:rPr>
      </w:pPr>
      <w:r>
        <w:rPr>
          <w:b/>
          <w:color w:val="auto"/>
          <w:sz w:val="36"/>
        </w:rPr>
        <w:t>《建设项目环境影响报告表》编制说明</w:t>
      </w:r>
    </w:p>
    <w:p>
      <w:pPr>
        <w:spacing w:line="360" w:lineRule="auto"/>
        <w:rPr>
          <w:color w:val="auto"/>
          <w:sz w:val="28"/>
        </w:rPr>
      </w:pPr>
      <w:r>
        <w:rPr>
          <w:color w:val="auto"/>
          <w:sz w:val="28"/>
        </w:rPr>
        <w:t xml:space="preserve"> 《建设项目环境影响报告表》由具有从事环境影响评价工作资质的单位编制。</w:t>
      </w:r>
    </w:p>
    <w:p>
      <w:pPr>
        <w:spacing w:line="360" w:lineRule="auto"/>
        <w:ind w:firstLine="560" w:firstLineChars="200"/>
        <w:rPr>
          <w:color w:val="auto"/>
          <w:sz w:val="28"/>
        </w:rPr>
      </w:pPr>
      <w:r>
        <w:rPr>
          <w:color w:val="auto"/>
          <w:sz w:val="28"/>
        </w:rPr>
        <w:t>1、项目名称——指项目立项批复时的名称，应不超过30个字（两个英文字段作一个汉字）。</w:t>
      </w:r>
    </w:p>
    <w:p>
      <w:pPr>
        <w:spacing w:line="360" w:lineRule="auto"/>
        <w:ind w:firstLine="560" w:firstLineChars="200"/>
        <w:rPr>
          <w:color w:val="auto"/>
          <w:sz w:val="28"/>
        </w:rPr>
      </w:pPr>
      <w:r>
        <w:rPr>
          <w:color w:val="auto"/>
          <w:sz w:val="28"/>
        </w:rPr>
        <w:t>2、建设地点——指项目所在地详细地址，公路、铁路应填写起止地点。</w:t>
      </w:r>
    </w:p>
    <w:p>
      <w:pPr>
        <w:spacing w:line="360" w:lineRule="auto"/>
        <w:ind w:firstLine="560" w:firstLineChars="200"/>
        <w:rPr>
          <w:color w:val="auto"/>
          <w:sz w:val="28"/>
        </w:rPr>
      </w:pPr>
      <w:r>
        <w:rPr>
          <w:color w:val="auto"/>
          <w:sz w:val="28"/>
        </w:rPr>
        <w:t>3、行业类别——按国标填写。</w:t>
      </w:r>
    </w:p>
    <w:p>
      <w:pPr>
        <w:spacing w:line="360" w:lineRule="auto"/>
        <w:ind w:firstLine="560" w:firstLineChars="200"/>
        <w:rPr>
          <w:color w:val="auto"/>
          <w:sz w:val="28"/>
        </w:rPr>
      </w:pPr>
      <w:r>
        <w:rPr>
          <w:color w:val="auto"/>
          <w:sz w:val="28"/>
        </w:rPr>
        <w:t>4、总投资——指项目投资总额。</w:t>
      </w:r>
    </w:p>
    <w:p>
      <w:pPr>
        <w:spacing w:line="360" w:lineRule="auto"/>
        <w:ind w:firstLine="560" w:firstLineChars="200"/>
        <w:rPr>
          <w:color w:val="auto"/>
          <w:sz w:val="28"/>
        </w:rPr>
      </w:pPr>
      <w:r>
        <w:rPr>
          <w:color w:val="auto"/>
          <w:sz w:val="28"/>
        </w:rPr>
        <w:t>5、主要环境保护目标——指项目区周围一定范围内集中居民住宅区、学校、医院、保护文物、风景名胜区、水源地和生态敏感点等，应尽可能给出保护目标、性质、规模和距厂界距离等。</w:t>
      </w:r>
    </w:p>
    <w:p>
      <w:pPr>
        <w:spacing w:line="360" w:lineRule="auto"/>
        <w:ind w:firstLine="560" w:firstLineChars="200"/>
        <w:rPr>
          <w:color w:val="auto"/>
          <w:sz w:val="28"/>
        </w:rPr>
      </w:pPr>
      <w:r>
        <w:rPr>
          <w:color w:val="auto"/>
          <w:sz w:val="28"/>
        </w:rPr>
        <w:t>6、结论与建议——给出本项目清洁生产、达标排放和总量控制的分析结论，确定污染防治措施的有效性，说明本项目对环境造成的影响，给出建设项目环境可行性的明确结论。同时提出减少环境影响的其他建议。</w:t>
      </w:r>
    </w:p>
    <w:p>
      <w:pPr>
        <w:spacing w:line="360" w:lineRule="auto"/>
        <w:ind w:firstLine="560" w:firstLineChars="200"/>
        <w:rPr>
          <w:color w:val="auto"/>
          <w:sz w:val="28"/>
        </w:rPr>
      </w:pPr>
      <w:r>
        <w:rPr>
          <w:color w:val="auto"/>
          <w:sz w:val="28"/>
        </w:rPr>
        <w:t>7、预审意见——由行业主管部门填写答复意见，无主管部门项目，可不填。</w:t>
      </w:r>
    </w:p>
    <w:p>
      <w:pPr>
        <w:spacing w:line="360" w:lineRule="auto"/>
        <w:ind w:firstLine="560" w:firstLineChars="200"/>
        <w:rPr>
          <w:color w:val="auto"/>
          <w:sz w:val="28"/>
        </w:rPr>
      </w:pPr>
      <w:r>
        <w:rPr>
          <w:color w:val="auto"/>
          <w:sz w:val="28"/>
        </w:rPr>
        <w:t>8、审批意见——由负责审批该项目的环境保护行政主管部门批复。</w:t>
      </w:r>
    </w:p>
    <w:p>
      <w:pPr>
        <w:pStyle w:val="25"/>
        <w:ind w:left="0" w:leftChars="0" w:firstLine="0" w:firstLineChars="0"/>
        <w:rPr>
          <w:color w:val="auto"/>
          <w:sz w:val="28"/>
        </w:rPr>
      </w:pPr>
    </w:p>
    <w:p>
      <w:pPr>
        <w:adjustRightInd w:val="0"/>
        <w:snapToGrid w:val="0"/>
        <w:spacing w:beforeLines="50" w:afterLines="100"/>
        <w:jc w:val="center"/>
        <w:rPr>
          <w:b/>
          <w:color w:val="auto"/>
          <w:sz w:val="36"/>
          <w:szCs w:val="36"/>
        </w:rPr>
        <w:sectPr>
          <w:headerReference r:id="rId5"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lowerRoman" w:start="1"/>
          <w:cols w:space="720" w:num="1"/>
          <w:docGrid w:type="lines" w:linePitch="312" w:charSpace="0"/>
        </w:sectPr>
      </w:pPr>
    </w:p>
    <w:p>
      <w:pPr>
        <w:adjustRightInd w:val="0"/>
        <w:snapToGrid w:val="0"/>
        <w:spacing w:beforeLines="50" w:afterLines="100"/>
        <w:jc w:val="center"/>
        <w:rPr>
          <w:b/>
          <w:color w:val="auto"/>
          <w:sz w:val="32"/>
          <w:szCs w:val="32"/>
        </w:rPr>
      </w:pPr>
      <w:r>
        <w:rPr>
          <w:b/>
          <w:color w:val="auto"/>
          <w:sz w:val="32"/>
          <w:szCs w:val="32"/>
        </w:rPr>
        <w:t>目录</w:t>
      </w:r>
    </w:p>
    <w:p>
      <w:pPr>
        <w:pStyle w:val="19"/>
        <w:tabs>
          <w:tab w:val="right" w:leader="dot" w:pos="8306"/>
        </w:tabs>
      </w:pPr>
      <w:r>
        <w:rPr>
          <w:b/>
          <w:color w:val="auto"/>
          <w:sz w:val="24"/>
          <w:szCs w:val="24"/>
        </w:rPr>
        <w:fldChar w:fldCharType="begin"/>
      </w:r>
      <w:r>
        <w:rPr>
          <w:b/>
          <w:color w:val="auto"/>
          <w:sz w:val="24"/>
          <w:szCs w:val="24"/>
        </w:rPr>
        <w:instrText xml:space="preserve"> TOC \o "1-3" \h \z \u </w:instrText>
      </w:r>
      <w:r>
        <w:rPr>
          <w:b/>
          <w:color w:val="auto"/>
          <w:sz w:val="24"/>
          <w:szCs w:val="24"/>
        </w:rPr>
        <w:fldChar w:fldCharType="separate"/>
      </w:r>
      <w:r>
        <w:rPr>
          <w:color w:val="auto"/>
          <w:szCs w:val="24"/>
        </w:rPr>
        <w:fldChar w:fldCharType="begin"/>
      </w:r>
      <w:r>
        <w:rPr>
          <w:szCs w:val="24"/>
        </w:rPr>
        <w:instrText xml:space="preserve"> HYPERLINK \l _Toc29101 </w:instrText>
      </w:r>
      <w:r>
        <w:rPr>
          <w:szCs w:val="24"/>
        </w:rPr>
        <w:fldChar w:fldCharType="separate"/>
      </w:r>
      <w:r>
        <w:rPr>
          <w:rFonts w:eastAsia="宋体"/>
        </w:rPr>
        <w:t>一、建设项目基本情况</w:t>
      </w:r>
      <w:r>
        <w:tab/>
      </w:r>
      <w:r>
        <w:fldChar w:fldCharType="begin"/>
      </w:r>
      <w:r>
        <w:instrText xml:space="preserve"> PAGEREF _Toc29101 </w:instrText>
      </w:r>
      <w:r>
        <w:fldChar w:fldCharType="separate"/>
      </w:r>
      <w:r>
        <w:t>1</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_Toc20805 </w:instrText>
      </w:r>
      <w:r>
        <w:rPr>
          <w:szCs w:val="24"/>
        </w:rPr>
        <w:fldChar w:fldCharType="separate"/>
      </w:r>
      <w:r>
        <w:rPr>
          <w:rFonts w:eastAsia="宋体"/>
        </w:rPr>
        <w:t>二、建设项目所在地自然环境社会环境简况</w:t>
      </w:r>
      <w:r>
        <w:tab/>
      </w:r>
      <w:r>
        <w:fldChar w:fldCharType="begin"/>
      </w:r>
      <w:r>
        <w:instrText xml:space="preserve"> PAGEREF _Toc20805 </w:instrText>
      </w:r>
      <w:r>
        <w:fldChar w:fldCharType="separate"/>
      </w:r>
      <w:r>
        <w:t>31</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_Toc24526 </w:instrText>
      </w:r>
      <w:r>
        <w:rPr>
          <w:szCs w:val="24"/>
        </w:rPr>
        <w:fldChar w:fldCharType="separate"/>
      </w:r>
      <w:r>
        <w:rPr>
          <w:rFonts w:eastAsia="宋体"/>
        </w:rPr>
        <w:t>三、建设项目所在地环境现状简况</w:t>
      </w:r>
      <w:r>
        <w:tab/>
      </w:r>
      <w:r>
        <w:fldChar w:fldCharType="begin"/>
      </w:r>
      <w:r>
        <w:instrText xml:space="preserve"> PAGEREF _Toc24526 </w:instrText>
      </w:r>
      <w:r>
        <w:fldChar w:fldCharType="separate"/>
      </w:r>
      <w:r>
        <w:t>41</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_Toc28212 </w:instrText>
      </w:r>
      <w:r>
        <w:rPr>
          <w:szCs w:val="24"/>
        </w:rPr>
        <w:fldChar w:fldCharType="separate"/>
      </w:r>
      <w:r>
        <w:rPr>
          <w:rFonts w:eastAsia="宋体"/>
        </w:rPr>
        <w:t>四、评价适用标准</w:t>
      </w:r>
      <w:r>
        <w:tab/>
      </w:r>
      <w:r>
        <w:fldChar w:fldCharType="begin"/>
      </w:r>
      <w:r>
        <w:instrText xml:space="preserve"> PAGEREF _Toc28212 </w:instrText>
      </w:r>
      <w:r>
        <w:fldChar w:fldCharType="separate"/>
      </w:r>
      <w:r>
        <w:t>49</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_Toc15864 </w:instrText>
      </w:r>
      <w:r>
        <w:rPr>
          <w:szCs w:val="24"/>
        </w:rPr>
        <w:fldChar w:fldCharType="separate"/>
      </w:r>
      <w:r>
        <w:rPr>
          <w:rFonts w:eastAsia="宋体"/>
        </w:rPr>
        <w:t>五、建设项目工程分析</w:t>
      </w:r>
      <w:r>
        <w:tab/>
      </w:r>
      <w:r>
        <w:fldChar w:fldCharType="begin"/>
      </w:r>
      <w:r>
        <w:instrText xml:space="preserve"> PAGEREF _Toc15864 </w:instrText>
      </w:r>
      <w:r>
        <w:fldChar w:fldCharType="separate"/>
      </w:r>
      <w:r>
        <w:t>52</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_Toc6896 </w:instrText>
      </w:r>
      <w:r>
        <w:rPr>
          <w:szCs w:val="24"/>
        </w:rPr>
        <w:fldChar w:fldCharType="separate"/>
      </w:r>
      <w:r>
        <w:rPr>
          <w:rFonts w:hint="eastAsia" w:eastAsia="宋体"/>
        </w:rPr>
        <w:t xml:space="preserve">六、 </w:t>
      </w:r>
      <w:r>
        <w:rPr>
          <w:rFonts w:eastAsia="宋体"/>
        </w:rPr>
        <w:t>项目主要污染物产生及预计排放情况</w:t>
      </w:r>
      <w:r>
        <w:tab/>
      </w:r>
      <w:r>
        <w:fldChar w:fldCharType="begin"/>
      </w:r>
      <w:r>
        <w:instrText xml:space="preserve"> PAGEREF _Toc6896 </w:instrText>
      </w:r>
      <w:r>
        <w:fldChar w:fldCharType="separate"/>
      </w:r>
      <w:r>
        <w:t>59</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_Toc10333 </w:instrText>
      </w:r>
      <w:r>
        <w:rPr>
          <w:szCs w:val="24"/>
        </w:rPr>
        <w:fldChar w:fldCharType="separate"/>
      </w:r>
      <w:r>
        <w:rPr>
          <w:rFonts w:eastAsia="宋体"/>
        </w:rPr>
        <w:t>七、环境影响分析</w:t>
      </w:r>
      <w:r>
        <w:tab/>
      </w:r>
      <w:r>
        <w:fldChar w:fldCharType="begin"/>
      </w:r>
      <w:r>
        <w:instrText xml:space="preserve"> PAGEREF _Toc10333 </w:instrText>
      </w:r>
      <w:r>
        <w:fldChar w:fldCharType="separate"/>
      </w:r>
      <w:r>
        <w:t>61</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_Toc14836 </w:instrText>
      </w:r>
      <w:r>
        <w:rPr>
          <w:szCs w:val="24"/>
        </w:rPr>
        <w:fldChar w:fldCharType="separate"/>
      </w:r>
      <w:r>
        <w:rPr>
          <w:rFonts w:eastAsia="宋体"/>
        </w:rPr>
        <w:t>八、建设项目拟采取的防治措施及预期治理效果</w:t>
      </w:r>
      <w:r>
        <w:tab/>
      </w:r>
      <w:r>
        <w:fldChar w:fldCharType="begin"/>
      </w:r>
      <w:r>
        <w:instrText xml:space="preserve"> PAGEREF _Toc14836 </w:instrText>
      </w:r>
      <w:r>
        <w:fldChar w:fldCharType="separate"/>
      </w:r>
      <w:r>
        <w:t>84</w:t>
      </w:r>
      <w:r>
        <w:fldChar w:fldCharType="end"/>
      </w:r>
      <w:r>
        <w:rPr>
          <w:color w:val="auto"/>
          <w:szCs w:val="24"/>
        </w:rPr>
        <w:fldChar w:fldCharType="end"/>
      </w:r>
    </w:p>
    <w:p>
      <w:pPr>
        <w:pStyle w:val="19"/>
        <w:tabs>
          <w:tab w:val="right" w:leader="dot" w:pos="8306"/>
        </w:tabs>
      </w:pPr>
      <w:r>
        <w:rPr>
          <w:color w:val="auto"/>
          <w:szCs w:val="24"/>
        </w:rPr>
        <w:fldChar w:fldCharType="begin"/>
      </w:r>
      <w:r>
        <w:rPr>
          <w:szCs w:val="24"/>
        </w:rPr>
        <w:instrText xml:space="preserve"> HYPERLINK \l _Toc12621 </w:instrText>
      </w:r>
      <w:r>
        <w:rPr>
          <w:szCs w:val="24"/>
        </w:rPr>
        <w:fldChar w:fldCharType="separate"/>
      </w:r>
      <w:r>
        <w:rPr>
          <w:rFonts w:eastAsia="宋体"/>
        </w:rPr>
        <w:t>九、结论与建议</w:t>
      </w:r>
      <w:r>
        <w:tab/>
      </w:r>
      <w:r>
        <w:fldChar w:fldCharType="begin"/>
      </w:r>
      <w:r>
        <w:instrText xml:space="preserve"> PAGEREF _Toc12621 </w:instrText>
      </w:r>
      <w:r>
        <w:fldChar w:fldCharType="separate"/>
      </w:r>
      <w:r>
        <w:t>86</w:t>
      </w:r>
      <w:r>
        <w:fldChar w:fldCharType="end"/>
      </w:r>
      <w:r>
        <w:rPr>
          <w:color w:val="auto"/>
          <w:szCs w:val="24"/>
        </w:rPr>
        <w:fldChar w:fldCharType="end"/>
      </w:r>
    </w:p>
    <w:p>
      <w:pPr>
        <w:pStyle w:val="14"/>
        <w:tabs>
          <w:tab w:val="right" w:leader="dot" w:pos="8306"/>
        </w:tabs>
      </w:pPr>
    </w:p>
    <w:p>
      <w:pPr>
        <w:keepNext w:val="0"/>
        <w:keepLines w:val="0"/>
        <w:pageBreakBefore w:val="0"/>
        <w:widowControl w:val="0"/>
        <w:kinsoku/>
        <w:wordWrap/>
        <w:overflowPunct/>
        <w:topLinePunct w:val="0"/>
        <w:bidi w:val="0"/>
        <w:adjustRightInd/>
        <w:snapToGrid/>
        <w:spacing w:line="360" w:lineRule="auto"/>
        <w:textAlignment w:val="auto"/>
        <w:rPr>
          <w:color w:val="auto"/>
          <w:sz w:val="24"/>
          <w:szCs w:val="24"/>
        </w:rPr>
      </w:pPr>
      <w:r>
        <w:rPr>
          <w:color w:val="auto"/>
          <w:szCs w:val="24"/>
        </w:rPr>
        <w:fldChar w:fldCharType="end"/>
      </w:r>
    </w:p>
    <w:p>
      <w:pPr>
        <w:keepNext w:val="0"/>
        <w:keepLines w:val="0"/>
        <w:pageBreakBefore w:val="0"/>
        <w:widowControl/>
        <w:kinsoku/>
        <w:wordWrap/>
        <w:overflowPunct/>
        <w:topLinePunct w:val="0"/>
        <w:bidi w:val="0"/>
        <w:adjustRightInd/>
        <w:snapToGrid/>
        <w:spacing w:line="240" w:lineRule="auto"/>
        <w:textAlignment w:val="auto"/>
        <w:rPr>
          <w:rFonts w:ascii="Times New Roman" w:hAnsi="Times New Roman"/>
          <w:b/>
          <w:bCs/>
          <w:snapToGrid w:val="0"/>
          <w:color w:val="000000"/>
          <w:sz w:val="24"/>
        </w:rPr>
      </w:pPr>
      <w:r>
        <w:rPr>
          <w:rFonts w:ascii="Times New Roman" w:hAnsi="Times New Roman"/>
          <w:b/>
          <w:bCs/>
          <w:snapToGrid w:val="0"/>
          <w:color w:val="000000"/>
          <w:sz w:val="24"/>
        </w:rPr>
        <w:br w:type="page"/>
      </w:r>
    </w:p>
    <w:p>
      <w:pPr>
        <w:keepNext w:val="0"/>
        <w:keepLines w:val="0"/>
        <w:pageBreakBefore w:val="0"/>
        <w:widowControl w:val="0"/>
        <w:kinsoku/>
        <w:wordWrap/>
        <w:overflowPunct/>
        <w:topLinePunct w:val="0"/>
        <w:bidi w:val="0"/>
        <w:adjustRightInd/>
        <w:snapToGrid/>
        <w:spacing w:line="360" w:lineRule="auto"/>
        <w:textAlignment w:val="auto"/>
        <w:rPr>
          <w:rFonts w:ascii="Times New Roman" w:hAnsi="Times New Roman"/>
          <w:b/>
          <w:bCs/>
          <w:snapToGrid w:val="0"/>
          <w:color w:val="000000"/>
          <w:sz w:val="24"/>
        </w:rPr>
      </w:pPr>
      <w:r>
        <w:rPr>
          <w:rFonts w:ascii="Times New Roman" w:hAnsi="Times New Roman"/>
          <w:b/>
          <w:bCs/>
          <w:snapToGrid w:val="0"/>
          <w:color w:val="000000"/>
          <w:sz w:val="24"/>
        </w:rPr>
        <w:t>附表</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outlineLvl w:val="9"/>
        <w:rPr>
          <w:rFonts w:ascii="Times New Roman" w:hAnsi="Times New Roman"/>
          <w:bCs/>
          <w:snapToGrid w:val="0"/>
          <w:color w:val="000000"/>
          <w:sz w:val="24"/>
        </w:rPr>
      </w:pPr>
      <w:r>
        <w:rPr>
          <w:rFonts w:ascii="Times New Roman" w:hAnsi="Times New Roman"/>
          <w:bCs/>
          <w:snapToGrid w:val="0"/>
          <w:color w:val="000000"/>
          <w:sz w:val="24"/>
        </w:rPr>
        <w:t>附表1：建设项目环评审批基础信息表</w:t>
      </w:r>
    </w:p>
    <w:p>
      <w:pPr>
        <w:spacing w:line="360" w:lineRule="auto"/>
        <w:ind w:firstLine="480" w:firstLineChars="200"/>
        <w:jc w:val="left"/>
        <w:rPr>
          <w:sz w:val="24"/>
          <w:szCs w:val="24"/>
        </w:rPr>
      </w:pPr>
      <w:r>
        <w:rPr>
          <w:sz w:val="24"/>
          <w:szCs w:val="24"/>
        </w:rPr>
        <w:t>附表2：地表水环境影响评价自查表</w:t>
      </w:r>
    </w:p>
    <w:p>
      <w:pPr>
        <w:spacing w:line="360" w:lineRule="auto"/>
        <w:ind w:firstLine="480" w:firstLineChars="200"/>
        <w:jc w:val="left"/>
        <w:rPr>
          <w:sz w:val="24"/>
          <w:szCs w:val="24"/>
        </w:rPr>
      </w:pPr>
      <w:r>
        <w:rPr>
          <w:sz w:val="24"/>
          <w:szCs w:val="24"/>
        </w:rPr>
        <w:t>附表3：建设项目大气环境影响评价自查表</w:t>
      </w:r>
    </w:p>
    <w:p>
      <w:pPr>
        <w:spacing w:line="360" w:lineRule="auto"/>
        <w:ind w:firstLine="480" w:firstLineChars="200"/>
        <w:jc w:val="left"/>
        <w:rPr>
          <w:sz w:val="24"/>
          <w:szCs w:val="24"/>
        </w:rPr>
      </w:pPr>
      <w:r>
        <w:rPr>
          <w:sz w:val="24"/>
          <w:szCs w:val="24"/>
        </w:rPr>
        <w:t>附表4：土壤环境评价自查表</w:t>
      </w:r>
    </w:p>
    <w:p>
      <w:pPr>
        <w:keepNext w:val="0"/>
        <w:keepLines w:val="0"/>
        <w:pageBreakBefore w:val="0"/>
        <w:widowControl w:val="0"/>
        <w:kinsoku/>
        <w:wordWrap/>
        <w:overflowPunct/>
        <w:topLinePunct w:val="0"/>
        <w:bidi w:val="0"/>
        <w:adjustRightInd/>
        <w:snapToGrid/>
        <w:spacing w:line="360" w:lineRule="auto"/>
        <w:jc w:val="left"/>
        <w:textAlignment w:val="auto"/>
        <w:rPr>
          <w:rFonts w:ascii="Times New Roman" w:hAnsi="Times New Roman"/>
          <w:b/>
          <w:bCs/>
          <w:snapToGrid w:val="0"/>
          <w:color w:val="000000"/>
          <w:sz w:val="24"/>
        </w:rPr>
      </w:pPr>
      <w:r>
        <w:rPr>
          <w:rFonts w:ascii="Times New Roman" w:hAnsi="Times New Roman"/>
          <w:b/>
          <w:bCs/>
          <w:snapToGrid w:val="0"/>
          <w:color w:val="000000"/>
          <w:sz w:val="24"/>
        </w:rPr>
        <w:t>附件</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outlineLvl w:val="9"/>
        <w:rPr>
          <w:rFonts w:ascii="Times New Roman" w:hAnsi="Times New Roman"/>
          <w:bCs/>
          <w:snapToGrid w:val="0"/>
          <w:color w:val="000000"/>
          <w:sz w:val="24"/>
        </w:rPr>
      </w:pPr>
      <w:r>
        <w:rPr>
          <w:rFonts w:ascii="Times New Roman" w:hAnsi="Times New Roman"/>
          <w:bCs/>
          <w:snapToGrid w:val="0"/>
          <w:color w:val="000000"/>
          <w:sz w:val="24"/>
        </w:rPr>
        <w:t>附件1：委托书</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outlineLvl w:val="9"/>
        <w:rPr>
          <w:rFonts w:hint="eastAsia" w:ascii="Times New Roman" w:hAnsi="Times New Roman"/>
          <w:bCs/>
          <w:snapToGrid w:val="0"/>
          <w:color w:val="000000"/>
          <w:sz w:val="24"/>
          <w:lang w:val="en-US" w:eastAsia="zh-CN"/>
        </w:rPr>
      </w:pPr>
      <w:r>
        <w:rPr>
          <w:rFonts w:ascii="Times New Roman" w:hAnsi="Times New Roman"/>
          <w:bCs/>
          <w:snapToGrid w:val="0"/>
          <w:color w:val="000000"/>
          <w:sz w:val="24"/>
        </w:rPr>
        <w:t>附件2：</w:t>
      </w:r>
      <w:r>
        <w:rPr>
          <w:rFonts w:hint="eastAsia"/>
          <w:bCs/>
          <w:snapToGrid w:val="0"/>
          <w:color w:val="000000"/>
          <w:sz w:val="24"/>
          <w:lang w:val="en-US" w:eastAsia="zh-CN"/>
        </w:rPr>
        <w:t>可研批复</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outlineLvl w:val="9"/>
        <w:rPr>
          <w:rFonts w:hint="eastAsia" w:ascii="Times New Roman" w:hAnsi="Times New Roman"/>
          <w:bCs/>
          <w:snapToGrid w:val="0"/>
          <w:color w:val="000000"/>
          <w:sz w:val="24"/>
          <w:lang w:val="en-US" w:eastAsia="zh-CN"/>
        </w:rPr>
      </w:pPr>
      <w:r>
        <w:rPr>
          <w:rFonts w:hint="eastAsia" w:ascii="Times New Roman" w:hAnsi="Times New Roman"/>
          <w:bCs/>
          <w:snapToGrid w:val="0"/>
          <w:color w:val="000000"/>
          <w:sz w:val="24"/>
          <w:lang w:val="en-US" w:eastAsia="zh-CN"/>
        </w:rPr>
        <w:t>附件3：</w:t>
      </w:r>
      <w:r>
        <w:rPr>
          <w:rFonts w:hint="eastAsia"/>
          <w:bCs/>
          <w:snapToGrid w:val="0"/>
          <w:color w:val="000000"/>
          <w:sz w:val="24"/>
          <w:lang w:val="en-US" w:eastAsia="zh-CN"/>
        </w:rPr>
        <w:t>营业执照</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outlineLvl w:val="9"/>
        <w:rPr>
          <w:rFonts w:hint="default" w:ascii="Times New Roman" w:hAnsi="Times New Roman"/>
          <w:bCs/>
          <w:snapToGrid w:val="0"/>
          <w:color w:val="000000"/>
          <w:sz w:val="24"/>
          <w:lang w:val="en-US" w:eastAsia="zh-CN"/>
        </w:rPr>
      </w:pPr>
      <w:r>
        <w:rPr>
          <w:rFonts w:hint="eastAsia"/>
          <w:bCs/>
          <w:snapToGrid w:val="0"/>
          <w:color w:val="000000"/>
          <w:sz w:val="24"/>
          <w:lang w:val="en-US" w:eastAsia="zh-CN"/>
        </w:rPr>
        <w:t>附件4：</w:t>
      </w:r>
      <w:r>
        <w:rPr>
          <w:rFonts w:hint="eastAsia" w:ascii="Times New Roman" w:hAnsi="Times New Roman"/>
          <w:bCs/>
          <w:snapToGrid w:val="0"/>
          <w:color w:val="000000"/>
          <w:sz w:val="24"/>
          <w:lang w:val="en-US" w:eastAsia="zh-CN"/>
        </w:rPr>
        <w:t>监测报告</w:t>
      </w:r>
    </w:p>
    <w:p>
      <w:pPr>
        <w:keepNext w:val="0"/>
        <w:keepLines w:val="0"/>
        <w:pageBreakBefore w:val="0"/>
        <w:widowControl w:val="0"/>
        <w:kinsoku/>
        <w:wordWrap/>
        <w:overflowPunct/>
        <w:topLinePunct w:val="0"/>
        <w:bidi w:val="0"/>
        <w:adjustRightInd/>
        <w:snapToGrid/>
        <w:spacing w:line="360" w:lineRule="auto"/>
        <w:jc w:val="left"/>
        <w:textAlignment w:val="auto"/>
        <w:rPr>
          <w:rFonts w:ascii="Times New Roman" w:hAnsi="Times New Roman"/>
          <w:b/>
          <w:bCs/>
          <w:snapToGrid w:val="0"/>
          <w:color w:val="000000"/>
          <w:sz w:val="24"/>
        </w:rPr>
      </w:pPr>
      <w:r>
        <w:rPr>
          <w:rFonts w:ascii="Times New Roman" w:hAnsi="Times New Roman"/>
          <w:b/>
          <w:bCs/>
          <w:snapToGrid w:val="0"/>
          <w:color w:val="000000"/>
          <w:sz w:val="24"/>
        </w:rPr>
        <w:t>附图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Times New Roman" w:hAnsi="Times New Roman" w:eastAsia="宋体"/>
          <w:bCs/>
          <w:snapToGrid w:val="0"/>
          <w:color w:val="000000"/>
          <w:sz w:val="24"/>
          <w:lang w:eastAsia="zh-CN"/>
        </w:rPr>
      </w:pPr>
      <w:r>
        <w:rPr>
          <w:rFonts w:ascii="Times New Roman" w:hAnsi="Times New Roman"/>
          <w:bCs/>
          <w:snapToGrid w:val="0"/>
          <w:color w:val="000000"/>
          <w:sz w:val="24"/>
        </w:rPr>
        <w:t>附图1：项目</w:t>
      </w:r>
      <w:r>
        <w:rPr>
          <w:rFonts w:hint="eastAsia"/>
          <w:bCs/>
          <w:snapToGrid w:val="0"/>
          <w:color w:val="000000"/>
          <w:sz w:val="24"/>
          <w:lang w:eastAsia="zh-CN"/>
        </w:rPr>
        <w:t>总布置图</w:t>
      </w:r>
    </w:p>
    <w:p>
      <w:pPr>
        <w:pStyle w:val="35"/>
        <w:keepNext w:val="0"/>
        <w:keepLines w:val="0"/>
        <w:pageBreakBefore w:val="0"/>
        <w:widowControl w:val="0"/>
        <w:kinsoku/>
        <w:wordWrap/>
        <w:overflowPunct/>
        <w:topLinePunct w:val="0"/>
        <w:bidi w:val="0"/>
        <w:adjustRightInd/>
        <w:snapToGrid/>
        <w:spacing w:line="360" w:lineRule="auto"/>
        <w:ind w:firstLine="480" w:firstLineChars="200"/>
        <w:textAlignment w:val="auto"/>
        <w:rPr>
          <w:rFonts w:hint="eastAsia" w:eastAsia="宋体"/>
          <w:lang w:val="en-US" w:eastAsia="zh-CN"/>
        </w:rPr>
      </w:pPr>
      <w:r>
        <w:rPr>
          <w:rFonts w:hint="eastAsia" w:ascii="Times New Roman" w:hAnsi="Times New Roman"/>
          <w:bCs/>
          <w:snapToGrid w:val="0"/>
          <w:color w:val="000000"/>
          <w:sz w:val="24"/>
          <w:lang w:val="en-US" w:eastAsia="zh-CN"/>
        </w:rPr>
        <w:t>附图2：项目区现状雨水、污水管网图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ascii="Times New Roman" w:hAnsi="Times New Roman"/>
          <w:bCs/>
          <w:snapToGrid w:val="0"/>
          <w:color w:val="000000"/>
          <w:sz w:val="24"/>
        </w:rPr>
      </w:pPr>
      <w:r>
        <w:rPr>
          <w:rFonts w:ascii="Times New Roman" w:hAnsi="Times New Roman"/>
          <w:bCs/>
          <w:snapToGrid w:val="0"/>
          <w:color w:val="000000"/>
          <w:sz w:val="24"/>
          <w:u w:val="none"/>
        </w:rPr>
        <w:t>附图</w:t>
      </w:r>
      <w:r>
        <w:rPr>
          <w:rFonts w:hint="eastAsia"/>
          <w:bCs/>
          <w:snapToGrid w:val="0"/>
          <w:color w:val="000000"/>
          <w:sz w:val="24"/>
          <w:u w:val="none"/>
          <w:lang w:val="en-US" w:eastAsia="zh-CN"/>
        </w:rPr>
        <w:t>3</w:t>
      </w:r>
      <w:r>
        <w:rPr>
          <w:rFonts w:ascii="Times New Roman" w:hAnsi="Times New Roman"/>
          <w:bCs/>
          <w:snapToGrid w:val="0"/>
          <w:color w:val="000000"/>
          <w:sz w:val="24"/>
          <w:u w:val="none"/>
        </w:rPr>
        <w:t>：</w:t>
      </w:r>
      <w:r>
        <w:rPr>
          <w:rFonts w:hint="eastAsia" w:ascii="Times New Roman" w:hAnsi="Times New Roman"/>
          <w:bCs/>
          <w:snapToGrid w:val="0"/>
          <w:color w:val="000000"/>
          <w:sz w:val="24"/>
          <w:u w:val="none"/>
          <w:lang w:val="en-US" w:eastAsia="zh-CN"/>
        </w:rPr>
        <w:t>齐家社区截污工程分布图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color w:val="000000"/>
          <w:sz w:val="24"/>
          <w:lang w:val="en-US" w:eastAsia="zh-CN"/>
        </w:rPr>
      </w:pPr>
      <w:r>
        <w:rPr>
          <w:rFonts w:ascii="Times New Roman" w:hAnsi="Times New Roman"/>
          <w:bCs/>
          <w:snapToGrid w:val="0"/>
          <w:color w:val="000000"/>
          <w:sz w:val="24"/>
        </w:rPr>
        <w:t>附图</w:t>
      </w:r>
      <w:r>
        <w:rPr>
          <w:rFonts w:hint="eastAsia"/>
          <w:bCs/>
          <w:snapToGrid w:val="0"/>
          <w:color w:val="000000"/>
          <w:sz w:val="24"/>
          <w:lang w:val="en-US" w:eastAsia="zh-CN"/>
        </w:rPr>
        <w:t>4</w:t>
      </w:r>
      <w:r>
        <w:rPr>
          <w:rFonts w:ascii="Times New Roman" w:hAnsi="Times New Roman"/>
          <w:bCs/>
          <w:snapToGrid w:val="0"/>
          <w:color w:val="000000"/>
          <w:sz w:val="24"/>
        </w:rPr>
        <w:t>：</w:t>
      </w:r>
      <w:r>
        <w:rPr>
          <w:rFonts w:hint="eastAsia" w:ascii="Times New Roman" w:hAnsi="Times New Roman"/>
          <w:bCs/>
          <w:snapToGrid w:val="0"/>
          <w:color w:val="000000"/>
          <w:sz w:val="24"/>
          <w:lang w:val="en-US" w:eastAsia="zh-CN"/>
        </w:rPr>
        <w:t>齐家社区污水处理站工艺流程图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ascii="Times New Roman" w:hAnsi="Times New Roman"/>
          <w:bCs/>
          <w:snapToGrid w:val="0"/>
          <w:color w:val="000000"/>
          <w:sz w:val="24"/>
        </w:rPr>
      </w:pPr>
      <w:r>
        <w:rPr>
          <w:rFonts w:hint="eastAsia" w:ascii="Times New Roman" w:hAnsi="Times New Roman"/>
          <w:bCs/>
          <w:snapToGrid w:val="0"/>
          <w:color w:val="000000"/>
          <w:sz w:val="24"/>
        </w:rPr>
        <w:t>附图</w:t>
      </w:r>
      <w:r>
        <w:rPr>
          <w:rFonts w:hint="eastAsia" w:ascii="Times New Roman" w:hAnsi="Times New Roman"/>
          <w:bCs/>
          <w:snapToGrid w:val="0"/>
          <w:color w:val="000000"/>
          <w:sz w:val="24"/>
          <w:lang w:val="en-US" w:eastAsia="zh-CN"/>
        </w:rPr>
        <w:t>5</w:t>
      </w:r>
      <w:r>
        <w:rPr>
          <w:rFonts w:hint="eastAsia" w:ascii="Times New Roman" w:hAnsi="Times New Roman"/>
          <w:bCs/>
          <w:snapToGrid w:val="0"/>
          <w:color w:val="000000"/>
          <w:sz w:val="24"/>
        </w:rPr>
        <w:t>：</w:t>
      </w:r>
      <w:r>
        <w:rPr>
          <w:rFonts w:hint="eastAsia" w:ascii="Times New Roman" w:hAnsi="Times New Roman"/>
          <w:bCs/>
          <w:snapToGrid w:val="0"/>
          <w:color w:val="000000"/>
          <w:sz w:val="24"/>
          <w:lang w:val="en-US" w:eastAsia="zh-CN"/>
        </w:rPr>
        <w:t>项目监测布点图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Times New Roman" w:hAnsi="Times New Roman" w:cs="Times New Roman"/>
          <w:bCs/>
          <w:snapToGrid w:val="0"/>
          <w:color w:val="000000"/>
          <w:sz w:val="24"/>
          <w:u w:val="none"/>
          <w:lang w:val="en-US" w:eastAsia="zh-CN"/>
        </w:rPr>
      </w:pPr>
      <w:r>
        <w:rPr>
          <w:rFonts w:hint="eastAsia" w:ascii="Times New Roman" w:hAnsi="Times New Roman"/>
          <w:bCs/>
          <w:snapToGrid w:val="0"/>
          <w:color w:val="000000"/>
          <w:sz w:val="24"/>
          <w:lang w:eastAsia="zh-CN"/>
        </w:rPr>
        <w:t>附图6：</w:t>
      </w:r>
      <w:r>
        <w:rPr>
          <w:rFonts w:hint="eastAsia"/>
          <w:bCs/>
          <w:snapToGrid w:val="0"/>
          <w:color w:val="000000"/>
          <w:sz w:val="24"/>
          <w:lang w:eastAsia="zh-CN"/>
        </w:rPr>
        <w:t>项目环保目标分布图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Times New Roman" w:hAnsi="Times New Roman" w:eastAsia="宋体" w:cs="Times New Roman"/>
          <w:bCs/>
          <w:snapToGrid w:val="0"/>
          <w:color w:val="000000"/>
          <w:sz w:val="24"/>
          <w:lang w:val="en-US" w:eastAsia="zh-CN"/>
        </w:rPr>
      </w:pPr>
      <w:r>
        <w:rPr>
          <w:rFonts w:hint="eastAsia" w:ascii="Times New Roman" w:hAnsi="Times New Roman" w:eastAsia="宋体" w:cs="Times New Roman"/>
          <w:bCs/>
          <w:snapToGrid w:val="0"/>
          <w:color w:val="000000"/>
          <w:sz w:val="24"/>
          <w:lang w:val="en-US" w:eastAsia="zh-CN"/>
        </w:rPr>
        <w:t>附图7：项目</w:t>
      </w:r>
      <w:r>
        <w:rPr>
          <w:rFonts w:hint="eastAsia" w:cs="Times New Roman"/>
          <w:bCs/>
          <w:snapToGrid w:val="0"/>
          <w:color w:val="000000"/>
          <w:sz w:val="24"/>
          <w:lang w:val="en-US" w:eastAsia="zh-CN"/>
        </w:rPr>
        <w:t>周边现状图</w:t>
      </w:r>
    </w:p>
    <w:p>
      <w:pPr>
        <w:bidi w:val="0"/>
        <w:spacing w:line="360" w:lineRule="auto"/>
        <w:ind w:firstLine="480" w:firstLineChars="200"/>
        <w:rPr>
          <w:rFonts w:hint="eastAsia"/>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lowerRoman" w:start="1"/>
          <w:cols w:space="720" w:num="1"/>
          <w:docGrid w:type="lines" w:linePitch="312" w:charSpace="0"/>
        </w:sectPr>
      </w:pPr>
      <w:r>
        <w:rPr>
          <w:rFonts w:hint="eastAsia"/>
          <w:sz w:val="24"/>
          <w:szCs w:val="24"/>
          <w:u w:val="single"/>
          <w:lang w:val="en-US" w:eastAsia="zh-CN"/>
        </w:rPr>
        <w:t>附图8：罗家坡污水处理厂服务范围及管网建设情况</w:t>
      </w:r>
    </w:p>
    <w:p>
      <w:pPr>
        <w:pStyle w:val="37"/>
        <w:tabs>
          <w:tab w:val="clear" w:pos="1800"/>
        </w:tabs>
        <w:rPr>
          <w:rFonts w:eastAsia="宋体"/>
          <w:color w:val="auto"/>
        </w:rPr>
      </w:pPr>
      <w:bookmarkStart w:id="0" w:name="_Toc29396"/>
      <w:bookmarkStart w:id="1" w:name="_Toc29101"/>
      <w:bookmarkStart w:id="2" w:name="_Toc297732116"/>
      <w:r>
        <w:rPr>
          <w:rFonts w:eastAsia="宋体"/>
          <w:color w:val="auto"/>
        </w:rPr>
        <w:t>一、建设项目基本情况</w:t>
      </w:r>
      <w:bookmarkEnd w:id="0"/>
      <w:bookmarkEnd w:id="1"/>
      <w:bookmarkEnd w:id="2"/>
    </w:p>
    <w:tbl>
      <w:tblPr>
        <w:tblStyle w:val="26"/>
        <w:tblW w:w="9775"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108" w:type="dxa"/>
          <w:bottom w:w="0" w:type="dxa"/>
          <w:right w:w="108" w:type="dxa"/>
        </w:tblCellMar>
      </w:tblPr>
      <w:tblGrid>
        <w:gridCol w:w="1632"/>
        <w:gridCol w:w="1410"/>
        <w:gridCol w:w="678"/>
        <w:gridCol w:w="1065"/>
        <w:gridCol w:w="1837"/>
        <w:gridCol w:w="178"/>
        <w:gridCol w:w="1439"/>
        <w:gridCol w:w="65"/>
        <w:gridCol w:w="1471"/>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项目名称</w:t>
            </w:r>
          </w:p>
        </w:tc>
        <w:tc>
          <w:tcPr>
            <w:tcW w:w="8142" w:type="dxa"/>
            <w:gridSpan w:val="8"/>
            <w:vAlign w:val="center"/>
          </w:tcPr>
          <w:p>
            <w:pPr>
              <w:pStyle w:val="38"/>
              <w:spacing w:line="240" w:lineRule="auto"/>
              <w:ind w:left="0" w:leftChars="0" w:firstLine="0" w:firstLineChars="0"/>
              <w:jc w:val="center"/>
              <w:rPr>
                <w:rFonts w:hint="eastAsia" w:ascii="Times New Roman" w:hAnsi="Times New Roman" w:eastAsia="宋体"/>
                <w:color w:val="auto"/>
                <w:sz w:val="24"/>
                <w:szCs w:val="24"/>
                <w:lang w:val="en-US" w:eastAsia="zh-CN"/>
              </w:rPr>
            </w:pPr>
            <w:r>
              <w:rPr>
                <w:rFonts w:hint="eastAsia" w:ascii="Times New Roman" w:hAnsi="Times New Roman" w:eastAsia="宋体"/>
                <w:color w:val="auto"/>
                <w:sz w:val="24"/>
                <w:szCs w:val="24"/>
                <w:lang w:val="en-US" w:eastAsia="zh-CN"/>
              </w:rPr>
              <w:t>罗家坡污水系统收集管网完善工程建设项目</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5"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建设单位</w:t>
            </w:r>
          </w:p>
        </w:tc>
        <w:tc>
          <w:tcPr>
            <w:tcW w:w="8142" w:type="dxa"/>
            <w:gridSpan w:val="8"/>
            <w:vAlign w:val="center"/>
          </w:tcPr>
          <w:p>
            <w:pPr>
              <w:pStyle w:val="38"/>
              <w:spacing w:line="240" w:lineRule="auto"/>
              <w:ind w:firstLine="480" w:firstLineChars="200"/>
              <w:rPr>
                <w:rFonts w:ascii="Times New Roman" w:hAnsi="Times New Roman"/>
                <w:color w:val="auto"/>
                <w:sz w:val="24"/>
                <w:szCs w:val="24"/>
              </w:rPr>
            </w:pPr>
            <w:r>
              <w:rPr>
                <w:rFonts w:hint="eastAsia" w:ascii="Times New Roman" w:hAnsi="Times New Roman"/>
                <w:color w:val="auto"/>
                <w:sz w:val="24"/>
                <w:szCs w:val="24"/>
                <w:highlight w:val="none"/>
                <w:lang w:val="en-US" w:eastAsia="zh-CN"/>
              </w:rPr>
              <w:t>中国市政工程华北设计研究总院有限公司</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法人代表</w:t>
            </w:r>
          </w:p>
        </w:tc>
        <w:tc>
          <w:tcPr>
            <w:tcW w:w="3152" w:type="dxa"/>
            <w:gridSpan w:val="3"/>
            <w:vAlign w:val="center"/>
          </w:tcPr>
          <w:p>
            <w:pPr>
              <w:pStyle w:val="38"/>
              <w:spacing w:line="240" w:lineRule="auto"/>
              <w:ind w:firstLine="480" w:firstLineChars="200"/>
              <w:rPr>
                <w:rFonts w:hint="eastAsia" w:ascii="Times New Roman" w:hAnsi="Times New Roman" w:eastAsia="宋体"/>
                <w:color w:val="auto"/>
                <w:sz w:val="24"/>
                <w:szCs w:val="24"/>
                <w:highlight w:val="cyan"/>
                <w:lang w:val="en-US" w:eastAsia="zh-CN"/>
              </w:rPr>
            </w:pPr>
            <w:r>
              <w:rPr>
                <w:rFonts w:hint="eastAsia" w:ascii="Times New Roman" w:hAnsi="Times New Roman" w:cs="Times New Roman" w:eastAsiaTheme="minorEastAsia"/>
                <w:i w:val="0"/>
                <w:caps w:val="0"/>
                <w:color w:val="333333"/>
                <w:spacing w:val="0"/>
                <w:sz w:val="24"/>
                <w:szCs w:val="24"/>
                <w:shd w:val="clear" w:fill="FFFFFF"/>
                <w:lang w:val="en-US" w:eastAsia="zh-CN"/>
              </w:rPr>
              <w:t>张毅</w:t>
            </w:r>
          </w:p>
        </w:tc>
        <w:tc>
          <w:tcPr>
            <w:tcW w:w="1837" w:type="dxa"/>
            <w:vAlign w:val="center"/>
          </w:tcPr>
          <w:p>
            <w:pPr>
              <w:pStyle w:val="38"/>
              <w:spacing w:line="240" w:lineRule="auto"/>
              <w:ind w:firstLine="480" w:firstLineChars="200"/>
              <w:rPr>
                <w:rFonts w:ascii="Times New Roman" w:hAnsi="Times New Roman"/>
                <w:color w:val="auto"/>
                <w:sz w:val="24"/>
                <w:szCs w:val="24"/>
                <w:highlight w:val="cyan"/>
              </w:rPr>
            </w:pPr>
            <w:r>
              <w:rPr>
                <w:color w:val="auto"/>
                <w:kern w:val="2"/>
                <w:sz w:val="24"/>
                <w:szCs w:val="24"/>
                <w:lang w:val="en-US" w:eastAsia="zh-CN"/>
              </w:rPr>
              <w:t>联系人</w:t>
            </w:r>
          </w:p>
        </w:tc>
        <w:tc>
          <w:tcPr>
            <w:tcW w:w="3153" w:type="dxa"/>
            <w:gridSpan w:val="4"/>
            <w:vAlign w:val="center"/>
          </w:tcPr>
          <w:p>
            <w:pPr>
              <w:pStyle w:val="38"/>
              <w:spacing w:line="240" w:lineRule="auto"/>
              <w:ind w:firstLine="480" w:firstLineChars="200"/>
              <w:rPr>
                <w:rFonts w:ascii="Times New Roman" w:hAnsi="Times New Roman"/>
                <w:color w:val="auto"/>
                <w:sz w:val="24"/>
                <w:szCs w:val="24"/>
                <w:highlight w:val="cyan"/>
              </w:rPr>
            </w:pPr>
            <w:r>
              <w:rPr>
                <w:rFonts w:hint="eastAsia" w:ascii="Times New Roman" w:hAnsi="Times New Roman" w:cs="Times New Roman" w:eastAsiaTheme="minorEastAsia"/>
                <w:i w:val="0"/>
                <w:caps w:val="0"/>
                <w:color w:val="333333"/>
                <w:spacing w:val="0"/>
                <w:sz w:val="24"/>
                <w:szCs w:val="24"/>
                <w:shd w:val="clear" w:fill="FFFFFF"/>
                <w:lang w:val="en-US" w:eastAsia="zh-CN"/>
              </w:rPr>
              <w:t>张靖晨</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通讯地址</w:t>
            </w:r>
          </w:p>
        </w:tc>
        <w:tc>
          <w:tcPr>
            <w:tcW w:w="8142" w:type="dxa"/>
            <w:gridSpan w:val="8"/>
            <w:vAlign w:val="center"/>
          </w:tcPr>
          <w:p>
            <w:pPr>
              <w:pStyle w:val="8"/>
              <w:spacing w:line="240" w:lineRule="auto"/>
              <w:ind w:firstLine="0" w:firstLineChars="0"/>
              <w:jc w:val="center"/>
              <w:rPr>
                <w:rFonts w:hint="eastAsia" w:ascii="Times New Roman" w:hAnsi="Times New Roman" w:eastAsia="宋体"/>
                <w:color w:val="auto"/>
                <w:sz w:val="24"/>
                <w:szCs w:val="24"/>
                <w:lang w:val="en-US" w:eastAsia="zh-CN"/>
              </w:rPr>
            </w:pPr>
            <w:r>
              <w:rPr>
                <w:rFonts w:hint="eastAsia" w:ascii="Times New Roman" w:hAnsi="Times New Roman" w:eastAsia="宋体"/>
                <w:color w:val="auto"/>
                <w:sz w:val="24"/>
                <w:szCs w:val="24"/>
                <w:lang w:val="en-US" w:eastAsia="zh-CN"/>
              </w:rPr>
              <w:t>岳阳市岳阳楼区金鹗中路景源商务中心</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联系电话</w:t>
            </w:r>
          </w:p>
        </w:tc>
        <w:tc>
          <w:tcPr>
            <w:tcW w:w="2088" w:type="dxa"/>
            <w:gridSpan w:val="2"/>
            <w:vAlign w:val="center"/>
          </w:tcPr>
          <w:p>
            <w:pPr>
              <w:pStyle w:val="38"/>
              <w:spacing w:line="240" w:lineRule="auto"/>
              <w:ind w:firstLine="0" w:firstLineChars="0"/>
              <w:rPr>
                <w:rFonts w:hint="default" w:ascii="Times New Roman" w:hAnsi="Times New Roman" w:eastAsia="宋体"/>
                <w:color w:val="auto"/>
                <w:sz w:val="24"/>
                <w:szCs w:val="24"/>
                <w:lang w:val="en-US" w:eastAsia="zh-CN"/>
              </w:rPr>
            </w:pPr>
            <w:r>
              <w:rPr>
                <w:rFonts w:hint="default" w:ascii="Times New Roman" w:hAnsi="Times New Roman" w:eastAsia="宋体"/>
                <w:color w:val="auto"/>
                <w:sz w:val="24"/>
                <w:szCs w:val="24"/>
                <w:lang w:val="en-US" w:eastAsia="zh-CN"/>
              </w:rPr>
              <w:t>18892296249</w:t>
            </w:r>
          </w:p>
        </w:tc>
        <w:tc>
          <w:tcPr>
            <w:tcW w:w="1065"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传真</w:t>
            </w:r>
          </w:p>
        </w:tc>
        <w:tc>
          <w:tcPr>
            <w:tcW w:w="1837" w:type="dxa"/>
            <w:vAlign w:val="center"/>
          </w:tcPr>
          <w:p>
            <w:pPr>
              <w:pStyle w:val="38"/>
              <w:spacing w:line="240" w:lineRule="auto"/>
              <w:ind w:firstLine="0" w:firstLineChars="0"/>
              <w:rPr>
                <w:rFonts w:ascii="Times New Roman" w:hAnsi="Times New Roman"/>
                <w:color w:val="auto"/>
                <w:sz w:val="24"/>
                <w:szCs w:val="24"/>
              </w:rPr>
            </w:pPr>
            <w:r>
              <w:rPr>
                <w:rFonts w:ascii="Times New Roman" w:hAnsi="Times New Roman"/>
                <w:color w:val="auto"/>
                <w:sz w:val="24"/>
                <w:szCs w:val="24"/>
              </w:rPr>
              <w:t>/</w:t>
            </w:r>
          </w:p>
        </w:tc>
        <w:tc>
          <w:tcPr>
            <w:tcW w:w="1617" w:type="dxa"/>
            <w:gridSpan w:val="2"/>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邮政编码</w:t>
            </w:r>
          </w:p>
        </w:tc>
        <w:tc>
          <w:tcPr>
            <w:tcW w:w="1535" w:type="dxa"/>
            <w:gridSpan w:val="2"/>
            <w:vAlign w:val="center"/>
          </w:tcPr>
          <w:p>
            <w:pPr>
              <w:pStyle w:val="38"/>
              <w:spacing w:line="240" w:lineRule="auto"/>
              <w:ind w:firstLine="0" w:firstLineChars="0"/>
              <w:rPr>
                <w:rFonts w:ascii="Times New Roman" w:hAnsi="Times New Roman"/>
                <w:color w:val="auto"/>
                <w:sz w:val="24"/>
                <w:szCs w:val="24"/>
                <w:lang w:val="en-US"/>
              </w:rPr>
            </w:pPr>
            <w:r>
              <w:rPr>
                <w:rFonts w:hint="eastAsia" w:ascii="Times New Roman" w:hAnsi="Times New Roman" w:cs="Times New Roman"/>
                <w:color w:val="auto"/>
                <w:sz w:val="24"/>
                <w:szCs w:val="24"/>
                <w:lang w:val="en-US" w:eastAsia="zh-CN"/>
              </w:rPr>
              <w:t>414000</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建设地点</w:t>
            </w:r>
          </w:p>
        </w:tc>
        <w:tc>
          <w:tcPr>
            <w:tcW w:w="8142" w:type="dxa"/>
            <w:gridSpan w:val="8"/>
            <w:vAlign w:val="center"/>
          </w:tcPr>
          <w:p>
            <w:pPr>
              <w:pStyle w:val="38"/>
              <w:spacing w:line="240" w:lineRule="auto"/>
              <w:ind w:firstLine="0" w:firstLineChars="0"/>
              <w:rPr>
                <w:rFonts w:hint="default" w:ascii="Times New Roman" w:hAnsi="Times New Roman" w:eastAsia="宋体"/>
                <w:color w:val="auto"/>
                <w:sz w:val="24"/>
                <w:szCs w:val="24"/>
                <w:lang w:val="en-US" w:eastAsia="zh-CN"/>
              </w:rPr>
            </w:pPr>
            <w:r>
              <w:rPr>
                <w:rFonts w:hint="eastAsia"/>
                <w:color w:val="auto"/>
                <w:sz w:val="24"/>
                <w:szCs w:val="24"/>
                <w:lang w:val="en-US" w:eastAsia="zh-CN"/>
              </w:rPr>
              <w:t>岳阳市经开区、楼区</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立项审批部门</w:t>
            </w:r>
          </w:p>
        </w:tc>
        <w:tc>
          <w:tcPr>
            <w:tcW w:w="3153" w:type="dxa"/>
            <w:gridSpan w:val="3"/>
            <w:vAlign w:val="center"/>
          </w:tcPr>
          <w:p>
            <w:pPr>
              <w:pStyle w:val="38"/>
              <w:spacing w:line="240" w:lineRule="auto"/>
              <w:ind w:firstLine="0" w:firstLineChars="0"/>
              <w:rPr>
                <w:rFonts w:hint="eastAsia" w:ascii="Times New Roman" w:hAnsi="Times New Roman" w:eastAsia="宋体"/>
                <w:color w:val="auto"/>
                <w:sz w:val="24"/>
                <w:szCs w:val="24"/>
                <w:highlight w:val="none"/>
                <w:lang w:val="en-US" w:eastAsia="zh-CN"/>
              </w:rPr>
            </w:pPr>
            <w:r>
              <w:rPr>
                <w:rFonts w:hint="eastAsia" w:ascii="Times New Roman" w:hAnsi="Times New Roman" w:cs="Times New Roman" w:eastAsiaTheme="minorEastAsia"/>
                <w:i w:val="0"/>
                <w:caps w:val="0"/>
                <w:color w:val="333333"/>
                <w:spacing w:val="0"/>
                <w:sz w:val="24"/>
                <w:szCs w:val="24"/>
                <w:shd w:val="clear" w:fill="FFFFFF"/>
                <w:lang w:val="en-US" w:eastAsia="zh-CN"/>
              </w:rPr>
              <w:t>/</w:t>
            </w:r>
          </w:p>
        </w:tc>
        <w:tc>
          <w:tcPr>
            <w:tcW w:w="2015" w:type="dxa"/>
            <w:gridSpan w:val="2"/>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批准文号</w:t>
            </w:r>
          </w:p>
        </w:tc>
        <w:tc>
          <w:tcPr>
            <w:tcW w:w="2974" w:type="dxa"/>
            <w:gridSpan w:val="3"/>
            <w:vAlign w:val="center"/>
          </w:tcPr>
          <w:p>
            <w:pPr>
              <w:pStyle w:val="38"/>
              <w:spacing w:line="240" w:lineRule="auto"/>
              <w:ind w:firstLine="0" w:firstLineChars="0"/>
              <w:rPr>
                <w:rFonts w:hint="eastAsia" w:ascii="Times New Roman" w:hAnsi="Times New Roman" w:eastAsia="宋体"/>
                <w:color w:val="auto"/>
                <w:sz w:val="24"/>
                <w:szCs w:val="24"/>
                <w:lang w:val="en-US" w:eastAsia="zh-CN"/>
              </w:rPr>
            </w:pPr>
            <w:r>
              <w:rPr>
                <w:rFonts w:hint="eastAsia" w:ascii="Times New Roman" w:hAnsi="Times New Roman" w:cs="Times New Roman" w:eastAsiaTheme="minorEastAsia"/>
                <w:i w:val="0"/>
                <w:caps w:val="0"/>
                <w:color w:val="333333"/>
                <w:spacing w:val="0"/>
                <w:sz w:val="24"/>
                <w:szCs w:val="24"/>
                <w:shd w:val="clear" w:fill="FFFFFF"/>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建设性质</w:t>
            </w:r>
          </w:p>
        </w:tc>
        <w:tc>
          <w:tcPr>
            <w:tcW w:w="3153" w:type="dxa"/>
            <w:gridSpan w:val="3"/>
            <w:vAlign w:val="center"/>
          </w:tcPr>
          <w:p>
            <w:pPr>
              <w:pStyle w:val="38"/>
              <w:spacing w:line="240" w:lineRule="auto"/>
              <w:ind w:firstLine="0" w:firstLineChars="0"/>
              <w:rPr>
                <w:rFonts w:hint="eastAsia" w:ascii="Times New Roman" w:hAnsi="Times New Roman" w:eastAsia="宋体"/>
                <w:color w:val="auto"/>
                <w:sz w:val="24"/>
                <w:szCs w:val="24"/>
                <w:lang w:eastAsia="zh-CN"/>
              </w:rPr>
            </w:pPr>
            <w:r>
              <w:rPr>
                <w:rFonts w:ascii="Times New Roman" w:hAnsi="Times New Roman" w:cs="Times New Roman"/>
                <w:color w:val="auto"/>
                <w:sz w:val="24"/>
              </w:rPr>
              <w:t>新建</w:t>
            </w:r>
            <w:r>
              <w:rPr>
                <w:rFonts w:hint="eastAsia" w:ascii="Times New Roman" w:hAnsi="Times New Roman" w:cs="Times New Roman"/>
                <w:color w:val="auto"/>
                <w:sz w:val="24"/>
                <w:lang w:val="en-US" w:eastAsia="zh-CN"/>
              </w:rPr>
              <w:t xml:space="preserve">  </w:t>
            </w:r>
          </w:p>
        </w:tc>
        <w:tc>
          <w:tcPr>
            <w:tcW w:w="2015" w:type="dxa"/>
            <w:gridSpan w:val="2"/>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行业类别及代号</w:t>
            </w:r>
          </w:p>
        </w:tc>
        <w:tc>
          <w:tcPr>
            <w:tcW w:w="2974" w:type="dxa"/>
            <w:gridSpan w:val="3"/>
            <w:vAlign w:val="center"/>
          </w:tcPr>
          <w:p>
            <w:pPr>
              <w:pStyle w:val="38"/>
              <w:spacing w:line="240" w:lineRule="auto"/>
              <w:ind w:firstLine="0" w:firstLineChars="0"/>
              <w:rPr>
                <w:rFonts w:hint="default" w:ascii="Times New Roman" w:hAnsi="Times New Roman" w:eastAsia="宋体"/>
                <w:color w:val="auto"/>
                <w:sz w:val="24"/>
                <w:szCs w:val="24"/>
                <w:lang w:val="en-US" w:eastAsia="zh-CN"/>
              </w:rPr>
            </w:pPr>
            <w:r>
              <w:rPr>
                <w:rFonts w:hint="eastAsia" w:ascii="Times New Roman" w:hAnsi="Times New Roman"/>
                <w:color w:val="auto"/>
                <w:sz w:val="24"/>
                <w:szCs w:val="24"/>
                <w:lang w:val="en-US" w:eastAsia="zh-CN"/>
              </w:rPr>
              <w:t>E4850 管道工程建筑</w:t>
            </w:r>
          </w:p>
          <w:p>
            <w:pPr>
              <w:pStyle w:val="38"/>
              <w:spacing w:line="240" w:lineRule="auto"/>
              <w:ind w:firstLine="0" w:firstLineChars="0"/>
              <w:rPr>
                <w:rFonts w:hint="eastAsia" w:ascii="Times New Roman" w:hAnsi="Times New Roman" w:eastAsia="宋体"/>
                <w:color w:val="auto"/>
                <w:sz w:val="24"/>
                <w:szCs w:val="24"/>
                <w:lang w:val="en-US" w:eastAsia="zh-CN"/>
              </w:rPr>
            </w:pPr>
            <w:r>
              <w:rPr>
                <w:rFonts w:hint="eastAsia" w:ascii="Times New Roman" w:hAnsi="Times New Roman" w:eastAsia="宋体"/>
                <w:color w:val="auto"/>
                <w:sz w:val="24"/>
                <w:szCs w:val="24"/>
                <w:lang w:val="en-US" w:eastAsia="zh-CN"/>
              </w:rPr>
              <w:t>E4822 河湖治理及防洪设施工程建筑</w:t>
            </w:r>
          </w:p>
          <w:p>
            <w:pPr>
              <w:jc w:val="center"/>
              <w:rPr>
                <w:rFonts w:hint="eastAsia" w:ascii="Times New Roman" w:hAnsi="Times New Roman" w:eastAsia="宋体"/>
                <w:color w:val="auto"/>
                <w:sz w:val="24"/>
                <w:szCs w:val="24"/>
                <w:lang w:val="en-US" w:eastAsia="zh-CN"/>
              </w:rPr>
            </w:pPr>
            <w:r>
              <w:rPr>
                <w:rFonts w:ascii="Times New Roman" w:hAnsi="Times New Roman"/>
                <w:sz w:val="24"/>
                <w:szCs w:val="24"/>
              </w:rPr>
              <w:t>D4620</w:t>
            </w:r>
            <w:r>
              <w:rPr>
                <w:rFonts w:hint="eastAsia" w:ascii="Times New Roman" w:hAnsi="Times New Roman"/>
                <w:sz w:val="24"/>
                <w:szCs w:val="24"/>
                <w:lang w:val="en-US" w:eastAsia="zh-CN"/>
              </w:rPr>
              <w:t xml:space="preserve"> </w:t>
            </w:r>
            <w:r>
              <w:rPr>
                <w:sz w:val="24"/>
                <w:szCs w:val="24"/>
              </w:rPr>
              <w:t>污水处理及再生利用</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sz w:val="24"/>
                <w:szCs w:val="24"/>
              </w:rPr>
            </w:pPr>
            <w:r>
              <w:rPr>
                <w:rFonts w:hint="eastAsia" w:ascii="Times New Roman"/>
                <w:color w:val="auto"/>
                <w:sz w:val="24"/>
                <w:szCs w:val="24"/>
                <w:lang w:val="en-US" w:eastAsia="zh-CN"/>
              </w:rPr>
              <w:t>占地面积</w:t>
            </w:r>
            <w:r>
              <w:rPr>
                <w:rFonts w:ascii="Times New Roman"/>
                <w:color w:val="auto"/>
                <w:sz w:val="24"/>
                <w:szCs w:val="24"/>
              </w:rPr>
              <w:t>（</w:t>
            </w:r>
            <w:r>
              <w:rPr>
                <w:rFonts w:hint="eastAsia" w:ascii="Times New Roman"/>
                <w:color w:val="auto"/>
                <w:sz w:val="24"/>
                <w:szCs w:val="24"/>
                <w:lang w:val="en-US" w:eastAsia="zh-CN"/>
              </w:rPr>
              <w:t>m</w:t>
            </w:r>
            <w:r>
              <w:rPr>
                <w:rFonts w:hint="eastAsia" w:ascii="Times New Roman"/>
                <w:color w:val="auto"/>
                <w:sz w:val="24"/>
                <w:szCs w:val="24"/>
                <w:vertAlign w:val="superscript"/>
                <w:lang w:val="en-US" w:eastAsia="zh-CN"/>
              </w:rPr>
              <w:t>2</w:t>
            </w:r>
            <w:r>
              <w:rPr>
                <w:rFonts w:ascii="Times New Roman"/>
                <w:color w:val="auto"/>
                <w:sz w:val="24"/>
                <w:szCs w:val="24"/>
              </w:rPr>
              <w:t>）</w:t>
            </w:r>
          </w:p>
        </w:tc>
        <w:tc>
          <w:tcPr>
            <w:tcW w:w="3153" w:type="dxa"/>
            <w:gridSpan w:val="3"/>
            <w:vAlign w:val="center"/>
          </w:tcPr>
          <w:p>
            <w:pPr>
              <w:pStyle w:val="38"/>
              <w:spacing w:line="240" w:lineRule="auto"/>
              <w:ind w:firstLine="0" w:firstLineChars="0"/>
              <w:rPr>
                <w:rFonts w:hint="default" w:ascii="Times New Roman" w:hAnsi="Times New Roman" w:eastAsia="宋体"/>
                <w:color w:val="auto"/>
                <w:sz w:val="24"/>
                <w:szCs w:val="24"/>
                <w:highlight w:val="none"/>
                <w:lang w:val="en-US" w:eastAsia="zh-CN"/>
              </w:rPr>
            </w:pPr>
            <w:r>
              <w:rPr>
                <w:rFonts w:hint="eastAsia" w:ascii="Times New Roman" w:hAnsi="Times New Roman" w:cs="Times New Roman" w:eastAsiaTheme="minorEastAsia"/>
                <w:i w:val="0"/>
                <w:caps w:val="0"/>
                <w:color w:val="333333"/>
                <w:spacing w:val="0"/>
                <w:sz w:val="24"/>
                <w:szCs w:val="24"/>
                <w:shd w:val="clear" w:fill="FFFFFF"/>
                <w:lang w:val="en-US" w:eastAsia="zh-CN"/>
              </w:rPr>
              <w:t>/</w:t>
            </w:r>
          </w:p>
        </w:tc>
        <w:tc>
          <w:tcPr>
            <w:tcW w:w="2015" w:type="dxa"/>
            <w:gridSpan w:val="2"/>
            <w:vAlign w:val="center"/>
          </w:tcPr>
          <w:p>
            <w:pPr>
              <w:pStyle w:val="38"/>
              <w:spacing w:line="240" w:lineRule="auto"/>
              <w:ind w:firstLine="0" w:firstLineChars="0"/>
              <w:rPr>
                <w:rFonts w:ascii="Times New Roman"/>
                <w:color w:val="auto"/>
                <w:sz w:val="24"/>
                <w:szCs w:val="24"/>
              </w:rPr>
            </w:pPr>
            <w:r>
              <w:rPr>
                <w:rFonts w:ascii="Times New Roman"/>
                <w:color w:val="auto"/>
                <w:sz w:val="24"/>
                <w:szCs w:val="24"/>
                <w:lang w:val="en-US" w:eastAsia="zh-CN"/>
              </w:rPr>
              <w:t>绿化率（%）</w:t>
            </w:r>
          </w:p>
        </w:tc>
        <w:tc>
          <w:tcPr>
            <w:tcW w:w="2974" w:type="dxa"/>
            <w:gridSpan w:val="3"/>
            <w:vAlign w:val="center"/>
          </w:tcPr>
          <w:p>
            <w:pPr>
              <w:pStyle w:val="38"/>
              <w:spacing w:line="240" w:lineRule="auto"/>
              <w:ind w:firstLine="0" w:firstLineChars="0"/>
              <w:rPr>
                <w:rFonts w:ascii="Times New Roman"/>
                <w:color w:val="auto"/>
                <w:sz w:val="24"/>
                <w:szCs w:val="24"/>
              </w:rPr>
            </w:pPr>
            <w:r>
              <w:rPr>
                <w:rFonts w:ascii="Times New Roman"/>
                <w:color w:val="auto"/>
                <w:sz w:val="24"/>
                <w:szCs w:val="24"/>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kern w:val="24"/>
                <w:sz w:val="24"/>
                <w:szCs w:val="24"/>
              </w:rPr>
            </w:pPr>
            <w:r>
              <w:rPr>
                <w:rFonts w:ascii="Times New Roman"/>
                <w:color w:val="auto"/>
                <w:sz w:val="24"/>
                <w:szCs w:val="24"/>
              </w:rPr>
              <w:t>总投资</w:t>
            </w:r>
          </w:p>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（万元）</w:t>
            </w:r>
          </w:p>
        </w:tc>
        <w:tc>
          <w:tcPr>
            <w:tcW w:w="1410" w:type="dxa"/>
            <w:vAlign w:val="center"/>
          </w:tcPr>
          <w:p>
            <w:pPr>
              <w:pStyle w:val="38"/>
              <w:spacing w:line="240" w:lineRule="auto"/>
              <w:ind w:firstLine="0" w:firstLineChars="0"/>
              <w:rPr>
                <w:rFonts w:hint="default" w:ascii="Times New Roman" w:hAnsi="Times New Roman" w:eastAsia="宋体"/>
                <w:color w:val="auto"/>
                <w:sz w:val="24"/>
                <w:szCs w:val="24"/>
                <w:highlight w:val="none"/>
                <w:lang w:val="en-US" w:eastAsia="zh-CN"/>
              </w:rPr>
            </w:pPr>
            <w:r>
              <w:rPr>
                <w:rFonts w:hint="eastAsia" w:ascii="Times New Roman" w:hAnsi="Times New Roman"/>
                <w:color w:val="auto"/>
                <w:sz w:val="24"/>
                <w:szCs w:val="24"/>
                <w:highlight w:val="none"/>
                <w:lang w:val="en-US" w:eastAsia="zh-CN"/>
              </w:rPr>
              <w:t>68871.08</w:t>
            </w:r>
          </w:p>
        </w:tc>
        <w:tc>
          <w:tcPr>
            <w:tcW w:w="1743" w:type="dxa"/>
            <w:gridSpan w:val="2"/>
            <w:vAlign w:val="center"/>
          </w:tcPr>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其中：环保投资（万元）</w:t>
            </w:r>
          </w:p>
        </w:tc>
        <w:tc>
          <w:tcPr>
            <w:tcW w:w="2015" w:type="dxa"/>
            <w:gridSpan w:val="2"/>
            <w:vAlign w:val="center"/>
          </w:tcPr>
          <w:p>
            <w:pPr>
              <w:pStyle w:val="38"/>
              <w:spacing w:line="240" w:lineRule="auto"/>
              <w:ind w:firstLine="0" w:firstLineChars="0"/>
              <w:rPr>
                <w:rFonts w:hint="default" w:ascii="Times New Roman" w:hAnsi="Times New Roman" w:eastAsia="宋体"/>
                <w:color w:val="auto"/>
                <w:sz w:val="24"/>
                <w:szCs w:val="24"/>
                <w:highlight w:val="none"/>
                <w:lang w:val="en-US" w:eastAsia="zh-CN"/>
              </w:rPr>
            </w:pPr>
            <w:r>
              <w:rPr>
                <w:rFonts w:hint="eastAsia" w:ascii="Times New Roman" w:hAnsi="Times New Roman"/>
                <w:color w:val="auto"/>
                <w:sz w:val="24"/>
                <w:szCs w:val="24"/>
                <w:highlight w:val="none"/>
                <w:lang w:val="en-US" w:eastAsia="zh-CN"/>
              </w:rPr>
              <w:t>305</w:t>
            </w:r>
          </w:p>
        </w:tc>
        <w:tc>
          <w:tcPr>
            <w:tcW w:w="1504" w:type="dxa"/>
            <w:gridSpan w:val="2"/>
            <w:vAlign w:val="center"/>
          </w:tcPr>
          <w:p>
            <w:pPr>
              <w:pStyle w:val="38"/>
              <w:spacing w:line="240" w:lineRule="auto"/>
              <w:ind w:firstLine="0" w:firstLineChars="0"/>
              <w:rPr>
                <w:rFonts w:ascii="Times New Roman" w:hAnsi="Times New Roman"/>
                <w:color w:val="auto"/>
                <w:sz w:val="24"/>
                <w:szCs w:val="24"/>
                <w:highlight w:val="none"/>
              </w:rPr>
            </w:pPr>
            <w:r>
              <w:rPr>
                <w:rFonts w:ascii="Times New Roman"/>
                <w:color w:val="auto"/>
                <w:sz w:val="24"/>
                <w:szCs w:val="24"/>
                <w:highlight w:val="none"/>
              </w:rPr>
              <w:t>环保投资占总投资比例</w:t>
            </w:r>
          </w:p>
        </w:tc>
        <w:tc>
          <w:tcPr>
            <w:tcW w:w="1470" w:type="dxa"/>
            <w:vAlign w:val="center"/>
          </w:tcPr>
          <w:p>
            <w:pPr>
              <w:pStyle w:val="38"/>
              <w:spacing w:line="240" w:lineRule="auto"/>
              <w:ind w:firstLine="0" w:firstLineChars="0"/>
              <w:rPr>
                <w:rFonts w:hint="eastAsia" w:ascii="Times New Roman" w:hAnsi="Times New Roman" w:eastAsia="宋体"/>
                <w:color w:val="auto"/>
                <w:sz w:val="24"/>
                <w:szCs w:val="24"/>
                <w:highlight w:val="none"/>
                <w:lang w:val="en-US" w:eastAsia="zh-CN"/>
              </w:rPr>
            </w:pPr>
            <w:r>
              <w:rPr>
                <w:rFonts w:hint="eastAsia" w:ascii="Times New Roman" w:hAnsi="Times New Roman"/>
                <w:color w:val="auto"/>
                <w:sz w:val="24"/>
                <w:szCs w:val="24"/>
                <w:highlight w:val="none"/>
                <w:lang w:val="en-US" w:eastAsia="zh-CN"/>
              </w:rPr>
              <w:t>0.44%</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633" w:type="dxa"/>
            <w:vAlign w:val="center"/>
          </w:tcPr>
          <w:p>
            <w:pPr>
              <w:pStyle w:val="38"/>
              <w:spacing w:line="240" w:lineRule="auto"/>
              <w:ind w:firstLine="0" w:firstLineChars="0"/>
              <w:rPr>
                <w:rFonts w:ascii="Times New Roman" w:hAnsi="Times New Roman"/>
                <w:color w:val="auto"/>
                <w:kern w:val="24"/>
                <w:sz w:val="24"/>
                <w:szCs w:val="24"/>
              </w:rPr>
            </w:pPr>
            <w:r>
              <w:rPr>
                <w:rFonts w:ascii="Times New Roman"/>
                <w:color w:val="auto"/>
                <w:sz w:val="24"/>
                <w:szCs w:val="24"/>
              </w:rPr>
              <w:t>评价经费</w:t>
            </w:r>
          </w:p>
          <w:p>
            <w:pPr>
              <w:pStyle w:val="38"/>
              <w:spacing w:line="240" w:lineRule="auto"/>
              <w:ind w:firstLine="0" w:firstLineChars="0"/>
              <w:rPr>
                <w:rFonts w:ascii="Times New Roman" w:hAnsi="Times New Roman"/>
                <w:color w:val="auto"/>
                <w:sz w:val="24"/>
                <w:szCs w:val="24"/>
              </w:rPr>
            </w:pPr>
            <w:r>
              <w:rPr>
                <w:rFonts w:ascii="Times New Roman"/>
                <w:color w:val="auto"/>
                <w:sz w:val="24"/>
                <w:szCs w:val="24"/>
              </w:rPr>
              <w:t>（万元）</w:t>
            </w:r>
          </w:p>
        </w:tc>
        <w:tc>
          <w:tcPr>
            <w:tcW w:w="1410" w:type="dxa"/>
            <w:vAlign w:val="center"/>
          </w:tcPr>
          <w:p>
            <w:pPr>
              <w:pStyle w:val="38"/>
              <w:spacing w:line="240" w:lineRule="auto"/>
              <w:ind w:firstLine="0" w:firstLineChars="0"/>
              <w:rPr>
                <w:rFonts w:ascii="Times New Roman" w:hAnsi="Times New Roman"/>
                <w:color w:val="auto"/>
                <w:sz w:val="24"/>
                <w:szCs w:val="24"/>
              </w:rPr>
            </w:pPr>
            <w:r>
              <w:rPr>
                <w:rFonts w:ascii="Times New Roman" w:hAnsi="Times New Roman"/>
                <w:color w:val="auto"/>
                <w:sz w:val="24"/>
                <w:szCs w:val="24"/>
              </w:rPr>
              <w:t>/</w:t>
            </w:r>
          </w:p>
        </w:tc>
        <w:tc>
          <w:tcPr>
            <w:tcW w:w="1743" w:type="dxa"/>
            <w:gridSpan w:val="2"/>
            <w:vAlign w:val="center"/>
          </w:tcPr>
          <w:p>
            <w:pPr>
              <w:pStyle w:val="38"/>
              <w:spacing w:line="240" w:lineRule="auto"/>
              <w:ind w:firstLine="0" w:firstLineChars="0"/>
              <w:rPr>
                <w:rFonts w:ascii="Times New Roman" w:hAnsi="Times New Roman"/>
                <w:color w:val="auto"/>
                <w:sz w:val="24"/>
                <w:szCs w:val="24"/>
              </w:rPr>
            </w:pPr>
            <w:r>
              <w:rPr>
                <w:rFonts w:ascii="Times New Roman"/>
                <w:snapToGrid w:val="0"/>
                <w:color w:val="auto"/>
                <w:sz w:val="24"/>
                <w:szCs w:val="24"/>
              </w:rPr>
              <w:t>投产日期</w:t>
            </w:r>
          </w:p>
        </w:tc>
        <w:tc>
          <w:tcPr>
            <w:tcW w:w="4989" w:type="dxa"/>
            <w:gridSpan w:val="5"/>
            <w:vAlign w:val="center"/>
          </w:tcPr>
          <w:p>
            <w:pPr>
              <w:pStyle w:val="38"/>
              <w:spacing w:line="240" w:lineRule="auto"/>
              <w:ind w:firstLine="0" w:firstLineChars="0"/>
              <w:rPr>
                <w:rFonts w:ascii="Times New Roman" w:hAnsi="Times New Roman"/>
                <w:snapToGrid w:val="0"/>
                <w:color w:val="auto"/>
                <w:kern w:val="24"/>
                <w:sz w:val="24"/>
                <w:szCs w:val="24"/>
              </w:rPr>
            </w:pPr>
            <w:r>
              <w:rPr>
                <w:rFonts w:ascii="Times New Roman" w:hAnsi="Times New Roman"/>
                <w:snapToGrid w:val="0"/>
                <w:color w:val="auto"/>
                <w:kern w:val="24"/>
                <w:sz w:val="24"/>
                <w:szCs w:val="24"/>
              </w:rPr>
              <w:t>20</w:t>
            </w:r>
            <w:r>
              <w:rPr>
                <w:rFonts w:hint="eastAsia" w:ascii="Times New Roman" w:hAnsi="Times New Roman"/>
                <w:snapToGrid w:val="0"/>
                <w:color w:val="auto"/>
                <w:kern w:val="24"/>
                <w:sz w:val="24"/>
                <w:szCs w:val="24"/>
                <w:lang w:val="en-US" w:eastAsia="zh-CN"/>
              </w:rPr>
              <w:t>20</w:t>
            </w:r>
            <w:r>
              <w:rPr>
                <w:rFonts w:ascii="Times New Roman"/>
                <w:snapToGrid w:val="0"/>
                <w:color w:val="auto"/>
                <w:kern w:val="24"/>
                <w:sz w:val="24"/>
                <w:szCs w:val="24"/>
              </w:rPr>
              <w:t>年</w:t>
            </w:r>
            <w:r>
              <w:rPr>
                <w:rFonts w:hint="eastAsia" w:ascii="Times New Roman"/>
                <w:snapToGrid w:val="0"/>
                <w:color w:val="auto"/>
                <w:kern w:val="24"/>
                <w:sz w:val="24"/>
                <w:szCs w:val="24"/>
                <w:lang w:val="en-US" w:eastAsia="zh-CN"/>
              </w:rPr>
              <w:t>12</w:t>
            </w:r>
            <w:r>
              <w:rPr>
                <w:rFonts w:ascii="Times New Roman"/>
                <w:snapToGrid w:val="0"/>
                <w:color w:val="auto"/>
                <w:kern w:val="24"/>
                <w:sz w:val="24"/>
                <w:szCs w:val="24"/>
              </w:rPr>
              <w:t>月</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0" w:hRule="atLeast"/>
          <w:jc w:val="center"/>
        </w:trPr>
        <w:tc>
          <w:tcPr>
            <w:tcW w:w="9775" w:type="dxa"/>
            <w:gridSpan w:val="9"/>
          </w:tcPr>
          <w:p>
            <w:pPr>
              <w:pStyle w:val="20"/>
              <w:keepNext w:val="0"/>
              <w:keepLines w:val="0"/>
              <w:pageBreakBefore w:val="0"/>
              <w:widowControl w:val="0"/>
              <w:kinsoku/>
              <w:wordWrap/>
              <w:overflowPunct/>
              <w:topLinePunct w:val="0"/>
              <w:autoSpaceDE/>
              <w:autoSpaceDN/>
              <w:bidi w:val="0"/>
              <w:adjustRightInd/>
              <w:snapToGrid/>
              <w:spacing w:after="0" w:line="360" w:lineRule="auto"/>
              <w:ind w:left="0" w:leftChars="0"/>
              <w:textAlignment w:val="auto"/>
              <w:outlineLvl w:val="9"/>
              <w:rPr>
                <w:rFonts w:ascii="Times New Roman" w:hAnsi="Times New Roman"/>
                <w:b/>
                <w:color w:val="auto"/>
                <w:sz w:val="24"/>
              </w:rPr>
            </w:pPr>
            <w:r>
              <w:rPr>
                <w:rFonts w:ascii="Times New Roman" w:hAnsi="宋体"/>
                <w:b/>
                <w:color w:val="auto"/>
                <w:sz w:val="24"/>
              </w:rPr>
              <w:t>工程内容及规模：</w:t>
            </w:r>
          </w:p>
          <w:p>
            <w:pPr>
              <w:keepNext w:val="0"/>
              <w:keepLines w:val="0"/>
              <w:pageBreakBefore w:val="0"/>
              <w:widowControl w:val="0"/>
              <w:kinsoku/>
              <w:wordWrap/>
              <w:overflowPunct/>
              <w:topLinePunct w:val="0"/>
              <w:autoSpaceDE/>
              <w:autoSpaceDN/>
              <w:bidi w:val="0"/>
              <w:adjustRightInd w:val="0"/>
              <w:snapToGrid/>
              <w:spacing w:line="360" w:lineRule="auto"/>
              <w:ind w:left="0" w:leftChars="0" w:right="0" w:rightChars="0" w:firstLine="0" w:firstLineChars="0"/>
              <w:jc w:val="both"/>
              <w:textAlignment w:val="auto"/>
              <w:outlineLvl w:val="9"/>
              <w:rPr>
                <w:b/>
                <w:bCs/>
                <w:color w:val="auto"/>
                <w:sz w:val="24"/>
                <w:szCs w:val="24"/>
              </w:rPr>
            </w:pPr>
            <w:r>
              <w:rPr>
                <w:b/>
                <w:bCs/>
                <w:color w:val="auto"/>
                <w:sz w:val="24"/>
                <w:szCs w:val="24"/>
              </w:rPr>
              <w:t>1</w:t>
            </w:r>
            <w:r>
              <w:rPr>
                <w:rFonts w:hint="eastAsia"/>
                <w:b/>
                <w:bCs/>
                <w:color w:val="auto"/>
                <w:sz w:val="24"/>
                <w:szCs w:val="24"/>
                <w:lang w:val="en-US" w:eastAsia="zh-CN"/>
              </w:rPr>
              <w:t>.1</w:t>
            </w:r>
            <w:r>
              <w:rPr>
                <w:b/>
                <w:bCs/>
                <w:color w:val="auto"/>
                <w:sz w:val="24"/>
                <w:szCs w:val="24"/>
              </w:rPr>
              <w:t>项目背景及由来</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 xml:space="preserve">2019年4月，为全面贯彻落实全国生态环境保护大会、中央经济工作会议精神和《政府工作报告》部署要求，加快补齐城镇污水收集和处理设施短板，住房和城乡建设部、生态环境部、发展改革委印发《城镇污水处理提质增效三年行动方案(2019-2021年)》，以期实现地级及以上城市建成区基本无生活污水直排口，基本消除城中村、老旧城区和城乡结合部生活污水收集处理设施空白区，基本消除黑臭水体，城市生活污水集中收集效能显著提高的目标。 </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岳阳是湖南唯一的临江城市，拥有60%的洞庭湖水域面积，是湖南省建设长江经济带、共抓大保护的主战场和主阵地，也是国家发改委和三峡集团确定的城镇污水处理第一批试点示范城市。在全国黑臭水体普查中，岳阳市有5个湖泊、</w:t>
            </w:r>
            <w:r>
              <w:rPr>
                <w:rFonts w:hint="eastAsia" w:ascii="Times New Roman" w:hAnsi="Times New Roman" w:cs="Times New Roman"/>
                <w:color w:val="000000"/>
                <w:kern w:val="0"/>
                <w:sz w:val="24"/>
                <w:szCs w:val="24"/>
                <w:lang w:val="en-US" w:eastAsia="zh-CN" w:bidi="ar"/>
              </w:rPr>
              <w:t>9</w:t>
            </w:r>
            <w:r>
              <w:rPr>
                <w:rFonts w:hint="default" w:ascii="Times New Roman" w:hAnsi="Times New Roman" w:eastAsia="宋体" w:cs="Times New Roman"/>
                <w:color w:val="000000"/>
                <w:kern w:val="0"/>
                <w:sz w:val="24"/>
                <w:szCs w:val="24"/>
                <w:lang w:val="en-US" w:eastAsia="zh-CN" w:bidi="ar"/>
              </w:rPr>
              <w:t xml:space="preserve">条河流、18处塘被列为黑臭水体，水环境治理刻不容缓。同时，近年来芭蕉湖、南湖两大湖泊的污水直排、合流制溢流、面源污染等问题一致没有得到有效解决，水质也越来越差。罗家坡片区作为罗家坡污水处理厂纳污范围中的主要区域，对污水处理厂运行、南北港河的水质有着重要影响。 </w:t>
            </w:r>
          </w:p>
          <w:p>
            <w:pPr>
              <w:keepNext w:val="0"/>
              <w:keepLines w:val="0"/>
              <w:widowControl/>
              <w:suppressLineNumbers w:val="0"/>
              <w:spacing w:line="360" w:lineRule="auto"/>
              <w:ind w:firstLine="480" w:firstLineChars="200"/>
              <w:jc w:val="left"/>
              <w:rPr>
                <w:rFonts w:hint="eastAsia" w:cs="Times New Roman"/>
                <w:color w:val="000000"/>
                <w:kern w:val="0"/>
                <w:sz w:val="24"/>
                <w:szCs w:val="24"/>
                <w:u w:val="single"/>
                <w:lang w:val="en-US" w:eastAsia="zh-CN" w:bidi="ar"/>
              </w:rPr>
            </w:pPr>
            <w:r>
              <w:rPr>
                <w:rFonts w:hint="eastAsia" w:cs="Times New Roman"/>
                <w:color w:val="000000"/>
                <w:kern w:val="0"/>
                <w:sz w:val="24"/>
                <w:szCs w:val="24"/>
                <w:u w:val="single"/>
                <w:lang w:val="en-US" w:eastAsia="zh-CN" w:bidi="ar"/>
              </w:rPr>
              <w:t>根据《</w:t>
            </w:r>
            <w:r>
              <w:rPr>
                <w:rFonts w:hint="eastAsia" w:ascii="Times New Roman" w:hAnsi="Times New Roman" w:eastAsia="宋体"/>
                <w:color w:val="auto"/>
                <w:sz w:val="24"/>
                <w:szCs w:val="24"/>
                <w:u w:val="single"/>
                <w:lang w:val="en-US" w:eastAsia="zh-CN"/>
              </w:rPr>
              <w:t>罗家坡污水系统收集管网完善工程建设项目</w:t>
            </w:r>
            <w:r>
              <w:rPr>
                <w:rFonts w:hint="eastAsia"/>
                <w:color w:val="auto"/>
                <w:sz w:val="24"/>
                <w:szCs w:val="24"/>
                <w:u w:val="single"/>
                <w:lang w:val="en-US" w:eastAsia="zh-CN"/>
              </w:rPr>
              <w:t>设计说明书</w:t>
            </w:r>
            <w:r>
              <w:rPr>
                <w:rFonts w:hint="eastAsia" w:cs="Times New Roman"/>
                <w:color w:val="000000"/>
                <w:kern w:val="0"/>
                <w:sz w:val="24"/>
                <w:szCs w:val="24"/>
                <w:u w:val="single"/>
                <w:lang w:val="en-US" w:eastAsia="zh-CN" w:bidi="ar"/>
              </w:rPr>
              <w:t>》及项目区域现状调查，罗家坡污水收集系统目前存在的问题主要有：</w:t>
            </w:r>
          </w:p>
          <w:p>
            <w:pPr>
              <w:pStyle w:val="2"/>
              <w:numPr>
                <w:ilvl w:val="2"/>
                <w:numId w:val="0"/>
              </w:numPr>
              <w:ind w:leftChars="0"/>
              <w:rPr>
                <w:sz w:val="24"/>
                <w:szCs w:val="24"/>
                <w:u w:val="single"/>
              </w:rPr>
            </w:pPr>
            <w:r>
              <w:rPr>
                <w:rFonts w:hint="eastAsia" w:cs="Times New Roman"/>
                <w:color w:val="000000"/>
                <w:kern w:val="0"/>
                <w:sz w:val="24"/>
                <w:szCs w:val="24"/>
                <w:u w:val="none"/>
                <w:lang w:val="en-US" w:eastAsia="zh-CN" w:bidi="ar"/>
              </w:rPr>
              <w:t xml:space="preserve">    </w:t>
            </w:r>
            <w:r>
              <w:rPr>
                <w:rFonts w:hint="eastAsia" w:ascii="宋体" w:hAnsi="宋体" w:eastAsia="宋体" w:cs="宋体"/>
                <w:color w:val="000000"/>
                <w:kern w:val="0"/>
                <w:sz w:val="24"/>
                <w:szCs w:val="24"/>
                <w:u w:val="single"/>
                <w:lang w:val="en-US" w:eastAsia="zh-CN" w:bidi="ar"/>
              </w:rPr>
              <w:t>①奇家社区位于岳阳市奇家社区南港河西岸沿河道路（岳阳市君兴液化气站</w:t>
            </w:r>
            <w:r>
              <w:rPr>
                <w:rFonts w:ascii="TimesNewRomanPSMT" w:hAnsi="TimesNewRomanPSMT" w:eastAsia="TimesNewRomanPSMT" w:cs="TimesNewRomanPSMT"/>
                <w:color w:val="000000"/>
                <w:kern w:val="0"/>
                <w:sz w:val="24"/>
                <w:szCs w:val="24"/>
                <w:u w:val="single"/>
                <w:lang w:val="en-US" w:eastAsia="zh-CN" w:bidi="ar"/>
              </w:rPr>
              <w:t>-</w:t>
            </w:r>
            <w:r>
              <w:rPr>
                <w:rFonts w:hint="eastAsia" w:ascii="宋体" w:hAnsi="宋体" w:eastAsia="宋体" w:cs="宋体"/>
                <w:color w:val="000000"/>
                <w:kern w:val="0"/>
                <w:sz w:val="24"/>
                <w:szCs w:val="24"/>
                <w:u w:val="single"/>
                <w:lang w:val="en-US" w:eastAsia="zh-CN" w:bidi="ar"/>
              </w:rPr>
              <w:t>奥敏游泳馆），道路全长约</w:t>
            </w:r>
            <w:r>
              <w:rPr>
                <w:rFonts w:hint="default" w:ascii="TimesNewRomanPSMT" w:hAnsi="TimesNewRomanPSMT" w:eastAsia="TimesNewRomanPSMT" w:cs="TimesNewRomanPSMT"/>
                <w:color w:val="000000"/>
                <w:kern w:val="0"/>
                <w:sz w:val="24"/>
                <w:szCs w:val="24"/>
                <w:u w:val="single"/>
                <w:lang w:val="en-US" w:eastAsia="zh-CN" w:bidi="ar"/>
              </w:rPr>
              <w:t>722</w:t>
            </w:r>
            <w:r>
              <w:rPr>
                <w:rFonts w:hint="eastAsia" w:ascii="宋体" w:hAnsi="宋体" w:eastAsia="宋体" w:cs="宋体"/>
                <w:color w:val="000000"/>
                <w:kern w:val="0"/>
                <w:sz w:val="24"/>
                <w:szCs w:val="24"/>
                <w:u w:val="single"/>
                <w:lang w:val="en-US" w:eastAsia="zh-CN" w:bidi="ar"/>
              </w:rPr>
              <w:t>米，路宽</w:t>
            </w:r>
            <w:r>
              <w:rPr>
                <w:rFonts w:hint="default" w:ascii="TimesNewRomanPSMT" w:hAnsi="TimesNewRomanPSMT" w:eastAsia="TimesNewRomanPSMT" w:cs="TimesNewRomanPSMT"/>
                <w:color w:val="000000"/>
                <w:kern w:val="0"/>
                <w:sz w:val="24"/>
                <w:szCs w:val="24"/>
                <w:u w:val="single"/>
                <w:lang w:val="en-US" w:eastAsia="zh-CN" w:bidi="ar"/>
              </w:rPr>
              <w:t>4</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5</w:t>
            </w:r>
            <w:r>
              <w:rPr>
                <w:rFonts w:hint="eastAsia" w:ascii="宋体" w:hAnsi="宋体" w:eastAsia="宋体" w:cs="宋体"/>
                <w:color w:val="000000"/>
                <w:kern w:val="0"/>
                <w:sz w:val="24"/>
                <w:szCs w:val="24"/>
                <w:u w:val="single"/>
                <w:lang w:val="en-US" w:eastAsia="zh-CN" w:bidi="ar"/>
              </w:rPr>
              <w:t>米，现状奇家社区南港河西岸道路没有污水管网，农村生活污水散排进入南港河，对水体造成严重污染。</w:t>
            </w:r>
          </w:p>
          <w:p>
            <w:pPr>
              <w:pageBreakBefore w:val="0"/>
              <w:kinsoku/>
              <w:wordWrap/>
              <w:overflowPunct/>
              <w:topLinePunct w:val="0"/>
              <w:autoSpaceDE/>
              <w:autoSpaceDN/>
              <w:bidi w:val="0"/>
              <w:adjustRightInd/>
              <w:snapToGrid/>
              <w:spacing w:line="360" w:lineRule="auto"/>
              <w:ind w:firstLine="480" w:firstLineChars="200"/>
              <w:textAlignment w:val="auto"/>
              <w:rPr>
                <w:rFonts w:hint="eastAsia"/>
                <w:sz w:val="24"/>
                <w:szCs w:val="24"/>
                <w:u w:val="single"/>
                <w:lang w:val="en-US" w:eastAsia="zh-CN"/>
              </w:rPr>
            </w:pPr>
            <w:r>
              <w:rPr>
                <w:rFonts w:hint="eastAsia" w:ascii="宋体" w:hAnsi="宋体" w:eastAsia="宋体" w:cs="宋体"/>
                <w:sz w:val="24"/>
                <w:szCs w:val="24"/>
                <w:u w:val="single"/>
                <w:lang w:val="en-US" w:eastAsia="zh-CN"/>
              </w:rPr>
              <w:t>②区域</w:t>
            </w:r>
            <w:r>
              <w:rPr>
                <w:rFonts w:hint="eastAsia"/>
                <w:sz w:val="24"/>
                <w:szCs w:val="24"/>
                <w:u w:val="single"/>
                <w:lang w:val="en-US" w:eastAsia="zh-CN"/>
              </w:rPr>
              <w:t>管网混接错接造成污水混入雨水管道直排入河产生污染或雨水混入污水管道导致污水管道过流能力不足产生污水溢流。</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③岳阳大道和枣子山路交汇处已建弘毅中学，目前有师生约</w:t>
            </w:r>
            <w:r>
              <w:rPr>
                <w:rFonts w:hint="default" w:ascii="TimesNewRomanPSMT" w:hAnsi="TimesNewRomanPSMT" w:eastAsia="TimesNewRomanPSMT" w:cs="TimesNewRomanPSMT"/>
                <w:color w:val="000000"/>
                <w:kern w:val="0"/>
                <w:sz w:val="24"/>
                <w:szCs w:val="24"/>
                <w:u w:val="single"/>
                <w:lang w:val="en-US" w:eastAsia="zh-CN" w:bidi="ar"/>
              </w:rPr>
              <w:t>3948</w:t>
            </w:r>
            <w:r>
              <w:rPr>
                <w:rFonts w:hint="eastAsia" w:ascii="宋体" w:hAnsi="宋体" w:eastAsia="宋体" w:cs="宋体"/>
                <w:color w:val="000000"/>
                <w:kern w:val="0"/>
                <w:sz w:val="24"/>
                <w:szCs w:val="24"/>
                <w:u w:val="single"/>
                <w:lang w:val="en-US" w:eastAsia="zh-CN" w:bidi="ar"/>
              </w:rPr>
              <w:t>人；区域近期规划工业用地面积共约</w:t>
            </w:r>
            <w:r>
              <w:rPr>
                <w:rFonts w:hint="eastAsia" w:ascii="TimesNewRomanPSMT" w:hAnsi="TimesNewRomanPSMT" w:eastAsia="TimesNewRomanPSMT" w:cs="TimesNewRomanPSMT"/>
                <w:color w:val="000000"/>
                <w:kern w:val="0"/>
                <w:sz w:val="24"/>
                <w:szCs w:val="24"/>
                <w:u w:val="single"/>
                <w:lang w:val="en-US" w:eastAsia="zh-CN" w:bidi="ar"/>
              </w:rPr>
              <w:t>70</w:t>
            </w:r>
            <w:r>
              <w:rPr>
                <w:rFonts w:ascii="TimesNewRomanPSMT" w:hAnsi="TimesNewRomanPSMT" w:eastAsia="TimesNewRomanPSMT" w:cs="TimesNewRomanPSMT"/>
                <w:color w:val="000000"/>
                <w:kern w:val="0"/>
                <w:sz w:val="24"/>
                <w:szCs w:val="24"/>
                <w:u w:val="single"/>
                <w:lang w:val="en-US" w:eastAsia="zh-CN" w:bidi="ar"/>
              </w:rPr>
              <w:t>hm</w:t>
            </w:r>
            <w:r>
              <w:rPr>
                <w:rFonts w:hint="default" w:ascii="TimesNewRomanPSMT" w:hAnsi="TimesNewRomanPSMT" w:eastAsia="TimesNewRomanPSMT" w:cs="TimesNewRomanPSMT"/>
                <w:color w:val="000000"/>
                <w:kern w:val="0"/>
                <w:sz w:val="24"/>
                <w:szCs w:val="24"/>
                <w:u w:val="single"/>
                <w:vertAlign w:val="superscript"/>
                <w:lang w:val="en-US" w:eastAsia="zh-CN" w:bidi="ar"/>
              </w:rPr>
              <w:t>2</w:t>
            </w:r>
            <w:r>
              <w:rPr>
                <w:rFonts w:hint="default" w:ascii="TimesNewRomanPSMT" w:hAnsi="TimesNewRomanPSMT" w:eastAsia="TimesNewRomanPSMT" w:cs="TimesNewRomanPSMT"/>
                <w:color w:val="000000"/>
                <w:kern w:val="0"/>
                <w:sz w:val="24"/>
                <w:szCs w:val="24"/>
                <w:u w:val="single"/>
                <w:lang w:val="en-US" w:eastAsia="zh-CN" w:bidi="ar"/>
              </w:rPr>
              <w:t xml:space="preserve"> </w:t>
            </w:r>
            <w:r>
              <w:rPr>
                <w:rFonts w:hint="eastAsia" w:ascii="宋体" w:hAnsi="宋体" w:eastAsia="宋体" w:cs="宋体"/>
                <w:color w:val="000000"/>
                <w:kern w:val="0"/>
                <w:sz w:val="24"/>
                <w:szCs w:val="24"/>
                <w:u w:val="single"/>
                <w:lang w:val="en-US" w:eastAsia="zh-CN" w:bidi="ar"/>
              </w:rPr>
              <w:t>，区域污水管网暂未完善。</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u w:val="single"/>
                <w:lang w:val="en-US" w:eastAsia="zh-CN"/>
              </w:rPr>
            </w:pPr>
            <w:r>
              <w:rPr>
                <w:rFonts w:hint="eastAsia" w:ascii="宋体" w:hAnsi="宋体" w:eastAsia="宋体" w:cs="宋体"/>
                <w:sz w:val="24"/>
                <w:szCs w:val="24"/>
                <w:u w:val="single"/>
              </w:rPr>
              <w:t>④</w:t>
            </w:r>
            <w:r>
              <w:rPr>
                <w:rFonts w:hint="eastAsia" w:ascii="宋体" w:hAnsi="宋体" w:eastAsia="宋体" w:cs="宋体"/>
                <w:color w:val="000000"/>
                <w:kern w:val="0"/>
                <w:sz w:val="24"/>
                <w:szCs w:val="24"/>
                <w:u w:val="single"/>
                <w:lang w:val="en-US" w:eastAsia="zh-CN" w:bidi="ar"/>
              </w:rPr>
              <w:t>牛栏坡溢流口纳污范围内无法分流改造片区多为棚户区及工业厂房，近期内难以实现全部雨污分流。片区内合流制溢流污染负荷</w:t>
            </w:r>
            <w:r>
              <w:rPr>
                <w:rFonts w:hint="eastAsia" w:ascii="宋体" w:hAnsi="宋体" w:cs="宋体"/>
                <w:color w:val="000000"/>
                <w:kern w:val="0"/>
                <w:sz w:val="24"/>
                <w:szCs w:val="24"/>
                <w:u w:val="single"/>
                <w:lang w:val="en-US" w:eastAsia="zh-CN" w:bidi="ar"/>
              </w:rPr>
              <w:t>较重，</w:t>
            </w:r>
            <w:r>
              <w:rPr>
                <w:rFonts w:hint="default" w:ascii="Times New Roman" w:hAnsi="Times New Roman" w:eastAsia="宋体" w:cs="Times New Roman"/>
                <w:sz w:val="24"/>
                <w:szCs w:val="24"/>
                <w:u w:val="single"/>
                <w:lang w:val="en-US" w:eastAsia="zh-CN"/>
              </w:rPr>
              <w:t>雨季汇入水量较大，合流污水超过牛栏坡截污干管过流能力，同时污水厂处理规模未考虑雨季合流制水量，雨季处理能力不足，因此污水溢流进入牛栏坡。</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 xml:space="preserve"> ⑤南北港河有三处较大的湿塘，水域总面积为</w:t>
            </w:r>
            <w:r>
              <w:rPr>
                <w:rFonts w:hint="default" w:ascii="Times New Roman" w:hAnsi="Times New Roman" w:eastAsia="宋体" w:cs="Times New Roman"/>
                <w:color w:val="000000"/>
                <w:kern w:val="0"/>
                <w:sz w:val="24"/>
                <w:szCs w:val="24"/>
                <w:u w:val="single"/>
                <w:lang w:val="en-US" w:eastAsia="zh-CN" w:bidi="ar"/>
              </w:rPr>
              <w:t>57896 m</w:t>
            </w:r>
            <w:r>
              <w:rPr>
                <w:rFonts w:hint="default" w:ascii="Times New Roman" w:hAnsi="Times New Roman" w:eastAsia="宋体" w:cs="Times New Roman"/>
                <w:color w:val="000000"/>
                <w:kern w:val="0"/>
                <w:sz w:val="24"/>
                <w:szCs w:val="24"/>
                <w:u w:val="single"/>
                <w:vertAlign w:val="superscript"/>
                <w:lang w:val="en-US" w:eastAsia="zh-CN" w:bidi="ar"/>
              </w:rPr>
              <w:t>2</w:t>
            </w:r>
            <w:r>
              <w:rPr>
                <w:rFonts w:hint="default" w:ascii="Times New Roman" w:hAnsi="Times New Roman" w:eastAsia="宋体" w:cs="Times New Roman"/>
                <w:color w:val="000000"/>
                <w:kern w:val="0"/>
                <w:sz w:val="24"/>
                <w:szCs w:val="24"/>
                <w:u w:val="single"/>
                <w:lang w:val="en-US" w:eastAsia="zh-CN" w:bidi="ar"/>
              </w:rPr>
              <w:t>，</w:t>
            </w:r>
            <w:r>
              <w:rPr>
                <w:rFonts w:hint="eastAsia" w:ascii="宋体" w:hAnsi="宋体" w:eastAsia="宋体" w:cs="宋体"/>
                <w:color w:val="000000"/>
                <w:kern w:val="0"/>
                <w:sz w:val="24"/>
                <w:szCs w:val="24"/>
                <w:u w:val="single"/>
                <w:lang w:val="en-US" w:eastAsia="zh-CN" w:bidi="ar"/>
              </w:rPr>
              <w:t xml:space="preserve">水源主要为地表径流与周边居民散户排口出水，水体现状富营养化严重。对周边居民生活环境造成了很严重的影响，极大的降低了居民的生活品质。此外，湿塘因常年污染未治理，湿塘底部淤泥沉积严重，平均淤泥深度 </w:t>
            </w:r>
            <w:r>
              <w:rPr>
                <w:rFonts w:ascii="TimesNewRomanPSMT" w:hAnsi="TimesNewRomanPSMT" w:eastAsia="TimesNewRomanPSMT" w:cs="TimesNewRomanPSMT"/>
                <w:color w:val="000000"/>
                <w:kern w:val="0"/>
                <w:sz w:val="24"/>
                <w:szCs w:val="24"/>
                <w:u w:val="single"/>
                <w:lang w:val="en-US" w:eastAsia="zh-CN" w:bidi="ar"/>
              </w:rPr>
              <w:t>0.5m</w:t>
            </w:r>
            <w:r>
              <w:rPr>
                <w:rFonts w:hint="eastAsia" w:ascii="宋体" w:hAnsi="宋体" w:eastAsia="宋体" w:cs="宋体"/>
                <w:color w:val="000000"/>
                <w:kern w:val="0"/>
                <w:sz w:val="24"/>
                <w:szCs w:val="24"/>
                <w:u w:val="single"/>
                <w:lang w:val="en-US" w:eastAsia="zh-CN" w:bidi="ar"/>
              </w:rPr>
              <w:t xml:space="preserve">。 </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为解决区域</w:t>
            </w:r>
            <w:r>
              <w:rPr>
                <w:rFonts w:hint="eastAsia" w:cs="Times New Roman"/>
                <w:color w:val="000000"/>
                <w:kern w:val="0"/>
                <w:sz w:val="24"/>
                <w:szCs w:val="24"/>
                <w:lang w:val="en-US" w:eastAsia="zh-CN" w:bidi="ar"/>
              </w:rPr>
              <w:t>污水收集系统问题</w:t>
            </w:r>
            <w:r>
              <w:rPr>
                <w:rFonts w:hint="default" w:ascii="Times New Roman" w:hAnsi="Times New Roman" w:eastAsia="宋体" w:cs="Times New Roman"/>
                <w:color w:val="000000"/>
                <w:kern w:val="0"/>
                <w:sz w:val="24"/>
                <w:szCs w:val="24"/>
                <w:lang w:val="en-US" w:eastAsia="zh-CN" w:bidi="ar"/>
              </w:rPr>
              <w:t>，保证罗家坡污水厂高质高效运行，提升和长效保持南北港河水质，</w:t>
            </w:r>
            <w:r>
              <w:rPr>
                <w:rFonts w:hint="eastAsia" w:ascii="Times New Roman" w:hAnsi="Times New Roman"/>
                <w:color w:val="auto"/>
                <w:sz w:val="24"/>
                <w:szCs w:val="24"/>
                <w:highlight w:val="none"/>
                <w:lang w:val="en-US" w:eastAsia="zh-CN"/>
              </w:rPr>
              <w:t>中国市政工程华北设计研究总院有限公司</w:t>
            </w:r>
            <w:r>
              <w:rPr>
                <w:rFonts w:hint="default" w:ascii="Times New Roman" w:hAnsi="Times New Roman" w:eastAsia="宋体" w:cs="Times New Roman"/>
                <w:color w:val="000000"/>
                <w:kern w:val="0"/>
                <w:sz w:val="24"/>
                <w:szCs w:val="24"/>
                <w:highlight w:val="none"/>
                <w:lang w:val="en-US" w:eastAsia="zh-CN" w:bidi="ar"/>
              </w:rPr>
              <w:t>拟</w:t>
            </w:r>
            <w:r>
              <w:rPr>
                <w:rFonts w:hint="default" w:ascii="Times New Roman" w:hAnsi="Times New Roman" w:eastAsia="宋体" w:cs="Times New Roman"/>
                <w:color w:val="000000"/>
                <w:kern w:val="0"/>
                <w:sz w:val="24"/>
                <w:szCs w:val="24"/>
                <w:lang w:val="en-US" w:eastAsia="zh-CN" w:bidi="ar"/>
              </w:rPr>
              <w:t>启动罗家坡污水系统收集管网完善工程建设项目。本项目包含截污工程、</w:t>
            </w:r>
            <w:r>
              <w:rPr>
                <w:rFonts w:hint="eastAsia" w:cs="Times New Roman"/>
                <w:color w:val="000000"/>
                <w:kern w:val="0"/>
                <w:sz w:val="24"/>
                <w:szCs w:val="24"/>
                <w:lang w:val="en-US" w:eastAsia="zh-CN" w:bidi="ar"/>
              </w:rPr>
              <w:t>点源污染控制工程</w:t>
            </w:r>
            <w:r>
              <w:rPr>
                <w:rFonts w:hint="default" w:ascii="Times New Roman" w:hAnsi="Times New Roman" w:eastAsia="宋体" w:cs="Times New Roman"/>
                <w:color w:val="000000"/>
                <w:kern w:val="0"/>
                <w:sz w:val="24"/>
                <w:szCs w:val="24"/>
                <w:lang w:val="en-US" w:eastAsia="zh-CN" w:bidi="ar"/>
              </w:rPr>
              <w:t>、合流制溢流污染控制工程、面源污染控制工程</w:t>
            </w:r>
            <w:r>
              <w:rPr>
                <w:rFonts w:hint="eastAsia" w:cs="Times New Roman"/>
                <w:color w:val="000000"/>
                <w:kern w:val="0"/>
                <w:sz w:val="24"/>
                <w:szCs w:val="24"/>
                <w:lang w:val="en-US" w:eastAsia="zh-CN" w:bidi="ar"/>
              </w:rPr>
              <w:t>四大项工程建设内容；其中</w:t>
            </w:r>
            <w:r>
              <w:rPr>
                <w:rFonts w:hint="default" w:ascii="Times New Roman" w:hAnsi="Times New Roman" w:eastAsia="宋体" w:cs="Times New Roman"/>
                <w:color w:val="000000"/>
                <w:kern w:val="0"/>
                <w:sz w:val="24"/>
                <w:szCs w:val="24"/>
                <w:lang w:val="en-US" w:eastAsia="zh-CN" w:bidi="ar"/>
              </w:rPr>
              <w:t>包</w:t>
            </w:r>
            <w:r>
              <w:rPr>
                <w:rFonts w:hint="eastAsia" w:cs="Times New Roman"/>
                <w:color w:val="000000"/>
                <w:kern w:val="0"/>
                <w:sz w:val="24"/>
                <w:szCs w:val="24"/>
                <w:lang w:val="en-US" w:eastAsia="zh-CN" w:bidi="ar"/>
              </w:rPr>
              <w:t>含的子项目有</w:t>
            </w:r>
            <w:r>
              <w:rPr>
                <w:rFonts w:hint="default" w:ascii="Times New Roman" w:hAnsi="Times New Roman" w:eastAsia="宋体" w:cs="Times New Roman"/>
                <w:color w:val="000000"/>
                <w:kern w:val="0"/>
                <w:sz w:val="24"/>
                <w:szCs w:val="24"/>
                <w:lang w:val="en-US" w:eastAsia="zh-CN" w:bidi="ar"/>
              </w:rPr>
              <w:t>：白石岭路南段雨污分流工程、科技路雨污分流工程、狮子山北路雨污分流工程、通海南路北段雨污分流工程、科美达路雨污分流工程、长山路雨污分流工程、营盘岭路雨污分流工程（包含 DN500给水管道建设）、民兴路雨污分流工程、狮子山南路雨污分流工程、双拥路雨污分流工程、太阳坡路雨污分流工程、白石岭路北段雨污分流工程、桐子岭路雨污分流工程（包含 DN400给水管道建设）、巴陵东路雨污分流工程、青年东路雨污分流工程、长山路延长线雨污分流工程、华强路雨污分流工程、后头坡路雨污分流工程、排鸭冲路雨污分流工程；岳阳大道混接错接改造工程；岳阳大道东片区截污工程；奇家社区截污工程；合流制溢流污染控制工程；面源污染控制工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rightChars="0" w:firstLine="480" w:firstLineChars="200"/>
              <w:jc w:val="left"/>
              <w:textAlignment w:val="auto"/>
              <w:outlineLvl w:val="9"/>
              <w:rPr>
                <w:rFonts w:hint="default" w:ascii="Times New Roman" w:hAnsi="Times New Roman" w:cs="Times New Roman"/>
                <w:sz w:val="24"/>
                <w:szCs w:val="24"/>
                <w:u w:val="single"/>
              </w:rPr>
            </w:pPr>
            <w:r>
              <w:rPr>
                <w:rFonts w:hint="default" w:ascii="Times New Roman" w:hAnsi="Times New Roman" w:cs="Times New Roman"/>
                <w:color w:val="auto"/>
                <w:kern w:val="2"/>
                <w:sz w:val="24"/>
                <w:szCs w:val="24"/>
                <w:u w:val="none"/>
              </w:rPr>
              <w:t>根据《中华人民共和国环境保护法》、《中华人民共和国环境影响评价法》、《建设项目环境保护管理条例》等相关规定，</w:t>
            </w:r>
            <w:r>
              <w:rPr>
                <w:rFonts w:hint="default" w:ascii="Times New Roman" w:hAnsi="Times New Roman" w:cs="Times New Roman"/>
                <w:color w:val="auto"/>
                <w:sz w:val="24"/>
                <w:szCs w:val="24"/>
                <w:u w:val="none"/>
                <w:lang w:eastAsia="zh-CN"/>
              </w:rPr>
              <w:t>本</w:t>
            </w:r>
            <w:r>
              <w:rPr>
                <w:rFonts w:hint="default" w:ascii="Times New Roman" w:hAnsi="Times New Roman" w:cs="Times New Roman"/>
                <w:color w:val="auto"/>
                <w:sz w:val="24"/>
                <w:szCs w:val="24"/>
                <w:u w:val="none"/>
              </w:rPr>
              <w:t>项目</w:t>
            </w:r>
            <w:r>
              <w:rPr>
                <w:rFonts w:hint="default" w:ascii="Times New Roman" w:hAnsi="Times New Roman" w:cs="Times New Roman"/>
                <w:color w:val="auto"/>
                <w:kern w:val="2"/>
                <w:sz w:val="24"/>
                <w:szCs w:val="24"/>
                <w:u w:val="none"/>
              </w:rPr>
              <w:t>应进行环境影响评价</w:t>
            </w:r>
            <w:r>
              <w:rPr>
                <w:rFonts w:hint="default" w:ascii="Times New Roman" w:hAnsi="Times New Roman" w:cs="Times New Roman"/>
                <w:color w:val="auto"/>
                <w:kern w:val="2"/>
                <w:sz w:val="24"/>
                <w:szCs w:val="24"/>
                <w:u w:val="none"/>
                <w:lang w:eastAsia="zh-CN"/>
              </w:rPr>
              <w:t>。</w:t>
            </w:r>
            <w:r>
              <w:rPr>
                <w:rFonts w:hint="default" w:ascii="Times New Roman" w:hAnsi="Times New Roman" w:cs="Times New Roman"/>
                <w:color w:val="auto"/>
                <w:kern w:val="2"/>
                <w:sz w:val="24"/>
                <w:szCs w:val="24"/>
                <w:u w:val="none"/>
              </w:rPr>
              <w:t>对照《建设项目环境影响评价分类管理名录》（201</w:t>
            </w:r>
            <w:r>
              <w:rPr>
                <w:rFonts w:hint="default" w:ascii="Times New Roman" w:hAnsi="Times New Roman" w:cs="Times New Roman"/>
                <w:color w:val="auto"/>
                <w:kern w:val="2"/>
                <w:sz w:val="24"/>
                <w:szCs w:val="24"/>
                <w:u w:val="none"/>
                <w:lang w:val="en-US" w:eastAsia="zh-CN"/>
              </w:rPr>
              <w:t>8</w:t>
            </w:r>
            <w:r>
              <w:rPr>
                <w:rFonts w:hint="default" w:ascii="Times New Roman" w:hAnsi="Times New Roman" w:cs="Times New Roman"/>
                <w:color w:val="auto"/>
                <w:kern w:val="2"/>
                <w:sz w:val="24"/>
                <w:szCs w:val="24"/>
                <w:u w:val="none"/>
              </w:rPr>
              <w:t>年</w:t>
            </w:r>
            <w:r>
              <w:rPr>
                <w:rFonts w:hint="default" w:ascii="Times New Roman" w:hAnsi="Times New Roman" w:cs="Times New Roman"/>
                <w:color w:val="auto"/>
                <w:kern w:val="2"/>
                <w:sz w:val="24"/>
                <w:szCs w:val="24"/>
                <w:u w:val="none"/>
                <w:lang w:val="en-US" w:eastAsia="zh-CN"/>
              </w:rPr>
              <w:t>4</w:t>
            </w:r>
            <w:r>
              <w:rPr>
                <w:rFonts w:hint="default" w:ascii="Times New Roman" w:hAnsi="Times New Roman" w:cs="Times New Roman"/>
                <w:color w:val="auto"/>
                <w:kern w:val="2"/>
                <w:sz w:val="24"/>
                <w:szCs w:val="24"/>
                <w:u w:val="none"/>
              </w:rPr>
              <w:t>月</w:t>
            </w:r>
            <w:r>
              <w:rPr>
                <w:rFonts w:hint="default" w:ascii="Times New Roman" w:hAnsi="Times New Roman" w:cs="Times New Roman"/>
                <w:color w:val="auto"/>
                <w:kern w:val="2"/>
                <w:sz w:val="24"/>
                <w:szCs w:val="24"/>
                <w:u w:val="none"/>
                <w:lang w:val="en-US" w:eastAsia="zh-CN"/>
              </w:rPr>
              <w:t>28</w:t>
            </w:r>
            <w:r>
              <w:rPr>
                <w:rFonts w:hint="default" w:ascii="Times New Roman" w:hAnsi="Times New Roman" w:cs="Times New Roman"/>
                <w:color w:val="auto"/>
                <w:kern w:val="2"/>
                <w:sz w:val="24"/>
                <w:szCs w:val="24"/>
                <w:u w:val="none"/>
              </w:rPr>
              <w:t>日</w:t>
            </w:r>
            <w:r>
              <w:rPr>
                <w:rFonts w:hint="default" w:ascii="Times New Roman" w:hAnsi="Times New Roman" w:cs="Times New Roman"/>
                <w:color w:val="auto"/>
                <w:kern w:val="2"/>
                <w:sz w:val="24"/>
                <w:szCs w:val="24"/>
                <w:u w:val="none"/>
                <w:lang w:eastAsia="zh-CN"/>
              </w:rPr>
              <w:t>修订稿</w:t>
            </w:r>
            <w:r>
              <w:rPr>
                <w:rFonts w:hint="default" w:ascii="Times New Roman" w:hAnsi="Times New Roman" w:cs="Times New Roman"/>
                <w:color w:val="auto"/>
                <w:kern w:val="2"/>
                <w:sz w:val="24"/>
                <w:szCs w:val="24"/>
                <w:u w:val="none"/>
              </w:rPr>
              <w:t>），本项目</w:t>
            </w:r>
            <w:r>
              <w:rPr>
                <w:rFonts w:hint="default" w:ascii="Times New Roman" w:hAnsi="Times New Roman" w:cs="Times New Roman"/>
                <w:color w:val="auto"/>
                <w:kern w:val="2"/>
                <w:sz w:val="24"/>
                <w:szCs w:val="24"/>
                <w:u w:val="none"/>
                <w:lang w:eastAsia="zh-CN"/>
              </w:rPr>
              <w:t>面源污染控制工程主要对南北港河三处较大湿地整治，属于</w:t>
            </w:r>
            <w:r>
              <w:rPr>
                <w:rFonts w:hint="default" w:ascii="Times New Roman" w:hAnsi="Times New Roman" w:cs="Times New Roman"/>
                <w:color w:val="auto"/>
                <w:kern w:val="2"/>
                <w:sz w:val="24"/>
                <w:szCs w:val="24"/>
                <w:u w:val="none"/>
              </w:rPr>
              <w:t>“四十六、水利</w:t>
            </w:r>
            <w:r>
              <w:rPr>
                <w:rFonts w:hint="default" w:ascii="Times New Roman" w:hAnsi="Times New Roman" w:cs="Times New Roman"/>
                <w:color w:val="auto"/>
                <w:kern w:val="2"/>
                <w:sz w:val="24"/>
                <w:szCs w:val="24"/>
                <w:u w:val="none"/>
                <w:lang w:val="en-US" w:eastAsia="zh-CN"/>
              </w:rPr>
              <w:t xml:space="preserve">  </w:t>
            </w:r>
            <w:r>
              <w:rPr>
                <w:rFonts w:hint="default" w:ascii="Times New Roman" w:hAnsi="Times New Roman" w:cs="Times New Roman"/>
                <w:color w:val="auto"/>
                <w:kern w:val="2"/>
                <w:sz w:val="24"/>
                <w:szCs w:val="24"/>
                <w:u w:val="none"/>
              </w:rPr>
              <w:t>145河湖整治</w:t>
            </w:r>
            <w:r>
              <w:rPr>
                <w:rFonts w:hint="default" w:ascii="Times New Roman" w:hAnsi="Times New Roman" w:cs="Times New Roman"/>
                <w:color w:val="auto"/>
                <w:kern w:val="2"/>
                <w:sz w:val="24"/>
                <w:szCs w:val="24"/>
                <w:u w:val="none"/>
                <w:lang w:val="en-US" w:eastAsia="zh-CN"/>
              </w:rPr>
              <w:t>中的</w:t>
            </w:r>
            <w:r>
              <w:rPr>
                <w:rFonts w:hint="default" w:ascii="Times New Roman" w:hAnsi="Times New Roman" w:cs="Times New Roman"/>
                <w:color w:val="auto"/>
                <w:kern w:val="2"/>
                <w:sz w:val="24"/>
                <w:szCs w:val="24"/>
                <w:u w:val="none"/>
              </w:rPr>
              <w:t>其他”</w:t>
            </w:r>
            <w:r>
              <w:rPr>
                <w:rStyle w:val="68"/>
                <w:rFonts w:hint="default" w:ascii="Times New Roman" w:hAnsi="Times New Roman" w:cs="Times New Roman"/>
                <w:color w:val="auto"/>
                <w:sz w:val="24"/>
                <w:szCs w:val="24"/>
                <w:u w:val="none"/>
                <w:lang w:eastAsia="zh-CN"/>
              </w:rPr>
              <w:t>，</w:t>
            </w:r>
            <w:r>
              <w:rPr>
                <w:rStyle w:val="68"/>
                <w:rFonts w:hint="default" w:ascii="Times New Roman" w:hAnsi="Times New Roman" w:cs="Times New Roman"/>
                <w:color w:val="auto"/>
                <w:sz w:val="24"/>
                <w:szCs w:val="24"/>
                <w:u w:val="none"/>
                <w:lang w:val="en-US" w:eastAsia="zh-CN"/>
              </w:rPr>
              <w:t>应</w:t>
            </w:r>
            <w:r>
              <w:rPr>
                <w:rStyle w:val="68"/>
                <w:rFonts w:hint="default" w:ascii="Times New Roman" w:hAnsi="Times New Roman" w:cs="Times New Roman"/>
                <w:color w:val="auto"/>
                <w:sz w:val="24"/>
                <w:szCs w:val="24"/>
                <w:u w:val="none"/>
              </w:rPr>
              <w:t>编制环境影响报告表</w:t>
            </w:r>
            <w:r>
              <w:rPr>
                <w:rStyle w:val="68"/>
                <w:rFonts w:hint="default" w:ascii="Times New Roman" w:hAnsi="Times New Roman" w:cs="Times New Roman"/>
                <w:color w:val="auto"/>
                <w:sz w:val="24"/>
                <w:szCs w:val="24"/>
                <w:u w:val="none"/>
                <w:lang w:eastAsia="zh-CN"/>
              </w:rPr>
              <w:t>；项目</w:t>
            </w:r>
            <w:r>
              <w:rPr>
                <w:rStyle w:val="68"/>
                <w:rFonts w:hint="eastAsia" w:cs="Times New Roman"/>
                <w:color w:val="auto"/>
                <w:sz w:val="24"/>
                <w:szCs w:val="24"/>
                <w:u w:val="none"/>
                <w:lang w:eastAsia="zh-CN"/>
              </w:rPr>
              <w:t>点源污染控制</w:t>
            </w:r>
            <w:r>
              <w:rPr>
                <w:rStyle w:val="68"/>
                <w:rFonts w:hint="default" w:ascii="Times New Roman" w:hAnsi="Times New Roman" w:cs="Times New Roman"/>
                <w:color w:val="auto"/>
                <w:sz w:val="24"/>
                <w:szCs w:val="24"/>
                <w:u w:val="none"/>
                <w:lang w:eastAsia="zh-CN"/>
              </w:rPr>
              <w:t>工程主要新建雨水、污水和给水管道，属于“四十九、交通运输业、管道运输业和仓储业</w:t>
            </w:r>
            <w:r>
              <w:rPr>
                <w:rStyle w:val="68"/>
                <w:rFonts w:hint="default" w:ascii="Times New Roman" w:hAnsi="Times New Roman" w:cs="Times New Roman"/>
                <w:color w:val="auto"/>
                <w:sz w:val="24"/>
                <w:szCs w:val="24"/>
                <w:u w:val="none"/>
                <w:lang w:val="en-US" w:eastAsia="zh-CN"/>
              </w:rPr>
              <w:t xml:space="preserve"> 175城镇管网及管廊建设中的新建 </w:t>
            </w:r>
            <w:r>
              <w:rPr>
                <w:rStyle w:val="68"/>
                <w:rFonts w:hint="default" w:ascii="Times New Roman" w:hAnsi="Times New Roman" w:cs="Times New Roman"/>
                <w:color w:val="auto"/>
                <w:sz w:val="24"/>
                <w:szCs w:val="24"/>
                <w:u w:val="none"/>
                <w:lang w:eastAsia="zh-CN"/>
              </w:rPr>
              <w:t>”，应编制环境影响报告表；</w:t>
            </w:r>
            <w:r>
              <w:rPr>
                <w:rStyle w:val="68"/>
                <w:rFonts w:hint="eastAsia" w:ascii="Times New Roman" w:hAnsi="Times New Roman" w:cs="Times New Roman"/>
                <w:color w:val="auto"/>
                <w:sz w:val="24"/>
                <w:szCs w:val="24"/>
                <w:u w:val="none"/>
                <w:lang w:eastAsia="zh-CN"/>
              </w:rPr>
              <w:t>项目奇家社区及面源污染控制工程中均会新建污水处理站，属于“三十三、水的生产和供应业</w:t>
            </w:r>
            <w:r>
              <w:rPr>
                <w:rStyle w:val="68"/>
                <w:rFonts w:hint="eastAsia" w:ascii="Times New Roman" w:hAnsi="Times New Roman" w:cs="Times New Roman"/>
                <w:color w:val="auto"/>
                <w:sz w:val="24"/>
                <w:szCs w:val="24"/>
                <w:u w:val="none"/>
                <w:lang w:val="en-US" w:eastAsia="zh-CN"/>
              </w:rPr>
              <w:t xml:space="preserve">  96生活污水集中处理中的其他</w:t>
            </w:r>
            <w:r>
              <w:rPr>
                <w:rStyle w:val="68"/>
                <w:rFonts w:hint="eastAsia" w:ascii="Times New Roman" w:hAnsi="Times New Roman" w:cs="Times New Roman"/>
                <w:color w:val="auto"/>
                <w:sz w:val="24"/>
                <w:szCs w:val="24"/>
                <w:u w:val="none"/>
                <w:lang w:eastAsia="zh-CN"/>
              </w:rPr>
              <w:t>”应编制环境影响报告表</w:t>
            </w:r>
            <w:r>
              <w:rPr>
                <w:rStyle w:val="68"/>
                <w:rFonts w:hint="eastAsia" w:cs="Times New Roman"/>
                <w:color w:val="auto"/>
                <w:sz w:val="24"/>
                <w:szCs w:val="24"/>
                <w:u w:val="none"/>
                <w:lang w:eastAsia="zh-CN"/>
              </w:rPr>
              <w:t>；综上，本项目应编制环境影响报告表</w:t>
            </w:r>
            <w:r>
              <w:rPr>
                <w:rStyle w:val="68"/>
                <w:rFonts w:hint="eastAsia" w:ascii="Times New Roman" w:hAnsi="Times New Roman" w:cs="Times New Roman"/>
                <w:color w:val="auto"/>
                <w:sz w:val="24"/>
                <w:szCs w:val="24"/>
                <w:u w:val="none"/>
                <w:lang w:eastAsia="zh-CN"/>
              </w:rPr>
              <w:t>。</w:t>
            </w:r>
            <w:r>
              <w:rPr>
                <w:rFonts w:hint="default" w:ascii="Times New Roman" w:hAnsi="Times New Roman" w:cs="Times New Roman"/>
                <w:color w:val="auto"/>
                <w:kern w:val="2"/>
                <w:sz w:val="24"/>
                <w:szCs w:val="24"/>
                <w:u w:val="none"/>
              </w:rPr>
              <w:t>因</w:t>
            </w:r>
            <w:r>
              <w:rPr>
                <w:rFonts w:hint="default" w:ascii="Times New Roman" w:hAnsi="Times New Roman" w:cs="Times New Roman"/>
                <w:color w:val="auto"/>
                <w:kern w:val="2"/>
                <w:sz w:val="24"/>
                <w:szCs w:val="24"/>
              </w:rPr>
              <w:t>此</w:t>
            </w:r>
            <w:r>
              <w:rPr>
                <w:rFonts w:hint="eastAsia" w:ascii="Times New Roman" w:hAnsi="Times New Roman"/>
                <w:color w:val="auto"/>
                <w:sz w:val="24"/>
                <w:szCs w:val="24"/>
                <w:highlight w:val="none"/>
                <w:lang w:val="en-US" w:eastAsia="zh-CN"/>
              </w:rPr>
              <w:t>中国市政工程华北设计研究总院有限公司</w:t>
            </w:r>
            <w:r>
              <w:rPr>
                <w:rFonts w:hint="default" w:ascii="Times New Roman" w:hAnsi="Times New Roman" w:cs="Times New Roman"/>
                <w:color w:val="auto"/>
                <w:kern w:val="2"/>
                <w:sz w:val="24"/>
                <w:szCs w:val="24"/>
                <w:highlight w:val="none"/>
              </w:rPr>
              <w:t>委托</w:t>
            </w:r>
            <w:r>
              <w:rPr>
                <w:rFonts w:hint="default" w:ascii="Times New Roman" w:hAnsi="Times New Roman" w:cs="Times New Roman"/>
                <w:color w:val="auto"/>
                <w:kern w:val="2"/>
                <w:sz w:val="24"/>
                <w:szCs w:val="24"/>
                <w:highlight w:val="none"/>
                <w:lang w:val="en-US" w:eastAsia="zh-CN"/>
              </w:rPr>
              <w:t>湖</w:t>
            </w:r>
            <w:r>
              <w:rPr>
                <w:rFonts w:hint="default" w:ascii="Times New Roman" w:hAnsi="Times New Roman" w:cs="Times New Roman"/>
                <w:color w:val="auto"/>
                <w:kern w:val="2"/>
                <w:sz w:val="24"/>
                <w:szCs w:val="24"/>
                <w:lang w:val="en-US" w:eastAsia="zh-CN"/>
              </w:rPr>
              <w:t>南朋乐达环保科技有限公司</w:t>
            </w:r>
            <w:r>
              <w:rPr>
                <w:rFonts w:hint="default" w:ascii="Times New Roman" w:hAnsi="Times New Roman" w:cs="Times New Roman"/>
                <w:color w:val="auto"/>
                <w:kern w:val="2"/>
                <w:sz w:val="24"/>
                <w:szCs w:val="24"/>
              </w:rPr>
              <w:t>承担了本项目的环境影响评价工作，根据国家及地方有关环保法律法规要求，在进行现场踏勘、分析收集有关资料及环境质量现状调查的基础上</w:t>
            </w:r>
            <w:r>
              <w:rPr>
                <w:rFonts w:hint="default" w:ascii="Times New Roman" w:hAnsi="Times New Roman" w:cs="Times New Roman"/>
                <w:color w:val="auto"/>
                <w:kern w:val="2"/>
                <w:sz w:val="24"/>
                <w:szCs w:val="24"/>
                <w:lang w:eastAsia="zh-CN"/>
              </w:rPr>
              <w:t>，</w:t>
            </w:r>
            <w:r>
              <w:rPr>
                <w:rFonts w:hint="default" w:ascii="Times New Roman" w:hAnsi="Times New Roman" w:cs="Times New Roman"/>
                <w:color w:val="auto"/>
                <w:kern w:val="2"/>
                <w:sz w:val="24"/>
                <w:szCs w:val="24"/>
              </w:rPr>
              <w:t>编制完成了《</w:t>
            </w:r>
            <w:r>
              <w:rPr>
                <w:rFonts w:hint="eastAsia" w:ascii="Times New Roman" w:hAnsi="Times New Roman" w:eastAsia="宋体"/>
                <w:color w:val="auto"/>
                <w:sz w:val="24"/>
                <w:szCs w:val="24"/>
                <w:lang w:val="en-US" w:eastAsia="zh-CN"/>
              </w:rPr>
              <w:t>罗家坡污水系统收集管网完善工程建设项目</w:t>
            </w:r>
            <w:r>
              <w:rPr>
                <w:rFonts w:hint="default" w:ascii="Times New Roman" w:hAnsi="Times New Roman" w:cs="Times New Roman"/>
                <w:color w:val="auto"/>
                <w:kern w:val="2"/>
                <w:sz w:val="24"/>
                <w:szCs w:val="24"/>
              </w:rPr>
              <w:t>环境影响报告表》。</w:t>
            </w:r>
          </w:p>
          <w:p>
            <w:pPr>
              <w:keepNext w:val="0"/>
              <w:keepLines w:val="0"/>
              <w:pageBreakBefore w:val="0"/>
              <w:widowControl w:val="0"/>
              <w:kinsoku/>
              <w:wordWrap/>
              <w:overflowPunct/>
              <w:topLinePunct w:val="0"/>
              <w:autoSpaceDE/>
              <w:autoSpaceDN/>
              <w:bidi w:val="0"/>
              <w:adjustRightInd w:val="0"/>
              <w:snapToGrid/>
              <w:spacing w:line="360" w:lineRule="auto"/>
              <w:ind w:left="0" w:leftChars="0" w:right="0" w:rightChars="0" w:firstLine="0" w:firstLineChars="0"/>
              <w:jc w:val="both"/>
              <w:textAlignment w:val="auto"/>
              <w:outlineLvl w:val="9"/>
              <w:rPr>
                <w:rFonts w:hint="eastAsia"/>
                <w:b/>
                <w:bCs/>
                <w:color w:val="auto"/>
                <w:sz w:val="24"/>
                <w:szCs w:val="24"/>
                <w:lang w:val="en-US" w:eastAsia="zh-CN"/>
              </w:rPr>
            </w:pPr>
            <w:r>
              <w:rPr>
                <w:rFonts w:hint="eastAsia"/>
                <w:b/>
                <w:bCs/>
                <w:color w:val="auto"/>
                <w:sz w:val="24"/>
                <w:szCs w:val="24"/>
                <w:lang w:val="en-US" w:eastAsia="zh-CN"/>
              </w:rPr>
              <w:t>1.</w:t>
            </w:r>
            <w:r>
              <w:rPr>
                <w:b/>
                <w:bCs/>
                <w:color w:val="auto"/>
                <w:sz w:val="24"/>
                <w:szCs w:val="24"/>
              </w:rPr>
              <w:t>2</w:t>
            </w:r>
            <w:r>
              <w:rPr>
                <w:rFonts w:hint="eastAsia"/>
                <w:b/>
                <w:bCs/>
                <w:color w:val="auto"/>
                <w:sz w:val="24"/>
                <w:szCs w:val="24"/>
                <w:lang w:val="en-US" w:eastAsia="zh-CN"/>
              </w:rPr>
              <w:t>工程现状及问题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1.2.1</w:t>
            </w:r>
            <w:r>
              <w:rPr>
                <w:rFonts w:hint="default" w:ascii="Times New Roman" w:hAnsi="Times New Roman" w:eastAsia="宋体" w:cs="Times New Roman"/>
                <w:sz w:val="24"/>
                <w:szCs w:val="24"/>
              </w:rPr>
              <w:t>受纳水体水质恶化</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通过对南北港河沿线进行现场踏勘，发现主河道及各支流存在较多排放口，有沿河居民直接将生活污水排放至河道，由于片区局部排水管道为合流制，或者存在混接，导致晴天时仍有污水排至河内，导致水质恶劣。</w:t>
            </w:r>
          </w:p>
          <w:p>
            <w:pPr>
              <w:bidi w:val="0"/>
              <w:spacing w:line="360" w:lineRule="auto"/>
              <w:rPr>
                <w:rFonts w:hint="eastAsia"/>
                <w:sz w:val="24"/>
                <w:szCs w:val="24"/>
                <w:u w:val="single"/>
                <w:lang w:val="en-US" w:eastAsia="zh-CN"/>
              </w:rPr>
            </w:pPr>
            <w:r>
              <w:rPr>
                <w:rFonts w:hint="eastAsia"/>
                <w:sz w:val="24"/>
                <w:szCs w:val="24"/>
                <w:lang w:val="en-US" w:eastAsia="zh-CN"/>
              </w:rPr>
              <w:t xml:space="preserve">    </w:t>
            </w:r>
            <w:r>
              <w:rPr>
                <w:rFonts w:hint="eastAsia"/>
                <w:sz w:val="24"/>
                <w:szCs w:val="24"/>
                <w:u w:val="single"/>
                <w:lang w:val="en-US" w:eastAsia="zh-CN"/>
              </w:rPr>
              <w:t>罗家坡片区工程范围分7 个排水分区，分别为太阳桥主涵分区、北港分区、康王分区、金凤桥分区、芭山港分区、新华港分区和木里港分区。其中，金凤桥分区、芭山港分区、新华港分区和木里港分区内无完善污水系统，污水主要通过边沟或散排进入水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sz w:val="24"/>
                <w:szCs w:val="24"/>
              </w:rPr>
            </w:pPr>
            <w:r>
              <w:rPr>
                <w:rFonts w:hint="eastAsia" w:cs="Times New Roman"/>
                <w:sz w:val="24"/>
                <w:szCs w:val="24"/>
                <w:lang w:val="en-US" w:eastAsia="zh-CN"/>
              </w:rPr>
              <w:t>1.2.2</w:t>
            </w:r>
            <w:r>
              <w:rPr>
                <w:rFonts w:hint="eastAsia" w:ascii="Times New Roman" w:hAnsi="Times New Roman" w:eastAsia="宋体" w:cs="Times New Roman"/>
                <w:sz w:val="24"/>
                <w:szCs w:val="24"/>
              </w:rPr>
              <w:t>存在内涝、易涝点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根据实地调查和查阅资料，罗家坡片区现状存在的内涝、易涝点有</w:t>
            </w:r>
            <w:r>
              <w:rPr>
                <w:rFonts w:hint="eastAsia" w:cs="Times New Roman"/>
                <w:sz w:val="24"/>
                <w:szCs w:val="24"/>
                <w:lang w:val="en-US" w:eastAsia="zh-CN"/>
              </w:rPr>
              <w:t>5</w:t>
            </w:r>
            <w:r>
              <w:rPr>
                <w:rFonts w:hint="default" w:ascii="Times New Roman" w:hAnsi="Times New Roman" w:eastAsia="宋体" w:cs="Times New Roman"/>
                <w:sz w:val="24"/>
                <w:szCs w:val="24"/>
              </w:rPr>
              <w:t>处，详</w:t>
            </w:r>
            <w:r>
              <w:rPr>
                <w:rFonts w:hint="eastAsia" w:cs="Times New Roman"/>
                <w:sz w:val="24"/>
                <w:szCs w:val="24"/>
                <w:lang w:eastAsia="zh-CN"/>
              </w:rPr>
              <w:t>表</w:t>
            </w:r>
            <w:r>
              <w:rPr>
                <w:rFonts w:hint="eastAsia" w:cs="Times New Roman"/>
                <w:sz w:val="24"/>
                <w:szCs w:val="24"/>
                <w:lang w:val="en-US" w:eastAsia="zh-CN"/>
              </w:rPr>
              <w:t>1.2-1</w:t>
            </w:r>
            <w:r>
              <w:rPr>
                <w:rFonts w:hint="default" w:ascii="Times New Roman" w:hAnsi="Times New Roman" w:eastAsia="宋体" w:cs="Times New Roman"/>
                <w:sz w:val="24"/>
                <w:szCs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rPr>
                <w:rFonts w:hint="eastAsia" w:ascii="Times New Roman" w:hAnsi="Times New Roman" w:eastAsia="宋体" w:cs="Times New Roman"/>
                <w:b/>
                <w:bCs/>
                <w:sz w:val="24"/>
                <w:szCs w:val="24"/>
              </w:rPr>
            </w:pPr>
            <w:r>
              <w:rPr>
                <w:rFonts w:hint="eastAsia" w:ascii="Times New Roman" w:hAnsi="Times New Roman" w:eastAsia="宋体" w:cs="Times New Roman"/>
                <w:b/>
                <w:bCs/>
                <w:sz w:val="24"/>
                <w:szCs w:val="24"/>
              </w:rPr>
              <w:t>表</w:t>
            </w:r>
            <w:r>
              <w:rPr>
                <w:rFonts w:hint="eastAsia" w:cs="Times New Roman"/>
                <w:b/>
                <w:bCs/>
                <w:sz w:val="24"/>
                <w:szCs w:val="24"/>
                <w:lang w:val="en-US" w:eastAsia="zh-CN"/>
              </w:rPr>
              <w:t>1.2-1</w:t>
            </w:r>
            <w:r>
              <w:rPr>
                <w:rFonts w:hint="default" w:ascii="Times New Roman" w:hAnsi="Times New Roman" w:eastAsia="宋体" w:cs="Times New Roman"/>
                <w:b/>
                <w:bCs/>
                <w:sz w:val="24"/>
                <w:szCs w:val="24"/>
              </w:rPr>
              <w:t xml:space="preserve">  </w:t>
            </w:r>
            <w:r>
              <w:rPr>
                <w:rFonts w:hint="eastAsia" w:ascii="Times New Roman" w:hAnsi="Times New Roman" w:eastAsia="宋体" w:cs="Times New Roman"/>
                <w:b/>
                <w:bCs/>
                <w:sz w:val="24"/>
                <w:szCs w:val="24"/>
              </w:rPr>
              <w:t>现状内涝点一览表</w:t>
            </w:r>
          </w:p>
          <w:tbl>
            <w:tblPr>
              <w:tblStyle w:val="26"/>
              <w:tblW w:w="4998" w:type="pct"/>
              <w:tblInd w:w="13" w:type="dxa"/>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Layout w:type="autofit"/>
              <w:tblCellMar>
                <w:top w:w="0" w:type="dxa"/>
                <w:left w:w="0" w:type="dxa"/>
                <w:bottom w:w="0" w:type="dxa"/>
                <w:right w:w="0" w:type="dxa"/>
              </w:tblCellMar>
            </w:tblPr>
            <w:tblGrid>
              <w:gridCol w:w="1368"/>
              <w:gridCol w:w="3541"/>
              <w:gridCol w:w="464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CellMar>
                  <w:top w:w="0" w:type="dxa"/>
                  <w:left w:w="0" w:type="dxa"/>
                  <w:bottom w:w="0" w:type="dxa"/>
                  <w:right w:w="0" w:type="dxa"/>
                </w:tblCellMar>
              </w:tblPrEx>
              <w:trPr>
                <w:trHeight w:val="397" w:hRule="atLeast"/>
              </w:trPr>
              <w:tc>
                <w:tcPr>
                  <w:tcW w:w="716" w:type="pct"/>
                  <w:tcBorders>
                    <w:tl2br w:val="nil"/>
                    <w:tr2bl w:val="nil"/>
                  </w:tcBorders>
                </w:tcPr>
                <w:p>
                  <w:pPr>
                    <w:pStyle w:val="83"/>
                    <w:spacing w:before="63"/>
                    <w:ind w:left="315" w:right="286"/>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内涝点</w:t>
                  </w:r>
                </w:p>
              </w:tc>
              <w:tc>
                <w:tcPr>
                  <w:tcW w:w="1853" w:type="pct"/>
                  <w:tcBorders>
                    <w:tl2br w:val="nil"/>
                    <w:tr2bl w:val="nil"/>
                  </w:tcBorders>
                </w:tcPr>
                <w:p>
                  <w:pPr>
                    <w:pStyle w:val="83"/>
                    <w:spacing w:before="63"/>
                    <w:ind w:left="42" w:right="13"/>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位置</w:t>
                  </w:r>
                </w:p>
              </w:tc>
              <w:tc>
                <w:tcPr>
                  <w:tcW w:w="2429" w:type="pct"/>
                  <w:tcBorders>
                    <w:tl2br w:val="nil"/>
                    <w:tr2bl w:val="nil"/>
                  </w:tcBorders>
                </w:tcPr>
                <w:p>
                  <w:pPr>
                    <w:pStyle w:val="83"/>
                    <w:spacing w:before="63"/>
                    <w:ind w:left="190" w:right="16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内涝原因</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CellMar>
                  <w:top w:w="0" w:type="dxa"/>
                  <w:left w:w="0" w:type="dxa"/>
                  <w:bottom w:w="0" w:type="dxa"/>
                  <w:right w:w="0" w:type="dxa"/>
                </w:tblCellMar>
              </w:tblPrEx>
              <w:trPr>
                <w:trHeight w:val="395" w:hRule="atLeast"/>
              </w:trPr>
              <w:tc>
                <w:tcPr>
                  <w:tcW w:w="716" w:type="pct"/>
                  <w:tcBorders>
                    <w:tl2br w:val="nil"/>
                    <w:tr2bl w:val="nil"/>
                  </w:tcBorders>
                </w:tcPr>
                <w:p>
                  <w:pPr>
                    <w:pStyle w:val="83"/>
                    <w:spacing w:before="70"/>
                    <w:ind w:left="28"/>
                    <w:rPr>
                      <w:rFonts w:hint="default" w:ascii="Times New Roman" w:hAnsi="Times New Roman" w:cs="Times New Roman"/>
                      <w:sz w:val="21"/>
                      <w:szCs w:val="21"/>
                    </w:rPr>
                  </w:pPr>
                  <w:r>
                    <w:rPr>
                      <w:rFonts w:hint="default" w:ascii="Times New Roman" w:hAnsi="Times New Roman" w:cs="Times New Roman"/>
                      <w:w w:val="100"/>
                      <w:sz w:val="21"/>
                      <w:szCs w:val="21"/>
                    </w:rPr>
                    <w:t>1</w:t>
                  </w:r>
                </w:p>
              </w:tc>
              <w:tc>
                <w:tcPr>
                  <w:tcW w:w="1853" w:type="pct"/>
                  <w:tcBorders>
                    <w:tl2br w:val="nil"/>
                    <w:tr2bl w:val="nil"/>
                  </w:tcBorders>
                </w:tcPr>
                <w:p>
                  <w:pPr>
                    <w:pStyle w:val="83"/>
                    <w:spacing w:before="63"/>
                    <w:ind w:left="42" w:right="15"/>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大塘北路与巴陵东路交口西北侧</w:t>
                  </w:r>
                </w:p>
              </w:tc>
              <w:tc>
                <w:tcPr>
                  <w:tcW w:w="2429" w:type="pct"/>
                  <w:vMerge w:val="restart"/>
                  <w:tcBorders>
                    <w:tl2br w:val="nil"/>
                    <w:tr2bl w:val="nil"/>
                  </w:tcBorders>
                </w:tcPr>
                <w:p>
                  <w:pPr>
                    <w:pStyle w:val="83"/>
                    <w:spacing w:before="130" w:line="244" w:lineRule="auto"/>
                    <w:ind w:left="1574" w:right="-44" w:hanging="1563"/>
                    <w:jc w:val="left"/>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 xml:space="preserve">金凤桥分区仍在开发建设中，排水出路未打通， </w:t>
                  </w:r>
                  <w:r>
                    <w:rPr>
                      <w:rFonts w:hint="default" w:ascii="Times New Roman" w:hAnsi="Times New Roman" w:eastAsia="宋体" w:cs="Times New Roman"/>
                      <w:spacing w:val="-2"/>
                      <w:sz w:val="21"/>
                      <w:szCs w:val="21"/>
                    </w:rPr>
                    <w:t>局部出现内涝</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CellMar>
                  <w:top w:w="0" w:type="dxa"/>
                  <w:left w:w="0" w:type="dxa"/>
                  <w:bottom w:w="0" w:type="dxa"/>
                  <w:right w:w="0" w:type="dxa"/>
                </w:tblCellMar>
              </w:tblPrEx>
              <w:trPr>
                <w:trHeight w:val="397" w:hRule="atLeast"/>
              </w:trPr>
              <w:tc>
                <w:tcPr>
                  <w:tcW w:w="716" w:type="pct"/>
                  <w:tcBorders>
                    <w:tl2br w:val="nil"/>
                    <w:tr2bl w:val="nil"/>
                  </w:tcBorders>
                </w:tcPr>
                <w:p>
                  <w:pPr>
                    <w:pStyle w:val="83"/>
                    <w:spacing w:before="72"/>
                    <w:ind w:left="28"/>
                    <w:rPr>
                      <w:rFonts w:hint="default" w:ascii="Times New Roman" w:hAnsi="Times New Roman" w:cs="Times New Roman"/>
                      <w:sz w:val="21"/>
                      <w:szCs w:val="21"/>
                    </w:rPr>
                  </w:pPr>
                  <w:r>
                    <w:rPr>
                      <w:rFonts w:hint="default" w:ascii="Times New Roman" w:hAnsi="Times New Roman" w:cs="Times New Roman"/>
                      <w:w w:val="100"/>
                      <w:sz w:val="21"/>
                      <w:szCs w:val="21"/>
                    </w:rPr>
                    <w:t>2</w:t>
                  </w:r>
                </w:p>
              </w:tc>
              <w:tc>
                <w:tcPr>
                  <w:tcW w:w="1853" w:type="pct"/>
                  <w:tcBorders>
                    <w:tl2br w:val="nil"/>
                    <w:tr2bl w:val="nil"/>
                  </w:tcBorders>
                </w:tcPr>
                <w:p>
                  <w:pPr>
                    <w:pStyle w:val="83"/>
                    <w:spacing w:before="65"/>
                    <w:ind w:left="42" w:right="15"/>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金凤桥路与巴陵东路交口西南侧</w:t>
                  </w:r>
                </w:p>
              </w:tc>
              <w:tc>
                <w:tcPr>
                  <w:tcW w:w="2429" w:type="pct"/>
                  <w:vMerge w:val="continue"/>
                  <w:tcBorders>
                    <w:tl2br w:val="nil"/>
                    <w:tr2bl w:val="nil"/>
                  </w:tcBorders>
                </w:tcPr>
                <w:p>
                  <w:pPr>
                    <w:rPr>
                      <w:rFonts w:hint="default" w:ascii="Times New Roman" w:hAnsi="Times New Roman" w:cs="Times New Roman"/>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CellMar>
                  <w:top w:w="0" w:type="dxa"/>
                  <w:left w:w="0" w:type="dxa"/>
                  <w:bottom w:w="0" w:type="dxa"/>
                  <w:right w:w="0" w:type="dxa"/>
                </w:tblCellMar>
              </w:tblPrEx>
              <w:trPr>
                <w:trHeight w:val="397" w:hRule="atLeast"/>
              </w:trPr>
              <w:tc>
                <w:tcPr>
                  <w:tcW w:w="716" w:type="pct"/>
                  <w:tcBorders>
                    <w:tl2br w:val="nil"/>
                    <w:tr2bl w:val="nil"/>
                  </w:tcBorders>
                </w:tcPr>
                <w:p>
                  <w:pPr>
                    <w:pStyle w:val="83"/>
                    <w:spacing w:before="72"/>
                    <w:ind w:left="28"/>
                    <w:rPr>
                      <w:rFonts w:hint="default" w:ascii="Times New Roman" w:hAnsi="Times New Roman" w:cs="Times New Roman"/>
                      <w:sz w:val="21"/>
                      <w:szCs w:val="21"/>
                    </w:rPr>
                  </w:pPr>
                  <w:r>
                    <w:rPr>
                      <w:rFonts w:hint="default" w:ascii="Times New Roman" w:hAnsi="Times New Roman" w:cs="Times New Roman"/>
                      <w:w w:val="100"/>
                      <w:sz w:val="21"/>
                      <w:szCs w:val="21"/>
                    </w:rPr>
                    <w:t>3</w:t>
                  </w:r>
                </w:p>
              </w:tc>
              <w:tc>
                <w:tcPr>
                  <w:tcW w:w="1853" w:type="pct"/>
                  <w:tcBorders>
                    <w:tl2br w:val="nil"/>
                    <w:tr2bl w:val="nil"/>
                  </w:tcBorders>
                </w:tcPr>
                <w:p>
                  <w:pPr>
                    <w:pStyle w:val="83"/>
                    <w:spacing w:before="63"/>
                    <w:ind w:left="28" w:right="-15"/>
                    <w:rPr>
                      <w:rFonts w:hint="default" w:ascii="Times New Roman" w:hAnsi="Times New Roman" w:eastAsia="宋体" w:cs="Times New Roman"/>
                      <w:sz w:val="21"/>
                      <w:szCs w:val="21"/>
                    </w:rPr>
                  </w:pPr>
                  <w:r>
                    <w:rPr>
                      <w:rFonts w:hint="default" w:ascii="Times New Roman" w:hAnsi="Times New Roman" w:eastAsia="宋体" w:cs="Times New Roman"/>
                      <w:spacing w:val="-3"/>
                      <w:sz w:val="21"/>
                      <w:szCs w:val="21"/>
                    </w:rPr>
                    <w:t>白石岭南路与岳阳大道交口道路积水</w:t>
                  </w:r>
                </w:p>
              </w:tc>
              <w:tc>
                <w:tcPr>
                  <w:tcW w:w="2429" w:type="pct"/>
                  <w:tcBorders>
                    <w:tl2br w:val="nil"/>
                    <w:tr2bl w:val="nil"/>
                  </w:tcBorders>
                </w:tcPr>
                <w:p>
                  <w:pPr>
                    <w:pStyle w:val="83"/>
                    <w:spacing w:before="63"/>
                    <w:ind w:left="190" w:right="163"/>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岳阳大道雨水管未与下游连接无出路</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CellMar>
                  <w:top w:w="0" w:type="dxa"/>
                  <w:left w:w="0" w:type="dxa"/>
                  <w:bottom w:w="0" w:type="dxa"/>
                  <w:right w:w="0" w:type="dxa"/>
                </w:tblCellMar>
              </w:tblPrEx>
              <w:trPr>
                <w:trHeight w:val="395" w:hRule="atLeast"/>
              </w:trPr>
              <w:tc>
                <w:tcPr>
                  <w:tcW w:w="716" w:type="pct"/>
                  <w:tcBorders>
                    <w:tl2br w:val="nil"/>
                    <w:tr2bl w:val="nil"/>
                  </w:tcBorders>
                </w:tcPr>
                <w:p>
                  <w:pPr>
                    <w:pStyle w:val="83"/>
                    <w:spacing w:before="70"/>
                    <w:ind w:left="28"/>
                    <w:rPr>
                      <w:rFonts w:hint="default" w:ascii="Times New Roman" w:hAnsi="Times New Roman" w:cs="Times New Roman"/>
                      <w:sz w:val="21"/>
                      <w:szCs w:val="21"/>
                    </w:rPr>
                  </w:pPr>
                  <w:r>
                    <w:rPr>
                      <w:rFonts w:hint="default" w:ascii="Times New Roman" w:hAnsi="Times New Roman" w:cs="Times New Roman"/>
                      <w:w w:val="100"/>
                      <w:sz w:val="21"/>
                      <w:szCs w:val="21"/>
                    </w:rPr>
                    <w:t>4</w:t>
                  </w:r>
                </w:p>
              </w:tc>
              <w:tc>
                <w:tcPr>
                  <w:tcW w:w="1853" w:type="pct"/>
                  <w:tcBorders>
                    <w:tl2br w:val="nil"/>
                    <w:tr2bl w:val="nil"/>
                  </w:tcBorders>
                </w:tcPr>
                <w:p>
                  <w:pPr>
                    <w:pStyle w:val="83"/>
                    <w:spacing w:before="63"/>
                    <w:ind w:left="42" w:right="13"/>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双拥路与白石岭南路交口</w:t>
                  </w:r>
                </w:p>
              </w:tc>
              <w:tc>
                <w:tcPr>
                  <w:tcW w:w="2429" w:type="pct"/>
                  <w:tcBorders>
                    <w:tl2br w:val="nil"/>
                    <w:tr2bl w:val="nil"/>
                  </w:tcBorders>
                </w:tcPr>
                <w:p>
                  <w:pPr>
                    <w:pStyle w:val="83"/>
                    <w:spacing w:before="63"/>
                    <w:ind w:left="190" w:right="163"/>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英伦国际西侧排水出路不畅，导致上游涌水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4" w:space="0"/>
                </w:tblBorders>
                <w:tblCellMar>
                  <w:top w:w="0" w:type="dxa"/>
                  <w:left w:w="0" w:type="dxa"/>
                  <w:bottom w:w="0" w:type="dxa"/>
                  <w:right w:w="0" w:type="dxa"/>
                </w:tblCellMar>
              </w:tblPrEx>
              <w:trPr>
                <w:trHeight w:val="395" w:hRule="atLeast"/>
              </w:trPr>
              <w:tc>
                <w:tcPr>
                  <w:tcW w:w="716" w:type="pct"/>
                  <w:tcBorders>
                    <w:tl2br w:val="nil"/>
                    <w:tr2bl w:val="nil"/>
                  </w:tcBorders>
                </w:tcPr>
                <w:p>
                  <w:pPr>
                    <w:pStyle w:val="83"/>
                    <w:spacing w:before="72"/>
                    <w:ind w:left="28"/>
                    <w:rPr>
                      <w:rFonts w:hint="default" w:ascii="Times New Roman" w:hAnsi="Times New Roman" w:cs="Times New Roman"/>
                      <w:sz w:val="21"/>
                      <w:szCs w:val="21"/>
                    </w:rPr>
                  </w:pPr>
                  <w:r>
                    <w:rPr>
                      <w:rFonts w:hint="default" w:ascii="Times New Roman" w:hAnsi="Times New Roman" w:cs="Times New Roman"/>
                      <w:w w:val="100"/>
                      <w:sz w:val="21"/>
                      <w:szCs w:val="21"/>
                    </w:rPr>
                    <w:t>5</w:t>
                  </w:r>
                </w:p>
              </w:tc>
              <w:tc>
                <w:tcPr>
                  <w:tcW w:w="1853" w:type="pct"/>
                  <w:tcBorders>
                    <w:tl2br w:val="nil"/>
                    <w:tr2bl w:val="nil"/>
                  </w:tcBorders>
                </w:tcPr>
                <w:p>
                  <w:pPr>
                    <w:pStyle w:val="83"/>
                    <w:spacing w:before="63"/>
                    <w:ind w:left="42" w:right="15"/>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对门山路与白石岭南路交口</w:t>
                  </w:r>
                </w:p>
              </w:tc>
              <w:tc>
                <w:tcPr>
                  <w:tcW w:w="2429" w:type="pct"/>
                  <w:tcBorders>
                    <w:tl2br w:val="nil"/>
                    <w:tr2bl w:val="nil"/>
                  </w:tcBorders>
                </w:tcPr>
                <w:p>
                  <w:pPr>
                    <w:pStyle w:val="83"/>
                    <w:spacing w:before="63"/>
                    <w:ind w:left="190" w:right="162"/>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下游</w:t>
                  </w:r>
                  <w:r>
                    <w:rPr>
                      <w:rFonts w:hint="default" w:ascii="Times New Roman" w:hAnsi="Times New Roman" w:cs="Times New Roman"/>
                      <w:sz w:val="21"/>
                      <w:szCs w:val="21"/>
                    </w:rPr>
                    <w:t xml:space="preserve">DN600 </w:t>
                  </w:r>
                  <w:r>
                    <w:rPr>
                      <w:rFonts w:hint="default" w:ascii="Times New Roman" w:hAnsi="Times New Roman" w:eastAsia="宋体" w:cs="Times New Roman"/>
                      <w:sz w:val="21"/>
                      <w:szCs w:val="21"/>
                    </w:rPr>
                    <w:t>管径过流能力不足导致积水</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1.2.3问题成因</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60" w:firstLineChars="200"/>
              <w:jc w:val="both"/>
              <w:textAlignment w:val="auto"/>
              <w:rPr>
                <w:rFonts w:hint="eastAsia" w:ascii="Times New Roman" w:hAnsi="Times New Roman" w:eastAsia="宋体" w:cs="Times New Roman"/>
                <w:spacing w:val="-5"/>
                <w:sz w:val="24"/>
                <w:szCs w:val="24"/>
                <w:lang w:eastAsia="zh-CN"/>
              </w:rPr>
            </w:pPr>
            <w:bookmarkStart w:id="3" w:name="4.1.2 存在内涝、易涝点"/>
            <w:bookmarkEnd w:id="3"/>
            <w:bookmarkStart w:id="4" w:name="_bookmark79"/>
            <w:bookmarkEnd w:id="4"/>
            <w:bookmarkStart w:id="5" w:name="_bookmark79"/>
            <w:bookmarkEnd w:id="5"/>
            <w:r>
              <w:rPr>
                <w:rFonts w:hint="eastAsia" w:ascii="Times New Roman" w:hAnsi="Times New Roman" w:eastAsia="宋体" w:cs="Times New Roman"/>
                <w:spacing w:val="-5"/>
                <w:sz w:val="24"/>
                <w:szCs w:val="24"/>
                <w:lang w:eastAsia="zh-CN"/>
              </w:rPr>
              <w:t>（</w:t>
            </w:r>
            <w:r>
              <w:rPr>
                <w:rFonts w:hint="eastAsia" w:ascii="Times New Roman" w:hAnsi="Times New Roman" w:eastAsia="宋体" w:cs="Times New Roman"/>
                <w:spacing w:val="-5"/>
                <w:sz w:val="24"/>
                <w:szCs w:val="24"/>
                <w:lang w:val="en-US" w:eastAsia="zh-CN"/>
              </w:rPr>
              <w:t>1</w:t>
            </w:r>
            <w:r>
              <w:rPr>
                <w:rFonts w:hint="eastAsia" w:ascii="Times New Roman" w:hAnsi="Times New Roman" w:eastAsia="宋体" w:cs="Times New Roman"/>
                <w:spacing w:val="-5"/>
                <w:sz w:val="24"/>
                <w:szCs w:val="24"/>
                <w:lang w:eastAsia="zh-CN"/>
              </w:rPr>
              <w:t>）点源污染</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jc w:val="both"/>
              <w:textAlignment w:val="auto"/>
              <w:rPr>
                <w:rFonts w:hint="eastAsia" w:ascii="Times New Roman" w:hAnsi="Times New Roman" w:eastAsia="宋体" w:cs="Times New Roman"/>
                <w:spacing w:val="-5"/>
                <w:sz w:val="24"/>
                <w:szCs w:val="24"/>
                <w:lang w:eastAsia="zh-CN"/>
              </w:rPr>
            </w:pPr>
            <w:r>
              <w:rPr>
                <w:rFonts w:hint="eastAsia" w:ascii="宋体" w:hAnsi="宋体" w:eastAsia="宋体" w:cs="宋体"/>
                <w:spacing w:val="-5"/>
                <w:sz w:val="24"/>
                <w:szCs w:val="24"/>
              </w:rPr>
              <w:t>①</w:t>
            </w:r>
            <w:r>
              <w:rPr>
                <w:rFonts w:hint="eastAsia" w:ascii="Times New Roman" w:hAnsi="Times New Roman" w:eastAsia="宋体" w:cs="Times New Roman"/>
                <w:spacing w:val="-5"/>
                <w:sz w:val="24"/>
                <w:szCs w:val="24"/>
                <w:lang w:eastAsia="zh-CN"/>
              </w:rPr>
              <w:t>污水直排</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北港河支流包括梅溪港、芭山港及新华港；南港河支流包括木里港及柴家港。主河道沿线及其支流共有污水直排水口73个，其中分流制污水排口9个，沿河居民排水口64个。</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bookmarkStart w:id="6" w:name="4.2.1.2 合流制污染排放"/>
            <w:bookmarkEnd w:id="6"/>
            <w:bookmarkStart w:id="7" w:name="4.2.1.2 合流制污染排放"/>
            <w:bookmarkEnd w:id="7"/>
            <w:r>
              <w:rPr>
                <w:rFonts w:hint="eastAsia" w:ascii="宋体" w:hAnsi="宋体" w:eastAsia="宋体" w:cs="宋体"/>
                <w:color w:val="000000"/>
                <w:kern w:val="0"/>
                <w:sz w:val="24"/>
                <w:szCs w:val="24"/>
                <w:u w:val="single"/>
                <w:lang w:val="en-US" w:eastAsia="zh-CN" w:bidi="ar"/>
              </w:rPr>
              <w:t>排入南北港河干流的污染物总量中</w:t>
            </w:r>
            <w:r>
              <w:rPr>
                <w:rFonts w:ascii="TimesNewRomanPSMT" w:hAnsi="TimesNewRomanPSMT" w:eastAsia="TimesNewRomanPSMT" w:cs="TimesNewRomanPSMT"/>
                <w:color w:val="000000"/>
                <w:kern w:val="0"/>
                <w:sz w:val="24"/>
                <w:szCs w:val="24"/>
                <w:u w:val="single"/>
                <w:lang w:val="en-US" w:eastAsia="zh-CN" w:bidi="ar"/>
              </w:rPr>
              <w:t xml:space="preserve">COD </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4565.81 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NH</w:t>
            </w:r>
            <w:r>
              <w:rPr>
                <w:rFonts w:hint="default" w:ascii="TimesNewRomanPSMT" w:hAnsi="TimesNewRomanPSMT" w:eastAsia="TimesNewRomanPSMT" w:cs="TimesNewRomanPSMT"/>
                <w:color w:val="000000"/>
                <w:kern w:val="0"/>
                <w:sz w:val="24"/>
                <w:szCs w:val="24"/>
                <w:u w:val="single"/>
                <w:vertAlign w:val="sub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-N</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563.56</w:t>
            </w:r>
            <w:r>
              <w:rPr>
                <w:rFonts w:ascii="TimesNewRomanPSMT" w:hAnsi="TimesNewRomanPSMT" w:eastAsia="TimesNewRomanPSMT" w:cs="TimesNewRomanPSMT"/>
                <w:color w:val="000000"/>
                <w:kern w:val="0"/>
                <w:sz w:val="24"/>
                <w:szCs w:val="24"/>
                <w:u w:val="single"/>
                <w:lang w:val="en-US" w:eastAsia="zh-CN" w:bidi="ar"/>
              </w:rPr>
              <w:t>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TN</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740.38 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TP</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78.32 kg/a</w:t>
            </w:r>
            <w:r>
              <w:rPr>
                <w:rFonts w:hint="eastAsia" w:ascii="宋体" w:hAnsi="宋体" w:eastAsia="宋体" w:cs="宋体"/>
                <w:color w:val="000000"/>
                <w:kern w:val="0"/>
                <w:sz w:val="24"/>
                <w:szCs w:val="24"/>
                <w:u w:val="single"/>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 xml:space="preserve">排入梅溪港河的污染物总量中 </w:t>
            </w:r>
            <w:r>
              <w:rPr>
                <w:rFonts w:ascii="TimesNewRomanPSMT" w:hAnsi="TimesNewRomanPSMT" w:eastAsia="TimesNewRomanPSMT" w:cs="TimesNewRomanPSMT"/>
                <w:color w:val="000000"/>
                <w:kern w:val="0"/>
                <w:sz w:val="24"/>
                <w:szCs w:val="24"/>
                <w:u w:val="single"/>
                <w:lang w:val="en-US" w:eastAsia="zh-CN" w:bidi="ar"/>
              </w:rPr>
              <w:t xml:space="preserve">COD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196320.70kg/a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NH</w:t>
            </w:r>
            <w:r>
              <w:rPr>
                <w:rFonts w:hint="default" w:ascii="TimesNewRomanPSMT" w:hAnsi="TimesNewRomanPSMT" w:eastAsia="TimesNewRomanPSMT" w:cs="TimesNewRomanPSMT"/>
                <w:color w:val="000000"/>
                <w:kern w:val="0"/>
                <w:sz w:val="24"/>
                <w:szCs w:val="24"/>
                <w:u w:val="single"/>
                <w:vertAlign w:val="sub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-N</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10542.30kg/a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TN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17955.26kg/a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TP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2010.06kg/a</w:t>
            </w:r>
            <w:r>
              <w:rPr>
                <w:rFonts w:hint="eastAsia" w:ascii="宋体" w:hAnsi="宋体" w:eastAsia="宋体" w:cs="宋体"/>
                <w:color w:val="000000"/>
                <w:kern w:val="0"/>
                <w:sz w:val="24"/>
                <w:szCs w:val="24"/>
                <w:u w:val="single"/>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000000"/>
                <w:kern w:val="0"/>
                <w:sz w:val="24"/>
                <w:szCs w:val="24"/>
                <w:u w:val="single"/>
                <w:lang w:val="en-US" w:eastAsia="zh-CN" w:bidi="ar"/>
              </w:rPr>
            </w:pPr>
            <w:r>
              <w:rPr>
                <w:rFonts w:hint="eastAsia" w:ascii="宋体" w:hAnsi="宋体" w:eastAsia="宋体" w:cs="宋体"/>
                <w:color w:val="000000"/>
                <w:kern w:val="0"/>
                <w:sz w:val="24"/>
                <w:szCs w:val="24"/>
                <w:u w:val="single"/>
                <w:lang w:val="en-US" w:eastAsia="zh-CN" w:bidi="ar"/>
              </w:rPr>
              <w:t xml:space="preserve">排入芭山港河的污染物总量中 </w:t>
            </w:r>
            <w:r>
              <w:rPr>
                <w:rFonts w:hint="default" w:ascii="TimesNewRomanPSMT" w:hAnsi="TimesNewRomanPSMT" w:eastAsia="TimesNewRomanPSMT" w:cs="TimesNewRomanPSMT"/>
                <w:color w:val="000000"/>
                <w:kern w:val="0"/>
                <w:sz w:val="24"/>
                <w:szCs w:val="24"/>
                <w:u w:val="single"/>
                <w:lang w:val="en-US" w:eastAsia="zh-CN" w:bidi="ar"/>
              </w:rPr>
              <w:t xml:space="preserve">COD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24749.37kg/a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NH</w:t>
            </w:r>
            <w:r>
              <w:rPr>
                <w:rFonts w:hint="default" w:ascii="TimesNewRomanPSMT" w:hAnsi="TimesNewRomanPSMT" w:eastAsia="TimesNewRomanPSMT" w:cs="TimesNewRomanPSMT"/>
                <w:color w:val="000000"/>
                <w:kern w:val="0"/>
                <w:sz w:val="24"/>
                <w:szCs w:val="24"/>
                <w:u w:val="single"/>
                <w:vertAlign w:val="sub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-N</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2931.105kg/a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TN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5036.289kg/a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TP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687.15kg/a</w:t>
            </w:r>
            <w:r>
              <w:rPr>
                <w:rFonts w:hint="eastAsia" w:ascii="宋体" w:hAnsi="宋体" w:eastAsia="宋体" w:cs="宋体"/>
                <w:color w:val="000000"/>
                <w:kern w:val="0"/>
                <w:sz w:val="24"/>
                <w:szCs w:val="24"/>
                <w:u w:val="single"/>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 xml:space="preserve">排入木里港及柴家港的污染物总量中 </w:t>
            </w:r>
            <w:r>
              <w:rPr>
                <w:rFonts w:hint="default" w:ascii="TimesNewRomanPSMT" w:hAnsi="TimesNewRomanPSMT" w:eastAsia="TimesNewRomanPSMT" w:cs="TimesNewRomanPSMT"/>
                <w:color w:val="000000"/>
                <w:kern w:val="0"/>
                <w:sz w:val="24"/>
                <w:szCs w:val="24"/>
                <w:u w:val="single"/>
                <w:lang w:val="en-US" w:eastAsia="zh-CN" w:bidi="ar"/>
              </w:rPr>
              <w:t xml:space="preserve">COD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11155.90kg/a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NH</w:t>
            </w:r>
            <w:r>
              <w:rPr>
                <w:rFonts w:hint="default" w:ascii="TimesNewRomanPSMT" w:hAnsi="TimesNewRomanPSMT" w:eastAsia="TimesNewRomanPSMT" w:cs="TimesNewRomanPSMT"/>
                <w:color w:val="000000"/>
                <w:kern w:val="0"/>
                <w:sz w:val="24"/>
                <w:szCs w:val="24"/>
                <w:u w:val="single"/>
                <w:vertAlign w:val="sub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-N</w:t>
            </w:r>
            <w:r>
              <w:rPr>
                <w:rFonts w:hint="eastAsia" w:ascii="宋体" w:hAnsi="宋体" w:eastAsia="宋体" w:cs="宋体"/>
                <w:color w:val="000000"/>
                <w:kern w:val="0"/>
                <w:sz w:val="24"/>
                <w:szCs w:val="24"/>
                <w:u w:val="single"/>
                <w:lang w:val="en-US" w:eastAsia="zh-CN" w:bidi="ar"/>
              </w:rPr>
              <w:t>总量为</w:t>
            </w:r>
            <w:r>
              <w:rPr>
                <w:rFonts w:hint="default" w:ascii="TimesNewRomanPSMT" w:hAnsi="TimesNewRomanPSMT" w:eastAsia="TimesNewRomanPSMT" w:cs="TimesNewRomanPSMT"/>
                <w:color w:val="000000"/>
                <w:kern w:val="0"/>
                <w:sz w:val="24"/>
                <w:szCs w:val="24"/>
                <w:u w:val="single"/>
                <w:lang w:val="en-US" w:eastAsia="zh-CN" w:bidi="ar"/>
              </w:rPr>
              <w:t>2002.40kg/a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TN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2631.30kg/a</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TP </w:t>
            </w:r>
            <w:r>
              <w:rPr>
                <w:rFonts w:hint="eastAsia" w:ascii="宋体" w:hAnsi="宋体" w:eastAsia="宋体" w:cs="宋体"/>
                <w:color w:val="000000"/>
                <w:kern w:val="0"/>
                <w:sz w:val="24"/>
                <w:szCs w:val="24"/>
                <w:u w:val="single"/>
                <w:lang w:val="en-US" w:eastAsia="zh-CN" w:bidi="ar"/>
              </w:rPr>
              <w:t xml:space="preserve">总量为 </w:t>
            </w:r>
            <w:r>
              <w:rPr>
                <w:rFonts w:hint="default" w:ascii="TimesNewRomanPSMT" w:hAnsi="TimesNewRomanPSMT" w:eastAsia="TimesNewRomanPSMT" w:cs="TimesNewRomanPSMT"/>
                <w:color w:val="000000"/>
                <w:kern w:val="0"/>
                <w:sz w:val="24"/>
                <w:szCs w:val="24"/>
                <w:u w:val="single"/>
                <w:lang w:val="en-US" w:eastAsia="zh-CN" w:bidi="ar"/>
              </w:rPr>
              <w:t>195.80kg/a</w:t>
            </w:r>
            <w:r>
              <w:rPr>
                <w:rFonts w:hint="eastAsia" w:ascii="宋体" w:hAnsi="宋体" w:eastAsia="宋体" w:cs="宋体"/>
                <w:color w:val="000000"/>
                <w:kern w:val="0"/>
                <w:sz w:val="24"/>
                <w:szCs w:val="24"/>
                <w:u w:val="single"/>
                <w:lang w:val="en-US" w:eastAsia="zh-CN" w:bidi="ar"/>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60" w:firstLineChars="200"/>
              <w:jc w:val="both"/>
              <w:textAlignment w:val="auto"/>
              <w:rPr>
                <w:rFonts w:hint="eastAsia" w:ascii="Times New Roman" w:hAnsi="Times New Roman" w:eastAsia="宋体" w:cs="Times New Roman"/>
                <w:spacing w:val="-5"/>
                <w:sz w:val="24"/>
                <w:szCs w:val="24"/>
                <w:lang w:eastAsia="zh-CN"/>
              </w:rPr>
            </w:pPr>
            <w:r>
              <w:rPr>
                <w:rFonts w:hint="eastAsia" w:ascii="Times New Roman" w:hAnsi="Times New Roman" w:eastAsia="宋体" w:cs="Times New Roman"/>
                <w:spacing w:val="-5"/>
                <w:sz w:val="24"/>
                <w:szCs w:val="24"/>
                <w:lang w:eastAsia="zh-CN"/>
              </w:rPr>
              <w:t>②合流制污染排放</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60" w:firstLineChars="200"/>
              <w:jc w:val="both"/>
              <w:textAlignment w:val="auto"/>
              <w:rPr>
                <w:rFonts w:hint="eastAsia" w:ascii="Times New Roman" w:hAnsi="Times New Roman" w:eastAsia="宋体" w:cs="Times New Roman"/>
                <w:spacing w:val="-5"/>
                <w:sz w:val="24"/>
                <w:szCs w:val="24"/>
                <w:lang w:eastAsia="zh-CN"/>
              </w:rPr>
            </w:pPr>
            <w:r>
              <w:rPr>
                <w:rFonts w:hint="eastAsia" w:ascii="Times New Roman" w:hAnsi="Times New Roman" w:eastAsia="宋体" w:cs="Times New Roman"/>
                <w:spacing w:val="-5"/>
                <w:sz w:val="24"/>
                <w:szCs w:val="24"/>
                <w:lang w:eastAsia="zh-CN"/>
              </w:rPr>
              <w:t>北港河支流包括梅溪港、芭山港及新华港；南港河支流包括木里港及柴家港。主河道沿线及其支流共有合流制排口99个，其中合流制直排口94 个，分流制雨污混接雨水排水口5个。</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SA"/>
              </w:rPr>
              <w:t>③</w:t>
            </w:r>
            <w:r>
              <w:rPr>
                <w:rFonts w:hint="eastAsia" w:ascii="Times New Roman" w:hAnsi="Times New Roman" w:eastAsia="宋体" w:cs="Times New Roman"/>
                <w:kern w:val="2"/>
                <w:sz w:val="24"/>
                <w:szCs w:val="24"/>
                <w:lang w:val="en-US" w:eastAsia="zh-CN" w:bidi="ar-SA"/>
              </w:rPr>
              <w:t>合流制遗留污染排放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罗家坡片区存在合流制溢流污染排放问题，溢流点位于岳阳大道太阳桥主涵北侧，107 国道东侧，现状已建牛栏坡截污干管最终进入罗家坡污水处理厂，雨季污水溢流排入牛栏坡。合流制溢流污染产生的原因为该溢流口收水范围内为合流制排水体制，雨季汇入水量较大，合流污水超过牛栏坡截污干管过流能力，同时污水厂处理规模未考虑雨季合流制水量，雨季处理能力不足，因此污水溢流进入牛栏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r>
              <w:rPr>
                <w:rFonts w:hint="eastAsia" w:ascii="宋体" w:hAnsi="宋体" w:eastAsia="宋体" w:cs="宋体"/>
                <w:sz w:val="24"/>
                <w:szCs w:val="24"/>
                <w:lang w:val="en-US" w:eastAsia="zh-CN"/>
              </w:rPr>
              <w:t>④</w:t>
            </w:r>
            <w:r>
              <w:rPr>
                <w:rFonts w:hint="eastAsia" w:cs="Times New Roman"/>
                <w:sz w:val="24"/>
                <w:szCs w:val="24"/>
                <w:lang w:val="en-US" w:eastAsia="zh-CN"/>
              </w:rPr>
              <w:t>混接错接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eastAsia" w:cs="Times New Roman"/>
                <w:sz w:val="24"/>
                <w:szCs w:val="24"/>
                <w:lang w:val="en-US" w:eastAsia="zh-CN"/>
              </w:rPr>
            </w:pPr>
            <w:bookmarkStart w:id="8" w:name="4.2.1.4 混接错接"/>
            <w:bookmarkEnd w:id="8"/>
            <w:bookmarkStart w:id="9" w:name="4.2.1.4 混接错接"/>
            <w:bookmarkEnd w:id="9"/>
            <w:r>
              <w:rPr>
                <w:rFonts w:hint="eastAsia" w:cs="Times New Roman"/>
                <w:sz w:val="24"/>
                <w:szCs w:val="24"/>
                <w:lang w:val="en-US" w:eastAsia="zh-CN"/>
              </w:rPr>
              <w:t>管网混接错接造成污水混入雨水管道直排入河产生污染或雨水混入污水管道导致污水管道过流能力不足产生污水溢流。</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bookmarkStart w:id="10" w:name="4.2.2 面源污染"/>
            <w:bookmarkEnd w:id="10"/>
            <w:bookmarkStart w:id="11" w:name="_bookmark92"/>
            <w:bookmarkEnd w:id="11"/>
            <w:bookmarkStart w:id="12" w:name="_bookmark92"/>
            <w:bookmarkEnd w:id="12"/>
            <w:r>
              <w:rPr>
                <w:rFonts w:hint="default" w:ascii="Times New Roman" w:hAnsi="Times New Roman" w:eastAsia="宋体" w:cs="Times New Roman"/>
                <w:sz w:val="24"/>
                <w:szCs w:val="24"/>
                <w:lang w:val="en-US" w:eastAsia="zh-CN"/>
              </w:rPr>
              <w:t>（2）面源污染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北港河支流包括梅溪港、芭山港及新华港；南港河支流包括木里港及柴家港。整个流域范围内共有分流制雨水排口124个，排口数量较多，初期雨水径流污染也是影响水体水质的一个重要因素。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罗家坡片区市政道路上都有排水管线，但存在混接，错节情况，大部分为合流状态。</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firstLine="480" w:firstLineChars="200"/>
              <w:textAlignment w:val="auto"/>
              <w:rPr>
                <w:rFonts w:hint="default" w:ascii="Times New Roman" w:hAnsi="Times New Roman" w:eastAsia="宋体" w:cs="Times New Roman"/>
                <w:sz w:val="24"/>
                <w:szCs w:val="24"/>
                <w:lang w:val="en-US" w:eastAsia="zh-CN"/>
              </w:rPr>
            </w:pPr>
            <w:bookmarkStart w:id="13" w:name="4.2.2.1 南北港河主河道分流制雨水排口"/>
            <w:bookmarkEnd w:id="13"/>
            <w:bookmarkStart w:id="14" w:name="4.2.2.1 南北港河主河道分流制雨水排口"/>
            <w:bookmarkEnd w:id="14"/>
            <w:r>
              <w:rPr>
                <w:rFonts w:hint="default" w:ascii="Times New Roman" w:hAnsi="Times New Roman" w:eastAsia="宋体" w:cs="Times New Roman"/>
                <w:sz w:val="24"/>
                <w:szCs w:val="24"/>
                <w:lang w:val="en-US" w:eastAsia="zh-CN"/>
              </w:rPr>
              <w:t>奇家岭片区位于南港河西侧，现状未敷设管网，雨水通过地表汇流，自然形成冲刷沟，污染物随地表冲刷进入河道。</w:t>
            </w:r>
            <w:bookmarkStart w:id="15" w:name="_bookmark95"/>
            <w:bookmarkEnd w:id="15"/>
            <w:bookmarkStart w:id="16" w:name="4.2.3 内源污染"/>
            <w:bookmarkEnd w:id="16"/>
            <w:bookmarkStart w:id="17" w:name="_bookmark95"/>
            <w:bookmarkEnd w:id="17"/>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eastAsia="宋体" w:cs="Times New Roman"/>
                <w:sz w:val="24"/>
                <w:szCs w:val="24"/>
                <w:lang w:val="en-US" w:eastAsia="zh-CN"/>
              </w:rPr>
            </w:pPr>
            <w:r>
              <w:rPr>
                <w:rFonts w:hint="default" w:ascii="Times New Roman" w:hAnsi="Times New Roman" w:cs="Times New Roman"/>
                <w:sz w:val="24"/>
                <w:szCs w:val="24"/>
                <w:lang w:val="en-US" w:eastAsia="zh-CN"/>
              </w:rPr>
              <w:t>（3）</w:t>
            </w:r>
            <w:r>
              <w:rPr>
                <w:rFonts w:hint="default" w:ascii="Times New Roman" w:hAnsi="Times New Roman" w:eastAsia="宋体" w:cs="Times New Roman"/>
                <w:sz w:val="24"/>
                <w:szCs w:val="24"/>
                <w:lang w:val="en-US" w:eastAsia="zh-CN"/>
              </w:rPr>
              <w:t>内源污染</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textAlignment w:val="auto"/>
              <w:rPr>
                <w:rFonts w:hint="default" w:ascii="Times New Roman" w:hAnsi="Times New Roman" w:cs="Times New Roman"/>
                <w:sz w:val="24"/>
                <w:szCs w:val="24"/>
              </w:rPr>
            </w:pPr>
            <w:r>
              <w:rPr>
                <w:rFonts w:hint="default" w:ascii="Times New Roman" w:hAnsi="Times New Roman" w:cs="Times New Roman"/>
                <w:sz w:val="24"/>
                <w:szCs w:val="24"/>
              </w:rPr>
              <w:t>根据</w:t>
            </w:r>
            <w:r>
              <w:rPr>
                <w:rFonts w:hint="eastAsia" w:cs="Times New Roman"/>
                <w:sz w:val="24"/>
                <w:szCs w:val="24"/>
                <w:lang w:eastAsia="zh-CN"/>
              </w:rPr>
              <w:t>《罗家坡污水系统收集管网完善工程设计说明书》中</w:t>
            </w:r>
            <w:r>
              <w:rPr>
                <w:rFonts w:hint="default" w:ascii="Times New Roman" w:hAnsi="Times New Roman" w:cs="Times New Roman"/>
                <w:sz w:val="24"/>
                <w:szCs w:val="24"/>
              </w:rPr>
              <w:t xml:space="preserve">对南北港河水域底泥调查监测及底泥释放相关研究成果，经计算得出南北港河内源污染负荷为 </w:t>
            </w:r>
            <w:r>
              <w:rPr>
                <w:rFonts w:hint="default" w:ascii="Times New Roman" w:hAnsi="Times New Roman" w:eastAsia="Times New Roman" w:cs="Times New Roman"/>
                <w:sz w:val="24"/>
                <w:szCs w:val="24"/>
              </w:rPr>
              <w:t>COD 63.3 t/a</w:t>
            </w:r>
            <w:r>
              <w:rPr>
                <w:rFonts w:hint="default" w:ascii="Times New Roman" w:hAnsi="Times New Roman" w:cs="Times New Roman"/>
                <w:sz w:val="24"/>
                <w:szCs w:val="24"/>
              </w:rPr>
              <w:t>、</w:t>
            </w:r>
            <w:r>
              <w:rPr>
                <w:rFonts w:hint="default" w:ascii="Times New Roman" w:hAnsi="Times New Roman" w:eastAsia="Times New Roman" w:cs="Times New Roman"/>
                <w:sz w:val="24"/>
                <w:szCs w:val="24"/>
              </w:rPr>
              <w:t>NH</w:t>
            </w:r>
            <w:r>
              <w:rPr>
                <w:rFonts w:hint="default" w:ascii="Times New Roman" w:hAnsi="Times New Roman" w:eastAsia="Times New Roman" w:cs="Times New Roman"/>
                <w:sz w:val="24"/>
                <w:szCs w:val="24"/>
                <w:vertAlign w:val="subscript"/>
              </w:rPr>
              <w:t>3</w:t>
            </w:r>
            <w:r>
              <w:rPr>
                <w:rFonts w:hint="default" w:ascii="Times New Roman" w:hAnsi="Times New Roman" w:eastAsia="Times New Roman" w:cs="Times New Roman"/>
                <w:sz w:val="24"/>
                <w:szCs w:val="24"/>
              </w:rPr>
              <w:t>-N 25.3 t/a</w:t>
            </w:r>
            <w:r>
              <w:rPr>
                <w:rFonts w:hint="default" w:ascii="Times New Roman" w:hAnsi="Times New Roman" w:cs="Times New Roman"/>
                <w:sz w:val="24"/>
                <w:szCs w:val="24"/>
              </w:rPr>
              <w:t>、</w:t>
            </w:r>
            <w:r>
              <w:rPr>
                <w:rFonts w:hint="default" w:ascii="Times New Roman" w:hAnsi="Times New Roman" w:eastAsia="Times New Roman" w:cs="Times New Roman"/>
                <w:sz w:val="24"/>
                <w:szCs w:val="24"/>
              </w:rPr>
              <w:t>TN 31.7 t/a</w:t>
            </w:r>
            <w:r>
              <w:rPr>
                <w:rFonts w:hint="default" w:ascii="Times New Roman" w:hAnsi="Times New Roman" w:cs="Times New Roman"/>
                <w:sz w:val="24"/>
                <w:szCs w:val="24"/>
              </w:rPr>
              <w:t>、</w:t>
            </w:r>
            <w:r>
              <w:rPr>
                <w:rFonts w:hint="default" w:ascii="Times New Roman" w:hAnsi="Times New Roman" w:eastAsia="Times New Roman" w:cs="Times New Roman"/>
                <w:sz w:val="24"/>
                <w:szCs w:val="24"/>
              </w:rPr>
              <w:t>TP 1.9 t/a</w:t>
            </w:r>
            <w:r>
              <w:rPr>
                <w:rFonts w:hint="default" w:ascii="Times New Roman" w:hAnsi="Times New Roman" w:cs="Times New Roman"/>
                <w:sz w:val="24"/>
                <w:szCs w:val="24"/>
              </w:rPr>
              <w:t>。</w:t>
            </w:r>
          </w:p>
          <w:p>
            <w:pPr>
              <w:spacing w:before="14"/>
              <w:ind w:left="0" w:right="0" w:firstLine="0"/>
              <w:jc w:val="center"/>
              <w:rPr>
                <w:rFonts w:hint="eastAsia" w:ascii="黑体" w:eastAsia="黑体"/>
                <w:sz w:val="21"/>
              </w:rPr>
            </w:pPr>
            <w:r>
              <w:rPr>
                <w:rFonts w:hint="default" w:ascii="Times New Roman" w:hAnsi="Times New Roman" w:eastAsia="宋体" w:cs="Times New Roman"/>
                <w:b/>
                <w:bCs/>
                <w:sz w:val="24"/>
                <w:szCs w:val="24"/>
              </w:rPr>
              <w:t xml:space="preserve">表 </w:t>
            </w:r>
            <w:r>
              <w:rPr>
                <w:rFonts w:hint="default" w:ascii="Times New Roman" w:hAnsi="Times New Roman" w:eastAsia="宋体" w:cs="Times New Roman"/>
                <w:b/>
                <w:bCs/>
                <w:sz w:val="24"/>
                <w:szCs w:val="24"/>
                <w:lang w:val="en-US" w:eastAsia="zh-CN"/>
              </w:rPr>
              <w:t>1.2-</w:t>
            </w:r>
            <w:r>
              <w:rPr>
                <w:rFonts w:hint="eastAsia" w:cs="Times New Roman"/>
                <w:b/>
                <w:bCs/>
                <w:sz w:val="24"/>
                <w:szCs w:val="24"/>
                <w:lang w:val="en-US" w:eastAsia="zh-CN"/>
              </w:rPr>
              <w:t>2</w:t>
            </w:r>
            <w:r>
              <w:rPr>
                <w:rFonts w:hint="default" w:ascii="Times New Roman" w:hAnsi="Times New Roman" w:eastAsia="宋体" w:cs="Times New Roman"/>
                <w:b/>
                <w:bCs/>
                <w:sz w:val="24"/>
                <w:szCs w:val="24"/>
              </w:rPr>
              <w:t xml:space="preserve">  南北港河流域内源污染负荷</w:t>
            </w:r>
          </w:p>
          <w:tbl>
            <w:tblPr>
              <w:tblStyle w:val="26"/>
              <w:tblW w:w="4997" w:type="pct"/>
              <w:tblInd w:w="1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488"/>
              <w:gridCol w:w="1683"/>
              <w:gridCol w:w="1399"/>
              <w:gridCol w:w="1412"/>
              <w:gridCol w:w="1282"/>
              <w:gridCol w:w="128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7" w:hRule="atLeast"/>
              </w:trPr>
              <w:tc>
                <w:tcPr>
                  <w:tcW w:w="1302"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规划流域</w:t>
                  </w:r>
                </w:p>
              </w:tc>
              <w:tc>
                <w:tcPr>
                  <w:tcW w:w="881"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污染类型</w:t>
                  </w:r>
                </w:p>
              </w:tc>
              <w:tc>
                <w:tcPr>
                  <w:tcW w:w="732"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COD</w:t>
                  </w:r>
                  <w:r>
                    <w:rPr>
                      <w:rFonts w:hint="default" w:ascii="Times New Roman" w:hAnsi="Times New Roman" w:eastAsia="宋体" w:cs="Times New Roman"/>
                      <w:sz w:val="21"/>
                      <w:szCs w:val="21"/>
                    </w:rPr>
                    <w:t>（</w:t>
                  </w:r>
                  <w:r>
                    <w:rPr>
                      <w:rFonts w:hint="default" w:ascii="Times New Roman" w:hAnsi="Times New Roman" w:cs="Times New Roman"/>
                      <w:sz w:val="21"/>
                      <w:szCs w:val="21"/>
                    </w:rPr>
                    <w:t>t/a)</w:t>
                  </w:r>
                </w:p>
              </w:tc>
              <w:tc>
                <w:tcPr>
                  <w:tcW w:w="73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r>
                    <w:rPr>
                      <w:rFonts w:hint="default" w:ascii="Times New Roman" w:hAnsi="Times New Roman" w:cs="Times New Roman"/>
                      <w:sz w:val="21"/>
                      <w:szCs w:val="21"/>
                    </w:rPr>
                    <w:t>-N</w:t>
                  </w:r>
                  <w:r>
                    <w:rPr>
                      <w:rFonts w:hint="default" w:ascii="Times New Roman" w:hAnsi="Times New Roman" w:eastAsia="宋体" w:cs="Times New Roman"/>
                      <w:sz w:val="21"/>
                      <w:szCs w:val="21"/>
                    </w:rPr>
                    <w:t>（</w:t>
                  </w:r>
                  <w:r>
                    <w:rPr>
                      <w:rFonts w:hint="default" w:ascii="Times New Roman" w:hAnsi="Times New Roman" w:cs="Times New Roman"/>
                      <w:sz w:val="21"/>
                      <w:szCs w:val="21"/>
                    </w:rPr>
                    <w:t>t/a)</w:t>
                  </w:r>
                </w:p>
              </w:tc>
              <w:tc>
                <w:tcPr>
                  <w:tcW w:w="671"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TN</w:t>
                  </w:r>
                  <w:r>
                    <w:rPr>
                      <w:rFonts w:hint="default" w:ascii="Times New Roman" w:hAnsi="Times New Roman" w:eastAsia="宋体" w:cs="Times New Roman"/>
                      <w:sz w:val="21"/>
                      <w:szCs w:val="21"/>
                    </w:rPr>
                    <w:t>（</w:t>
                  </w:r>
                  <w:r>
                    <w:rPr>
                      <w:rFonts w:hint="default" w:ascii="Times New Roman" w:hAnsi="Times New Roman" w:cs="Times New Roman"/>
                      <w:sz w:val="21"/>
                      <w:szCs w:val="21"/>
                    </w:rPr>
                    <w:t>t/a)</w:t>
                  </w:r>
                </w:p>
              </w:tc>
              <w:tc>
                <w:tcPr>
                  <w:tcW w:w="672"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TP</w:t>
                  </w:r>
                  <w:r>
                    <w:rPr>
                      <w:rFonts w:hint="default" w:ascii="Times New Roman" w:hAnsi="Times New Roman" w:eastAsia="宋体" w:cs="Times New Roman"/>
                      <w:sz w:val="21"/>
                      <w:szCs w:val="21"/>
                    </w:rPr>
                    <w:t>（</w:t>
                  </w:r>
                  <w:r>
                    <w:rPr>
                      <w:rFonts w:hint="default" w:ascii="Times New Roman" w:hAnsi="Times New Roman" w:cs="Times New Roman"/>
                      <w:sz w:val="21"/>
                      <w:szCs w:val="21"/>
                    </w:rPr>
                    <w:t>t/a)</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1302"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南北港河流域</w:t>
                  </w:r>
                </w:p>
              </w:tc>
              <w:tc>
                <w:tcPr>
                  <w:tcW w:w="881"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底泥内源</w:t>
                  </w:r>
                </w:p>
              </w:tc>
              <w:tc>
                <w:tcPr>
                  <w:tcW w:w="732"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63.3</w:t>
                  </w:r>
                </w:p>
              </w:tc>
              <w:tc>
                <w:tcPr>
                  <w:tcW w:w="73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25.3</w:t>
                  </w:r>
                </w:p>
              </w:tc>
              <w:tc>
                <w:tcPr>
                  <w:tcW w:w="671"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31.7</w:t>
                  </w:r>
                </w:p>
              </w:tc>
              <w:tc>
                <w:tcPr>
                  <w:tcW w:w="672"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ind w:left="0" w:right="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1.9</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（4）管道沉积堵塞</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lang w:val="en-US" w:eastAsia="zh-CN"/>
              </w:rPr>
            </w:pPr>
            <w:bookmarkStart w:id="18" w:name="_bookmark96"/>
            <w:bookmarkEnd w:id="18"/>
            <w:bookmarkStart w:id="19" w:name="4.2.4 管道沉积堵塞"/>
            <w:bookmarkEnd w:id="19"/>
            <w:bookmarkStart w:id="20" w:name="_bookmark96"/>
            <w:bookmarkEnd w:id="20"/>
            <w:r>
              <w:rPr>
                <w:rFonts w:hint="eastAsia" w:ascii="Times New Roman" w:hAnsi="Times New Roman" w:cs="Times New Roman"/>
                <w:sz w:val="24"/>
                <w:szCs w:val="24"/>
                <w:lang w:val="en-US" w:eastAsia="zh-CN"/>
              </w:rPr>
              <w:t>根据调查，岳阳大道部分段管道存在淤积堵塞情况，其他路段存在管道</w:t>
            </w:r>
            <w:r>
              <w:rPr>
                <w:rFonts w:hint="default" w:ascii="Times New Roman" w:hAnsi="Times New Roman" w:cs="Times New Roman"/>
                <w:sz w:val="24"/>
                <w:szCs w:val="24"/>
                <w:lang w:val="en-US" w:eastAsia="zh-CN"/>
              </w:rPr>
              <w:t>缺陷造成污水外渗、地下水入渗、过流断面减小甚至无法正常排水等问题，导致污水收集率降低，污水厂进水量不足和进水浓度低。</w:t>
            </w:r>
          </w:p>
          <w:p>
            <w:pPr>
              <w:keepNext w:val="0"/>
              <w:keepLines w:val="0"/>
              <w:pageBreakBefore w:val="0"/>
              <w:widowControl w:val="0"/>
              <w:kinsoku/>
              <w:wordWrap/>
              <w:overflowPunct/>
              <w:topLinePunct w:val="0"/>
              <w:autoSpaceDE/>
              <w:autoSpaceDN/>
              <w:bidi w:val="0"/>
              <w:adjustRightInd w:val="0"/>
              <w:snapToGrid/>
              <w:spacing w:line="360" w:lineRule="auto"/>
              <w:ind w:left="0" w:leftChars="0" w:right="0" w:rightChars="0" w:firstLine="0" w:firstLineChars="0"/>
              <w:jc w:val="both"/>
              <w:textAlignment w:val="auto"/>
              <w:outlineLvl w:val="9"/>
              <w:rPr>
                <w:b/>
                <w:bCs/>
                <w:color w:val="auto"/>
                <w:sz w:val="24"/>
                <w:szCs w:val="24"/>
              </w:rPr>
            </w:pPr>
            <w:bookmarkStart w:id="21" w:name="_bookmark100"/>
            <w:bookmarkEnd w:id="21"/>
            <w:r>
              <w:rPr>
                <w:rFonts w:hint="eastAsia"/>
                <w:b/>
                <w:bCs/>
                <w:color w:val="auto"/>
                <w:sz w:val="24"/>
                <w:szCs w:val="24"/>
                <w:lang w:val="en-US" w:eastAsia="zh-CN"/>
              </w:rPr>
              <w:t>1.3</w:t>
            </w:r>
            <w:r>
              <w:rPr>
                <w:b/>
                <w:bCs/>
                <w:color w:val="auto"/>
                <w:sz w:val="24"/>
                <w:szCs w:val="24"/>
              </w:rPr>
              <w:t>项目名称、性质和建设地点</w:t>
            </w:r>
          </w:p>
          <w:p>
            <w:pPr>
              <w:pStyle w:val="8"/>
              <w:keepNext w:val="0"/>
              <w:keepLines w:val="0"/>
              <w:pageBreakBefore w:val="0"/>
              <w:widowControl w:val="0"/>
              <w:kinsoku/>
              <w:wordWrap/>
              <w:topLinePunct w:val="0"/>
              <w:bidi w:val="0"/>
              <w:adjustRightInd w:val="0"/>
              <w:snapToGrid/>
              <w:spacing w:line="360" w:lineRule="auto"/>
              <w:ind w:left="0" w:leftChars="0" w:right="0" w:rightChars="0" w:firstLine="480"/>
              <w:jc w:val="both"/>
              <w:textAlignment w:val="auto"/>
              <w:outlineLvl w:val="9"/>
              <w:rPr>
                <w:color w:val="auto"/>
                <w:sz w:val="24"/>
                <w:szCs w:val="24"/>
              </w:rPr>
            </w:pPr>
            <w:r>
              <w:rPr>
                <w:color w:val="auto"/>
                <w:sz w:val="24"/>
                <w:szCs w:val="24"/>
              </w:rPr>
              <w:t>项目名称：</w:t>
            </w:r>
            <w:r>
              <w:rPr>
                <w:rFonts w:hint="eastAsia" w:ascii="Times New Roman" w:hAnsi="Times New Roman" w:eastAsia="宋体"/>
                <w:color w:val="auto"/>
                <w:sz w:val="24"/>
                <w:szCs w:val="24"/>
                <w:lang w:val="en-US" w:eastAsia="zh-CN"/>
              </w:rPr>
              <w:t>罗家坡污水系统收集管网完善工程建设项目</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color w:val="auto"/>
                <w:sz w:val="24"/>
                <w:szCs w:val="24"/>
                <w:highlight w:val="none"/>
              </w:rPr>
            </w:pPr>
            <w:r>
              <w:rPr>
                <w:color w:val="auto"/>
                <w:sz w:val="24"/>
                <w:szCs w:val="24"/>
              </w:rPr>
              <w:t>建设单位</w:t>
            </w:r>
            <w:r>
              <w:rPr>
                <w:color w:val="auto"/>
                <w:sz w:val="24"/>
                <w:szCs w:val="24"/>
                <w:highlight w:val="none"/>
              </w:rPr>
              <w:t>：</w:t>
            </w:r>
            <w:r>
              <w:rPr>
                <w:rFonts w:hint="eastAsia" w:ascii="Times New Roman" w:hAnsi="Times New Roman"/>
                <w:color w:val="auto"/>
                <w:sz w:val="24"/>
                <w:szCs w:val="24"/>
                <w:highlight w:val="none"/>
                <w:lang w:val="en-US" w:eastAsia="zh-CN"/>
              </w:rPr>
              <w:t>中国市政工程华北设计研究总院有限公司</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color w:val="auto"/>
                <w:sz w:val="24"/>
                <w:szCs w:val="24"/>
              </w:rPr>
            </w:pPr>
            <w:r>
              <w:rPr>
                <w:color w:val="auto"/>
                <w:sz w:val="24"/>
                <w:szCs w:val="24"/>
              </w:rPr>
              <w:t>建设性质：</w:t>
            </w:r>
            <w:r>
              <w:rPr>
                <w:rFonts w:hint="eastAsia"/>
                <w:color w:val="auto"/>
                <w:sz w:val="24"/>
                <w:szCs w:val="24"/>
                <w:lang w:val="en-US" w:eastAsia="zh-CN"/>
              </w:rPr>
              <w:t>新建</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rFonts w:hint="eastAsia"/>
                <w:color w:val="auto"/>
                <w:sz w:val="24"/>
                <w:szCs w:val="24"/>
                <w:lang w:eastAsia="zh-CN"/>
              </w:rPr>
            </w:pPr>
            <w:r>
              <w:rPr>
                <w:rFonts w:eastAsia="宋体"/>
                <w:color w:val="auto"/>
                <w:sz w:val="24"/>
                <w:szCs w:val="24"/>
              </w:rPr>
              <w:t>建设地点：</w:t>
            </w:r>
            <w:r>
              <w:rPr>
                <w:rFonts w:hint="eastAsia"/>
                <w:color w:val="auto"/>
                <w:sz w:val="24"/>
                <w:szCs w:val="24"/>
                <w:lang w:eastAsia="zh-CN"/>
              </w:rPr>
              <w:t>岳阳市经开区</w:t>
            </w:r>
            <w:r>
              <w:rPr>
                <w:rFonts w:hint="eastAsia"/>
                <w:color w:val="auto"/>
                <w:sz w:val="24"/>
                <w:szCs w:val="24"/>
                <w:lang w:val="en-US" w:eastAsia="zh-CN"/>
              </w:rPr>
              <w:t>、楼区</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color w:val="auto"/>
                <w:sz w:val="24"/>
                <w:szCs w:val="24"/>
                <w:highlight w:val="none"/>
              </w:rPr>
            </w:pPr>
            <w:r>
              <w:rPr>
                <w:color w:val="auto"/>
                <w:sz w:val="24"/>
                <w:szCs w:val="24"/>
              </w:rPr>
              <w:t>项目投资：</w:t>
            </w:r>
            <w:r>
              <w:rPr>
                <w:rFonts w:hint="eastAsia" w:ascii="Times New Roman" w:hAnsi="Times New Roman"/>
                <w:color w:val="auto"/>
                <w:sz w:val="24"/>
                <w:szCs w:val="24"/>
                <w:highlight w:val="none"/>
                <w:lang w:val="en-US" w:eastAsia="zh-CN"/>
              </w:rPr>
              <w:t>68871.08</w:t>
            </w:r>
            <w:r>
              <w:rPr>
                <w:color w:val="auto"/>
                <w:sz w:val="24"/>
                <w:szCs w:val="24"/>
                <w:highlight w:val="none"/>
              </w:rPr>
              <w:t>万元。</w:t>
            </w:r>
          </w:p>
          <w:p>
            <w:pPr>
              <w:keepNext w:val="0"/>
              <w:keepLines w:val="0"/>
              <w:pageBreakBefore w:val="0"/>
              <w:widowControl w:val="0"/>
              <w:kinsoku/>
              <w:wordWrap/>
              <w:overflowPunct/>
              <w:topLinePunct w:val="0"/>
              <w:autoSpaceDE/>
              <w:autoSpaceDN/>
              <w:bidi w:val="0"/>
              <w:adjustRightInd w:val="0"/>
              <w:snapToGrid/>
              <w:spacing w:line="360" w:lineRule="auto"/>
              <w:textAlignment w:val="auto"/>
              <w:outlineLvl w:val="9"/>
              <w:rPr>
                <w:b/>
                <w:bCs/>
                <w:color w:val="auto"/>
                <w:sz w:val="24"/>
                <w:szCs w:val="24"/>
              </w:rPr>
            </w:pPr>
            <w:r>
              <w:rPr>
                <w:rFonts w:hint="eastAsia"/>
                <w:b/>
                <w:bCs/>
                <w:color w:val="auto"/>
                <w:sz w:val="24"/>
                <w:szCs w:val="24"/>
                <w:lang w:val="en-US" w:eastAsia="zh-CN"/>
              </w:rPr>
              <w:t>1.4</w:t>
            </w:r>
            <w:r>
              <w:rPr>
                <w:b/>
                <w:bCs/>
                <w:color w:val="auto"/>
                <w:sz w:val="24"/>
                <w:szCs w:val="24"/>
              </w:rPr>
              <w:t>建设内容与建设规模</w:t>
            </w:r>
          </w:p>
          <w:p>
            <w:pPr>
              <w:keepNext w:val="0"/>
              <w:keepLines w:val="0"/>
              <w:widowControl/>
              <w:suppressLineNumbers w:val="0"/>
              <w:spacing w:line="360" w:lineRule="auto"/>
              <w:ind w:firstLine="480" w:firstLineChars="200"/>
              <w:jc w:val="left"/>
              <w:rPr>
                <w:sz w:val="24"/>
                <w:szCs w:val="24"/>
                <w:u w:val="single"/>
              </w:rPr>
            </w:pPr>
            <w:r>
              <w:rPr>
                <w:rFonts w:hint="eastAsia" w:cs="Times New Roman"/>
                <w:color w:val="000000"/>
                <w:kern w:val="0"/>
                <w:sz w:val="24"/>
                <w:szCs w:val="24"/>
                <w:u w:val="single"/>
                <w:lang w:val="en-US" w:eastAsia="zh-CN" w:bidi="ar"/>
              </w:rPr>
              <w:t>罗家坡污水系统收集管网完善工程分两期完成，</w:t>
            </w:r>
            <w:r>
              <w:rPr>
                <w:rFonts w:hint="eastAsia" w:ascii="宋体" w:hAnsi="宋体" w:eastAsia="宋体" w:cs="宋体"/>
                <w:color w:val="000000"/>
                <w:kern w:val="0"/>
                <w:sz w:val="24"/>
                <w:szCs w:val="24"/>
                <w:u w:val="single"/>
                <w:lang w:val="en-US" w:eastAsia="zh-CN" w:bidi="ar"/>
              </w:rPr>
              <w:t>一期 工程建设内容为奇家社区和岳阳大道东片区截污工程、罗家坡纳污范围（不含王家河流域和羊角山片区）内主干管雨污分流改造工程、混接错接改造工程、合流制溢流污染控制工程和面源污染控制工程。 二期工程建设内容为截污管网建设工程，道路雨污分流改造工程、小区雨污分流改造工程、管网清淤工程、管网修复工程、管网补齐工程、排口污染控制工程和污水厂尾水提标改造工程。</w:t>
            </w:r>
          </w:p>
          <w:p>
            <w:pPr>
              <w:keepNext w:val="0"/>
              <w:keepLines w:val="0"/>
              <w:widowControl/>
              <w:suppressLineNumbers w:val="0"/>
              <w:spacing w:line="360" w:lineRule="auto"/>
              <w:ind w:firstLine="480" w:firstLineChars="200"/>
              <w:jc w:val="left"/>
              <w:rPr>
                <w:rFonts w:hint="eastAsia" w:ascii="Times New Roman" w:hAnsi="Times New Roman" w:cs="Times New Roman" w:eastAsiaTheme="minorEastAsia"/>
                <w:bCs/>
                <w:sz w:val="24"/>
                <w:szCs w:val="24"/>
                <w:highlight w:val="none"/>
                <w:u w:val="none"/>
                <w:lang w:eastAsia="zh-CN"/>
              </w:rPr>
            </w:pPr>
            <w:r>
              <w:rPr>
                <w:rFonts w:hint="eastAsia" w:cs="Times New Roman" w:eastAsiaTheme="minorEastAsia"/>
                <w:bCs/>
                <w:sz w:val="24"/>
                <w:szCs w:val="24"/>
                <w:highlight w:val="none"/>
                <w:u w:val="none"/>
                <w:lang w:eastAsia="zh-CN"/>
              </w:rPr>
              <w:t>待二期工程完工后，罗家坡现有污水直排口将取缔，远期地块内全部雨污分流后合流管作污水管。</w:t>
            </w:r>
          </w:p>
          <w:p>
            <w:pPr>
              <w:keepNext w:val="0"/>
              <w:keepLines w:val="0"/>
              <w:widowControl/>
              <w:suppressLineNumbers w:val="0"/>
              <w:spacing w:line="360" w:lineRule="auto"/>
              <w:ind w:firstLine="480" w:firstLineChars="200"/>
              <w:jc w:val="left"/>
              <w:rPr>
                <w:rFonts w:hint="eastAsia" w:ascii="宋体" w:hAnsi="宋体" w:cs="宋体"/>
                <w:color w:val="000000"/>
                <w:kern w:val="0"/>
                <w:sz w:val="24"/>
                <w:szCs w:val="24"/>
                <w:lang w:val="en-US" w:eastAsia="zh-CN" w:bidi="ar"/>
              </w:rPr>
            </w:pPr>
            <w:r>
              <w:rPr>
                <w:rFonts w:hint="eastAsia" w:ascii="Times New Roman" w:hAnsi="Times New Roman" w:cs="Times New Roman" w:eastAsiaTheme="minorEastAsia"/>
                <w:bCs/>
                <w:sz w:val="24"/>
                <w:szCs w:val="24"/>
                <w:highlight w:val="none"/>
                <w:lang w:eastAsia="zh-CN"/>
              </w:rPr>
              <w:t>保目标。明确本管网工程完善后，现有73个污水排口、124个雨水排口取缔、整合、规范建设的要求。</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kern w:val="0"/>
                <w:sz w:val="24"/>
                <w:szCs w:val="24"/>
                <w:lang w:val="en-US" w:eastAsia="zh-CN" w:bidi="ar"/>
              </w:rPr>
            </w:pPr>
            <w:r>
              <w:rPr>
                <w:rFonts w:hint="eastAsia" w:ascii="宋体" w:hAnsi="宋体" w:cs="宋体"/>
                <w:color w:val="000000"/>
                <w:kern w:val="0"/>
                <w:sz w:val="24"/>
                <w:szCs w:val="24"/>
                <w:lang w:val="en-US" w:eastAsia="zh-CN" w:bidi="ar"/>
              </w:rPr>
              <w:t>本次环评为罗家坡污水系统收集管网完善工程一期工程，</w:t>
            </w:r>
            <w:r>
              <w:rPr>
                <w:rFonts w:hint="default" w:ascii="Times New Roman" w:hAnsi="Times New Roman" w:eastAsia="宋体" w:cs="Times New Roman"/>
                <w:color w:val="000000"/>
                <w:kern w:val="0"/>
                <w:sz w:val="24"/>
                <w:szCs w:val="24"/>
                <w:lang w:val="en-US" w:eastAsia="zh-CN" w:bidi="ar"/>
              </w:rPr>
              <w:t>包含截污工程、</w:t>
            </w:r>
            <w:r>
              <w:rPr>
                <w:rFonts w:hint="eastAsia" w:cs="Times New Roman"/>
                <w:color w:val="000000"/>
                <w:kern w:val="0"/>
                <w:sz w:val="24"/>
                <w:szCs w:val="24"/>
                <w:lang w:val="en-US" w:eastAsia="zh-CN" w:bidi="ar"/>
              </w:rPr>
              <w:t>点源污染控制工程</w:t>
            </w:r>
            <w:r>
              <w:rPr>
                <w:rFonts w:hint="default" w:ascii="Times New Roman" w:hAnsi="Times New Roman" w:eastAsia="宋体" w:cs="Times New Roman"/>
                <w:color w:val="000000"/>
                <w:kern w:val="0"/>
                <w:sz w:val="24"/>
                <w:szCs w:val="24"/>
                <w:lang w:val="en-US" w:eastAsia="zh-CN" w:bidi="ar"/>
              </w:rPr>
              <w:t>、合流制溢流污染控制工程、面源污染控制工程</w:t>
            </w:r>
            <w:r>
              <w:rPr>
                <w:rFonts w:hint="eastAsia" w:cs="Times New Roman"/>
                <w:color w:val="000000"/>
                <w:kern w:val="0"/>
                <w:sz w:val="24"/>
                <w:szCs w:val="24"/>
                <w:lang w:val="en-US" w:eastAsia="zh-CN" w:bidi="ar"/>
              </w:rPr>
              <w:t>四大项工程建设</w:t>
            </w:r>
            <w:r>
              <w:rPr>
                <w:rFonts w:hint="default" w:ascii="Times New Roman" w:hAnsi="Times New Roman" w:eastAsia="宋体" w:cs="Times New Roman"/>
                <w:color w:val="000000"/>
                <w:kern w:val="0"/>
                <w:sz w:val="24"/>
                <w:szCs w:val="24"/>
                <w:lang w:val="en-US" w:eastAsia="zh-CN" w:bidi="ar"/>
              </w:rPr>
              <w:t>。</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cs="Times New Roman"/>
                <w:color w:val="000000"/>
                <w:kern w:val="0"/>
                <w:sz w:val="24"/>
                <w:szCs w:val="24"/>
                <w:lang w:val="en-US" w:eastAsia="zh-CN" w:bidi="ar"/>
              </w:rPr>
              <w:t>具体</w:t>
            </w:r>
            <w:r>
              <w:rPr>
                <w:rFonts w:hint="default" w:ascii="Times New Roman" w:hAnsi="Times New Roman" w:eastAsia="宋体" w:cs="Times New Roman"/>
                <w:color w:val="000000"/>
                <w:kern w:val="0"/>
                <w:sz w:val="24"/>
                <w:szCs w:val="24"/>
                <w:lang w:val="en-US" w:eastAsia="zh-CN" w:bidi="ar"/>
              </w:rPr>
              <w:t>包括：白石岭路南段雨污分流工程、科技路雨污分流工程、狮子山北路雨污分流工程、通海南路北段雨污分流工程、科美达路雨污分流工程、长山路雨污分流工程、营盘岭路雨污分流工程（包含 DN500 给水管道建设）、民兴路雨污分流工程、狮子山南路雨污分流工程、双拥路雨污分流工程、太阳坡路雨污分流工程、白石岭路北段雨污分流工程、桐子岭路雨污分流工程（包含 DN400 给水管道建设）、巴陵东路雨污分流工程、青年东路雨污分流工程、长山路延长线雨污分流工程、华强路雨污分流工程、后头坡路雨污分流工程、排鸭冲路雨污分流工程；岳阳大道混接错接改造工程；岳阳大道东片区截污工程；奇家社区截污工程；合流制溢流污染控制工程；面源污染控制工程。</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sz w:val="24"/>
                <w:szCs w:val="24"/>
                <w:lang w:val="en-US" w:eastAsia="zh-CN"/>
              </w:rPr>
            </w:pPr>
            <w:r>
              <w:rPr>
                <w:rFonts w:hint="eastAsia" w:cs="Times New Roman"/>
                <w:sz w:val="24"/>
                <w:szCs w:val="24"/>
                <w:lang w:val="en-US" w:eastAsia="zh-CN"/>
              </w:rPr>
              <w:t>本工程建设内容详见表1.4-1。</w:t>
            </w:r>
          </w:p>
          <w:p>
            <w:pPr>
              <w:pStyle w:val="90"/>
              <w:spacing w:line="360" w:lineRule="auto"/>
              <w:rPr>
                <w:sz w:val="24"/>
                <w:szCs w:val="24"/>
              </w:rPr>
            </w:pPr>
            <w:bookmarkStart w:id="22" w:name="_Ref424200710"/>
            <w:bookmarkStart w:id="23" w:name="_Ref424206467"/>
            <w:r>
              <w:rPr>
                <w:sz w:val="24"/>
                <w:szCs w:val="24"/>
              </w:rPr>
              <w:t>表</w:t>
            </w:r>
            <w:bookmarkEnd w:id="22"/>
            <w:r>
              <w:rPr>
                <w:rFonts w:hint="eastAsia"/>
                <w:sz w:val="24"/>
                <w:szCs w:val="24"/>
                <w:lang w:val="en-US" w:eastAsia="zh-CN"/>
              </w:rPr>
              <w:t xml:space="preserve">1.4-1 </w:t>
            </w:r>
            <w:r>
              <w:rPr>
                <w:sz w:val="24"/>
                <w:szCs w:val="24"/>
              </w:rPr>
              <w:t xml:space="preserve">  项目工程内容一览表</w:t>
            </w:r>
          </w:p>
          <w:tbl>
            <w:tblPr>
              <w:tblStyle w:val="26"/>
              <w:tblW w:w="4994"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15"/>
              <w:gridCol w:w="1979"/>
              <w:gridCol w:w="66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类别</w:t>
                  </w: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名称</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主要工程内容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cs="Times New Roman"/>
                      <w:kern w:val="2"/>
                      <w:sz w:val="21"/>
                      <w:szCs w:val="21"/>
                      <w:u w:val="single"/>
                      <w:lang w:eastAsia="zh-CN"/>
                    </w:rPr>
                    <w:t>主体工程</w:t>
                  </w: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cs="Times New Roman"/>
                      <w:kern w:val="2"/>
                      <w:sz w:val="21"/>
                      <w:szCs w:val="21"/>
                      <w:u w:val="single"/>
                      <w:lang w:eastAsia="zh-CN"/>
                    </w:rPr>
                    <w:t>点源污染控制工程</w:t>
                  </w:r>
                </w:p>
              </w:tc>
              <w:tc>
                <w:tcPr>
                  <w:tcW w:w="3482" w:type="pct"/>
                  <w:noWrap w:val="0"/>
                  <w:vAlign w:val="center"/>
                </w:tcPr>
                <w:p>
                  <w:pPr>
                    <w:keepNext w:val="0"/>
                    <w:keepLines w:val="0"/>
                    <w:widowControl/>
                    <w:suppressLineNumbers w:val="0"/>
                    <w:jc w:val="left"/>
                    <w:rPr>
                      <w:rFonts w:hint="default" w:ascii="Times New Roman" w:hAnsi="Times New Roman" w:cs="Times New Roman"/>
                      <w:kern w:val="2"/>
                      <w:sz w:val="21"/>
                      <w:szCs w:val="21"/>
                      <w:u w:val="single"/>
                      <w:lang w:val="en-US" w:eastAsia="zh-CN"/>
                    </w:rPr>
                  </w:pPr>
                  <w:r>
                    <w:rPr>
                      <w:rFonts w:hint="default" w:ascii="Times New Roman" w:hAnsi="Times New Roman" w:eastAsia="TimesNewRomanPSMT" w:cs="Times New Roman"/>
                      <w:color w:val="000000"/>
                      <w:kern w:val="0"/>
                      <w:sz w:val="21"/>
                      <w:szCs w:val="21"/>
                      <w:u w:val="single"/>
                      <w:lang w:val="en-US" w:eastAsia="zh-CN" w:bidi="ar"/>
                    </w:rPr>
                    <w:t>20</w:t>
                  </w:r>
                  <w:r>
                    <w:rPr>
                      <w:rFonts w:hint="default" w:ascii="Times New Roman" w:hAnsi="Times New Roman" w:eastAsia="宋体" w:cs="Times New Roman"/>
                      <w:color w:val="000000"/>
                      <w:kern w:val="0"/>
                      <w:sz w:val="21"/>
                      <w:szCs w:val="21"/>
                      <w:u w:val="single"/>
                      <w:lang w:val="en-US" w:eastAsia="zh-CN" w:bidi="ar"/>
                    </w:rPr>
                    <w:t>条道路雨水、污水管网系统建设工程，同步建设</w:t>
                  </w:r>
                  <w:r>
                    <w:rPr>
                      <w:rFonts w:hint="eastAsia" w:cs="Times New Roman"/>
                      <w:color w:val="000000"/>
                      <w:kern w:val="0"/>
                      <w:sz w:val="21"/>
                      <w:szCs w:val="21"/>
                      <w:u w:val="single"/>
                      <w:lang w:val="en-US" w:eastAsia="zh-CN" w:bidi="ar"/>
                    </w:rPr>
                    <w:t>2</w:t>
                  </w:r>
                  <w:r>
                    <w:rPr>
                      <w:rFonts w:hint="default" w:ascii="Times New Roman" w:hAnsi="Times New Roman" w:eastAsia="宋体" w:cs="Times New Roman"/>
                      <w:color w:val="000000"/>
                      <w:kern w:val="0"/>
                      <w:sz w:val="21"/>
                      <w:szCs w:val="21"/>
                      <w:u w:val="single"/>
                      <w:lang w:val="en-US" w:eastAsia="zh-CN" w:bidi="ar"/>
                    </w:rPr>
                    <w:t>条道路给水工程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cs="Times New Roman"/>
                      <w:kern w:val="2"/>
                      <w:sz w:val="21"/>
                      <w:szCs w:val="21"/>
                      <w:u w:val="single"/>
                      <w:lang w:eastAsia="zh-CN"/>
                    </w:rPr>
                    <w:t>合流制溢流污染控制工程</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lang w:val="en-US" w:eastAsia="zh-CN"/>
                    </w:rPr>
                  </w:pPr>
                  <w:r>
                    <w:rPr>
                      <w:rFonts w:hint="default" w:ascii="Times New Roman" w:hAnsi="Times New Roman" w:cs="Times New Roman"/>
                      <w:kern w:val="2"/>
                      <w:sz w:val="21"/>
                      <w:szCs w:val="21"/>
                      <w:u w:val="single"/>
                      <w:lang w:val="en-US" w:eastAsia="zh-CN"/>
                    </w:rPr>
                    <w:t>新建CSO调蓄池1座，总调节容积0.8万m</w:t>
                  </w:r>
                  <w:r>
                    <w:rPr>
                      <w:rFonts w:hint="default" w:ascii="Times New Roman" w:hAnsi="Times New Roman" w:cs="Times New Roman"/>
                      <w:kern w:val="2"/>
                      <w:sz w:val="21"/>
                      <w:szCs w:val="21"/>
                      <w:u w:val="single"/>
                      <w:vertAlign w:val="superscript"/>
                      <w:lang w:val="en-US" w:eastAsia="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cs="Times New Roman"/>
                      <w:kern w:val="2"/>
                      <w:sz w:val="21"/>
                      <w:szCs w:val="21"/>
                      <w:u w:val="single"/>
                      <w:lang w:eastAsia="zh-CN"/>
                    </w:rPr>
                    <w:t>截污工程</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lang w:val="en-US" w:eastAsia="zh-CN"/>
                    </w:rPr>
                  </w:pPr>
                  <w:r>
                    <w:rPr>
                      <w:rFonts w:hint="default" w:ascii="Times New Roman" w:hAnsi="Times New Roman" w:cs="Times New Roman"/>
                      <w:kern w:val="2"/>
                      <w:sz w:val="21"/>
                      <w:szCs w:val="21"/>
                      <w:u w:val="single"/>
                      <w:lang w:val="en-US" w:eastAsia="zh-CN"/>
                    </w:rPr>
                    <w:t>岳阳大道东片区截污工程：新建截污干管DN300-DN500，</w:t>
                  </w:r>
                  <w:r>
                    <w:rPr>
                      <w:rFonts w:hint="eastAsia" w:cs="Times New Roman"/>
                      <w:kern w:val="2"/>
                      <w:sz w:val="21"/>
                      <w:szCs w:val="21"/>
                      <w:u w:val="single"/>
                      <w:lang w:val="en-US" w:eastAsia="zh-CN"/>
                    </w:rPr>
                    <w:t>2195</w:t>
                  </w:r>
                  <w:r>
                    <w:rPr>
                      <w:rFonts w:hint="default" w:ascii="Times New Roman" w:hAnsi="Times New Roman" w:cs="Times New Roman"/>
                      <w:kern w:val="2"/>
                      <w:sz w:val="21"/>
                      <w:szCs w:val="21"/>
                      <w:u w:val="single"/>
                      <w:lang w:val="en-US" w:eastAsia="zh-CN"/>
                    </w:rPr>
                    <w:t>m；污水提升泵站</w:t>
                  </w:r>
                  <w:r>
                    <w:rPr>
                      <w:rFonts w:hint="eastAsia" w:cs="Times New Roman"/>
                      <w:kern w:val="2"/>
                      <w:sz w:val="21"/>
                      <w:szCs w:val="21"/>
                      <w:u w:val="single"/>
                      <w:lang w:val="en-US" w:eastAsia="zh-CN"/>
                    </w:rPr>
                    <w:t>2</w:t>
                  </w:r>
                  <w:r>
                    <w:rPr>
                      <w:rFonts w:hint="default" w:ascii="Times New Roman" w:hAnsi="Times New Roman" w:cs="Times New Roman"/>
                      <w:kern w:val="2"/>
                      <w:sz w:val="21"/>
                      <w:szCs w:val="21"/>
                      <w:u w:val="single"/>
                      <w:lang w:val="en-US" w:eastAsia="zh-CN"/>
                    </w:rPr>
                    <w:t>00m</w:t>
                  </w:r>
                  <w:r>
                    <w:rPr>
                      <w:rFonts w:hint="default" w:ascii="Times New Roman" w:hAnsi="Times New Roman" w:cs="Times New Roman"/>
                      <w:kern w:val="2"/>
                      <w:sz w:val="21"/>
                      <w:szCs w:val="21"/>
                      <w:u w:val="single"/>
                      <w:vertAlign w:val="superscript"/>
                      <w:lang w:val="en-US" w:eastAsia="zh-CN"/>
                    </w:rPr>
                    <w:t>3</w:t>
                  </w:r>
                  <w:r>
                    <w:rPr>
                      <w:rFonts w:hint="default" w:ascii="Times New Roman" w:hAnsi="Times New Roman" w:cs="Times New Roman"/>
                      <w:kern w:val="2"/>
                      <w:sz w:val="21"/>
                      <w:szCs w:val="21"/>
                      <w:u w:val="single"/>
                      <w:lang w:val="en-US" w:eastAsia="zh-CN"/>
                    </w:rPr>
                    <w:t>/</w:t>
                  </w:r>
                  <w:r>
                    <w:rPr>
                      <w:rFonts w:hint="eastAsia" w:cs="Times New Roman"/>
                      <w:kern w:val="2"/>
                      <w:sz w:val="21"/>
                      <w:szCs w:val="21"/>
                      <w:u w:val="single"/>
                      <w:lang w:val="en-US" w:eastAsia="zh-CN"/>
                    </w:rPr>
                    <w:t>h</w:t>
                  </w:r>
                  <w:r>
                    <w:rPr>
                      <w:rFonts w:hint="default" w:ascii="Times New Roman" w:hAnsi="Times New Roman" w:cs="Times New Roman"/>
                      <w:kern w:val="2"/>
                      <w:sz w:val="21"/>
                      <w:szCs w:val="21"/>
                      <w:u w:val="single"/>
                      <w:lang w:val="en-US" w:eastAsia="zh-CN"/>
                    </w:rPr>
                    <w:t>、</w:t>
                  </w:r>
                  <w:r>
                    <w:rPr>
                      <w:rFonts w:hint="eastAsia" w:cs="Times New Roman"/>
                      <w:kern w:val="2"/>
                      <w:sz w:val="21"/>
                      <w:szCs w:val="21"/>
                      <w:u w:val="single"/>
                      <w:lang w:val="en-US" w:eastAsia="zh-CN"/>
                    </w:rPr>
                    <w:t>3</w:t>
                  </w:r>
                  <w:r>
                    <w:rPr>
                      <w:rFonts w:hint="default" w:ascii="Times New Roman" w:hAnsi="Times New Roman" w:cs="Times New Roman"/>
                      <w:kern w:val="2"/>
                      <w:sz w:val="21"/>
                      <w:szCs w:val="21"/>
                      <w:u w:val="single"/>
                      <w:lang w:val="en-US" w:eastAsia="zh-CN"/>
                    </w:rPr>
                    <w:t>00m</w:t>
                  </w:r>
                  <w:r>
                    <w:rPr>
                      <w:rFonts w:hint="default" w:ascii="Times New Roman" w:hAnsi="Times New Roman" w:cs="Times New Roman"/>
                      <w:kern w:val="2"/>
                      <w:sz w:val="21"/>
                      <w:szCs w:val="21"/>
                      <w:u w:val="single"/>
                      <w:vertAlign w:val="superscript"/>
                      <w:lang w:val="en-US" w:eastAsia="zh-CN"/>
                    </w:rPr>
                    <w:t>3</w:t>
                  </w:r>
                  <w:r>
                    <w:rPr>
                      <w:rFonts w:hint="default" w:ascii="Times New Roman" w:hAnsi="Times New Roman" w:cs="Times New Roman"/>
                      <w:kern w:val="2"/>
                      <w:sz w:val="21"/>
                      <w:szCs w:val="21"/>
                      <w:u w:val="single"/>
                      <w:lang w:val="en-US" w:eastAsia="zh-CN"/>
                    </w:rPr>
                    <w:t>/</w:t>
                  </w:r>
                  <w:r>
                    <w:rPr>
                      <w:rFonts w:hint="eastAsia" w:cs="Times New Roman"/>
                      <w:kern w:val="2"/>
                      <w:sz w:val="21"/>
                      <w:szCs w:val="21"/>
                      <w:u w:val="single"/>
                      <w:lang w:val="en-US" w:eastAsia="zh-CN"/>
                    </w:rPr>
                    <w:t>h</w:t>
                  </w:r>
                  <w:r>
                    <w:rPr>
                      <w:rFonts w:hint="default" w:ascii="Times New Roman" w:hAnsi="Times New Roman" w:cs="Times New Roman"/>
                      <w:kern w:val="2"/>
                      <w:sz w:val="21"/>
                      <w:szCs w:val="21"/>
                      <w:u w:val="single"/>
                      <w:lang w:val="en-US" w:eastAsia="zh-CN"/>
                    </w:rPr>
                    <w:t xml:space="preserve"> 各一座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lang w:eastAsia="zh-CN"/>
                    </w:rPr>
                  </w:pP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lang w:val="en-US" w:eastAsia="zh-CN"/>
                    </w:rPr>
                  </w:pPr>
                  <w:r>
                    <w:rPr>
                      <w:rFonts w:hint="default" w:ascii="Times New Roman" w:hAnsi="Times New Roman" w:cs="Times New Roman"/>
                      <w:kern w:val="2"/>
                      <w:sz w:val="21"/>
                      <w:szCs w:val="21"/>
                      <w:u w:val="single"/>
                      <w:lang w:val="en-US" w:eastAsia="zh-CN"/>
                    </w:rPr>
                    <w:t>奇家社区截污工程：新建截污干管DN300-DN400，676m。2</w:t>
                  </w:r>
                  <w:r>
                    <w:rPr>
                      <w:rFonts w:hint="eastAsia" w:cs="Times New Roman"/>
                      <w:kern w:val="2"/>
                      <w:sz w:val="21"/>
                      <w:szCs w:val="21"/>
                      <w:u w:val="single"/>
                      <w:lang w:val="en-US" w:eastAsia="zh-CN"/>
                    </w:rPr>
                    <w:t>20</w:t>
                  </w:r>
                  <w:r>
                    <w:rPr>
                      <w:rFonts w:hint="default" w:ascii="Times New Roman" w:hAnsi="Times New Roman" w:cs="Times New Roman"/>
                      <w:kern w:val="2"/>
                      <w:sz w:val="21"/>
                      <w:szCs w:val="21"/>
                      <w:u w:val="single"/>
                      <w:lang w:val="en-US" w:eastAsia="zh-CN"/>
                    </w:rPr>
                    <w:t>t/</w:t>
                  </w:r>
                  <w:r>
                    <w:rPr>
                      <w:rFonts w:hint="eastAsia" w:cs="Times New Roman"/>
                      <w:kern w:val="2"/>
                      <w:sz w:val="21"/>
                      <w:szCs w:val="21"/>
                      <w:u w:val="single"/>
                      <w:lang w:val="en-US" w:eastAsia="zh-CN"/>
                    </w:rPr>
                    <w:t>d一体化处理设施</w:t>
                  </w:r>
                  <w:r>
                    <w:rPr>
                      <w:rFonts w:hint="default" w:ascii="Times New Roman" w:hAnsi="Times New Roman" w:cs="Times New Roman"/>
                      <w:kern w:val="2"/>
                      <w:sz w:val="21"/>
                      <w:szCs w:val="21"/>
                      <w:u w:val="single"/>
                      <w:lang w:val="en-US" w:eastAsia="zh-CN"/>
                    </w:rPr>
                    <w:t>一座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single"/>
                      <w:lang w:eastAsia="zh-CN"/>
                    </w:rPr>
                  </w:pPr>
                  <w:r>
                    <w:rPr>
                      <w:rFonts w:hint="default" w:ascii="Times New Roman" w:hAnsi="Times New Roman" w:cs="Times New Roman"/>
                      <w:kern w:val="2"/>
                      <w:sz w:val="21"/>
                      <w:szCs w:val="21"/>
                      <w:u w:val="single"/>
                      <w:lang w:eastAsia="zh-CN"/>
                    </w:rPr>
                    <w:t>面源污染控制工程</w:t>
                  </w:r>
                </w:p>
              </w:tc>
              <w:tc>
                <w:tcPr>
                  <w:tcW w:w="3482" w:type="pct"/>
                  <w:noWrap w:val="0"/>
                  <w:vAlign w:val="center"/>
                </w:tcPr>
                <w:p>
                  <w:pPr>
                    <w:numPr>
                      <w:ilvl w:val="0"/>
                      <w:numId w:val="0"/>
                    </w:numPr>
                    <w:rPr>
                      <w:rFonts w:hint="default" w:ascii="Times New Roman" w:hAnsi="Times New Roman" w:cs="Times New Roman"/>
                      <w:kern w:val="2"/>
                      <w:sz w:val="21"/>
                      <w:szCs w:val="21"/>
                      <w:u w:val="single"/>
                      <w:lang w:val="en-US" w:eastAsia="zh-CN"/>
                    </w:rPr>
                  </w:pPr>
                  <w:r>
                    <w:rPr>
                      <w:rFonts w:hint="default" w:ascii="Times New Roman" w:hAnsi="Times New Roman" w:eastAsia="宋体" w:cs="Times New Roman"/>
                      <w:spacing w:val="-6"/>
                      <w:sz w:val="21"/>
                      <w:szCs w:val="21"/>
                      <w:u w:val="single"/>
                    </w:rPr>
                    <w:t xml:space="preserve"> </w:t>
                  </w:r>
                  <w:r>
                    <w:rPr>
                      <w:rFonts w:hint="eastAsia" w:cs="Times New Roman"/>
                      <w:spacing w:val="-6"/>
                      <w:sz w:val="21"/>
                      <w:szCs w:val="21"/>
                      <w:u w:val="single"/>
                      <w:lang w:val="en-US" w:eastAsia="zh-CN"/>
                    </w:rPr>
                    <w:t>41290</w:t>
                  </w:r>
                  <w:r>
                    <w:rPr>
                      <w:rFonts w:hint="default" w:ascii="Times New Roman" w:hAnsi="Times New Roman" w:cs="Times New Roman"/>
                      <w:sz w:val="21"/>
                      <w:szCs w:val="21"/>
                      <w:u w:val="single"/>
                    </w:rPr>
                    <w:t>m</w:t>
                  </w:r>
                  <w:r>
                    <w:rPr>
                      <w:rFonts w:hint="eastAsia" w:cs="Times New Roman"/>
                      <w:kern w:val="2"/>
                      <w:sz w:val="21"/>
                      <w:szCs w:val="21"/>
                      <w:u w:val="single"/>
                      <w:vertAlign w:val="superscript"/>
                      <w:lang w:val="en-US" w:eastAsia="zh-CN"/>
                    </w:rPr>
                    <w:t>2</w:t>
                  </w:r>
                  <w:r>
                    <w:rPr>
                      <w:rFonts w:hint="eastAsia" w:cs="Times New Roman"/>
                      <w:kern w:val="2"/>
                      <w:sz w:val="21"/>
                      <w:szCs w:val="21"/>
                      <w:u w:val="single"/>
                      <w:vertAlign w:val="baseline"/>
                      <w:lang w:val="en-US" w:eastAsia="zh-CN"/>
                    </w:rPr>
                    <w:t>廖家巷湿地，新建2座一体化污水处理设备，处理能力分别为3t/d、5t/d；新建一体化污水提升泵站600t/d；并进行底泥清淤、底质改良、新建生态沟渠、生态滤坝、生态滞留塘、生态净化墙；新建岸坡稳定、水生态修复、</w:t>
                  </w:r>
                  <w:r>
                    <w:rPr>
                      <w:rFonts w:hint="eastAsia"/>
                      <w:u w:val="single"/>
                      <w:lang w:val="en-US" w:eastAsia="zh-CN"/>
                    </w:rPr>
                    <w:t>退水设施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lang w:eastAsia="zh-CN"/>
                    </w:rPr>
                  </w:pP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lang w:val="en-US" w:eastAsia="zh-CN"/>
                    </w:rPr>
                  </w:pPr>
                  <w:r>
                    <w:rPr>
                      <w:rFonts w:hint="eastAsia" w:cs="Times New Roman"/>
                      <w:sz w:val="21"/>
                      <w:szCs w:val="21"/>
                      <w:u w:val="single"/>
                      <w:lang w:val="en-US" w:eastAsia="zh-CN"/>
                    </w:rPr>
                    <w:t>14987</w:t>
                  </w:r>
                  <w:r>
                    <w:rPr>
                      <w:rFonts w:hint="default" w:ascii="Times New Roman" w:hAnsi="Times New Roman" w:cs="Times New Roman"/>
                      <w:sz w:val="21"/>
                      <w:szCs w:val="21"/>
                      <w:u w:val="single"/>
                    </w:rPr>
                    <w:t>m</w:t>
                  </w:r>
                  <w:r>
                    <w:rPr>
                      <w:rFonts w:hint="eastAsia" w:cs="Times New Roman"/>
                      <w:kern w:val="2"/>
                      <w:sz w:val="21"/>
                      <w:szCs w:val="21"/>
                      <w:u w:val="single"/>
                      <w:vertAlign w:val="superscript"/>
                      <w:lang w:val="en-US" w:eastAsia="zh-CN"/>
                    </w:rPr>
                    <w:t>2</w:t>
                  </w:r>
                  <w:r>
                    <w:rPr>
                      <w:rFonts w:hint="eastAsia" w:cs="Times New Roman"/>
                      <w:kern w:val="2"/>
                      <w:sz w:val="21"/>
                      <w:szCs w:val="21"/>
                      <w:u w:val="single"/>
                      <w:vertAlign w:val="baseline"/>
                      <w:lang w:val="en-US" w:eastAsia="zh-CN"/>
                    </w:rPr>
                    <w:t>颐养院湿地，新建2座一体化污水处理设备，处理能力分别为5t/d、3t/d，并进行底泥清淤、底质改良、新建生态沟渠、生态滤坝、生态滞留塘、生态净化墙；新建岸坡稳定、水生态修复、</w:t>
                  </w:r>
                  <w:r>
                    <w:rPr>
                      <w:rFonts w:hint="eastAsia"/>
                      <w:u w:val="single"/>
                      <w:lang w:val="en-US" w:eastAsia="zh-CN"/>
                    </w:rPr>
                    <w:t>退水设施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宋体" w:cs="Times New Roman"/>
                      <w:kern w:val="2"/>
                      <w:sz w:val="21"/>
                      <w:szCs w:val="21"/>
                      <w:u w:val="single"/>
                      <w:lang w:eastAsia="zh-CN"/>
                    </w:rPr>
                  </w:pP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b/>
                      <w:bCs/>
                      <w:kern w:val="2"/>
                      <w:sz w:val="21"/>
                      <w:szCs w:val="21"/>
                      <w:u w:val="single"/>
                      <w:lang w:val="en-US" w:eastAsia="zh-CN"/>
                    </w:rPr>
                  </w:pPr>
                  <w:r>
                    <w:rPr>
                      <w:rFonts w:hint="eastAsia" w:cs="Times New Roman"/>
                      <w:sz w:val="21"/>
                      <w:szCs w:val="21"/>
                      <w:u w:val="single"/>
                      <w:lang w:val="en-US" w:eastAsia="zh-CN"/>
                    </w:rPr>
                    <w:t>18935</w:t>
                  </w:r>
                  <w:r>
                    <w:rPr>
                      <w:rFonts w:hint="default" w:ascii="Times New Roman" w:hAnsi="Times New Roman" w:cs="Times New Roman"/>
                      <w:sz w:val="21"/>
                      <w:szCs w:val="21"/>
                      <w:u w:val="single"/>
                    </w:rPr>
                    <w:t>m</w:t>
                  </w:r>
                  <w:r>
                    <w:rPr>
                      <w:rFonts w:hint="eastAsia" w:cs="Times New Roman"/>
                      <w:kern w:val="2"/>
                      <w:sz w:val="21"/>
                      <w:szCs w:val="21"/>
                      <w:u w:val="single"/>
                      <w:vertAlign w:val="superscript"/>
                      <w:lang w:val="en-US" w:eastAsia="zh-CN"/>
                    </w:rPr>
                    <w:t>2</w:t>
                  </w:r>
                  <w:r>
                    <w:rPr>
                      <w:rFonts w:hint="eastAsia" w:cs="Times New Roman"/>
                      <w:kern w:val="2"/>
                      <w:sz w:val="21"/>
                      <w:szCs w:val="21"/>
                      <w:u w:val="single"/>
                      <w:vertAlign w:val="baseline"/>
                      <w:lang w:val="en-US" w:eastAsia="zh-CN"/>
                    </w:rPr>
                    <w:t>奥敏游泳馆湿地，新建1座一体化污水处理设备，处理能力为5t/d，并进行底泥清淤、底质改良、新建生态沟渠、生态滤坝、生态滞留塘、生态净化墙；新建岸坡稳定、水生态修复、</w:t>
                  </w:r>
                  <w:r>
                    <w:rPr>
                      <w:rFonts w:hint="eastAsia"/>
                      <w:u w:val="single"/>
                      <w:lang w:val="en-US" w:eastAsia="zh-CN"/>
                    </w:rPr>
                    <w:t>退水设施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辅助工程</w:t>
                  </w: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施工道路</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eastAsia="宋体" w:cs="Times New Roman"/>
                      <w:kern w:val="2"/>
                      <w:sz w:val="21"/>
                      <w:szCs w:val="21"/>
                      <w:u w:val="single"/>
                      <w:lang w:val="en-US" w:eastAsia="zh-CN"/>
                    </w:rPr>
                  </w:pPr>
                  <w:r>
                    <w:rPr>
                      <w:rFonts w:hint="default" w:ascii="Times New Roman" w:hAnsi="Times New Roman" w:cs="Times New Roman"/>
                      <w:kern w:val="2"/>
                      <w:sz w:val="21"/>
                      <w:szCs w:val="21"/>
                      <w:u w:val="single"/>
                      <w:lang w:val="en-US" w:eastAsia="zh-CN"/>
                    </w:rPr>
                    <w:t>利用现有道路，不新建施工便道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施工用水</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rPr>
                  </w:pPr>
                  <w:r>
                    <w:rPr>
                      <w:rFonts w:hint="eastAsia" w:ascii="Times New Roman" w:hAnsi="Times New Roman" w:cs="Times New Roman" w:eastAsiaTheme="minorEastAsia"/>
                      <w:color w:val="auto"/>
                      <w:sz w:val="21"/>
                      <w:szCs w:val="21"/>
                      <w:u w:val="single"/>
                      <w:lang w:eastAsia="zh-CN"/>
                    </w:rPr>
                    <w:t>施工期用水</w:t>
                  </w:r>
                  <w:r>
                    <w:rPr>
                      <w:rFonts w:hint="default" w:ascii="Times New Roman" w:hAnsi="Times New Roman" w:cs="Times New Roman" w:eastAsiaTheme="minorEastAsia"/>
                      <w:color w:val="auto"/>
                      <w:sz w:val="21"/>
                      <w:szCs w:val="21"/>
                      <w:u w:val="single"/>
                      <w:lang w:eastAsia="zh-CN"/>
                    </w:rPr>
                    <w:t>由市政供水管网</w:t>
                  </w:r>
                  <w:r>
                    <w:rPr>
                      <w:rFonts w:hint="eastAsia" w:ascii="Times New Roman" w:hAnsi="Times New Roman" w:cs="Times New Roman" w:eastAsiaTheme="minorEastAsia"/>
                      <w:color w:val="auto"/>
                      <w:sz w:val="21"/>
                      <w:szCs w:val="21"/>
                      <w:u w:val="single"/>
                      <w:lang w:eastAsia="zh-CN"/>
                    </w:rPr>
                    <w:t>提供</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施工用电</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施工用电就近从电网架线接入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环保工程</w:t>
                  </w:r>
                </w:p>
              </w:tc>
              <w:tc>
                <w:tcPr>
                  <w:tcW w:w="1037"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rPr>
                    <w:t>废水治理</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lang w:eastAsia="zh-CN"/>
                    </w:rPr>
                    <w:t>施工</w:t>
                  </w:r>
                  <w:r>
                    <w:rPr>
                      <w:rFonts w:hint="eastAsia" w:cs="Times New Roman"/>
                      <w:kern w:val="2"/>
                      <w:sz w:val="21"/>
                      <w:szCs w:val="21"/>
                      <w:highlight w:val="none"/>
                      <w:u w:val="single"/>
                      <w:lang w:eastAsia="zh-CN"/>
                    </w:rPr>
                    <w:t>期</w:t>
                  </w:r>
                  <w:r>
                    <w:rPr>
                      <w:rFonts w:hint="default" w:ascii="Times New Roman" w:hAnsi="Times New Roman" w:cs="Times New Roman"/>
                      <w:kern w:val="2"/>
                      <w:sz w:val="21"/>
                      <w:szCs w:val="21"/>
                      <w:highlight w:val="none"/>
                      <w:u w:val="single"/>
                    </w:rPr>
                    <w:t>废水通过沉淀池处理后回用于施工及洒水降尘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none"/>
                      <w:u w:val="single"/>
                    </w:rPr>
                  </w:pP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highlight w:val="none"/>
                      <w:u w:val="single"/>
                      <w:lang w:eastAsia="zh-CN"/>
                    </w:rPr>
                  </w:pPr>
                  <w:r>
                    <w:rPr>
                      <w:rFonts w:hint="eastAsia" w:cs="Times New Roman"/>
                      <w:kern w:val="2"/>
                      <w:sz w:val="21"/>
                      <w:szCs w:val="21"/>
                      <w:highlight w:val="none"/>
                      <w:u w:val="single"/>
                      <w:lang w:eastAsia="zh-CN"/>
                    </w:rPr>
                    <w:t>营运期污水处理站废水经处理达标后排放</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rPr>
                    <w:t>废气治理</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highlight w:val="none"/>
                      <w:u w:val="single"/>
                    </w:rPr>
                  </w:pPr>
                  <w:r>
                    <w:rPr>
                      <w:rFonts w:hint="eastAsia" w:cs="Times New Roman"/>
                      <w:kern w:val="2"/>
                      <w:sz w:val="21"/>
                      <w:szCs w:val="21"/>
                      <w:highlight w:val="none"/>
                      <w:u w:val="single"/>
                      <w:lang w:eastAsia="zh-CN"/>
                    </w:rPr>
                    <w:t>施工期</w:t>
                  </w:r>
                  <w:r>
                    <w:rPr>
                      <w:rFonts w:hint="default" w:ascii="Times New Roman" w:hAnsi="Times New Roman" w:cs="Times New Roman"/>
                      <w:kern w:val="2"/>
                      <w:sz w:val="21"/>
                      <w:szCs w:val="21"/>
                      <w:highlight w:val="none"/>
                      <w:u w:val="single"/>
                    </w:rPr>
                    <w:t>设围栏、围网、场地洒水、遮盖、车辆清洗出场等措施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none"/>
                      <w:u w:val="single"/>
                    </w:rPr>
                  </w:pP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eastAsia" w:ascii="Times New Roman" w:hAnsi="Times New Roman" w:eastAsia="宋体" w:cs="Times New Roman"/>
                      <w:kern w:val="2"/>
                      <w:sz w:val="21"/>
                      <w:szCs w:val="21"/>
                      <w:highlight w:val="none"/>
                      <w:u w:val="single"/>
                      <w:lang w:eastAsia="zh-CN"/>
                    </w:rPr>
                  </w:pPr>
                  <w:r>
                    <w:rPr>
                      <w:rFonts w:hint="eastAsia" w:cs="Times New Roman"/>
                      <w:kern w:val="2"/>
                      <w:sz w:val="21"/>
                      <w:szCs w:val="21"/>
                      <w:highlight w:val="none"/>
                      <w:u w:val="single"/>
                      <w:lang w:eastAsia="zh-CN"/>
                    </w:rPr>
                    <w:t>营运期对污水处理站构筑物加盖密闭并喷洒除臭剂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4"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rPr>
                    <w:t>噪声治理</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rPr>
                    <w:t>采用合理布局、设置围挡、低噪设备等措施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rPr>
                    <w:t>固废处置</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highlight w:val="none"/>
                      <w:u w:val="single"/>
                    </w:rPr>
                  </w:pPr>
                  <w:r>
                    <w:rPr>
                      <w:rFonts w:hint="default" w:ascii="Times New Roman" w:hAnsi="Times New Roman" w:cs="Times New Roman"/>
                      <w:kern w:val="2"/>
                      <w:sz w:val="21"/>
                      <w:szCs w:val="21"/>
                      <w:highlight w:val="none"/>
                      <w:u w:val="single"/>
                      <w:lang w:eastAsia="zh-CN"/>
                    </w:rPr>
                    <w:t>弃渣交由渣土部门统一调配；</w:t>
                  </w:r>
                  <w:r>
                    <w:rPr>
                      <w:rFonts w:hint="default" w:ascii="Times New Roman" w:hAnsi="Times New Roman" w:cs="Times New Roman"/>
                      <w:kern w:val="2"/>
                      <w:sz w:val="21"/>
                      <w:szCs w:val="21"/>
                      <w:highlight w:val="none"/>
                      <w:u w:val="single"/>
                      <w:lang w:val="en-US" w:eastAsia="zh-CN"/>
                    </w:rPr>
                    <w:t>淤泥进行脱水后回用于平整边坡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highlight w:val="yellow"/>
                      <w:u w:val="single"/>
                    </w:rPr>
                  </w:pP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highlight w:val="yellow"/>
                      <w:u w:val="single"/>
                      <w:lang w:eastAsia="zh-CN"/>
                    </w:rPr>
                  </w:pPr>
                  <w:r>
                    <w:rPr>
                      <w:rFonts w:hint="eastAsia" w:cs="Times New Roman"/>
                      <w:kern w:val="2"/>
                      <w:sz w:val="21"/>
                      <w:szCs w:val="21"/>
                      <w:highlight w:val="none"/>
                      <w:u w:val="single"/>
                      <w:lang w:eastAsia="zh-CN"/>
                    </w:rPr>
                    <w:t>污水处理站剩余污泥</w:t>
                  </w:r>
                  <w:r>
                    <w:rPr>
                      <w:rFonts w:hint="eastAsia" w:cs="Times New Roman"/>
                      <w:kern w:val="2"/>
                      <w:sz w:val="21"/>
                      <w:szCs w:val="21"/>
                      <w:highlight w:val="none"/>
                      <w:u w:val="single"/>
                      <w:lang w:val="en-US" w:eastAsia="zh-CN"/>
                    </w:rPr>
                    <w:t>定期外运至罗家坡污水处理厂集中处置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80" w:type="pct"/>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p>
              </w:tc>
              <w:tc>
                <w:tcPr>
                  <w:tcW w:w="1037"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生态治理</w:t>
                  </w:r>
                </w:p>
              </w:tc>
              <w:tc>
                <w:tcPr>
                  <w:tcW w:w="3482" w:type="pct"/>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default" w:ascii="Times New Roman" w:hAnsi="Times New Roman" w:cs="Times New Roman"/>
                      <w:kern w:val="2"/>
                      <w:sz w:val="21"/>
                      <w:szCs w:val="21"/>
                      <w:u w:val="single"/>
                    </w:rPr>
                  </w:pPr>
                  <w:r>
                    <w:rPr>
                      <w:rFonts w:hint="default" w:ascii="Times New Roman" w:hAnsi="Times New Roman" w:cs="Times New Roman"/>
                      <w:kern w:val="2"/>
                      <w:sz w:val="21"/>
                      <w:szCs w:val="21"/>
                      <w:u w:val="single"/>
                    </w:rPr>
                    <w:t>恢复植被</w:t>
                  </w:r>
                </w:p>
              </w:tc>
            </w:tr>
            <w:bookmarkEnd w:id="23"/>
          </w:tbl>
          <w:p>
            <w:pPr>
              <w:keepNext w:val="0"/>
              <w:keepLines w:val="0"/>
              <w:pageBreakBefore w:val="0"/>
              <w:widowControl w:val="0"/>
              <w:kinsoku/>
              <w:wordWrap/>
              <w:overflowPunct/>
              <w:topLinePunct w:val="0"/>
              <w:autoSpaceDE/>
              <w:autoSpaceDN/>
              <w:bidi w:val="0"/>
              <w:adjustRightInd w:val="0"/>
              <w:snapToGrid/>
              <w:spacing w:line="360" w:lineRule="auto"/>
              <w:textAlignment w:val="auto"/>
              <w:outlineLvl w:val="9"/>
              <w:rPr>
                <w:rFonts w:hint="eastAsia"/>
                <w:b/>
                <w:bCs/>
                <w:color w:val="auto"/>
                <w:sz w:val="24"/>
                <w:szCs w:val="24"/>
                <w:lang w:val="en-US" w:eastAsia="zh-CN"/>
              </w:rPr>
            </w:pPr>
            <w:r>
              <w:rPr>
                <w:rFonts w:hint="eastAsia" w:eastAsia="宋体"/>
                <w:b/>
                <w:bCs/>
                <w:color w:val="auto"/>
                <w:sz w:val="24"/>
                <w:szCs w:val="24"/>
                <w:lang w:val="en-US" w:eastAsia="zh-CN"/>
              </w:rPr>
              <w:t>1.</w:t>
            </w:r>
            <w:r>
              <w:rPr>
                <w:rFonts w:hint="eastAsia"/>
                <w:b/>
                <w:bCs/>
                <w:color w:val="auto"/>
                <w:sz w:val="24"/>
                <w:szCs w:val="24"/>
                <w:lang w:val="en-US" w:eastAsia="zh-CN"/>
              </w:rPr>
              <w:t>5</w:t>
            </w:r>
            <w:r>
              <w:rPr>
                <w:rFonts w:hint="eastAsia" w:eastAsia="宋体"/>
                <w:b/>
                <w:bCs/>
                <w:color w:val="auto"/>
                <w:sz w:val="24"/>
                <w:szCs w:val="24"/>
                <w:lang w:val="en-US" w:eastAsia="zh-CN"/>
              </w:rPr>
              <w:t xml:space="preserve"> 点源污染控制工程</w:t>
            </w:r>
            <w:r>
              <w:rPr>
                <w:rFonts w:hint="eastAsia"/>
                <w:b/>
                <w:bCs/>
                <w:color w:val="auto"/>
                <w:sz w:val="24"/>
                <w:szCs w:val="24"/>
                <w:lang w:val="en-US" w:eastAsia="zh-CN"/>
              </w:rPr>
              <w:t>建设内容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eastAsia"/>
                <w:b w:val="0"/>
                <w:bCs w:val="0"/>
                <w:spacing w:val="0"/>
                <w:sz w:val="24"/>
                <w:szCs w:val="24"/>
                <w:lang w:eastAsia="zh-CN"/>
              </w:rPr>
            </w:pPr>
            <w:r>
              <w:rPr>
                <w:rFonts w:hint="eastAsia"/>
                <w:b w:val="0"/>
                <w:bCs w:val="0"/>
                <w:color w:val="auto"/>
                <w:spacing w:val="0"/>
                <w:sz w:val="24"/>
                <w:szCs w:val="24"/>
                <w:lang w:val="en-US" w:eastAsia="zh-CN"/>
              </w:rPr>
              <w:t>项目点源污染控制工程主要对20条道路雨水、污水管网系统进行建设，同步建设2条道路给水工程。20条道路雨污分流工程具体为：</w:t>
            </w:r>
            <w:r>
              <w:rPr>
                <w:b w:val="0"/>
                <w:bCs w:val="0"/>
                <w:spacing w:val="0"/>
                <w:sz w:val="24"/>
                <w:szCs w:val="24"/>
              </w:rPr>
              <w:t>白石岭路南段雨污分流工程、科技路雨污分流工程、狮子山北路雨污分流工程、通海南路北段雨污分流工程、科美达路雨污分流工程、长山路雨污分流工程、</w:t>
            </w:r>
            <w:r>
              <w:rPr>
                <w:rFonts w:hint="default" w:ascii="Times New Roman" w:hAnsi="Times New Roman" w:eastAsia="宋体" w:cs="Times New Roman"/>
                <w:color w:val="000000"/>
                <w:kern w:val="0"/>
                <w:sz w:val="24"/>
                <w:szCs w:val="24"/>
                <w:lang w:val="en-US" w:eastAsia="zh-CN" w:bidi="ar"/>
              </w:rPr>
              <w:t>营盘岭路雨污分流工程（包含 DN500 给水管道建设）</w:t>
            </w:r>
            <w:r>
              <w:rPr>
                <w:b w:val="0"/>
                <w:bCs w:val="0"/>
                <w:spacing w:val="0"/>
                <w:sz w:val="24"/>
                <w:szCs w:val="24"/>
              </w:rPr>
              <w:t>、民兴路雨污分流工程、狮子山南路雨污分流工程、双拥路雨污分流工程、太阳坡路雨污分流工程、白石岭路北段雨污分流工程、</w:t>
            </w:r>
            <w:r>
              <w:rPr>
                <w:rFonts w:hint="default" w:ascii="Times New Roman" w:hAnsi="Times New Roman" w:eastAsia="宋体" w:cs="Times New Roman"/>
                <w:color w:val="000000"/>
                <w:kern w:val="0"/>
                <w:sz w:val="24"/>
                <w:szCs w:val="24"/>
                <w:lang w:val="en-US" w:eastAsia="zh-CN" w:bidi="ar"/>
              </w:rPr>
              <w:t>桐子岭路雨污分流工程（包含 DN400 给水管道建设）</w:t>
            </w:r>
            <w:r>
              <w:rPr>
                <w:b w:val="0"/>
                <w:bCs w:val="0"/>
                <w:spacing w:val="0"/>
                <w:sz w:val="24"/>
                <w:szCs w:val="24"/>
              </w:rPr>
              <w:t>、巴陵东路雨污分流工程、青年东路雨污分流工程、长山路延长线雨污分流工程、华强路雨污分流工程、后头坡路雨污分流工程、排鸭冲路雨污分流工程；岳阳大道混接错接改造工程</w:t>
            </w:r>
            <w:r>
              <w:rPr>
                <w:rFonts w:hint="eastAsia"/>
                <w:b w:val="0"/>
                <w:bCs w:val="0"/>
                <w:spacing w:val="0"/>
                <w:sz w:val="24"/>
                <w:szCs w:val="24"/>
                <w:lang w:eastAsia="zh-CN"/>
              </w:rPr>
              <w:t>。</w:t>
            </w:r>
          </w:p>
          <w:p>
            <w:pPr>
              <w:pStyle w:val="2"/>
              <w:numPr>
                <w:ilvl w:val="2"/>
                <w:numId w:val="0"/>
              </w:numPr>
              <w:ind w:leftChars="0" w:firstLine="480"/>
              <w:rPr>
                <w:rFonts w:hint="eastAsia"/>
                <w:lang w:val="en-US" w:eastAsia="zh-CN"/>
              </w:rPr>
            </w:pPr>
            <w:r>
              <w:rPr>
                <w:rFonts w:hint="eastAsia"/>
                <w:lang w:val="en-US" w:eastAsia="zh-CN"/>
              </w:rPr>
              <w:t>项目点源污染控制工程具体建设内容详见下表：</w:t>
            </w:r>
          </w:p>
          <w:p>
            <w:pPr>
              <w:ind w:firstLine="480"/>
              <w:jc w:val="center"/>
              <w:rPr>
                <w:rFonts w:hint="default"/>
                <w:b/>
                <w:bCs/>
                <w:lang w:val="en-US" w:eastAsia="zh-CN"/>
              </w:rPr>
            </w:pPr>
            <w:r>
              <w:rPr>
                <w:rFonts w:hint="eastAsia"/>
                <w:b/>
                <w:bCs/>
                <w:lang w:val="en-US" w:eastAsia="zh-CN"/>
              </w:rPr>
              <w:t>表1.5-1   点源污染控制工程具体建设内容一览表</w:t>
            </w:r>
          </w:p>
          <w:tbl>
            <w:tblPr>
              <w:tblStyle w:val="27"/>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5"/>
              <w:gridCol w:w="1940"/>
              <w:gridCol w:w="67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序号</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名称</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主要建设内容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z w:val="21"/>
                      <w:szCs w:val="21"/>
                      <w:u w:val="single"/>
                      <w:lang w:val="en-US" w:eastAsia="zh-CN"/>
                    </w:rPr>
                    <w:t>白石岭北路雨污分流工程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新建雨水、污水管道位于道路西侧，标准段雨水距离道路中心线1.2m，污水距离道路中心线4.7m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2</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科美达路雨污分流改造工程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新建污水管道位于道路南侧，距离道路中心线 22.3m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3</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营盘岭路雨污分流改造工程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eastAsia" w:cs="Times New Roman"/>
                      <w:b w:val="0"/>
                      <w:bCs w:val="0"/>
                      <w:spacing w:val="0"/>
                      <w:sz w:val="21"/>
                      <w:szCs w:val="21"/>
                      <w:u w:val="single"/>
                      <w:lang w:val="en-US" w:eastAsia="zh-CN"/>
                    </w:rPr>
                  </w:pPr>
                  <w:r>
                    <w:rPr>
                      <w:rFonts w:hint="default" w:ascii="Times New Roman" w:hAnsi="Times New Roman" w:cs="Times New Roman"/>
                      <w:b w:val="0"/>
                      <w:bCs w:val="0"/>
                      <w:spacing w:val="0"/>
                      <w:sz w:val="21"/>
                      <w:szCs w:val="21"/>
                      <w:u w:val="single"/>
                      <w:lang w:val="en-US" w:eastAsia="zh-CN"/>
                    </w:rPr>
                    <w:t>营盘岭路（通海路</w:t>
                  </w:r>
                  <w:r>
                    <w:rPr>
                      <w:rFonts w:hint="eastAsia" w:cs="Times New Roman"/>
                      <w:b w:val="0"/>
                      <w:bCs w:val="0"/>
                      <w:spacing w:val="0"/>
                      <w:sz w:val="21"/>
                      <w:szCs w:val="21"/>
                      <w:u w:val="single"/>
                      <w:lang w:val="en-US" w:eastAsia="zh-CN"/>
                    </w:rPr>
                    <w:t>—</w:t>
                  </w:r>
                  <w:r>
                    <w:rPr>
                      <w:rFonts w:hint="default" w:ascii="Times New Roman" w:hAnsi="Times New Roman" w:cs="Times New Roman"/>
                      <w:b w:val="0"/>
                      <w:bCs w:val="0"/>
                      <w:spacing w:val="0"/>
                      <w:sz w:val="21"/>
                      <w:szCs w:val="21"/>
                      <w:u w:val="single"/>
                      <w:lang w:val="en-US" w:eastAsia="zh-CN"/>
                    </w:rPr>
                    <w:t>白石岭路）将在道路北侧距离中心线2m位置全段新建DN600-D1200 雨水重力管道</w:t>
                  </w:r>
                  <w:r>
                    <w:rPr>
                      <w:rFonts w:hint="eastAsia" w:cs="Times New Roman"/>
                      <w:b w:val="0"/>
                      <w:bCs w:val="0"/>
                      <w:spacing w:val="0"/>
                      <w:sz w:val="21"/>
                      <w:szCs w:val="21"/>
                      <w:u w:val="single"/>
                      <w:lang w:val="en-US" w:eastAsia="zh-CN"/>
                    </w:rPr>
                    <w:t>，新建 DN400 给水管道，现状 D300 水泥管道等新建管道通水后废除。</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cs="Times New Roman"/>
                      <w:b w:val="0"/>
                      <w:bCs w:val="0"/>
                      <w:spacing w:val="0"/>
                      <w:sz w:val="21"/>
                      <w:szCs w:val="21"/>
                      <w:u w:val="single"/>
                      <w:lang w:val="en-US" w:eastAsia="zh-CN"/>
                    </w:rPr>
                    <w:t>营盘岭路（太阳桥主涵-白石岭路）在道路南侧距离中心线 0.8m 位置新建 DN800-D1200污水重力管道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4</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桐子岭路雨污分流工程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u w:val="single"/>
                      <w:lang w:val="en-US" w:eastAsia="zh-CN"/>
                    </w:rPr>
                  </w:pPr>
                  <w:r>
                    <w:rPr>
                      <w:rFonts w:hint="default"/>
                      <w:u w:val="single"/>
                      <w:lang w:val="en-US" w:eastAsia="zh-CN"/>
                    </w:rPr>
                    <w:t>桐子岭路（通海路-白石岭路）在道路中心线位置全段新建D800-D1000 雨水重力管道</w:t>
                  </w:r>
                </w:p>
                <w:p>
                  <w:pPr>
                    <w:pStyle w:val="2"/>
                    <w:numPr>
                      <w:ilvl w:val="2"/>
                      <w:numId w:val="0"/>
                    </w:numPr>
                    <w:spacing w:line="240" w:lineRule="auto"/>
                    <w:ind w:leftChars="0"/>
                    <w:jc w:val="center"/>
                    <w:rPr>
                      <w:rFonts w:hint="default"/>
                      <w:u w:val="single"/>
                      <w:lang w:val="en-US" w:eastAsia="zh-CN"/>
                    </w:rPr>
                  </w:pPr>
                  <w:r>
                    <w:rPr>
                      <w:rFonts w:hint="default" w:ascii="Times New Roman" w:hAnsi="Times New Roman" w:eastAsia="宋体" w:cs="Times New Roman"/>
                      <w:bCs w:val="0"/>
                      <w:kern w:val="2"/>
                      <w:sz w:val="21"/>
                      <w:szCs w:val="22"/>
                      <w:u w:val="single"/>
                      <w:lang w:val="en-US" w:eastAsia="zh-CN" w:bidi="ar-SA"/>
                    </w:rPr>
                    <w:t>上新敷设一根 DN400 球墨铸铁管，水源接通海南路现状 DN800 给水管道，管道末端与白石岭路北段新敷设 DN500 管道联通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5</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巴陵东路雨污分流工程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巴陵东路（通海路-白石岭路）在道路中心线位置全段新建D600-D1200 雨水重力管道。</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巴陵东路（白石岭路-107国道）在道路北侧距离道路中心线18m位置新建DN500污水重力管道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6</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青年东路雨污分流工程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青年东路（狮子山路~白石岭路段）：在距机动车道中心线南侧6m处新建一根DN800～D1200 雨水重力管。</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青年东路（通海南路~白石岭路段）：在距机动车道中心线南侧3m处新建DN800污水重力管；在距机动车道中心线南侧6m处新建一根D1800雨水重力管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7</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科技路雨污分流改造工程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kern w:val="2"/>
                      <w:sz w:val="21"/>
                      <w:szCs w:val="21"/>
                      <w:u w:val="single"/>
                      <w:lang w:val="en-US" w:eastAsia="zh-CN" w:bidi="ar-SA"/>
                    </w:rPr>
                    <w:t>科技路将在道路南侧距道路中线2m新建 D1200-1600 雨水管道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8</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长山路雨污分流改造工程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新建雨水管道位于道路北侧，距离道路中心线5.12m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9</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通海南路北段(巴陵东路-岳阳大道) 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通海南路北段（巴陵东路-岳阳大道）将道路西侧距道路中线6.5m 新建D600-1200雨水管道</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10</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华强路雨污分流工程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华强路（白石岭路段~G107 国道段）：在距机动车道中心线处新建 DN600 污水重力管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11</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民兴路雨污分流改造工程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在民兴路（庙坡冲路~狮子山南路段）在距机动车道边线5m，人行道下方新建DN400污水重力管，在民兴路（通海南路~白石岭南路段）：在距机动车道边线5m处新建DN400污水重力管；民兴路东段（白石岭路~G107国道段）：在距机动车道中心线下方新建D1500 雨水重力管，在距机动车道北侧边线4.5m处新建DN400污水重力管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12</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sz w:val="21"/>
                      <w:szCs w:val="21"/>
                      <w:u w:val="single"/>
                      <w:lang w:val="en-US" w:eastAsia="zh-CN"/>
                    </w:rPr>
                    <w:t>太阳坡路雨污分流改造工程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在道路中心线下方新建 DN800~D1500 雨水管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13</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kern w:val="2"/>
                      <w:sz w:val="21"/>
                      <w:szCs w:val="21"/>
                      <w:u w:val="single"/>
                      <w:lang w:val="en-US" w:eastAsia="zh-CN" w:bidi="ar-SA"/>
                    </w:rPr>
                    <w:t>双拥路雨污分流改造工程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在桩号 K0+300~K0+540 段道路北侧，距离机动车道中心线 3m 处，新建 D1000 雨水管，在 K0+560~K0+680 段，道路北侧，距机动车道中心线 5.4m 处新建 D1000 雨水管；在 K0+560~K0+680 段，道路北侧，距机动车道边线 1.5m 处新建一根 DN400 污水管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14</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白石岭路南段（岳阳大道-北港河）雨污分流改造工程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白石岭路南段（岳阳大道-北港河）将在道路中线全段新建 D600-1800 雨水重力管道，十五中门口至滨湖游路路西侧距道路中线 2-3m 新建D600污水重力管道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15</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狮子山南路雨污分流改造工程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在狮子山南路距道路中心线 2m 处新建 DN400 污水重力管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16</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狮子山路（长山路-科技路）雨污分流改造工程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狮子山路（长山路-科技路）将在道路西侧距道路中线 1.5m 全段新建 D600-1200雨水重力管道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17</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排鸭冲路雨污分流工程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在桩号K0+000~K0+220段道路西侧，距离机动车道中心线 2.0m 处，新建 DN400 污水管，在K0+220~K0+705段，道路南侧，距机动车道边线 3m 处新建一根 D1000 雨水管；在 K0+220~K0+270 段，道路东侧，距机动车道边线 1.3m 处新建一根 DN600 雨水管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18</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后头坡路雨污分流工程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在冯家畈路及后头坡路上游新建管道汇入处新建一根 D1200 雨水管道，长约 200m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19</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长山路延长线雨污分流工程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新建污水管道位于道路北侧，距离道路中心线 1.8m；新建雨水管道位于道路北侧，距离道路中心线 5.8m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2"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ascii="Times New Roman" w:hAnsi="Times New Roman" w:eastAsia="宋体" w:cs="Times New Roman"/>
                      <w:b w:val="0"/>
                      <w:bCs w:val="0"/>
                      <w:spacing w:val="0"/>
                      <w:sz w:val="21"/>
                      <w:szCs w:val="21"/>
                      <w:u w:val="single"/>
                      <w:vertAlign w:val="baseline"/>
                      <w:lang w:val="en-US" w:eastAsia="zh-CN"/>
                    </w:rPr>
                    <w:t>20</w:t>
                  </w:r>
                </w:p>
              </w:tc>
              <w:tc>
                <w:tcPr>
                  <w:tcW w:w="1016"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eastAsia" w:cs="Times New Roman"/>
                      <w:b w:val="0"/>
                      <w:bCs w:val="0"/>
                      <w:kern w:val="2"/>
                      <w:sz w:val="21"/>
                      <w:szCs w:val="21"/>
                      <w:u w:val="single"/>
                      <w:lang w:val="en-US" w:eastAsia="zh-CN" w:bidi="ar-SA"/>
                    </w:rPr>
                    <w:t>岳阳大道雨污分流改造工程</w:t>
                  </w:r>
                </w:p>
              </w:tc>
              <w:tc>
                <w:tcPr>
                  <w:tcW w:w="3560" w:type="pc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jc w:val="center"/>
                    <w:textAlignment w:val="auto"/>
                    <w:rPr>
                      <w:rFonts w:hint="default" w:ascii="Times New Roman" w:hAnsi="Times New Roman" w:eastAsia="宋体" w:cs="Times New Roman"/>
                      <w:b w:val="0"/>
                      <w:bCs w:val="0"/>
                      <w:spacing w:val="0"/>
                      <w:sz w:val="21"/>
                      <w:szCs w:val="21"/>
                      <w:u w:val="single"/>
                      <w:vertAlign w:val="baseline"/>
                      <w:lang w:val="en-US" w:eastAsia="zh-CN"/>
                    </w:rPr>
                  </w:pPr>
                  <w:r>
                    <w:rPr>
                      <w:rFonts w:hint="default" w:ascii="Times New Roman" w:hAnsi="Times New Roman" w:eastAsia="宋体" w:cs="Times New Roman"/>
                      <w:b w:val="0"/>
                      <w:bCs w:val="0"/>
                      <w:spacing w:val="0"/>
                      <w:sz w:val="21"/>
                      <w:szCs w:val="21"/>
                      <w:u w:val="single"/>
                      <w:vertAlign w:val="baseline"/>
                      <w:lang w:val="en-US" w:eastAsia="zh-CN"/>
                    </w:rPr>
                    <w:t>检查井 16WS6520 为雨污混接点，设计新建DN800 雨水管，将16WS6520 接顺至 16YS6517~16YS6519 段雨水管道，并封堵16WS6520~19WS41281 段污水管道。</w:t>
                  </w:r>
                </w:p>
              </w:tc>
            </w:tr>
          </w:tbl>
          <w:p>
            <w:pPr>
              <w:keepNext w:val="0"/>
              <w:keepLines w:val="0"/>
              <w:pageBreakBefore w:val="0"/>
              <w:widowControl w:val="0"/>
              <w:kinsoku/>
              <w:wordWrap/>
              <w:overflowPunct/>
              <w:topLinePunct w:val="0"/>
              <w:autoSpaceDE/>
              <w:autoSpaceDN/>
              <w:bidi w:val="0"/>
              <w:adjustRightInd w:val="0"/>
              <w:snapToGrid/>
              <w:spacing w:line="360" w:lineRule="auto"/>
              <w:textAlignment w:val="auto"/>
              <w:outlineLvl w:val="9"/>
              <w:rPr>
                <w:rFonts w:hint="eastAsia" w:eastAsia="宋体"/>
                <w:b/>
                <w:bCs/>
                <w:color w:val="auto"/>
                <w:sz w:val="24"/>
                <w:szCs w:val="24"/>
                <w:lang w:val="en-US" w:eastAsia="zh-CN"/>
              </w:rPr>
            </w:pPr>
            <w:r>
              <w:rPr>
                <w:rFonts w:hint="eastAsia" w:eastAsia="宋体"/>
                <w:b/>
                <w:bCs/>
                <w:color w:val="auto"/>
                <w:sz w:val="24"/>
                <w:szCs w:val="24"/>
                <w:lang w:val="en-US" w:eastAsia="zh-CN"/>
              </w:rPr>
              <w:t>1.6项目截污工程建设内容</w:t>
            </w:r>
          </w:p>
          <w:p>
            <w:pPr>
              <w:pStyle w:val="2"/>
              <w:numPr>
                <w:ilvl w:val="2"/>
                <w:numId w:val="0"/>
              </w:numPr>
              <w:ind w:leftChars="0"/>
              <w:rPr>
                <w:rFonts w:hint="default"/>
                <w:b w:val="0"/>
                <w:bCs w:val="0"/>
                <w:lang w:val="en-US" w:eastAsia="zh-CN"/>
              </w:rPr>
            </w:pPr>
            <w:r>
              <w:rPr>
                <w:rFonts w:hint="eastAsia"/>
                <w:b/>
                <w:bCs/>
                <w:color w:val="auto"/>
                <w:sz w:val="24"/>
                <w:szCs w:val="24"/>
                <w:lang w:val="en-US" w:eastAsia="zh-CN"/>
              </w:rPr>
              <w:t xml:space="preserve">   </w:t>
            </w:r>
            <w:r>
              <w:rPr>
                <w:rFonts w:hint="eastAsia"/>
                <w:b w:val="0"/>
                <w:bCs w:val="0"/>
                <w:color w:val="auto"/>
                <w:sz w:val="24"/>
                <w:szCs w:val="24"/>
                <w:lang w:val="en-US" w:eastAsia="zh-CN"/>
              </w:rPr>
              <w:t xml:space="preserve"> 本项目截污工程建设内容包括奇家社区截污工程和岳阳大道东片区截污工程。</w:t>
            </w:r>
          </w:p>
          <w:p>
            <w:pPr>
              <w:pStyle w:val="2"/>
              <w:numPr>
                <w:ilvl w:val="2"/>
                <w:numId w:val="0"/>
              </w:numPr>
              <w:ind w:leftChars="0"/>
              <w:rPr>
                <w:rFonts w:hint="default"/>
                <w:lang w:val="en-US" w:eastAsia="zh-CN"/>
              </w:rPr>
            </w:pPr>
            <w:r>
              <w:rPr>
                <w:rFonts w:hint="eastAsia" w:cs="Times New Roman"/>
                <w:b/>
                <w:bCs/>
                <w:sz w:val="24"/>
                <w:szCs w:val="24"/>
                <w:lang w:val="en-US" w:eastAsia="zh-CN"/>
              </w:rPr>
              <w:t>1.6.1奇家社区截污工程建设内容</w:t>
            </w:r>
          </w:p>
          <w:p>
            <w:pPr>
              <w:pStyle w:val="2"/>
              <w:numPr>
                <w:ilvl w:val="2"/>
                <w:numId w:val="0"/>
              </w:numPr>
              <w:ind w:leftChars="0" w:firstLine="480" w:firstLineChars="200"/>
              <w:rPr>
                <w:rFonts w:hint="eastAsia"/>
                <w:lang w:val="en-US" w:eastAsia="zh-CN"/>
              </w:rPr>
            </w:pPr>
            <w:r>
              <w:rPr>
                <w:rFonts w:hint="eastAsia"/>
                <w:lang w:val="en-US" w:eastAsia="zh-CN"/>
              </w:rPr>
              <w:t>奇家社区截污工程位于岳阳市奇家社区南港河西岸沿河道路（岳阳市君兴液化气站-奥敏游泳馆），道路全长约722 米，路宽4～5米，现状奇家社区南港河西岸道路没有污水管网，农村生活污水散排进入南港河，对水体造成严重污染。</w:t>
            </w:r>
          </w:p>
          <w:p>
            <w:pPr>
              <w:pStyle w:val="2"/>
              <w:numPr>
                <w:ilvl w:val="2"/>
                <w:numId w:val="0"/>
              </w:numPr>
              <w:ind w:leftChars="0"/>
              <w:rPr>
                <w:rFonts w:hint="eastAsia"/>
                <w:spacing w:val="-4"/>
                <w:lang w:eastAsia="zh-CN"/>
              </w:rPr>
            </w:pPr>
            <w:r>
              <w:rPr>
                <w:rFonts w:hint="eastAsia"/>
                <w:lang w:val="en-US" w:eastAsia="zh-CN"/>
              </w:rPr>
              <w:t xml:space="preserve">    本项目拟在南港河</w:t>
            </w:r>
            <w:r>
              <w:rPr>
                <w:spacing w:val="-4"/>
              </w:rPr>
              <w:t>西岸沿河道路</w:t>
            </w:r>
            <w:r>
              <w:rPr>
                <w:rFonts w:hint="eastAsia"/>
                <w:spacing w:val="-4"/>
                <w:lang w:eastAsia="zh-CN"/>
              </w:rPr>
              <w:t>中心线下面新建污水管，截留南港河沿线奇家社区的生活污水。新建污水管 DN300～DN400将沿线排口的污水截留至奥敏游泳馆西侧，在西侧空地新建一体化污水处理设施，采用 PTA</w:t>
            </w:r>
            <w:r>
              <w:rPr>
                <w:rFonts w:hint="eastAsia"/>
                <w:spacing w:val="-4"/>
                <w:vertAlign w:val="superscript"/>
                <w:lang w:eastAsia="zh-CN"/>
              </w:rPr>
              <w:t>2</w:t>
            </w:r>
            <w:r>
              <w:rPr>
                <w:rFonts w:hint="eastAsia"/>
                <w:spacing w:val="-4"/>
                <w:lang w:eastAsia="zh-CN"/>
              </w:rPr>
              <w:t>O 一体化污水综合处理装置，即三格式化粪池+提升井+调节池+PTA</w:t>
            </w:r>
            <w:r>
              <w:rPr>
                <w:rFonts w:hint="eastAsia"/>
                <w:spacing w:val="-4"/>
                <w:vertAlign w:val="superscript"/>
                <w:lang w:eastAsia="zh-CN"/>
              </w:rPr>
              <w:t>2</w:t>
            </w:r>
            <w:r>
              <w:rPr>
                <w:rFonts w:hint="eastAsia"/>
                <w:spacing w:val="-4"/>
                <w:lang w:eastAsia="zh-CN"/>
              </w:rPr>
              <w:t>O 一体化污水综合处理装置+消毒工艺组合。奇家社区生活污水经污水处理站处理后达</w:t>
            </w:r>
            <w:r>
              <w:rPr>
                <w:rFonts w:hint="eastAsia" w:ascii="Times New Roman" w:hAnsi="Times New Roman" w:cs="Times New Roman" w:eastAsiaTheme="minorEastAsia"/>
                <w:kern w:val="2"/>
                <w:sz w:val="24"/>
                <w:szCs w:val="24"/>
                <w:u w:val="none"/>
                <w:vertAlign w:val="baseline"/>
                <w:lang w:val="en-US" w:eastAsia="zh-CN"/>
              </w:rPr>
              <w:t>《城镇污水处理厂污染物排放标准》（</w:t>
            </w:r>
            <w:r>
              <w:rPr>
                <w:rFonts w:hint="default" w:ascii="Times New Roman" w:hAnsi="Times New Roman" w:cs="Times New Roman" w:eastAsiaTheme="minorEastAsia"/>
                <w:kern w:val="2"/>
                <w:sz w:val="24"/>
                <w:szCs w:val="24"/>
                <w:u w:val="none"/>
                <w:vertAlign w:val="baseline"/>
                <w:lang w:val="en-US" w:eastAsia="zh-CN"/>
              </w:rPr>
              <w:t>GB18918-2002</w:t>
            </w:r>
            <w:r>
              <w:rPr>
                <w:rFonts w:hint="eastAsia" w:ascii="Times New Roman" w:hAnsi="Times New Roman" w:cs="Times New Roman" w:eastAsiaTheme="minorEastAsia"/>
                <w:kern w:val="2"/>
                <w:sz w:val="24"/>
                <w:szCs w:val="24"/>
                <w:u w:val="none"/>
                <w:vertAlign w:val="baseline"/>
                <w:lang w:val="en-US" w:eastAsia="zh-CN"/>
              </w:rPr>
              <w:t>）一级</w:t>
            </w:r>
            <w:r>
              <w:rPr>
                <w:rFonts w:hint="default" w:ascii="Times New Roman" w:hAnsi="Times New Roman" w:cs="Times New Roman" w:eastAsiaTheme="minorEastAsia"/>
                <w:kern w:val="2"/>
                <w:sz w:val="24"/>
                <w:szCs w:val="24"/>
                <w:u w:val="none"/>
                <w:vertAlign w:val="baseline"/>
                <w:lang w:val="en-US" w:eastAsia="zh-CN"/>
              </w:rPr>
              <w:t>A</w:t>
            </w:r>
            <w:r>
              <w:rPr>
                <w:rFonts w:hint="eastAsia" w:ascii="Times New Roman" w:hAnsi="Times New Roman" w:cs="Times New Roman" w:eastAsiaTheme="minorEastAsia"/>
                <w:kern w:val="2"/>
                <w:sz w:val="24"/>
                <w:szCs w:val="24"/>
                <w:u w:val="none"/>
                <w:vertAlign w:val="baseline"/>
                <w:lang w:val="en-US" w:eastAsia="zh-CN"/>
              </w:rPr>
              <w:t>标准</w:t>
            </w:r>
            <w:r>
              <w:rPr>
                <w:rFonts w:hint="eastAsia" w:cs="Times New Roman" w:eastAsiaTheme="minorEastAsia"/>
                <w:kern w:val="2"/>
                <w:sz w:val="24"/>
                <w:szCs w:val="24"/>
                <w:u w:val="none"/>
                <w:vertAlign w:val="baseline"/>
                <w:lang w:val="en-US" w:eastAsia="zh-CN"/>
              </w:rPr>
              <w:t>排入南侧小溪，最终流入南港河。</w:t>
            </w:r>
          </w:p>
          <w:p>
            <w:pPr>
              <w:pStyle w:val="9"/>
              <w:ind w:left="1952"/>
              <w:rPr>
                <w:sz w:val="20"/>
              </w:rPr>
            </w:pPr>
            <w:r>
              <w:rPr>
                <w:sz w:val="20"/>
              </w:rPr>
              <w:drawing>
                <wp:inline distT="0" distB="0" distL="0" distR="0">
                  <wp:extent cx="3028950" cy="3368675"/>
                  <wp:effectExtent l="0" t="0" r="0" b="3175"/>
                  <wp:docPr id="201" name="image125.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image125.jpeg" descr="?"/>
                          <pic:cNvPicPr>
                            <a:picLocks noChangeAspect="1"/>
                          </pic:cNvPicPr>
                        </pic:nvPicPr>
                        <pic:blipFill>
                          <a:blip r:embed="rId10" cstate="print"/>
                          <a:stretch>
                            <a:fillRect/>
                          </a:stretch>
                        </pic:blipFill>
                        <pic:spPr>
                          <a:xfrm>
                            <a:off x="0" y="0"/>
                            <a:ext cx="3028950" cy="3368675"/>
                          </a:xfrm>
                          <a:prstGeom prst="rect">
                            <a:avLst/>
                          </a:prstGeom>
                        </pic:spPr>
                      </pic:pic>
                    </a:graphicData>
                  </a:graphic>
                </wp:inline>
              </w:drawing>
            </w:r>
            <w:r>
              <w:rPr>
                <w:sz w:val="20"/>
              </w:rPr>
              <mc:AlternateContent>
                <mc:Choice Requires="wps">
                  <w:drawing>
                    <wp:anchor distT="0" distB="0" distL="114300" distR="114300" simplePos="0" relativeHeight="2220704768" behindDoc="0" locked="0" layoutInCell="1" allowOverlap="1">
                      <wp:simplePos x="0" y="0"/>
                      <wp:positionH relativeFrom="column">
                        <wp:posOffset>3101340</wp:posOffset>
                      </wp:positionH>
                      <wp:positionV relativeFrom="paragraph">
                        <wp:posOffset>2831465</wp:posOffset>
                      </wp:positionV>
                      <wp:extent cx="83820" cy="143510"/>
                      <wp:effectExtent l="22860" t="9525" r="7620" b="18415"/>
                      <wp:wrapNone/>
                      <wp:docPr id="6" name="直接连接符 6"/>
                      <wp:cNvGraphicFramePr/>
                      <a:graphic xmlns:a="http://schemas.openxmlformats.org/drawingml/2006/main">
                        <a:graphicData uri="http://schemas.microsoft.com/office/word/2010/wordprocessingShape">
                          <wps:wsp>
                            <wps:cNvCnPr/>
                            <wps:spPr>
                              <a:xfrm>
                                <a:off x="4001135" y="4145915"/>
                                <a:ext cx="83820" cy="143510"/>
                              </a:xfrm>
                              <a:prstGeom prst="line">
                                <a:avLst/>
                              </a:prstGeom>
                              <a:ln w="38100">
                                <a:solidFill>
                                  <a:srgbClr val="FFC000"/>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44.2pt;margin-top:222.95pt;height:11.3pt;width:6.6pt;z-index:-2074262528;mso-width-relative:page;mso-height-relative:page;" filled="f" stroked="t" coordsize="21600,21600" o:gfxdata="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aa5dJ2QAAAAsB&#10;AAAPAAAAAAAAAAEAIAAAACIAAABkcnMvZG93bnJldi54bWxQSwECFAAUAAAACACHTuJAMan22BoC&#10;AAAHBAAADgAAAAAAAAABACAAAAAoAQAAZHJzL2Uyb0RvYy54bWxQSwUGAAAAAAYABgBZAQAAtAUA&#10;AAAA&#10;">
                      <v:fill on="f" focussize="0,0"/>
                      <v:stroke weight="3pt" color="#FFC000 [3204]" miterlimit="8" joinstyle="miter" endarrow="block"/>
                      <v:imagedata o:title=""/>
                      <o:lock v:ext="edit" aspectratio="f"/>
                    </v:line>
                  </w:pict>
                </mc:Fallback>
              </mc:AlternateContent>
            </w:r>
          </w:p>
          <w:p>
            <w:pPr>
              <w:spacing w:before="30"/>
              <w:ind w:left="460" w:right="475" w:firstLine="0"/>
              <w:jc w:val="cente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图</w:t>
            </w:r>
            <w:r>
              <w:rPr>
                <w:rFonts w:hint="default" w:ascii="Times New Roman" w:hAnsi="Times New Roman" w:eastAsia="宋体" w:cs="Times New Roman"/>
                <w:b/>
                <w:bCs/>
                <w:sz w:val="24"/>
                <w:szCs w:val="24"/>
                <w:lang w:val="en-US" w:eastAsia="zh-CN"/>
              </w:rPr>
              <w:t>1.6-1</w:t>
            </w:r>
            <w:r>
              <w:rPr>
                <w:rFonts w:hint="default" w:ascii="Times New Roman" w:hAnsi="Times New Roman" w:eastAsia="宋体" w:cs="Times New Roman"/>
                <w:b/>
                <w:bCs/>
                <w:sz w:val="24"/>
                <w:szCs w:val="24"/>
              </w:rPr>
              <w:t xml:space="preserve">  管道平面设计示意图</w:t>
            </w:r>
          </w:p>
          <w:p>
            <w:pPr>
              <w:pStyle w:val="2"/>
              <w:numPr>
                <w:ilvl w:val="2"/>
                <w:numId w:val="0"/>
              </w:numPr>
              <w:ind w:leftChars="0" w:firstLine="480" w:firstLineChars="200"/>
              <w:rPr>
                <w:rFonts w:hint="eastAsia"/>
                <w:lang w:val="en-US" w:eastAsia="zh-CN"/>
              </w:rPr>
            </w:pPr>
            <w:r>
              <w:rPr>
                <w:rFonts w:hint="eastAsia"/>
                <w:lang w:val="en-US" w:eastAsia="zh-CN"/>
              </w:rPr>
              <w:t>（1）污水量预测</w:t>
            </w:r>
          </w:p>
          <w:p>
            <w:pPr>
              <w:pStyle w:val="2"/>
              <w:keepNext/>
              <w:keepLines/>
              <w:pageBreakBefore w:val="0"/>
              <w:widowControl w:val="0"/>
              <w:numPr>
                <w:ilvl w:val="2"/>
                <w:numId w:val="0"/>
              </w:numPr>
              <w:kinsoku/>
              <w:wordWrap/>
              <w:overflowPunct/>
              <w:topLinePunct w:val="0"/>
              <w:autoSpaceDE/>
              <w:autoSpaceDN/>
              <w:bidi w:val="0"/>
              <w:adjustRightInd/>
              <w:snapToGrid/>
              <w:ind w:leftChars="0" w:firstLine="480" w:firstLineChars="200"/>
              <w:textAlignment w:val="auto"/>
              <w:rPr>
                <w:rFonts w:hint="default" w:ascii="Times New Roman" w:hAnsi="Times New Roman" w:cs="Times New Roman"/>
                <w:u w:val="single"/>
                <w:lang w:val="en-US" w:eastAsia="zh-CN"/>
              </w:rPr>
            </w:pPr>
            <w:r>
              <w:rPr>
                <w:rFonts w:hint="eastAsia" w:ascii="Times New Roman" w:hAnsi="Times New Roman" w:cs="Times New Roman"/>
                <w:u w:val="single"/>
                <w:lang w:val="en-US" w:eastAsia="zh-CN"/>
              </w:rPr>
              <w:t>根据项目设计说明</w:t>
            </w:r>
            <w:r>
              <w:rPr>
                <w:rFonts w:hint="default" w:ascii="Times New Roman" w:hAnsi="Times New Roman" w:cs="Times New Roman"/>
                <w:u w:val="single"/>
                <w:lang w:val="en-US" w:eastAsia="zh-CN"/>
              </w:rPr>
              <w:t>，截污片区服务面积为9.0hm</w:t>
            </w:r>
            <w:r>
              <w:rPr>
                <w:rFonts w:hint="default" w:ascii="Times New Roman" w:hAnsi="Times New Roman" w:cs="Times New Roman"/>
                <w:u w:val="single"/>
                <w:vertAlign w:val="superscript"/>
                <w:lang w:val="en-US" w:eastAsia="zh-CN"/>
              </w:rPr>
              <w:t>2</w:t>
            </w:r>
            <w:r>
              <w:rPr>
                <w:rFonts w:hint="default" w:ascii="Times New Roman" w:hAnsi="Times New Roman" w:cs="Times New Roman"/>
                <w:u w:val="single"/>
                <w:lang w:val="en-US" w:eastAsia="zh-CN"/>
              </w:rPr>
              <w:t>，奇家社区人口密集为110～120人/hm</w:t>
            </w:r>
            <w:r>
              <w:rPr>
                <w:rFonts w:hint="default" w:ascii="Times New Roman" w:hAnsi="Times New Roman" w:cs="Times New Roman"/>
                <w:u w:val="single"/>
                <w:vertAlign w:val="superscript"/>
                <w:lang w:val="en-US" w:eastAsia="zh-CN"/>
              </w:rPr>
              <w:t>2</w:t>
            </w:r>
            <w:r>
              <w:rPr>
                <w:rFonts w:hint="default" w:ascii="Times New Roman" w:hAnsi="Times New Roman" w:cs="Times New Roman"/>
                <w:u w:val="single"/>
                <w:lang w:val="en-US" w:eastAsia="zh-CN"/>
              </w:rPr>
              <w:t>；最高日人均综合用水量指标 300L/（人·d），日变化系数宜采用1.1～1.5，通过计算污水量 Q=9×117×300/1.3×0.85×95%×（1+10%）=215844 L/d=216 m</w:t>
            </w:r>
            <w:r>
              <w:rPr>
                <w:rFonts w:hint="default" w:ascii="Times New Roman" w:hAnsi="Times New Roman" w:cs="Times New Roman"/>
                <w:u w:val="single"/>
                <w:vertAlign w:val="superscript"/>
                <w:lang w:val="en-US" w:eastAsia="zh-CN"/>
              </w:rPr>
              <w:t>3</w:t>
            </w:r>
            <w:r>
              <w:rPr>
                <w:rFonts w:hint="default" w:ascii="Times New Roman" w:hAnsi="Times New Roman" w:cs="Times New Roman"/>
                <w:u w:val="single"/>
                <w:lang w:val="en-US" w:eastAsia="zh-CN"/>
              </w:rPr>
              <w:t>/d。</w:t>
            </w:r>
          </w:p>
          <w:p>
            <w:pPr>
              <w:pStyle w:val="2"/>
              <w:numPr>
                <w:ilvl w:val="2"/>
                <w:numId w:val="0"/>
              </w:numPr>
              <w:ind w:leftChars="0" w:firstLine="480" w:firstLineChars="200"/>
              <w:rPr>
                <w:rFonts w:hint="eastAsia"/>
                <w:lang w:val="en-US" w:eastAsia="zh-CN"/>
              </w:rPr>
            </w:pPr>
            <w:bookmarkStart w:id="24" w:name="6.1.1.2 水力计算"/>
            <w:bookmarkEnd w:id="24"/>
            <w:bookmarkStart w:id="25" w:name="6.1.1.2 水力计算"/>
            <w:bookmarkEnd w:id="25"/>
            <w:r>
              <w:rPr>
                <w:rFonts w:hint="eastAsia"/>
                <w:lang w:val="en-US" w:eastAsia="zh-CN"/>
              </w:rPr>
              <w:t>（2）水力计算</w:t>
            </w:r>
          </w:p>
          <w:p>
            <w:pPr>
              <w:pStyle w:val="2"/>
              <w:numPr>
                <w:ilvl w:val="2"/>
                <w:numId w:val="0"/>
              </w:numPr>
              <w:ind w:leftChars="0" w:firstLine="480" w:firstLineChars="200"/>
              <w:rPr>
                <w:rFonts w:hint="eastAsia"/>
                <w:lang w:val="en-US" w:eastAsia="zh-CN"/>
              </w:rPr>
            </w:pPr>
            <w:r>
              <w:rPr>
                <w:rFonts w:hint="eastAsia"/>
                <w:lang w:val="en-US" w:eastAsia="zh-CN"/>
              </w:rPr>
              <w:t xml:space="preserve">根据截污管收水范围对流量进行计算，对截污管管径确定如下表所示：  </w:t>
            </w:r>
          </w:p>
          <w:p>
            <w:pPr>
              <w:pStyle w:val="2"/>
              <w:numPr>
                <w:ilvl w:val="2"/>
                <w:numId w:val="0"/>
              </w:numPr>
              <w:ind w:leftChars="0" w:firstLine="482" w:firstLineChars="200"/>
              <w:jc w:val="center"/>
              <w:rPr>
                <w:rFonts w:hint="eastAsia"/>
                <w:b/>
                <w:bCs w:val="0"/>
                <w:lang w:val="en-US" w:eastAsia="zh-CN"/>
              </w:rPr>
            </w:pPr>
            <w:r>
              <w:rPr>
                <w:rFonts w:hint="eastAsia"/>
                <w:b/>
                <w:bCs w:val="0"/>
                <w:lang w:val="en-US" w:eastAsia="zh-CN"/>
              </w:rPr>
              <w:t>表1.6-1 截污干管计算</w:t>
            </w:r>
          </w:p>
          <w:tbl>
            <w:tblPr>
              <w:tblStyle w:val="26"/>
              <w:tblW w:w="4997"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194"/>
              <w:gridCol w:w="1344"/>
              <w:gridCol w:w="1047"/>
              <w:gridCol w:w="581"/>
              <w:gridCol w:w="1248"/>
              <w:gridCol w:w="648"/>
              <w:gridCol w:w="636"/>
              <w:gridCol w:w="1183"/>
              <w:gridCol w:w="1101"/>
              <w:gridCol w:w="56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25"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设计管段</w:t>
                  </w:r>
                </w:p>
              </w:tc>
              <w:tc>
                <w:tcPr>
                  <w:tcW w:w="70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服务面积</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r>
                    <w:rPr>
                      <w:rFonts w:hint="default" w:ascii="Times New Roman" w:hAnsi="Times New Roman" w:cs="Times New Roman"/>
                      <w:sz w:val="21"/>
                      <w:szCs w:val="21"/>
                    </w:rPr>
                    <w:t>km</w:t>
                  </w:r>
                  <w:r>
                    <w:rPr>
                      <w:rFonts w:hint="eastAsia" w:ascii="Times New Roman" w:hAnsi="Times New Roman" w:cs="Times New Roman"/>
                      <w:sz w:val="21"/>
                      <w:szCs w:val="21"/>
                      <w:vertAlign w:val="superscript"/>
                      <w:lang w:val="en-US" w:eastAsia="zh-CN"/>
                    </w:rPr>
                    <w:t>2</w:t>
                  </w:r>
                  <w:r>
                    <w:rPr>
                      <w:rFonts w:hint="default" w:ascii="Times New Roman" w:hAnsi="Times New Roman" w:eastAsia="宋体" w:cs="Times New Roman"/>
                      <w:sz w:val="21"/>
                      <w:szCs w:val="21"/>
                    </w:rPr>
                    <w:t>）</w:t>
                  </w:r>
                </w:p>
              </w:tc>
              <w:tc>
                <w:tcPr>
                  <w:tcW w:w="548"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污水量</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r>
                    <w:rPr>
                      <w:rFonts w:hint="default" w:ascii="Times New Roman" w:hAnsi="Times New Roman" w:cs="Times New Roman"/>
                      <w:sz w:val="21"/>
                      <w:szCs w:val="21"/>
                    </w:rPr>
                    <w:t>m</w:t>
                  </w:r>
                  <w:r>
                    <w:rPr>
                      <w:rFonts w:hint="eastAsia" w:ascii="Times New Roman" w:hAnsi="Times New Roman" w:cs="Times New Roman"/>
                      <w:sz w:val="21"/>
                      <w:szCs w:val="21"/>
                      <w:vertAlign w:val="superscript"/>
                      <w:lang w:val="en-US" w:eastAsia="zh-CN"/>
                    </w:rPr>
                    <w:t>3</w:t>
                  </w:r>
                  <w:r>
                    <w:rPr>
                      <w:rFonts w:hint="default" w:ascii="Times New Roman" w:hAnsi="Times New Roman" w:cs="Times New Roman"/>
                      <w:sz w:val="21"/>
                      <w:szCs w:val="21"/>
                    </w:rPr>
                    <w:t>/d</w:t>
                  </w:r>
                  <w:r>
                    <w:rPr>
                      <w:rFonts w:hint="default" w:ascii="Times New Roman" w:hAnsi="Times New Roman" w:eastAsia="宋体" w:cs="Times New Roman"/>
                      <w:sz w:val="21"/>
                      <w:szCs w:val="21"/>
                    </w:rPr>
                    <w:t>）</w:t>
                  </w:r>
                </w:p>
              </w:tc>
              <w:tc>
                <w:tcPr>
                  <w:tcW w:w="30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截污倍数</w:t>
                  </w:r>
                </w:p>
              </w:tc>
              <w:tc>
                <w:tcPr>
                  <w:tcW w:w="65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eastAsia="宋体" w:cs="Times New Roman"/>
                      <w:spacing w:val="-6"/>
                      <w:sz w:val="21"/>
                      <w:szCs w:val="21"/>
                    </w:rPr>
                    <w:t>本段计算</w:t>
                  </w:r>
                  <w:r>
                    <w:rPr>
                      <w:rFonts w:hint="default" w:ascii="Times New Roman" w:hAnsi="Times New Roman" w:eastAsia="宋体" w:cs="Times New Roman"/>
                      <w:sz w:val="21"/>
                      <w:szCs w:val="21"/>
                    </w:rPr>
                    <w:t>流量</w:t>
                  </w:r>
                  <w:r>
                    <w:rPr>
                      <w:rFonts w:hint="default" w:ascii="Times New Roman" w:hAnsi="Times New Roman" w:cs="Times New Roman"/>
                      <w:sz w:val="21"/>
                      <w:szCs w:val="21"/>
                    </w:rPr>
                    <w:t>(L/s)</w:t>
                  </w:r>
                </w:p>
              </w:tc>
              <w:tc>
                <w:tcPr>
                  <w:tcW w:w="33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变化系数</w:t>
                  </w:r>
                </w:p>
              </w:tc>
              <w:tc>
                <w:tcPr>
                  <w:tcW w:w="33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入渗率</w:t>
                  </w:r>
                </w:p>
              </w:tc>
              <w:tc>
                <w:tcPr>
                  <w:tcW w:w="61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设计污水量</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r>
                    <w:rPr>
                      <w:rFonts w:hint="default" w:ascii="Times New Roman" w:hAnsi="Times New Roman" w:cs="Times New Roman"/>
                      <w:sz w:val="21"/>
                      <w:szCs w:val="21"/>
                    </w:rPr>
                    <w:t>L/s</w:t>
                  </w:r>
                  <w:r>
                    <w:rPr>
                      <w:rFonts w:hint="default" w:ascii="Times New Roman" w:hAnsi="Times New Roman" w:eastAsia="宋体" w:cs="Times New Roman"/>
                      <w:sz w:val="21"/>
                      <w:szCs w:val="21"/>
                    </w:rPr>
                    <w:t>）</w:t>
                  </w:r>
                </w:p>
              </w:tc>
              <w:tc>
                <w:tcPr>
                  <w:tcW w:w="57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设计管径</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(mm)</w:t>
                  </w:r>
                </w:p>
              </w:tc>
              <w:tc>
                <w:tcPr>
                  <w:tcW w:w="29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坡度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trPr>
              <w:tc>
                <w:tcPr>
                  <w:tcW w:w="625"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南北港河西</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岸奇家社区</w:t>
                  </w:r>
                </w:p>
              </w:tc>
              <w:tc>
                <w:tcPr>
                  <w:tcW w:w="70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0.09</w:t>
                  </w:r>
                </w:p>
              </w:tc>
              <w:tc>
                <w:tcPr>
                  <w:tcW w:w="548"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216</w:t>
                  </w:r>
                </w:p>
              </w:tc>
              <w:tc>
                <w:tcPr>
                  <w:tcW w:w="30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w w:val="100"/>
                      <w:sz w:val="21"/>
                      <w:szCs w:val="21"/>
                    </w:rPr>
                    <w:t>1</w:t>
                  </w:r>
                </w:p>
              </w:tc>
              <w:tc>
                <w:tcPr>
                  <w:tcW w:w="65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2.5</w:t>
                  </w:r>
                </w:p>
              </w:tc>
              <w:tc>
                <w:tcPr>
                  <w:tcW w:w="33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2.5</w:t>
                  </w:r>
                </w:p>
              </w:tc>
              <w:tc>
                <w:tcPr>
                  <w:tcW w:w="33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10%</w:t>
                  </w:r>
                </w:p>
              </w:tc>
              <w:tc>
                <w:tcPr>
                  <w:tcW w:w="61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6.88</w:t>
                  </w:r>
                </w:p>
              </w:tc>
              <w:tc>
                <w:tcPr>
                  <w:tcW w:w="57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300~400</w:t>
                  </w:r>
                </w:p>
              </w:tc>
              <w:tc>
                <w:tcPr>
                  <w:tcW w:w="29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firstLine="0"/>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0.003</w:t>
                  </w:r>
                </w:p>
              </w:tc>
            </w:tr>
          </w:tbl>
          <w:p>
            <w:pPr>
              <w:pStyle w:val="2"/>
              <w:numPr>
                <w:ilvl w:val="2"/>
                <w:numId w:val="0"/>
              </w:numPr>
              <w:ind w:leftChars="0" w:firstLine="480" w:firstLineChars="200"/>
              <w:rPr>
                <w:rFonts w:hint="eastAsia"/>
                <w:lang w:val="en-US" w:eastAsia="zh-CN"/>
              </w:rPr>
            </w:pPr>
            <w:r>
              <w:rPr>
                <w:rFonts w:hint="eastAsia"/>
                <w:lang w:val="en-US" w:eastAsia="zh-CN"/>
              </w:rPr>
              <w:t>（3）污水处理工艺介绍</w:t>
            </w:r>
          </w:p>
          <w:p>
            <w:pPr>
              <w:pStyle w:val="2"/>
              <w:numPr>
                <w:ilvl w:val="2"/>
                <w:numId w:val="0"/>
              </w:numPr>
              <w:ind w:leftChars="0" w:firstLine="480" w:firstLineChars="200"/>
              <w:rPr>
                <w:rFonts w:hint="eastAsia"/>
                <w:lang w:val="en-US" w:eastAsia="zh-CN"/>
              </w:rPr>
            </w:pPr>
            <w:r>
              <w:rPr>
                <w:rFonts w:hint="eastAsia"/>
                <w:lang w:val="en-US" w:eastAsia="zh-CN"/>
              </w:rPr>
              <w:t>农村污水处理普遍面临水量小，排放分散，水质复杂，且水量、水质地域性、季节性和昼夜变化大，设计初期水质水量不确定性大，又多缺乏完善的污水收集系统等技术难点。</w:t>
            </w:r>
            <w:r>
              <w:rPr>
                <w:rFonts w:hint="eastAsia"/>
                <w:spacing w:val="-4"/>
                <w:lang w:eastAsia="zh-CN"/>
              </w:rPr>
              <w:t>PTA</w:t>
            </w:r>
            <w:r>
              <w:rPr>
                <w:rFonts w:hint="eastAsia"/>
                <w:spacing w:val="-4"/>
                <w:vertAlign w:val="superscript"/>
                <w:lang w:eastAsia="zh-CN"/>
              </w:rPr>
              <w:t>2</w:t>
            </w:r>
            <w:r>
              <w:rPr>
                <w:rFonts w:hint="eastAsia"/>
                <w:spacing w:val="-4"/>
                <w:lang w:eastAsia="zh-CN"/>
              </w:rPr>
              <w:t>O</w:t>
            </w:r>
            <w:r>
              <w:rPr>
                <w:rFonts w:hint="eastAsia"/>
                <w:lang w:val="en-US" w:eastAsia="zh-CN"/>
              </w:rPr>
              <w:t xml:space="preserve"> 一体化污水综合处理装置工艺，即三格式化粪池+提升井+调节池+</w:t>
            </w:r>
            <w:r>
              <w:rPr>
                <w:rFonts w:hint="eastAsia"/>
                <w:spacing w:val="-4"/>
                <w:lang w:eastAsia="zh-CN"/>
              </w:rPr>
              <w:t>PTA</w:t>
            </w:r>
            <w:r>
              <w:rPr>
                <w:rFonts w:hint="eastAsia"/>
                <w:spacing w:val="-4"/>
                <w:vertAlign w:val="superscript"/>
                <w:lang w:eastAsia="zh-CN"/>
              </w:rPr>
              <w:t>2</w:t>
            </w:r>
            <w:r>
              <w:rPr>
                <w:rFonts w:hint="eastAsia"/>
                <w:spacing w:val="-4"/>
                <w:lang w:eastAsia="zh-CN"/>
              </w:rPr>
              <w:t>O</w:t>
            </w:r>
            <w:r>
              <w:rPr>
                <w:rFonts w:hint="eastAsia"/>
                <w:lang w:val="en-US" w:eastAsia="zh-CN"/>
              </w:rPr>
              <w:t>一体化污水综合处理装置+消毒工艺组合。可以满足当前农村污水处理千差万别的进出水水质对技术市场的需求，从根本解决上述技术难题。</w:t>
            </w:r>
          </w:p>
          <w:p>
            <w:pPr>
              <w:pStyle w:val="2"/>
              <w:numPr>
                <w:ilvl w:val="2"/>
                <w:numId w:val="0"/>
              </w:numPr>
              <w:ind w:leftChars="0" w:firstLine="464" w:firstLineChars="200"/>
              <w:rPr>
                <w:rFonts w:hint="eastAsia"/>
                <w:lang w:val="en-US" w:eastAsia="zh-CN"/>
              </w:rPr>
            </w:pPr>
            <w:r>
              <w:rPr>
                <w:rFonts w:hint="eastAsia"/>
                <w:spacing w:val="-4"/>
                <w:lang w:eastAsia="zh-CN"/>
              </w:rPr>
              <w:t>PTA</w:t>
            </w:r>
            <w:r>
              <w:rPr>
                <w:rFonts w:hint="eastAsia"/>
                <w:spacing w:val="-4"/>
                <w:vertAlign w:val="superscript"/>
                <w:lang w:eastAsia="zh-CN"/>
              </w:rPr>
              <w:t>2</w:t>
            </w:r>
            <w:r>
              <w:rPr>
                <w:rFonts w:hint="eastAsia"/>
                <w:spacing w:val="-4"/>
                <w:lang w:eastAsia="zh-CN"/>
              </w:rPr>
              <w:t>O</w:t>
            </w:r>
            <w:r>
              <w:rPr>
                <w:rFonts w:hint="eastAsia"/>
                <w:lang w:val="en-US" w:eastAsia="zh-CN"/>
              </w:rPr>
              <w:t>一体化污水综合处理装置工作机理：处理流程为具有生物强化脱氮除磷</w:t>
            </w:r>
            <w:r>
              <w:rPr>
                <w:rFonts w:hint="eastAsia"/>
                <w:spacing w:val="-4"/>
                <w:lang w:eastAsia="zh-CN"/>
              </w:rPr>
              <w:t>PTA</w:t>
            </w:r>
            <w:r>
              <w:rPr>
                <w:rFonts w:hint="eastAsia"/>
                <w:spacing w:val="-4"/>
                <w:vertAlign w:val="superscript"/>
                <w:lang w:eastAsia="zh-CN"/>
              </w:rPr>
              <w:t>2</w:t>
            </w:r>
            <w:r>
              <w:rPr>
                <w:rFonts w:hint="eastAsia"/>
                <w:spacing w:val="-4"/>
                <w:lang w:eastAsia="zh-CN"/>
              </w:rPr>
              <w:t>O</w:t>
            </w:r>
            <w:r>
              <w:rPr>
                <w:rFonts w:hint="eastAsia"/>
                <w:lang w:val="en-US" w:eastAsia="zh-CN"/>
              </w:rPr>
              <w:t>+具有生物代谢功能的新型混凝沉淀组合处理工艺。该组合工艺是将具有强化脱氮除磷的改良型AO工艺作为生物强化处理单元，以去除绝大部分污染指标后。其出水再经过具有生物代谢功能的泥水分离装置与化学除磷进行有机结合形成的新型混凝沉淀组合处理工艺，赋予传统混凝沉淀在除磷去SS的同时还拥有生物代谢功能。上述组合处理工艺可彻底解决小规模污水出水氮、磷等不达标等常见问题。如若其岀水能再与氮磷吸收较高的植物相结合的人工湿地进行组合，则氮磷的微污染可进一步去除，出水水质将更为彻底，可实现超越市政一级 A的更高出水水质排放要求。</w:t>
            </w:r>
          </w:p>
          <w:p>
            <w:pPr>
              <w:pStyle w:val="2"/>
              <w:numPr>
                <w:ilvl w:val="2"/>
                <w:numId w:val="0"/>
              </w:numPr>
              <w:spacing w:line="360" w:lineRule="auto"/>
              <w:ind w:leftChars="0" w:firstLine="480" w:firstLineChars="200"/>
              <w:rPr>
                <w:rFonts w:hint="eastAsia"/>
                <w:sz w:val="24"/>
                <w:szCs w:val="24"/>
                <w:lang w:val="en-US" w:eastAsia="zh-CN"/>
              </w:rPr>
            </w:pPr>
            <w:r>
              <w:rPr>
                <w:rFonts w:hint="eastAsia"/>
                <w:sz w:val="24"/>
                <w:szCs w:val="24"/>
                <w:lang w:val="en-US" w:eastAsia="zh-CN"/>
              </w:rPr>
              <w:t>主要技术优势：不依赖在线仪器仪表，多以时间为控制手段的全自动化运行控制，适宜无人值守；关键部件模块化，组装式设计，便于安装，易于运输，设备加工周期短、投资低占地面积小属于典型的设备依赖型而不是运营依赖型设计，对管理技术人员素质要求低，采用简单可行的易复制、易模式化的运营设计理念体化装置配套的动力设备少（单组动力设备仅2台鼓风机1用1备），日常运营维护工作量少，能耗极低，故障点少，出水安全性保障性高；全封闭式设计，无异味挥发；多地埋式，建构筑物少，站区易园林化、湿地化美观可在超低负荷下正常稳定达标运行短流程，取消了常用的格栅单元、过滤单元及大量的动力设备、检测仪表及工艺管件、阀门等，项目总体投资偏低、运行成本及维护维修成本低。</w:t>
            </w:r>
          </w:p>
          <w:p>
            <w:pPr>
              <w:numPr>
                <w:ilvl w:val="0"/>
                <w:numId w:val="0"/>
              </w:numPr>
              <w:spacing w:line="360" w:lineRule="auto"/>
              <w:ind w:firstLine="480" w:firstLineChars="200"/>
              <w:rPr>
                <w:rFonts w:hint="default"/>
                <w:color w:val="auto"/>
                <w:sz w:val="24"/>
                <w:szCs w:val="24"/>
                <w:highlight w:val="none"/>
                <w:u w:val="single"/>
                <w:lang w:val="en-US" w:eastAsia="zh-CN"/>
              </w:rPr>
            </w:pPr>
            <w:r>
              <w:rPr>
                <w:rFonts w:hint="eastAsia"/>
                <w:color w:val="auto"/>
                <w:sz w:val="24"/>
                <w:szCs w:val="24"/>
                <w:highlight w:val="none"/>
                <w:u w:val="single"/>
                <w:lang w:val="en-US" w:eastAsia="zh-CN"/>
              </w:rPr>
              <w:t>PTA</w:t>
            </w:r>
            <w:r>
              <w:rPr>
                <w:rFonts w:hint="eastAsia"/>
                <w:color w:val="auto"/>
                <w:sz w:val="24"/>
                <w:szCs w:val="24"/>
                <w:highlight w:val="none"/>
                <w:u w:val="single"/>
                <w:vertAlign w:val="superscript"/>
                <w:lang w:val="en-US" w:eastAsia="zh-CN"/>
              </w:rPr>
              <w:t>2</w:t>
            </w:r>
            <w:r>
              <w:rPr>
                <w:rFonts w:hint="eastAsia"/>
                <w:color w:val="auto"/>
                <w:sz w:val="24"/>
                <w:szCs w:val="24"/>
                <w:highlight w:val="none"/>
                <w:u w:val="single"/>
                <w:lang w:val="en-US" w:eastAsia="zh-CN"/>
              </w:rPr>
              <w:t>O工艺技术采用的设备简便，自动化程度高，人工操作极少，可做到污水处理厂全年不停车维护维修及设备更换。PTA</w:t>
            </w:r>
            <w:r>
              <w:rPr>
                <w:rFonts w:hint="eastAsia"/>
                <w:color w:val="auto"/>
                <w:sz w:val="24"/>
                <w:szCs w:val="24"/>
                <w:highlight w:val="none"/>
                <w:u w:val="single"/>
                <w:vertAlign w:val="superscript"/>
                <w:lang w:val="en-US" w:eastAsia="zh-CN"/>
              </w:rPr>
              <w:t>2</w:t>
            </w:r>
            <w:r>
              <w:rPr>
                <w:rFonts w:hint="eastAsia"/>
                <w:color w:val="auto"/>
                <w:sz w:val="24"/>
                <w:szCs w:val="24"/>
                <w:highlight w:val="none"/>
                <w:u w:val="single"/>
                <w:lang w:val="en-US" w:eastAsia="zh-CN"/>
              </w:rPr>
              <w:t>O工艺容积负荷高、污泥负荷相对较低、可随来水水质水量变化，实时自动调整运行参数和运行模式，抗风险抗冲击能力强。</w:t>
            </w:r>
          </w:p>
          <w:p>
            <w:pPr>
              <w:numPr>
                <w:ilvl w:val="0"/>
                <w:numId w:val="0"/>
              </w:numPr>
              <w:spacing w:line="360" w:lineRule="auto"/>
              <w:ind w:left="480" w:leftChars="0"/>
              <w:rPr>
                <w:rFonts w:hint="eastAsia"/>
                <w:sz w:val="24"/>
                <w:szCs w:val="24"/>
                <w:highlight w:val="yellow"/>
                <w:lang w:val="en-US" w:eastAsia="zh-CN"/>
              </w:rPr>
            </w:pPr>
            <w:r>
              <w:rPr>
                <w:rFonts w:hint="eastAsia"/>
                <w:color w:val="auto"/>
                <w:sz w:val="24"/>
                <w:szCs w:val="24"/>
                <w:highlight w:val="none"/>
                <w:lang w:val="en-US" w:eastAsia="zh-CN"/>
              </w:rPr>
              <w:t>（4）污水处理站进出水水质设计指标</w:t>
            </w:r>
          </w:p>
          <w:p>
            <w:pPr>
              <w:pStyle w:val="35"/>
              <w:keepNext w:val="0"/>
              <w:keepLines w:val="0"/>
              <w:pageBreakBefore w:val="0"/>
              <w:widowControl w:val="0"/>
              <w:numPr>
                <w:ilvl w:val="0"/>
                <w:numId w:val="0"/>
              </w:numPr>
              <w:suppressLineNumbers w:val="0"/>
              <w:kinsoku/>
              <w:wordWrap/>
              <w:overflowPunct/>
              <w:topLinePunct w:val="0"/>
              <w:autoSpaceDE w:val="0"/>
              <w:autoSpaceDN w:val="0"/>
              <w:bidi w:val="0"/>
              <w:adjustRightInd w:val="0"/>
              <w:snapToGrid/>
              <w:spacing w:before="0" w:beforeAutospacing="0" w:after="0" w:afterAutospacing="0" w:line="360" w:lineRule="auto"/>
              <w:ind w:left="0" w:right="0" w:firstLine="480" w:firstLineChars="200"/>
              <w:jc w:val="left"/>
              <w:textAlignment w:val="auto"/>
              <w:outlineLvl w:val="9"/>
              <w:rPr>
                <w:rFonts w:hint="eastAsia" w:ascii="Times New Roman" w:hAnsi="Times New Roman" w:cs="Times New Roman" w:eastAsiaTheme="minorEastAsia"/>
                <w:kern w:val="2"/>
                <w:sz w:val="24"/>
                <w:szCs w:val="24"/>
                <w:u w:val="none"/>
                <w:vertAlign w:val="baseline"/>
                <w:lang w:val="en-US" w:eastAsia="zh-CN"/>
              </w:rPr>
            </w:pPr>
            <w:r>
              <w:rPr>
                <w:rFonts w:hint="eastAsia" w:cs="Times New Roman" w:eastAsiaTheme="minorEastAsia"/>
                <w:sz w:val="24"/>
                <w:szCs w:val="24"/>
                <w:u w:val="none"/>
                <w:lang w:eastAsia="zh-CN"/>
              </w:rPr>
              <w:t>根据《罗家坡污水系统收集管网完善工程建设项目设计说明》，奇家社区</w:t>
            </w:r>
            <w:r>
              <w:rPr>
                <w:rFonts w:hint="eastAsia" w:ascii="Times New Roman" w:cs="Times New Roman" w:eastAsiaTheme="minorEastAsia"/>
                <w:kern w:val="2"/>
                <w:sz w:val="24"/>
                <w:szCs w:val="24"/>
                <w:u w:val="none"/>
                <w:vertAlign w:val="baseline"/>
                <w:lang w:val="en-US" w:eastAsia="zh-CN"/>
              </w:rPr>
              <w:t>污水处理站进水水质设计如下</w:t>
            </w:r>
            <w:r>
              <w:rPr>
                <w:rFonts w:hint="eastAsia" w:ascii="Times New Roman" w:hAnsi="Times New Roman" w:cs="Times New Roman" w:eastAsiaTheme="minorEastAsia"/>
                <w:kern w:val="2"/>
                <w:sz w:val="24"/>
                <w:szCs w:val="24"/>
                <w:u w:val="none"/>
                <w:vertAlign w:val="baseli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center"/>
              <w:textAlignment w:val="auto"/>
              <w:outlineLvl w:val="9"/>
              <w:rPr>
                <w:rFonts w:hint="eastAsia" w:ascii="Times New Roman" w:hAnsi="Times New Roman" w:eastAsia="黑体" w:cs="Times New Roman"/>
                <w:b w:val="0"/>
                <w:bCs w:val="0"/>
                <w:sz w:val="24"/>
                <w:szCs w:val="24"/>
                <w:u w:val="none"/>
                <w:lang w:val="en-US" w:eastAsia="zh-CN"/>
              </w:rPr>
            </w:pPr>
            <w:r>
              <w:rPr>
                <w:rFonts w:hint="eastAsia" w:ascii="Times New Roman" w:hAnsi="Times New Roman" w:eastAsia="黑体" w:cs="Times New Roman"/>
                <w:b w:val="0"/>
                <w:bCs w:val="0"/>
                <w:sz w:val="24"/>
                <w:szCs w:val="24"/>
                <w:u w:val="none"/>
                <w:lang w:val="en-US" w:eastAsia="zh-CN"/>
              </w:rPr>
              <w:t>表</w:t>
            </w:r>
            <w:r>
              <w:rPr>
                <w:rFonts w:hint="eastAsia" w:eastAsia="黑体" w:cs="Times New Roman"/>
                <w:b w:val="0"/>
                <w:bCs w:val="0"/>
                <w:sz w:val="24"/>
                <w:szCs w:val="24"/>
                <w:u w:val="none"/>
                <w:lang w:val="en-US" w:eastAsia="zh-CN"/>
              </w:rPr>
              <w:t xml:space="preserve">1.6-2  </w:t>
            </w:r>
            <w:r>
              <w:rPr>
                <w:rFonts w:hint="default" w:ascii="Times New Roman" w:hAnsi="Times New Roman" w:eastAsia="黑体" w:cs="Times New Roman"/>
                <w:b w:val="0"/>
                <w:bCs w:val="0"/>
                <w:sz w:val="24"/>
                <w:szCs w:val="24"/>
                <w:u w:val="none"/>
                <w:lang w:val="en-US" w:eastAsia="zh-CN"/>
              </w:rPr>
              <w:t xml:space="preserve"> </w:t>
            </w:r>
            <w:r>
              <w:rPr>
                <w:rFonts w:hint="eastAsia" w:eastAsia="黑体" w:cs="Times New Roman"/>
                <w:b w:val="0"/>
                <w:bCs w:val="0"/>
                <w:sz w:val="24"/>
                <w:szCs w:val="24"/>
                <w:u w:val="none"/>
                <w:lang w:val="en-US" w:eastAsia="zh-CN"/>
              </w:rPr>
              <w:t>污水处理站设计进水水质</w:t>
            </w:r>
            <w:r>
              <w:rPr>
                <w:rFonts w:hint="eastAsia" w:ascii="Times New Roman" w:hAnsi="Times New Roman" w:eastAsia="黑体" w:cs="Times New Roman"/>
                <w:b w:val="0"/>
                <w:bCs w:val="0"/>
                <w:sz w:val="24"/>
                <w:szCs w:val="24"/>
                <w:u w:val="none"/>
                <w:lang w:val="en-US" w:eastAsia="zh-CN"/>
              </w:rPr>
              <w:t>（单位</w:t>
            </w:r>
            <w:r>
              <w:rPr>
                <w:rFonts w:hint="default" w:ascii="Times New Roman" w:hAnsi="Times New Roman" w:eastAsia="黑体" w:cs="Times New Roman"/>
                <w:b w:val="0"/>
                <w:bCs w:val="0"/>
                <w:sz w:val="24"/>
                <w:szCs w:val="24"/>
                <w:u w:val="none"/>
                <w:lang w:val="en-US" w:eastAsia="zh-CN"/>
              </w:rPr>
              <w:t>mg/L</w:t>
            </w:r>
            <w:r>
              <w:rPr>
                <w:rFonts w:hint="eastAsia" w:ascii="Times New Roman" w:hAnsi="Times New Roman" w:eastAsia="黑体" w:cs="Times New Roman"/>
                <w:b w:val="0"/>
                <w:bCs w:val="0"/>
                <w:sz w:val="24"/>
                <w:szCs w:val="24"/>
                <w:u w:val="none"/>
                <w:lang w:val="en-US" w:eastAsia="zh-CN"/>
              </w:rPr>
              <w:t>）</w:t>
            </w:r>
          </w:p>
          <w:tbl>
            <w:tblPr>
              <w:tblStyle w:val="27"/>
              <w:tblW w:w="4998" w:type="pct"/>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3470"/>
              <w:gridCol w:w="1932"/>
              <w:gridCol w:w="1901"/>
              <w:gridCol w:w="1083"/>
              <w:gridCol w:w="1164"/>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1816"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项目</w:t>
                  </w:r>
                </w:p>
              </w:tc>
              <w:tc>
                <w:tcPr>
                  <w:tcW w:w="1011"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u w:val="none"/>
                      <w:lang w:val="en-US" w:eastAsia="zh-CN"/>
                    </w:rPr>
                  </w:pPr>
                  <w:r>
                    <w:rPr>
                      <w:rFonts w:hint="default" w:ascii="Times New Roman" w:hAnsi="Times New Roman" w:cs="Times New Roman"/>
                      <w:sz w:val="21"/>
                      <w:szCs w:val="21"/>
                      <w:u w:val="none"/>
                      <w:lang w:val="en-US" w:eastAsia="zh-CN"/>
                    </w:rPr>
                    <w:t>COD</w:t>
                  </w:r>
                </w:p>
              </w:tc>
              <w:tc>
                <w:tcPr>
                  <w:tcW w:w="995"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u w:val="none"/>
                      <w:lang w:val="en-US" w:eastAsia="zh-CN"/>
                    </w:rPr>
                  </w:pPr>
                  <w:r>
                    <w:rPr>
                      <w:rFonts w:hint="default" w:ascii="Times New Roman" w:hAnsi="Times New Roman" w:cs="Times New Roman"/>
                      <w:sz w:val="21"/>
                      <w:szCs w:val="21"/>
                      <w:u w:val="none"/>
                      <w:lang w:val="en-US" w:eastAsia="zh-CN"/>
                    </w:rPr>
                    <w:t>NH</w:t>
                  </w:r>
                  <w:r>
                    <w:rPr>
                      <w:rFonts w:hint="default" w:ascii="Times New Roman" w:hAnsi="Times New Roman" w:cs="Times New Roman"/>
                      <w:sz w:val="21"/>
                      <w:szCs w:val="21"/>
                      <w:u w:val="none"/>
                      <w:vertAlign w:val="subscript"/>
                      <w:lang w:val="en-US" w:eastAsia="zh-CN"/>
                    </w:rPr>
                    <w:t>3</w:t>
                  </w:r>
                  <w:r>
                    <w:rPr>
                      <w:rFonts w:hint="default" w:ascii="Times New Roman" w:hAnsi="Times New Roman" w:cs="Times New Roman"/>
                      <w:sz w:val="21"/>
                      <w:szCs w:val="21"/>
                      <w:u w:val="none"/>
                      <w:lang w:val="en-US" w:eastAsia="zh-CN"/>
                    </w:rPr>
                    <w:t>-N</w:t>
                  </w:r>
                </w:p>
              </w:tc>
              <w:tc>
                <w:tcPr>
                  <w:tcW w:w="567"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T</w:t>
                  </w:r>
                  <w:r>
                    <w:rPr>
                      <w:rFonts w:hint="eastAsia" w:cs="Times New Roman"/>
                      <w:sz w:val="21"/>
                      <w:szCs w:val="21"/>
                      <w:u w:val="none"/>
                      <w:lang w:val="en-US" w:eastAsia="zh-CN"/>
                    </w:rPr>
                    <w:t>N</w:t>
                  </w:r>
                </w:p>
              </w:tc>
              <w:tc>
                <w:tcPr>
                  <w:tcW w:w="609"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T</w:t>
                  </w:r>
                  <w:r>
                    <w:rPr>
                      <w:rFonts w:hint="eastAsia" w:cs="Times New Roman"/>
                      <w:sz w:val="21"/>
                      <w:szCs w:val="21"/>
                      <w:u w:val="none"/>
                      <w:lang w:val="en-US" w:eastAsia="zh-CN"/>
                    </w:rPr>
                    <w:t>P</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1816"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sz w:val="21"/>
                      <w:szCs w:val="21"/>
                      <w:u w:val="none"/>
                      <w:lang w:val="en-US" w:eastAsia="zh-CN"/>
                    </w:rPr>
                  </w:pPr>
                  <w:r>
                    <w:rPr>
                      <w:rFonts w:hint="eastAsia" w:ascii="Times New Roman" w:hAnsi="Times New Roman" w:cs="Times New Roman"/>
                      <w:sz w:val="21"/>
                      <w:szCs w:val="21"/>
                      <w:u w:val="none"/>
                      <w:lang w:val="en-US" w:eastAsia="zh-CN"/>
                    </w:rPr>
                    <w:t>进水水质</w:t>
                  </w:r>
                </w:p>
              </w:tc>
              <w:tc>
                <w:tcPr>
                  <w:tcW w:w="1011"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u w:val="none"/>
                      <w:lang w:val="en-US" w:eastAsia="zh-CN"/>
                    </w:rPr>
                  </w:pPr>
                  <w:r>
                    <w:rPr>
                      <w:rFonts w:hint="eastAsia" w:ascii="Times New Roman" w:hAnsi="Times New Roman" w:cs="Times New Roman"/>
                      <w:u w:val="none"/>
                      <w:lang w:val="en-US" w:eastAsia="zh-CN"/>
                    </w:rPr>
                    <w:t>≤</w:t>
                  </w:r>
                  <w:r>
                    <w:rPr>
                      <w:rFonts w:hint="eastAsia" w:cs="Times New Roman"/>
                      <w:u w:val="none"/>
                      <w:lang w:val="en-US" w:eastAsia="zh-CN"/>
                    </w:rPr>
                    <w:t>150-400</w:t>
                  </w:r>
                </w:p>
              </w:tc>
              <w:tc>
                <w:tcPr>
                  <w:tcW w:w="995"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u w:val="none"/>
                      <w:lang w:val="en-US" w:eastAsia="zh-CN"/>
                    </w:rPr>
                  </w:pPr>
                  <w:r>
                    <w:rPr>
                      <w:rFonts w:hint="eastAsia" w:ascii="Times New Roman" w:hAnsi="Times New Roman" w:cs="Times New Roman"/>
                      <w:u w:val="none"/>
                      <w:lang w:val="en-US" w:eastAsia="zh-CN"/>
                    </w:rPr>
                    <w:t>≤</w:t>
                  </w:r>
                  <w:r>
                    <w:rPr>
                      <w:rFonts w:hint="eastAsia" w:cs="Times New Roman"/>
                      <w:u w:val="none"/>
                      <w:lang w:val="en-US" w:eastAsia="zh-CN"/>
                    </w:rPr>
                    <w:t>20-40</w:t>
                  </w:r>
                </w:p>
              </w:tc>
              <w:tc>
                <w:tcPr>
                  <w:tcW w:w="567"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u w:val="none"/>
                      <w:lang w:val="en-US" w:eastAsia="zh-CN"/>
                    </w:rPr>
                  </w:pPr>
                  <w:r>
                    <w:rPr>
                      <w:rFonts w:hint="eastAsia" w:ascii="Times New Roman" w:hAnsi="Times New Roman" w:cs="Times New Roman"/>
                      <w:u w:val="none"/>
                      <w:lang w:val="en-US" w:eastAsia="zh-CN"/>
                    </w:rPr>
                    <w:t>≤</w:t>
                  </w:r>
                  <w:r>
                    <w:rPr>
                      <w:rFonts w:hint="eastAsia" w:cs="Times New Roman"/>
                      <w:u w:val="none"/>
                      <w:lang w:val="en-US" w:eastAsia="zh-CN"/>
                    </w:rPr>
                    <w:t>20-50</w:t>
                  </w:r>
                </w:p>
              </w:tc>
              <w:tc>
                <w:tcPr>
                  <w:tcW w:w="609"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sz w:val="21"/>
                      <w:szCs w:val="21"/>
                      <w:u w:val="none"/>
                      <w:lang w:val="en-US" w:eastAsia="zh-CN"/>
                    </w:rPr>
                  </w:pPr>
                  <w:r>
                    <w:rPr>
                      <w:rFonts w:hint="eastAsia" w:ascii="Times New Roman" w:hAnsi="Times New Roman" w:cs="Times New Roman"/>
                      <w:u w:val="none"/>
                      <w:lang w:val="en-US" w:eastAsia="zh-CN"/>
                    </w:rPr>
                    <w:t>≤</w:t>
                  </w:r>
                  <w:r>
                    <w:rPr>
                      <w:rFonts w:hint="eastAsia" w:cs="Times New Roman"/>
                      <w:u w:val="none"/>
                      <w:lang w:val="en-US" w:eastAsia="zh-CN"/>
                    </w:rPr>
                    <w:t>2.0-7.0</w:t>
                  </w:r>
                </w:p>
              </w:tc>
            </w:tr>
          </w:tbl>
          <w:p>
            <w:pPr>
              <w:pStyle w:val="35"/>
              <w:keepNext w:val="0"/>
              <w:keepLines w:val="0"/>
              <w:pageBreakBefore w:val="0"/>
              <w:widowControl w:val="0"/>
              <w:numPr>
                <w:ilvl w:val="0"/>
                <w:numId w:val="0"/>
              </w:numPr>
              <w:suppressLineNumbers w:val="0"/>
              <w:kinsoku/>
              <w:wordWrap/>
              <w:overflowPunct/>
              <w:topLinePunct w:val="0"/>
              <w:autoSpaceDE w:val="0"/>
              <w:autoSpaceDN w:val="0"/>
              <w:bidi w:val="0"/>
              <w:adjustRightInd w:val="0"/>
              <w:snapToGrid/>
              <w:spacing w:before="0" w:beforeAutospacing="0" w:after="0" w:afterAutospacing="0" w:line="360" w:lineRule="auto"/>
              <w:ind w:right="0" w:firstLine="480" w:firstLineChars="200"/>
              <w:jc w:val="left"/>
              <w:textAlignment w:val="auto"/>
              <w:outlineLvl w:val="9"/>
              <w:rPr>
                <w:rFonts w:hint="eastAsia" w:ascii="Times New Roman" w:hAnsi="Times New Roman" w:cs="Times New Roman" w:eastAsiaTheme="minorEastAsia"/>
                <w:kern w:val="2"/>
                <w:sz w:val="24"/>
                <w:szCs w:val="24"/>
                <w:u w:val="none"/>
                <w:vertAlign w:val="baseline"/>
                <w:lang w:val="en-US" w:eastAsia="zh-CN"/>
              </w:rPr>
            </w:pPr>
            <w:r>
              <w:rPr>
                <w:rFonts w:hint="eastAsia" w:ascii="Times New Roman" w:hAnsi="Times New Roman" w:cs="Times New Roman" w:eastAsiaTheme="minorEastAsia"/>
                <w:kern w:val="2"/>
                <w:sz w:val="24"/>
                <w:szCs w:val="24"/>
                <w:u w:val="none"/>
                <w:vertAlign w:val="baseline"/>
                <w:lang w:val="en-US" w:eastAsia="zh-CN"/>
              </w:rPr>
              <w:t>奇家社区污水处理站设计出水水质按《城镇污水处理厂污染物排放标准》（</w:t>
            </w:r>
            <w:r>
              <w:rPr>
                <w:rFonts w:hint="default" w:ascii="Times New Roman" w:hAnsi="Times New Roman" w:cs="Times New Roman" w:eastAsiaTheme="minorEastAsia"/>
                <w:kern w:val="2"/>
                <w:sz w:val="24"/>
                <w:szCs w:val="24"/>
                <w:u w:val="none"/>
                <w:vertAlign w:val="baseline"/>
                <w:lang w:val="en-US" w:eastAsia="zh-CN"/>
              </w:rPr>
              <w:t>GB18918-2002</w:t>
            </w:r>
            <w:r>
              <w:rPr>
                <w:rFonts w:hint="eastAsia" w:ascii="Times New Roman" w:hAnsi="Times New Roman" w:cs="Times New Roman" w:eastAsiaTheme="minorEastAsia"/>
                <w:kern w:val="2"/>
                <w:sz w:val="24"/>
                <w:szCs w:val="24"/>
                <w:u w:val="none"/>
                <w:vertAlign w:val="baseline"/>
                <w:lang w:val="en-US" w:eastAsia="zh-CN"/>
              </w:rPr>
              <w:t>）一级</w:t>
            </w:r>
            <w:r>
              <w:rPr>
                <w:rFonts w:hint="default" w:ascii="Times New Roman" w:hAnsi="Times New Roman" w:cs="Times New Roman" w:eastAsiaTheme="minorEastAsia"/>
                <w:kern w:val="2"/>
                <w:sz w:val="24"/>
                <w:szCs w:val="24"/>
                <w:u w:val="none"/>
                <w:vertAlign w:val="baseline"/>
                <w:lang w:val="en-US" w:eastAsia="zh-CN"/>
              </w:rPr>
              <w:t>A</w:t>
            </w:r>
            <w:r>
              <w:rPr>
                <w:rFonts w:hint="eastAsia" w:ascii="Times New Roman" w:hAnsi="Times New Roman" w:cs="Times New Roman" w:eastAsiaTheme="minorEastAsia"/>
                <w:kern w:val="2"/>
                <w:sz w:val="24"/>
                <w:szCs w:val="24"/>
                <w:u w:val="none"/>
                <w:vertAlign w:val="baseline"/>
                <w:lang w:val="en-US" w:eastAsia="zh-CN"/>
              </w:rPr>
              <w:t>标准，具体下表：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center"/>
              <w:textAlignment w:val="auto"/>
              <w:outlineLvl w:val="9"/>
              <w:rPr>
                <w:rFonts w:hint="eastAsia" w:ascii="Times New Roman" w:hAnsi="Times New Roman" w:eastAsia="黑体" w:cs="Times New Roman"/>
                <w:b w:val="0"/>
                <w:bCs w:val="0"/>
                <w:sz w:val="24"/>
                <w:szCs w:val="24"/>
                <w:u w:val="none"/>
                <w:lang w:val="en-US" w:eastAsia="zh-CN"/>
              </w:rPr>
            </w:pPr>
            <w:r>
              <w:rPr>
                <w:rFonts w:hint="eastAsia" w:ascii="Times New Roman" w:hAnsi="Times New Roman" w:eastAsia="黑体" w:cs="Times New Roman"/>
                <w:b w:val="0"/>
                <w:bCs w:val="0"/>
                <w:sz w:val="24"/>
                <w:szCs w:val="24"/>
                <w:u w:val="none"/>
                <w:lang w:val="en-US" w:eastAsia="zh-CN"/>
              </w:rPr>
              <w:t>表</w:t>
            </w:r>
            <w:r>
              <w:rPr>
                <w:rFonts w:hint="eastAsia" w:eastAsia="黑体" w:cs="Times New Roman"/>
                <w:b w:val="0"/>
                <w:bCs w:val="0"/>
                <w:sz w:val="24"/>
                <w:szCs w:val="24"/>
                <w:u w:val="none"/>
                <w:lang w:val="en-US" w:eastAsia="zh-CN"/>
              </w:rPr>
              <w:t xml:space="preserve">1.6-3  </w:t>
            </w:r>
            <w:r>
              <w:rPr>
                <w:rFonts w:hint="eastAsia" w:ascii="Times New Roman" w:hAnsi="Times New Roman" w:eastAsia="黑体" w:cs="Times New Roman"/>
                <w:b w:val="0"/>
                <w:bCs w:val="0"/>
                <w:sz w:val="24"/>
                <w:szCs w:val="24"/>
                <w:u w:val="none"/>
                <w:lang w:val="en-US" w:eastAsia="zh-CN"/>
              </w:rPr>
              <w:t>污水处理</w:t>
            </w:r>
            <w:r>
              <w:rPr>
                <w:rFonts w:hint="eastAsia" w:eastAsia="黑体" w:cs="Times New Roman"/>
                <w:b w:val="0"/>
                <w:bCs w:val="0"/>
                <w:sz w:val="24"/>
                <w:szCs w:val="24"/>
                <w:u w:val="none"/>
                <w:lang w:val="en-US" w:eastAsia="zh-CN"/>
              </w:rPr>
              <w:t>站</w:t>
            </w:r>
            <w:r>
              <w:rPr>
                <w:rFonts w:hint="eastAsia" w:ascii="Times New Roman" w:hAnsi="Times New Roman" w:eastAsia="黑体" w:cs="Times New Roman"/>
                <w:b w:val="0"/>
                <w:bCs w:val="0"/>
                <w:sz w:val="24"/>
                <w:szCs w:val="24"/>
                <w:u w:val="none"/>
                <w:lang w:val="en-US" w:eastAsia="zh-CN"/>
              </w:rPr>
              <w:t>设计出水水质（</w:t>
            </w:r>
            <w:r>
              <w:rPr>
                <w:rFonts w:hint="default" w:ascii="Times New Roman" w:hAnsi="Times New Roman" w:eastAsia="黑体" w:cs="Times New Roman"/>
                <w:b w:val="0"/>
                <w:bCs w:val="0"/>
                <w:sz w:val="24"/>
                <w:szCs w:val="24"/>
                <w:u w:val="none"/>
                <w:lang w:val="en-US" w:eastAsia="zh-CN"/>
              </w:rPr>
              <w:t>mg/L</w:t>
            </w:r>
            <w:r>
              <w:rPr>
                <w:rFonts w:hint="eastAsia" w:ascii="Times New Roman" w:hAnsi="Times New Roman" w:eastAsia="黑体" w:cs="Times New Roman"/>
                <w:b w:val="0"/>
                <w:bCs w:val="0"/>
                <w:sz w:val="24"/>
                <w:szCs w:val="24"/>
                <w:u w:val="none"/>
                <w:lang w:val="en-US" w:eastAsia="zh-CN"/>
              </w:rPr>
              <w:t>）</w:t>
            </w:r>
          </w:p>
          <w:tbl>
            <w:tblPr>
              <w:tblStyle w:val="27"/>
              <w:tblW w:w="4998" w:type="pct"/>
              <w:tblInd w:w="13"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648"/>
              <w:gridCol w:w="2064"/>
              <w:gridCol w:w="2027"/>
              <w:gridCol w:w="1158"/>
              <w:gridCol w:w="1653"/>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1386"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eastAsia" w:ascii="Times New Roman" w:hAnsi="Times New Roman" w:cs="Times New Roman"/>
                      <w:u w:val="none"/>
                      <w:lang w:val="en-US" w:eastAsia="zh-CN"/>
                    </w:rPr>
                    <w:t>项目</w:t>
                  </w:r>
                </w:p>
              </w:tc>
              <w:tc>
                <w:tcPr>
                  <w:tcW w:w="1080"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default" w:ascii="Times New Roman" w:hAnsi="Times New Roman" w:cs="Times New Roman"/>
                      <w:u w:val="none"/>
                      <w:lang w:val="en-US" w:eastAsia="zh-CN"/>
                    </w:rPr>
                    <w:t>COD</w:t>
                  </w:r>
                </w:p>
              </w:tc>
              <w:tc>
                <w:tcPr>
                  <w:tcW w:w="1061"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default" w:ascii="Times New Roman" w:hAnsi="Times New Roman" w:cs="Times New Roman"/>
                      <w:u w:val="none"/>
                      <w:lang w:val="en-US" w:eastAsia="zh-CN"/>
                    </w:rPr>
                    <w:t>NH</w:t>
                  </w:r>
                  <w:r>
                    <w:rPr>
                      <w:rFonts w:hint="default" w:ascii="Times New Roman" w:hAnsi="Times New Roman" w:cs="Times New Roman"/>
                      <w:u w:val="none"/>
                      <w:vertAlign w:val="subscript"/>
                      <w:lang w:val="en-US" w:eastAsia="zh-CN"/>
                    </w:rPr>
                    <w:t>3</w:t>
                  </w:r>
                  <w:r>
                    <w:rPr>
                      <w:rFonts w:hint="default" w:ascii="Times New Roman" w:hAnsi="Times New Roman" w:cs="Times New Roman"/>
                      <w:u w:val="none"/>
                      <w:lang w:val="en-US" w:eastAsia="zh-CN"/>
                    </w:rPr>
                    <w:t>-N</w:t>
                  </w:r>
                </w:p>
              </w:tc>
              <w:tc>
                <w:tcPr>
                  <w:tcW w:w="606"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eastAsia" w:ascii="Times New Roman" w:hAnsi="Times New Roman" w:cs="Times New Roman"/>
                      <w:u w:val="none"/>
                      <w:lang w:val="en-US" w:eastAsia="zh-CN"/>
                    </w:rPr>
                    <w:t>TP</w:t>
                  </w:r>
                </w:p>
              </w:tc>
              <w:tc>
                <w:tcPr>
                  <w:tcW w:w="865"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eastAsia" w:ascii="Times New Roman" w:hAnsi="Times New Roman" w:cs="Times New Roman"/>
                      <w:u w:val="none"/>
                      <w:lang w:val="en-US" w:eastAsia="zh-CN"/>
                    </w:rPr>
                    <w:t>TN</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1386"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eastAsia" w:ascii="Times New Roman" w:hAnsi="Times New Roman" w:cs="Times New Roman"/>
                      <w:u w:val="none"/>
                      <w:lang w:val="en-US" w:eastAsia="zh-CN"/>
                    </w:rPr>
                    <w:t>出水水质</w:t>
                  </w:r>
                </w:p>
              </w:tc>
              <w:tc>
                <w:tcPr>
                  <w:tcW w:w="1080"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eastAsia" w:ascii="Times New Roman" w:hAnsi="Times New Roman" w:cs="Times New Roman"/>
                      <w:u w:val="none"/>
                      <w:lang w:val="en-US" w:eastAsia="zh-CN"/>
                    </w:rPr>
                    <w:t>≤50</w:t>
                  </w:r>
                </w:p>
              </w:tc>
              <w:tc>
                <w:tcPr>
                  <w:tcW w:w="1061"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eastAsia" w:ascii="Times New Roman" w:hAnsi="Times New Roman" w:cs="Times New Roman"/>
                      <w:u w:val="none"/>
                      <w:lang w:val="en-US" w:eastAsia="zh-CN"/>
                    </w:rPr>
                  </w:pPr>
                  <w:r>
                    <w:rPr>
                      <w:rFonts w:hint="eastAsia" w:ascii="Times New Roman" w:hAnsi="Times New Roman" w:cs="Times New Roman"/>
                      <w:u w:val="none"/>
                      <w:lang w:val="en-US" w:eastAsia="zh-CN"/>
                    </w:rPr>
                    <w:t>≤5</w:t>
                  </w:r>
                </w:p>
              </w:tc>
              <w:tc>
                <w:tcPr>
                  <w:tcW w:w="606"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u w:val="none"/>
                      <w:lang w:val="en-US" w:eastAsia="zh-CN"/>
                    </w:rPr>
                  </w:pPr>
                  <w:r>
                    <w:rPr>
                      <w:rFonts w:hint="eastAsia" w:ascii="Times New Roman" w:hAnsi="Times New Roman" w:cs="Times New Roman"/>
                      <w:u w:val="none"/>
                      <w:lang w:val="en-US" w:eastAsia="zh-CN"/>
                    </w:rPr>
                    <w:t>≤</w:t>
                  </w:r>
                  <w:r>
                    <w:rPr>
                      <w:rFonts w:hint="eastAsia" w:cs="Times New Roman"/>
                      <w:u w:val="none"/>
                      <w:lang w:val="en-US" w:eastAsia="zh-CN"/>
                    </w:rPr>
                    <w:t>0.5</w:t>
                  </w:r>
                </w:p>
              </w:tc>
              <w:tc>
                <w:tcPr>
                  <w:tcW w:w="865"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cs="Times New Roman"/>
                      <w:u w:val="none"/>
                      <w:lang w:val="en-US" w:eastAsia="zh-CN"/>
                    </w:rPr>
                  </w:pPr>
                  <w:r>
                    <w:rPr>
                      <w:rFonts w:hint="eastAsia" w:ascii="Times New Roman" w:hAnsi="Times New Roman" w:cs="Times New Roman"/>
                      <w:u w:val="none"/>
                      <w:lang w:val="en-US" w:eastAsia="zh-CN"/>
                    </w:rPr>
                    <w:t>≤</w:t>
                  </w:r>
                  <w:r>
                    <w:rPr>
                      <w:rFonts w:hint="eastAsia" w:cs="Times New Roman"/>
                      <w:u w:val="none"/>
                      <w:lang w:val="en-US" w:eastAsia="zh-CN"/>
                    </w:rPr>
                    <w:t>15</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textAlignment w:val="auto"/>
              <w:rPr>
                <w:rFonts w:hint="eastAsia" w:cs="Times New Roman"/>
                <w:b/>
                <w:bCs/>
                <w:sz w:val="24"/>
                <w:szCs w:val="24"/>
                <w:lang w:val="en-US" w:eastAsia="zh-CN"/>
              </w:rPr>
            </w:pPr>
            <w:r>
              <w:rPr>
                <w:rFonts w:hint="eastAsia" w:cs="Times New Roman"/>
                <w:b/>
                <w:bCs/>
                <w:sz w:val="24"/>
                <w:szCs w:val="24"/>
                <w:lang w:val="en-US" w:eastAsia="zh-CN"/>
              </w:rPr>
              <w:t>1.6.2岳阳大道东片截污工程建设内容</w:t>
            </w:r>
          </w:p>
          <w:p>
            <w:pPr>
              <w:pStyle w:val="2"/>
              <w:numPr>
                <w:ilvl w:val="2"/>
                <w:numId w:val="0"/>
              </w:numPr>
              <w:ind w:leftChars="0" w:firstLine="480" w:firstLineChars="200"/>
              <w:rPr>
                <w:rFonts w:hint="eastAsia"/>
                <w:sz w:val="24"/>
                <w:szCs w:val="24"/>
                <w:lang w:val="en-US" w:eastAsia="zh-CN"/>
              </w:rPr>
            </w:pPr>
            <w:r>
              <w:rPr>
                <w:rFonts w:hint="default" w:ascii="Times New Roman" w:hAnsi="Times New Roman" w:cs="Times New Roman"/>
                <w:kern w:val="2"/>
                <w:sz w:val="24"/>
                <w:szCs w:val="24"/>
                <w:lang w:val="en-US" w:eastAsia="zh-CN"/>
              </w:rPr>
              <w:t>岳阳大道东片区截污工程</w:t>
            </w:r>
            <w:r>
              <w:rPr>
                <w:rFonts w:hint="eastAsia"/>
                <w:sz w:val="24"/>
                <w:szCs w:val="24"/>
                <w:lang w:val="en-US" w:eastAsia="zh-CN"/>
              </w:rPr>
              <w:t>范围为岳阳大道工业厂区，工程内容包含新建污水重力管、污水泵站、污水压力管及相关附属设施等。</w:t>
            </w:r>
          </w:p>
          <w:p>
            <w:pPr>
              <w:pStyle w:val="2"/>
              <w:numPr>
                <w:ilvl w:val="2"/>
                <w:numId w:val="0"/>
              </w:numPr>
              <w:ind w:leftChars="0" w:firstLine="480" w:firstLineChars="200"/>
              <w:rPr>
                <w:rFonts w:hint="default" w:ascii="Times New Roman" w:hAnsi="Times New Roman" w:cs="Times New Roman" w:eastAsiaTheme="minorEastAsia"/>
                <w:kern w:val="2"/>
                <w:sz w:val="24"/>
                <w:szCs w:val="24"/>
                <w:lang w:val="en-US" w:eastAsia="zh-CN"/>
              </w:rPr>
            </w:pPr>
            <w:r>
              <w:rPr>
                <w:rFonts w:hint="eastAsia" w:ascii="Times New Roman" w:hAnsi="Times New Roman" w:cs="Times New Roman" w:eastAsiaTheme="minorEastAsia"/>
                <w:kern w:val="2"/>
                <w:sz w:val="24"/>
                <w:szCs w:val="24"/>
                <w:lang w:val="en-US" w:eastAsia="zh-CN"/>
              </w:rPr>
              <w:t>（1）管道建设</w:t>
            </w:r>
          </w:p>
          <w:p>
            <w:pPr>
              <w:pStyle w:val="2"/>
              <w:numPr>
                <w:ilvl w:val="2"/>
                <w:numId w:val="0"/>
              </w:numPr>
              <w:ind w:leftChars="0" w:firstLine="480" w:firstLineChars="200"/>
              <w:rPr>
                <w:rFonts w:hint="default" w:ascii="Times New Roman" w:hAnsi="Times New Roman" w:cs="Times New Roman" w:eastAsiaTheme="minorEastAsia"/>
                <w:kern w:val="2"/>
                <w:sz w:val="24"/>
                <w:szCs w:val="24"/>
                <w:lang w:val="en-US" w:eastAsia="zh-CN"/>
              </w:rPr>
            </w:pPr>
            <w:r>
              <w:rPr>
                <w:rFonts w:hint="eastAsia" w:ascii="宋体" w:hAnsi="宋体" w:eastAsia="宋体" w:cs="宋体"/>
                <w:kern w:val="2"/>
                <w:sz w:val="24"/>
                <w:szCs w:val="24"/>
                <w:lang w:val="en-US" w:eastAsia="zh-CN"/>
              </w:rPr>
              <w:t>①</w:t>
            </w:r>
            <w:r>
              <w:rPr>
                <w:rFonts w:hint="default" w:ascii="Times New Roman" w:hAnsi="Times New Roman" w:cs="Times New Roman" w:eastAsiaTheme="minorEastAsia"/>
                <w:kern w:val="2"/>
                <w:sz w:val="24"/>
                <w:szCs w:val="24"/>
                <w:lang w:val="en-US" w:eastAsia="zh-CN"/>
              </w:rPr>
              <w:t>管道横断面设计</w:t>
            </w:r>
          </w:p>
          <w:p>
            <w:pPr>
              <w:pStyle w:val="2"/>
              <w:numPr>
                <w:ilvl w:val="2"/>
                <w:numId w:val="0"/>
              </w:numPr>
              <w:ind w:leftChars="0" w:firstLine="480" w:firstLineChars="200"/>
              <w:rPr>
                <w:rFonts w:hint="default" w:ascii="Times New Roman" w:hAnsi="Times New Roman" w:cs="Times New Roman" w:eastAsiaTheme="minorEastAsia"/>
                <w:kern w:val="2"/>
                <w:sz w:val="24"/>
                <w:szCs w:val="24"/>
                <w:lang w:val="en-US" w:eastAsia="zh-CN"/>
              </w:rPr>
            </w:pPr>
            <w:r>
              <w:rPr>
                <w:rFonts w:hint="default" w:ascii="Times New Roman" w:hAnsi="Times New Roman" w:cs="Times New Roman" w:eastAsiaTheme="minorEastAsia"/>
                <w:kern w:val="2"/>
                <w:sz w:val="24"/>
                <w:szCs w:val="24"/>
                <w:lang w:val="en-US" w:eastAsia="zh-CN"/>
              </w:rPr>
              <w:t xml:space="preserve">岳阳大道（枣子山路—中科路）新建污水压力管道位于道路北侧非机动车道。 </w:t>
            </w:r>
          </w:p>
          <w:p>
            <w:pPr>
              <w:pStyle w:val="2"/>
              <w:numPr>
                <w:ilvl w:val="2"/>
                <w:numId w:val="0"/>
              </w:numPr>
              <w:ind w:leftChars="0" w:firstLine="480" w:firstLineChars="200"/>
              <w:rPr>
                <w:rFonts w:hint="default" w:ascii="Times New Roman" w:hAnsi="Times New Roman" w:cs="Times New Roman" w:eastAsiaTheme="minorEastAsia"/>
                <w:kern w:val="2"/>
                <w:sz w:val="24"/>
                <w:szCs w:val="24"/>
                <w:lang w:val="en-US" w:eastAsia="zh-CN"/>
              </w:rPr>
            </w:pPr>
            <w:r>
              <w:rPr>
                <w:rFonts w:hint="default" w:ascii="Times New Roman" w:hAnsi="Times New Roman" w:cs="Times New Roman" w:eastAsiaTheme="minorEastAsia"/>
                <w:kern w:val="2"/>
                <w:sz w:val="24"/>
                <w:szCs w:val="24"/>
                <w:lang w:val="en-US" w:eastAsia="zh-CN"/>
              </w:rPr>
              <w:t xml:space="preserve">枣子山路（监申桥路~岳阳大道）新建污水压力管道位于道路东侧人行道边线处，距离道路中心线 17.85m。 </w:t>
            </w:r>
          </w:p>
          <w:p>
            <w:pPr>
              <w:pStyle w:val="2"/>
              <w:numPr>
                <w:ilvl w:val="2"/>
                <w:numId w:val="0"/>
              </w:numPr>
              <w:ind w:leftChars="0" w:firstLine="480" w:firstLineChars="200"/>
              <w:rPr>
                <w:rFonts w:hint="default" w:ascii="Times New Roman" w:hAnsi="Times New Roman" w:cs="Times New Roman" w:eastAsiaTheme="minorEastAsia"/>
                <w:kern w:val="2"/>
                <w:sz w:val="24"/>
                <w:szCs w:val="24"/>
                <w:lang w:val="en-US" w:eastAsia="zh-CN"/>
              </w:rPr>
            </w:pPr>
            <w:r>
              <w:rPr>
                <w:rFonts w:hint="default" w:ascii="Times New Roman" w:hAnsi="Times New Roman" w:cs="Times New Roman" w:eastAsiaTheme="minorEastAsia"/>
                <w:kern w:val="2"/>
                <w:sz w:val="24"/>
                <w:szCs w:val="24"/>
                <w:lang w:val="en-US" w:eastAsia="zh-CN"/>
              </w:rPr>
              <w:t xml:space="preserve">枣子山路（岳阳大道~新华路）新建污水压力管道位于道路西侧人行道边线处，距离道路中心线 19.00m。 </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left="480" w:leftChars="0"/>
              <w:jc w:val="left"/>
              <w:textAlignment w:val="auto"/>
              <w:rPr>
                <w:rFonts w:hint="eastAsia" w:ascii="Times New Roman" w:hAnsi="Times New Roman" w:cs="Times New Roman" w:eastAsiaTheme="minorEastAsia"/>
                <w:sz w:val="24"/>
                <w:szCs w:val="24"/>
                <w:lang w:val="en-US" w:eastAsia="zh-CN"/>
              </w:rPr>
            </w:pPr>
            <w:r>
              <w:rPr>
                <w:rFonts w:hint="eastAsia" w:ascii="宋体" w:hAnsi="宋体" w:eastAsia="宋体" w:cs="宋体"/>
                <w:sz w:val="24"/>
                <w:szCs w:val="24"/>
                <w:lang w:val="en-US" w:eastAsia="zh-CN"/>
              </w:rPr>
              <w:t>②</w:t>
            </w:r>
            <w:r>
              <w:rPr>
                <w:rFonts w:hint="eastAsia" w:ascii="Times New Roman" w:hAnsi="Times New Roman" w:cs="Times New Roman" w:eastAsiaTheme="minorEastAsia"/>
                <w:sz w:val="24"/>
                <w:szCs w:val="24"/>
                <w:lang w:val="en-US" w:eastAsia="zh-CN"/>
              </w:rPr>
              <w:t>管道平面设计</w:t>
            </w:r>
          </w:p>
          <w:p>
            <w:pPr>
              <w:pStyle w:val="2"/>
              <w:numPr>
                <w:ilvl w:val="2"/>
                <w:numId w:val="0"/>
              </w:numPr>
              <w:ind w:firstLine="480" w:firstLineChars="200"/>
              <w:rPr>
                <w:rFonts w:hint="default"/>
                <w:lang w:val="en-US" w:eastAsia="zh-CN"/>
              </w:rPr>
            </w:pPr>
            <w:r>
              <w:rPr>
                <w:rFonts w:hint="default"/>
                <w:lang w:val="en-US" w:eastAsia="zh-CN"/>
              </w:rPr>
              <w:t>于岳阳大道中科路处新建污水重力管顶管下穿岳阳大道后接入岳阳大道一体化污水泵站，经泵站提升加压后以压力流自东向西接入岳阳大道已建污水重力管，局部新建污水重力管使岳阳大道污水重力管与枣子山路已建污水管连通，截流污水经枣子山路污水管自南向北纳入枣子山路一体化污水泵站，经泵站提升加压以压力流形式自北向南接入枣子山路新华路路口处现状污水管随污水管网纳入罗家坡污水厂进行集中处理，实现岳阳大道东片区从源头上截流污水的目标。</w:t>
            </w:r>
          </w:p>
          <w:p>
            <w:pPr>
              <w:pStyle w:val="2"/>
              <w:numPr>
                <w:ilvl w:val="2"/>
                <w:numId w:val="0"/>
              </w:numPr>
              <w:jc w:val="center"/>
              <w:rPr>
                <w:rFonts w:hint="default"/>
                <w:lang w:val="en-US" w:eastAsia="zh-CN"/>
              </w:rPr>
            </w:pPr>
            <w:r>
              <w:drawing>
                <wp:inline distT="0" distB="0" distL="114300" distR="114300">
                  <wp:extent cx="4895850" cy="3392170"/>
                  <wp:effectExtent l="0" t="0" r="0" b="1778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1"/>
                          <a:stretch>
                            <a:fillRect/>
                          </a:stretch>
                        </pic:blipFill>
                        <pic:spPr>
                          <a:xfrm>
                            <a:off x="0" y="0"/>
                            <a:ext cx="4895850" cy="3392170"/>
                          </a:xfrm>
                          <a:prstGeom prst="rect">
                            <a:avLst/>
                          </a:prstGeom>
                          <a:noFill/>
                          <a:ln>
                            <a:noFill/>
                          </a:ln>
                        </pic:spPr>
                      </pic:pic>
                    </a:graphicData>
                  </a:graphic>
                </wp:inline>
              </w:drawing>
            </w:r>
          </w:p>
          <w:p>
            <w:pPr>
              <w:pStyle w:val="2"/>
              <w:pageBreakBefore w:val="0"/>
              <w:numPr>
                <w:ilvl w:val="2"/>
                <w:numId w:val="0"/>
              </w:numPr>
              <w:kinsoku/>
              <w:wordWrap/>
              <w:overflowPunct/>
              <w:topLinePunct w:val="0"/>
              <w:autoSpaceDE/>
              <w:autoSpaceDN/>
              <w:bidi w:val="0"/>
              <w:adjustRightInd/>
              <w:snapToGrid/>
              <w:spacing w:line="360" w:lineRule="auto"/>
              <w:ind w:leftChars="0" w:firstLine="482" w:firstLineChars="200"/>
              <w:jc w:val="center"/>
              <w:textAlignment w:val="auto"/>
              <w:rPr>
                <w:rFonts w:hint="default" w:ascii="Times New Roman" w:hAnsi="Times New Roman" w:cs="Times New Roman" w:eastAsiaTheme="minorEastAsia"/>
                <w:b/>
                <w:bCs w:val="0"/>
                <w:sz w:val="24"/>
                <w:szCs w:val="24"/>
                <w:lang w:val="en-US" w:eastAsia="zh-CN"/>
              </w:rPr>
            </w:pPr>
            <w:r>
              <w:rPr>
                <w:rFonts w:hint="eastAsia"/>
                <w:b/>
                <w:bCs w:val="0"/>
                <w:lang w:val="en-US" w:eastAsia="zh-CN"/>
              </w:rPr>
              <w:br w:type="column"/>
            </w:r>
            <w:r>
              <w:rPr>
                <w:rFonts w:hint="eastAsia"/>
                <w:b/>
                <w:bCs w:val="0"/>
                <w:lang w:val="en-US" w:eastAsia="zh-CN"/>
              </w:rPr>
              <w:t>图 1.6-2  管道平面布置图</w:t>
            </w:r>
          </w:p>
          <w:p>
            <w:pPr>
              <w:pStyle w:val="2"/>
              <w:pageBreakBefore w:val="0"/>
              <w:widowControl w:val="0"/>
              <w:numPr>
                <w:ilvl w:val="2"/>
                <w:numId w:val="0"/>
              </w:numPr>
              <w:kinsoku/>
              <w:wordWrap/>
              <w:overflowPunct/>
              <w:topLinePunct w:val="0"/>
              <w:autoSpaceDE/>
              <w:autoSpaceDN/>
              <w:bidi w:val="0"/>
              <w:adjustRightInd/>
              <w:snapToGrid/>
              <w:spacing w:line="360" w:lineRule="auto"/>
              <w:ind w:leftChars="0" w:firstLine="480" w:firstLineChars="200"/>
              <w:textAlignment w:val="auto"/>
              <w:rPr>
                <w:rFonts w:hint="default" w:ascii="Times New Roman" w:hAnsi="Times New Roman" w:cs="Times New Roman" w:eastAsiaTheme="minorEastAsia"/>
                <w:sz w:val="24"/>
                <w:szCs w:val="24"/>
                <w:lang w:val="en-US" w:eastAsia="zh-CN"/>
              </w:rPr>
            </w:pPr>
            <w:r>
              <w:rPr>
                <w:rFonts w:hint="default" w:ascii="Times New Roman" w:hAnsi="Times New Roman" w:cs="Times New Roman" w:eastAsiaTheme="minorEastAsia"/>
                <w:sz w:val="24"/>
                <w:szCs w:val="24"/>
                <w:lang w:val="en-US" w:eastAsia="zh-CN"/>
              </w:rPr>
              <w:t>（2）岳阳大道污水提升泵站</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rPr>
            </w:pPr>
            <w:r>
              <w:rPr>
                <w:rFonts w:hint="eastAsia" w:ascii="宋体" w:hAnsi="宋体" w:eastAsia="宋体" w:cs="宋体"/>
                <w:sz w:val="24"/>
                <w:szCs w:val="24"/>
              </w:rPr>
              <w:t>①</w:t>
            </w:r>
            <w:r>
              <w:rPr>
                <w:rFonts w:hint="default" w:ascii="Times New Roman" w:hAnsi="Times New Roman" w:cs="Times New Roman"/>
                <w:sz w:val="24"/>
                <w:szCs w:val="24"/>
              </w:rPr>
              <w:t>流量及扬程</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64" w:firstLineChars="200"/>
              <w:textAlignment w:val="auto"/>
              <w:rPr>
                <w:rFonts w:hint="default" w:ascii="Times New Roman" w:hAnsi="Times New Roman" w:cs="Times New Roman"/>
                <w:spacing w:val="-2"/>
                <w:sz w:val="24"/>
                <w:szCs w:val="24"/>
              </w:rPr>
            </w:pPr>
            <w:r>
              <w:rPr>
                <w:rFonts w:hint="eastAsia" w:cs="Times New Roman"/>
                <w:spacing w:val="-4"/>
                <w:sz w:val="24"/>
                <w:szCs w:val="24"/>
                <w:lang w:eastAsia="zh-CN"/>
              </w:rPr>
              <w:t>根据项目设计说明，岳阳大道污水提升泵站</w:t>
            </w:r>
            <w:r>
              <w:rPr>
                <w:rFonts w:hint="eastAsia" w:cs="Times New Roman"/>
                <w:spacing w:val="-4"/>
                <w:sz w:val="24"/>
                <w:szCs w:val="24"/>
                <w:lang w:val="en-US" w:eastAsia="zh-CN"/>
              </w:rPr>
              <w:t>站服务范围为区域近期规划工业用地面积约 25hm</w:t>
            </w:r>
            <w:r>
              <w:rPr>
                <w:rFonts w:hint="eastAsia" w:cs="Times New Roman"/>
                <w:spacing w:val="-4"/>
                <w:sz w:val="24"/>
                <w:szCs w:val="24"/>
                <w:vertAlign w:val="superscript"/>
                <w:lang w:val="en-US" w:eastAsia="zh-CN"/>
              </w:rPr>
              <w:t>2</w:t>
            </w:r>
            <w:r>
              <w:rPr>
                <w:rFonts w:hint="eastAsia" w:cs="Times New Roman"/>
                <w:spacing w:val="-4"/>
                <w:sz w:val="24"/>
                <w:szCs w:val="24"/>
                <w:lang w:val="en-US" w:eastAsia="zh-CN"/>
              </w:rPr>
              <w:t>，经计算</w:t>
            </w:r>
            <w:r>
              <w:rPr>
                <w:rFonts w:hint="default" w:ascii="Times New Roman" w:hAnsi="Times New Roman" w:cs="Times New Roman"/>
                <w:spacing w:val="-4"/>
                <w:sz w:val="24"/>
                <w:szCs w:val="24"/>
              </w:rPr>
              <w:t>岳阳大道设计流量最高日最高时</w:t>
            </w:r>
            <w:r>
              <w:rPr>
                <w:rFonts w:hint="default" w:ascii="Times New Roman" w:hAnsi="Times New Roman" w:cs="Times New Roman"/>
                <w:spacing w:val="-4"/>
                <w:sz w:val="24"/>
                <w:szCs w:val="24"/>
                <w:lang w:val="en-US" w:eastAsia="zh-CN"/>
              </w:rPr>
              <w:t>2</w:t>
            </w:r>
            <w:r>
              <w:rPr>
                <w:rFonts w:hint="default" w:ascii="Times New Roman" w:hAnsi="Times New Roman" w:eastAsia="Times New Roman" w:cs="Times New Roman"/>
                <w:sz w:val="24"/>
                <w:szCs w:val="24"/>
              </w:rPr>
              <w:t>00m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Times New Roman" w:cs="Times New Roman"/>
                <w:sz w:val="24"/>
                <w:szCs w:val="24"/>
              </w:rPr>
              <w:t>/h</w:t>
            </w:r>
            <w:r>
              <w:rPr>
                <w:rFonts w:hint="default" w:ascii="Times New Roman" w:hAnsi="Times New Roman" w:cs="Times New Roman"/>
                <w:spacing w:val="-17"/>
                <w:sz w:val="24"/>
                <w:szCs w:val="24"/>
              </w:rPr>
              <w:t xml:space="preserve">，扬程 </w:t>
            </w:r>
            <w:r>
              <w:rPr>
                <w:rFonts w:hint="default" w:ascii="Times New Roman" w:hAnsi="Times New Roman" w:eastAsia="Times New Roman" w:cs="Times New Roman"/>
                <w:sz w:val="24"/>
                <w:szCs w:val="24"/>
              </w:rPr>
              <w:t>18m</w:t>
            </w:r>
            <w:r>
              <w:rPr>
                <w:rFonts w:hint="default" w:ascii="Times New Roman" w:hAnsi="Times New Roman" w:cs="Times New Roman"/>
                <w:spacing w:val="-2"/>
                <w:sz w:val="24"/>
                <w:szCs w:val="24"/>
              </w:rPr>
              <w:t>，泵站负荷为二级负荷。</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rPr>
            </w:pPr>
            <w:r>
              <w:rPr>
                <w:rFonts w:hint="eastAsia" w:ascii="宋体" w:hAnsi="宋体" w:eastAsia="宋体" w:cs="宋体"/>
                <w:sz w:val="24"/>
                <w:szCs w:val="24"/>
              </w:rPr>
              <w:t>②</w:t>
            </w:r>
            <w:r>
              <w:rPr>
                <w:rFonts w:hint="default" w:ascii="Times New Roman" w:hAnsi="Times New Roman" w:cs="Times New Roman"/>
                <w:sz w:val="24"/>
                <w:szCs w:val="24"/>
              </w:rPr>
              <w:t>平面设计</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岳阳大道污水泵站采用一体化泵站，内置三台水泵，两用一备，内设提篮格栅，可定期清渣。</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rPr>
            </w:pPr>
            <w:r>
              <w:rPr>
                <w:rFonts w:hint="eastAsia" w:ascii="宋体" w:hAnsi="宋体" w:eastAsia="宋体" w:cs="宋体"/>
                <w:sz w:val="24"/>
                <w:szCs w:val="24"/>
              </w:rPr>
              <w:t>③</w:t>
            </w:r>
            <w:r>
              <w:rPr>
                <w:rFonts w:hint="default" w:ascii="Times New Roman" w:hAnsi="Times New Roman" w:cs="Times New Roman"/>
                <w:sz w:val="24"/>
                <w:szCs w:val="24"/>
              </w:rPr>
              <w:t>竖向设计</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64" w:firstLineChars="200"/>
              <w:textAlignment w:val="auto"/>
              <w:rPr>
                <w:rFonts w:hint="default" w:ascii="Times New Roman" w:hAnsi="Times New Roman" w:cs="Times New Roman"/>
                <w:sz w:val="24"/>
                <w:szCs w:val="24"/>
              </w:rPr>
            </w:pPr>
            <w:r>
              <w:rPr>
                <w:rFonts w:hint="default" w:ascii="Times New Roman" w:hAnsi="Times New Roman" w:cs="Times New Roman"/>
                <w:spacing w:val="-4"/>
                <w:sz w:val="24"/>
                <w:szCs w:val="24"/>
              </w:rPr>
              <w:t xml:space="preserve">岳阳大道一体化污水泵站地面标高 </w:t>
            </w:r>
            <w:r>
              <w:rPr>
                <w:rFonts w:hint="default" w:ascii="Times New Roman" w:hAnsi="Times New Roman" w:eastAsia="Times New Roman" w:cs="Times New Roman"/>
                <w:sz w:val="24"/>
                <w:szCs w:val="24"/>
              </w:rPr>
              <w:t>49.50m</w:t>
            </w:r>
            <w:r>
              <w:rPr>
                <w:rFonts w:hint="default" w:ascii="Times New Roman" w:hAnsi="Times New Roman" w:cs="Times New Roman"/>
                <w:spacing w:val="-10"/>
                <w:sz w:val="24"/>
                <w:szCs w:val="24"/>
              </w:rPr>
              <w:t xml:space="preserve">，底板标高 </w:t>
            </w:r>
            <w:r>
              <w:rPr>
                <w:rFonts w:hint="default" w:ascii="Times New Roman" w:hAnsi="Times New Roman" w:eastAsia="Times New Roman" w:cs="Times New Roman"/>
                <w:sz w:val="24"/>
                <w:szCs w:val="24"/>
              </w:rPr>
              <w:t>41.00m</w:t>
            </w:r>
            <w:r>
              <w:rPr>
                <w:rFonts w:hint="default" w:ascii="Times New Roman" w:hAnsi="Times New Roman" w:cs="Times New Roman"/>
                <w:spacing w:val="-10"/>
                <w:sz w:val="24"/>
                <w:szCs w:val="24"/>
              </w:rPr>
              <w:t xml:space="preserve">，停泵水位 </w:t>
            </w:r>
            <w:r>
              <w:rPr>
                <w:rFonts w:hint="default" w:ascii="Times New Roman" w:hAnsi="Times New Roman" w:eastAsia="Times New Roman" w:cs="Times New Roman"/>
                <w:spacing w:val="-3"/>
                <w:sz w:val="24"/>
                <w:szCs w:val="24"/>
              </w:rPr>
              <w:t>41.90m</w:t>
            </w:r>
            <w:r>
              <w:rPr>
                <w:rFonts w:hint="default" w:ascii="Times New Roman" w:hAnsi="Times New Roman" w:cs="Times New Roman"/>
                <w:spacing w:val="-3"/>
                <w:sz w:val="24"/>
                <w:szCs w:val="24"/>
              </w:rPr>
              <w:t>，</w:t>
            </w:r>
            <w:r>
              <w:rPr>
                <w:rFonts w:hint="default" w:ascii="Times New Roman" w:hAnsi="Times New Roman" w:cs="Times New Roman"/>
                <w:spacing w:val="-12"/>
                <w:sz w:val="24"/>
                <w:szCs w:val="24"/>
              </w:rPr>
              <w:t xml:space="preserve">启泵水位 </w:t>
            </w:r>
            <w:r>
              <w:rPr>
                <w:rFonts w:hint="default" w:ascii="Times New Roman" w:hAnsi="Times New Roman" w:eastAsia="Times New Roman" w:cs="Times New Roman"/>
                <w:sz w:val="24"/>
                <w:szCs w:val="24"/>
              </w:rPr>
              <w:t>42.60m</w:t>
            </w:r>
            <w:r>
              <w:rPr>
                <w:rFonts w:hint="default" w:ascii="Times New Roman" w:hAnsi="Times New Roman" w:cs="Times New Roman"/>
                <w:spacing w:val="-7"/>
                <w:sz w:val="24"/>
                <w:szCs w:val="24"/>
              </w:rPr>
              <w:t xml:space="preserve">，出水管中心标高 </w:t>
            </w:r>
            <w:r>
              <w:rPr>
                <w:rFonts w:hint="default" w:ascii="Times New Roman" w:hAnsi="Times New Roman" w:eastAsia="Times New Roman" w:cs="Times New Roman"/>
                <w:sz w:val="24"/>
                <w:szCs w:val="24"/>
              </w:rPr>
              <w:t>48.50m</w:t>
            </w:r>
            <w:r>
              <w:rPr>
                <w:rFonts w:hint="default" w:ascii="Times New Roman" w:hAnsi="Times New Roman" w:cs="Times New Roman"/>
                <w:sz w:val="24"/>
                <w:szCs w:val="24"/>
              </w:rPr>
              <w:t>。</w:t>
            </w:r>
          </w:p>
          <w:p>
            <w:pPr>
              <w:pStyle w:val="54"/>
              <w:keepNext w:val="0"/>
              <w:keepLines w:val="0"/>
              <w:pageBreakBefore w:val="0"/>
              <w:widowControl w:val="0"/>
              <w:numPr>
                <w:ilvl w:val="0"/>
                <w:numId w:val="0"/>
              </w:numPr>
              <w:tabs>
                <w:tab w:val="left" w:pos="1680"/>
              </w:tabs>
              <w:kinsoku/>
              <w:wordWrap/>
              <w:overflowPunct/>
              <w:topLinePunct w:val="0"/>
              <w:autoSpaceDE/>
              <w:autoSpaceDN/>
              <w:bidi w:val="0"/>
              <w:adjustRightInd/>
              <w:snapToGrid/>
              <w:spacing w:after="0" w:line="360" w:lineRule="auto"/>
              <w:ind w:right="0" w:rightChars="0" w:firstLine="480" w:firstLineChars="200"/>
              <w:jc w:val="left"/>
              <w:textAlignment w:val="auto"/>
              <w:rPr>
                <w:rFonts w:hint="default" w:ascii="Times New Roman" w:hAnsi="Times New Roman" w:cs="Times New Roman"/>
                <w:sz w:val="24"/>
                <w:szCs w:val="24"/>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3</w:t>
            </w:r>
            <w:r>
              <w:rPr>
                <w:rFonts w:hint="eastAsia" w:ascii="Times New Roman" w:hAnsi="Times New Roman" w:cs="Times New Roman"/>
                <w:sz w:val="24"/>
                <w:szCs w:val="24"/>
                <w:lang w:eastAsia="zh-CN"/>
              </w:rPr>
              <w:t>）</w:t>
            </w:r>
            <w:r>
              <w:rPr>
                <w:rFonts w:hint="default" w:ascii="Times New Roman" w:hAnsi="Times New Roman" w:cs="Times New Roman"/>
                <w:sz w:val="24"/>
                <w:szCs w:val="24"/>
              </w:rPr>
              <w:t>枣子山路污水泵站</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rFonts w:hint="default" w:ascii="Times New Roman" w:hAnsi="Times New Roman" w:cs="Times New Roman"/>
                <w:sz w:val="24"/>
                <w:szCs w:val="24"/>
              </w:rPr>
            </w:pPr>
            <w:r>
              <w:rPr>
                <w:rFonts w:hint="eastAsia" w:ascii="宋体" w:hAnsi="宋体" w:eastAsia="宋体" w:cs="宋体"/>
                <w:sz w:val="24"/>
                <w:szCs w:val="24"/>
              </w:rPr>
              <w:t>①</w:t>
            </w:r>
            <w:r>
              <w:rPr>
                <w:rFonts w:hint="default" w:ascii="Times New Roman" w:hAnsi="Times New Roman" w:cs="Times New Roman"/>
                <w:sz w:val="24"/>
                <w:szCs w:val="24"/>
              </w:rPr>
              <w:t>流量及扬程</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64" w:firstLineChars="200"/>
              <w:textAlignment w:val="auto"/>
              <w:rPr>
                <w:spacing w:val="-2"/>
                <w:sz w:val="24"/>
                <w:szCs w:val="24"/>
                <w:u w:val="single"/>
              </w:rPr>
            </w:pPr>
            <w:r>
              <w:rPr>
                <w:rFonts w:hint="eastAsia" w:cs="Times New Roman"/>
                <w:spacing w:val="-4"/>
                <w:sz w:val="24"/>
                <w:szCs w:val="24"/>
                <w:u w:val="single"/>
                <w:lang w:eastAsia="zh-CN"/>
              </w:rPr>
              <w:t>根据项目设计说明，枣子山路污水提升泵站</w:t>
            </w:r>
            <w:r>
              <w:rPr>
                <w:rFonts w:hint="eastAsia" w:cs="Times New Roman"/>
                <w:spacing w:val="-4"/>
                <w:sz w:val="24"/>
                <w:szCs w:val="24"/>
                <w:u w:val="single"/>
                <w:lang w:val="en-US" w:eastAsia="zh-CN"/>
              </w:rPr>
              <w:t>站服务范围为区域近期规划工业用地面积约 45hm</w:t>
            </w:r>
            <w:r>
              <w:rPr>
                <w:rFonts w:hint="eastAsia" w:cs="Times New Roman"/>
                <w:spacing w:val="-4"/>
                <w:sz w:val="24"/>
                <w:szCs w:val="24"/>
                <w:u w:val="single"/>
                <w:vertAlign w:val="superscript"/>
                <w:lang w:val="en-US" w:eastAsia="zh-CN"/>
              </w:rPr>
              <w:t>2</w:t>
            </w:r>
            <w:r>
              <w:rPr>
                <w:rFonts w:hint="eastAsia" w:cs="Times New Roman"/>
                <w:spacing w:val="-4"/>
                <w:sz w:val="24"/>
                <w:szCs w:val="24"/>
                <w:u w:val="single"/>
                <w:vertAlign w:val="baseline"/>
                <w:lang w:val="en-US" w:eastAsia="zh-CN"/>
              </w:rPr>
              <w:t>和已建弘毅中学</w:t>
            </w:r>
            <w:r>
              <w:rPr>
                <w:rFonts w:hint="eastAsia" w:cs="Times New Roman"/>
                <w:spacing w:val="-4"/>
                <w:sz w:val="24"/>
                <w:szCs w:val="24"/>
                <w:u w:val="single"/>
                <w:lang w:val="en-US" w:eastAsia="zh-CN"/>
              </w:rPr>
              <w:t>，经计算</w:t>
            </w:r>
            <w:r>
              <w:rPr>
                <w:spacing w:val="-4"/>
                <w:sz w:val="24"/>
                <w:szCs w:val="24"/>
                <w:u w:val="single"/>
              </w:rPr>
              <w:t>枣子山路设计流量最高日最高时</w:t>
            </w:r>
            <w:r>
              <w:rPr>
                <w:rFonts w:hint="eastAsia"/>
                <w:spacing w:val="-4"/>
                <w:sz w:val="24"/>
                <w:szCs w:val="24"/>
                <w:u w:val="single"/>
                <w:lang w:val="en-US" w:eastAsia="zh-CN"/>
              </w:rPr>
              <w:t>3</w:t>
            </w:r>
            <w:r>
              <w:rPr>
                <w:rFonts w:ascii="Times New Roman" w:eastAsia="Times New Roman"/>
                <w:sz w:val="24"/>
                <w:szCs w:val="24"/>
                <w:u w:val="single"/>
              </w:rPr>
              <w:t>00m</w:t>
            </w:r>
            <w:r>
              <w:rPr>
                <w:rFonts w:hint="eastAsia" w:eastAsia="宋体"/>
                <w:sz w:val="24"/>
                <w:szCs w:val="24"/>
                <w:u w:val="single"/>
                <w:vertAlign w:val="superscript"/>
                <w:lang w:val="en-US" w:eastAsia="zh-CN"/>
              </w:rPr>
              <w:t>3</w:t>
            </w:r>
            <w:r>
              <w:rPr>
                <w:rFonts w:ascii="Times New Roman" w:eastAsia="Times New Roman"/>
                <w:sz w:val="24"/>
                <w:szCs w:val="24"/>
                <w:u w:val="single"/>
              </w:rPr>
              <w:t>/h</w:t>
            </w:r>
            <w:r>
              <w:rPr>
                <w:spacing w:val="-17"/>
                <w:sz w:val="24"/>
                <w:szCs w:val="24"/>
                <w:u w:val="single"/>
              </w:rPr>
              <w:t xml:space="preserve">，扬程 </w:t>
            </w:r>
            <w:r>
              <w:rPr>
                <w:rFonts w:ascii="Times New Roman" w:eastAsia="Times New Roman"/>
                <w:sz w:val="24"/>
                <w:szCs w:val="24"/>
                <w:u w:val="single"/>
              </w:rPr>
              <w:t>30m</w:t>
            </w:r>
            <w:r>
              <w:rPr>
                <w:spacing w:val="-2"/>
                <w:sz w:val="24"/>
                <w:szCs w:val="24"/>
                <w:u w:val="single"/>
              </w:rPr>
              <w:t>，泵站负荷为二级负荷。</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sz w:val="24"/>
                <w:szCs w:val="24"/>
              </w:rPr>
            </w:pPr>
            <w:r>
              <w:rPr>
                <w:rFonts w:hint="eastAsia" w:ascii="宋体" w:hAnsi="宋体" w:eastAsia="宋体" w:cs="宋体"/>
                <w:sz w:val="24"/>
                <w:szCs w:val="24"/>
              </w:rPr>
              <w:t>②</w:t>
            </w:r>
            <w:r>
              <w:rPr>
                <w:sz w:val="24"/>
                <w:szCs w:val="24"/>
              </w:rPr>
              <w:t>平面设计</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textAlignment w:val="auto"/>
              <w:rPr>
                <w:sz w:val="24"/>
                <w:szCs w:val="24"/>
              </w:rPr>
            </w:pPr>
            <w:r>
              <w:rPr>
                <w:sz w:val="24"/>
                <w:szCs w:val="24"/>
              </w:rPr>
              <w:t>枣子山路污水泵站采用一体化泵站，内置三台水泵，两用一备，内设提篮格栅，可定期清渣。</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firstLineChars="200"/>
              <w:textAlignment w:val="auto"/>
              <w:rPr>
                <w:sz w:val="24"/>
                <w:szCs w:val="24"/>
              </w:rPr>
            </w:pPr>
            <w:r>
              <w:rPr>
                <w:rFonts w:hint="eastAsia" w:ascii="宋体" w:hAnsi="宋体" w:eastAsia="宋体" w:cs="宋体"/>
                <w:sz w:val="24"/>
                <w:szCs w:val="24"/>
              </w:rPr>
              <w:t>③</w:t>
            </w:r>
            <w:r>
              <w:rPr>
                <w:sz w:val="24"/>
                <w:szCs w:val="24"/>
              </w:rPr>
              <w:t>竖向设计</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textAlignment w:val="auto"/>
              <w:rPr>
                <w:sz w:val="24"/>
                <w:szCs w:val="24"/>
              </w:rPr>
            </w:pPr>
            <w:r>
              <w:rPr>
                <w:spacing w:val="-4"/>
                <w:sz w:val="24"/>
                <w:szCs w:val="24"/>
              </w:rPr>
              <w:t xml:space="preserve">枣子山路一体化污水泵站地面标高 </w:t>
            </w:r>
            <w:r>
              <w:rPr>
                <w:rFonts w:ascii="Times New Roman" w:eastAsia="Times New Roman"/>
                <w:spacing w:val="-10"/>
                <w:sz w:val="24"/>
                <w:szCs w:val="24"/>
              </w:rPr>
              <w:t>44.94m</w:t>
            </w:r>
            <w:r>
              <w:rPr>
                <w:spacing w:val="-13"/>
                <w:sz w:val="24"/>
                <w:szCs w:val="24"/>
              </w:rPr>
              <w:t xml:space="preserve">，底板标高 </w:t>
            </w:r>
            <w:r>
              <w:rPr>
                <w:rFonts w:ascii="Times New Roman" w:eastAsia="Times New Roman"/>
                <w:spacing w:val="-9"/>
                <w:sz w:val="24"/>
                <w:szCs w:val="24"/>
              </w:rPr>
              <w:t>36.528m</w:t>
            </w:r>
            <w:r>
              <w:rPr>
                <w:spacing w:val="-13"/>
                <w:sz w:val="24"/>
                <w:szCs w:val="24"/>
              </w:rPr>
              <w:t xml:space="preserve">，停泵水位 </w:t>
            </w:r>
            <w:r>
              <w:rPr>
                <w:rFonts w:ascii="Times New Roman" w:eastAsia="Times New Roman"/>
                <w:sz w:val="24"/>
                <w:szCs w:val="24"/>
              </w:rPr>
              <w:t>36.956m</w:t>
            </w:r>
            <w:r>
              <w:rPr>
                <w:sz w:val="24"/>
                <w:szCs w:val="24"/>
              </w:rPr>
              <w:t>，</w:t>
            </w:r>
            <w:r>
              <w:rPr>
                <w:spacing w:val="-12"/>
                <w:sz w:val="24"/>
                <w:szCs w:val="24"/>
              </w:rPr>
              <w:t xml:space="preserve">启泵水位 </w:t>
            </w:r>
            <w:r>
              <w:rPr>
                <w:rFonts w:ascii="Times New Roman" w:eastAsia="Times New Roman"/>
                <w:sz w:val="24"/>
                <w:szCs w:val="24"/>
              </w:rPr>
              <w:t>39.30m</w:t>
            </w:r>
            <w:r>
              <w:rPr>
                <w:spacing w:val="-7"/>
                <w:sz w:val="24"/>
                <w:szCs w:val="24"/>
              </w:rPr>
              <w:t xml:space="preserve">，出水管中心标高 </w:t>
            </w:r>
            <w:r>
              <w:rPr>
                <w:rFonts w:ascii="Times New Roman" w:eastAsia="Times New Roman"/>
                <w:sz w:val="24"/>
                <w:szCs w:val="24"/>
              </w:rPr>
              <w:t>43.50m</w:t>
            </w:r>
            <w:r>
              <w:rPr>
                <w:sz w:val="24"/>
                <w:szCs w:val="24"/>
              </w:rPr>
              <w:t>。</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eastAsia"/>
                <w:b/>
                <w:bCs/>
                <w:sz w:val="24"/>
                <w:szCs w:val="24"/>
                <w:u w:val="none"/>
                <w:lang w:val="en-US" w:eastAsia="zh-CN"/>
              </w:rPr>
            </w:pPr>
            <w:r>
              <w:rPr>
                <w:rFonts w:hint="eastAsia"/>
                <w:b/>
                <w:bCs/>
                <w:sz w:val="24"/>
                <w:szCs w:val="24"/>
                <w:u w:val="none"/>
                <w:lang w:val="en-US" w:eastAsia="zh-CN"/>
              </w:rPr>
              <w:t>1.7合流制溢流污染控制工程</w:t>
            </w:r>
          </w:p>
          <w:p>
            <w:pPr>
              <w:keepNext w:val="0"/>
              <w:keepLines w:val="0"/>
              <w:widowControl/>
              <w:suppressLineNumbers w:val="0"/>
              <w:spacing w:line="360" w:lineRule="auto"/>
              <w:ind w:firstLine="480" w:firstLineChars="200"/>
              <w:jc w:val="left"/>
              <w:rPr>
                <w:sz w:val="24"/>
                <w:szCs w:val="24"/>
                <w:u w:val="single"/>
              </w:rPr>
            </w:pPr>
            <w:r>
              <w:rPr>
                <w:rFonts w:hint="eastAsia"/>
                <w:sz w:val="24"/>
                <w:szCs w:val="24"/>
                <w:lang w:val="en-US" w:eastAsia="zh-CN"/>
              </w:rPr>
              <w:t>合流制溢流污染控制工程为罗家坡污水系统收集管网完善工程中解决合流制溢流问题的一个重要子项工程，工程范围为：罗家坡白石岭片区及八字门片区内合流制溢流污水。工程主要内容为合流制溢流污染调蓄池的建设，利用现状牛栏坡溢流口东南侧绿化用地，在长康路和107国道交口东北侧，长康路立交桥辅道下，建设地下式</w:t>
            </w:r>
            <w:r>
              <w:rPr>
                <w:rFonts w:hint="default"/>
                <w:sz w:val="24"/>
                <w:szCs w:val="24"/>
                <w:lang w:val="en-US" w:eastAsia="zh-CN"/>
              </w:rPr>
              <w:t>CSO</w:t>
            </w:r>
            <w:r>
              <w:rPr>
                <w:rFonts w:hint="eastAsia"/>
                <w:sz w:val="24"/>
                <w:szCs w:val="24"/>
                <w:lang w:val="en-US" w:eastAsia="zh-CN"/>
              </w:rPr>
              <w:t>调蓄池。</w:t>
            </w:r>
            <w:r>
              <w:rPr>
                <w:rFonts w:hint="eastAsia"/>
                <w:sz w:val="24"/>
                <w:szCs w:val="24"/>
                <w:u w:val="single"/>
                <w:lang w:val="en-US" w:eastAsia="zh-CN"/>
              </w:rPr>
              <w:t>根据项目设计说明，经计算调蓄池占地约2600m</w:t>
            </w:r>
            <w:r>
              <w:rPr>
                <w:rFonts w:hint="eastAsia"/>
                <w:sz w:val="24"/>
                <w:szCs w:val="24"/>
                <w:u w:val="single"/>
                <w:vertAlign w:val="superscript"/>
                <w:lang w:val="en-US" w:eastAsia="zh-CN"/>
              </w:rPr>
              <w:t>2</w:t>
            </w:r>
            <w:r>
              <w:rPr>
                <w:rFonts w:hint="eastAsia"/>
                <w:sz w:val="24"/>
                <w:szCs w:val="24"/>
                <w:u w:val="single"/>
                <w:lang w:val="en-US" w:eastAsia="zh-CN"/>
              </w:rPr>
              <w:t>，容积约</w:t>
            </w:r>
            <w:r>
              <w:rPr>
                <w:sz w:val="24"/>
                <w:szCs w:val="24"/>
                <w:u w:val="single"/>
                <w:lang w:val="en-US" w:eastAsia="zh-CN"/>
              </w:rPr>
              <w:t>8000m</w:t>
            </w:r>
            <w:r>
              <w:rPr>
                <w:rFonts w:hint="default"/>
                <w:sz w:val="24"/>
                <w:szCs w:val="24"/>
                <w:u w:val="single"/>
                <w:vertAlign w:val="superscript"/>
                <w:lang w:val="en-US" w:eastAsia="zh-CN"/>
              </w:rPr>
              <w:t>3</w:t>
            </w:r>
            <w:r>
              <w:rPr>
                <w:rFonts w:hint="eastAsia"/>
                <w:sz w:val="24"/>
                <w:szCs w:val="24"/>
                <w:u w:val="single"/>
                <w:lang w:val="en-US" w:eastAsia="zh-CN"/>
              </w:rPr>
              <w:t>，符合</w:t>
            </w:r>
            <w:r>
              <w:rPr>
                <w:rFonts w:hint="eastAsia" w:ascii="宋体" w:hAnsi="宋体" w:eastAsia="宋体" w:cs="宋体"/>
                <w:color w:val="000000"/>
                <w:kern w:val="0"/>
                <w:sz w:val="24"/>
                <w:szCs w:val="24"/>
                <w:u w:val="single"/>
                <w:lang w:val="en-US" w:eastAsia="zh-CN" w:bidi="ar"/>
              </w:rPr>
              <w:t>《城镇径流污染控制调蓄池技术规程》中相关规定。</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eastAsia" w:ascii="Times New Roman" w:hAnsi="Times New Roman" w:cs="Times New Roman"/>
                <w:color w:val="auto"/>
                <w:kern w:val="2"/>
                <w:sz w:val="24"/>
                <w:szCs w:val="24"/>
                <w:lang w:val="en-US" w:eastAsia="zh-CN" w:bidi="ar-SA"/>
              </w:rPr>
            </w:pPr>
            <w:r>
              <w:rPr>
                <w:rFonts w:hint="eastAsia"/>
                <w:b/>
                <w:bCs/>
                <w:sz w:val="24"/>
                <w:szCs w:val="24"/>
                <w:u w:val="none"/>
                <w:lang w:val="en-US" w:eastAsia="zh-CN"/>
              </w:rPr>
              <w:t xml:space="preserve">   </w:t>
            </w:r>
            <w:r>
              <w:rPr>
                <w:rFonts w:hint="eastAsia" w:ascii="Times New Roman" w:hAnsi="Times New Roman" w:eastAsia="宋体" w:cs="Times New Roman"/>
                <w:color w:val="auto"/>
                <w:kern w:val="2"/>
                <w:sz w:val="24"/>
                <w:szCs w:val="24"/>
                <w:lang w:val="en-US" w:eastAsia="zh-CN" w:bidi="ar-SA"/>
              </w:rPr>
              <w:t xml:space="preserve"> 根据</w:t>
            </w:r>
            <w:r>
              <w:rPr>
                <w:rFonts w:hint="eastAsia" w:ascii="Times New Roman" w:hAnsi="Times New Roman" w:cs="Times New Roman"/>
                <w:color w:val="auto"/>
                <w:kern w:val="2"/>
                <w:sz w:val="24"/>
                <w:szCs w:val="24"/>
                <w:lang w:val="en-US" w:eastAsia="zh-CN" w:bidi="ar-SA"/>
              </w:rPr>
              <w:t>《罗家坡污水系统收集管网完善工程设计说明书》对调蓄池类型比选，本项目拟采用地下式混凝土池，和管道的连接关系采用并联。</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 xml:space="preserve">    （1）服务范围</w:t>
            </w:r>
          </w:p>
          <w:p>
            <w:pPr>
              <w:pStyle w:val="9"/>
              <w:keepNext w:val="0"/>
              <w:keepLines w:val="0"/>
              <w:pageBreakBefore w:val="0"/>
              <w:widowControl w:val="0"/>
              <w:kinsoku/>
              <w:wordWrap/>
              <w:overflowPunct/>
              <w:topLinePunct w:val="0"/>
              <w:autoSpaceDE/>
              <w:autoSpaceDN/>
              <w:bidi w:val="0"/>
              <w:adjustRightInd/>
              <w:snapToGrid/>
              <w:spacing w:line="360" w:lineRule="auto"/>
              <w:ind w:right="0" w:firstLine="480" w:firstLineChars="200"/>
              <w:textAlignment w:val="auto"/>
              <w:rPr>
                <w:rFonts w:hint="eastAsia"/>
                <w:sz w:val="24"/>
                <w:szCs w:val="24"/>
                <w:lang w:val="en-US" w:eastAsia="zh-CN"/>
              </w:rPr>
            </w:pPr>
            <w:r>
              <w:rPr>
                <w:rFonts w:hint="eastAsia"/>
                <w:sz w:val="24"/>
                <w:szCs w:val="24"/>
                <w:lang w:val="en-US" w:eastAsia="zh-CN"/>
              </w:rPr>
              <w:t>牛栏坡调蓄池收集太阳桥主涵洞合流制溢流污水。旱季太阳桥主涵内包含桐梓岭片区、长山路片区、八字门片区、白石岭片区污水。雨季规划桐梓岭泵站排水分区内除洛王路片区外均为分流制排水体制，洛王路片区合流制溢流污水进入洛王路调蓄池，故桐梓岭泵站雨季只提升收水范围内1倍旱季污水量；长山路泵站排水分区内规划全部进行雨污分流，故长山路泵站雨季也只提升</w:t>
            </w:r>
            <w:r>
              <w:rPr>
                <w:rFonts w:hint="default"/>
                <w:sz w:val="24"/>
                <w:szCs w:val="24"/>
                <w:lang w:val="en-US" w:eastAsia="zh-CN"/>
              </w:rPr>
              <w:t>1</w:t>
            </w:r>
            <w:r>
              <w:rPr>
                <w:rFonts w:hint="eastAsia"/>
                <w:sz w:val="24"/>
                <w:szCs w:val="24"/>
                <w:lang w:val="en-US" w:eastAsia="zh-CN"/>
              </w:rPr>
              <w:t xml:space="preserve">倍污水量；八字门和白石岭片区规划排水分区为截流式合流制，故雨季时牛栏坡调蓄池服务范围为八字门片区和白石岭片区，总面积 </w:t>
            </w:r>
            <w:r>
              <w:rPr>
                <w:rFonts w:hint="default"/>
                <w:sz w:val="24"/>
                <w:szCs w:val="24"/>
                <w:lang w:val="en-US" w:eastAsia="zh-CN"/>
              </w:rPr>
              <w:t>410hm</w:t>
            </w:r>
            <w:r>
              <w:rPr>
                <w:rFonts w:hint="default"/>
                <w:sz w:val="24"/>
                <w:szCs w:val="24"/>
                <w:vertAlign w:val="superscript"/>
                <w:lang w:val="en-US" w:eastAsia="zh-CN"/>
              </w:rPr>
              <w:t>2</w:t>
            </w:r>
            <w:r>
              <w:rPr>
                <w:rFonts w:hint="eastAsia"/>
                <w:sz w:val="24"/>
                <w:szCs w:val="24"/>
                <w:lang w:val="en-US" w:eastAsia="zh-CN"/>
              </w:rPr>
              <w:t xml:space="preserve">。 </w:t>
            </w:r>
          </w:p>
          <w:p>
            <w:pPr>
              <w:pStyle w:val="9"/>
              <w:keepNext w:val="0"/>
              <w:keepLines w:val="0"/>
              <w:pageBreakBefore w:val="0"/>
              <w:widowControl w:val="0"/>
              <w:kinsoku/>
              <w:wordWrap/>
              <w:overflowPunct/>
              <w:topLinePunct w:val="0"/>
              <w:autoSpaceDE/>
              <w:autoSpaceDN/>
              <w:bidi w:val="0"/>
              <w:adjustRightInd/>
              <w:snapToGrid/>
              <w:spacing w:line="360" w:lineRule="auto"/>
              <w:ind w:left="0" w:right="0" w:firstLine="480"/>
              <w:textAlignment w:val="auto"/>
              <w:rPr>
                <w:rFonts w:hint="eastAsia"/>
                <w:sz w:val="24"/>
                <w:szCs w:val="24"/>
                <w:lang w:val="en-US" w:eastAsia="zh-CN"/>
              </w:rPr>
            </w:pPr>
            <w:r>
              <w:rPr>
                <w:rFonts w:hint="eastAsia"/>
                <w:sz w:val="24"/>
                <w:szCs w:val="24"/>
                <w:lang w:val="en-US" w:eastAsia="zh-CN"/>
              </w:rPr>
              <w:t>经现场踏勘，太阳桥箱涵分区合计有109个源头小区，</w:t>
            </w:r>
            <w:r>
              <w:rPr>
                <w:rFonts w:hint="default"/>
                <w:sz w:val="24"/>
                <w:szCs w:val="24"/>
                <w:lang w:val="en-US" w:eastAsia="zh-CN"/>
              </w:rPr>
              <w:t>11</w:t>
            </w:r>
            <w:r>
              <w:rPr>
                <w:rFonts w:hint="eastAsia"/>
                <w:sz w:val="24"/>
                <w:szCs w:val="24"/>
                <w:lang w:val="en-US" w:eastAsia="zh-CN"/>
              </w:rPr>
              <w:t>个小区为分流小区无需改造，可雨污分流小区合计</w:t>
            </w:r>
            <w:r>
              <w:rPr>
                <w:rFonts w:hint="default"/>
                <w:sz w:val="24"/>
                <w:szCs w:val="24"/>
                <w:lang w:val="en-US" w:eastAsia="zh-CN"/>
              </w:rPr>
              <w:t>64</w:t>
            </w:r>
            <w:r>
              <w:rPr>
                <w:rFonts w:hint="eastAsia"/>
                <w:sz w:val="24"/>
                <w:szCs w:val="24"/>
                <w:lang w:val="en-US" w:eastAsia="zh-CN"/>
              </w:rPr>
              <w:t>个，（纳入二期雨污分流改造</w:t>
            </w:r>
            <w:r>
              <w:rPr>
                <w:rFonts w:hint="default"/>
                <w:sz w:val="24"/>
                <w:szCs w:val="24"/>
                <w:lang w:val="en-US" w:eastAsia="zh-CN"/>
              </w:rPr>
              <w:t>32</w:t>
            </w:r>
            <w:r>
              <w:rPr>
                <w:rFonts w:hint="eastAsia"/>
                <w:sz w:val="24"/>
                <w:szCs w:val="24"/>
                <w:lang w:val="en-US" w:eastAsia="zh-CN"/>
              </w:rPr>
              <w:t>个，其余</w:t>
            </w:r>
            <w:r>
              <w:rPr>
                <w:rFonts w:hint="default"/>
                <w:sz w:val="24"/>
                <w:szCs w:val="24"/>
                <w:lang w:val="en-US" w:eastAsia="zh-CN"/>
              </w:rPr>
              <w:t>32</w:t>
            </w:r>
            <w:r>
              <w:rPr>
                <w:rFonts w:hint="eastAsia"/>
                <w:sz w:val="24"/>
                <w:szCs w:val="24"/>
                <w:lang w:val="en-US" w:eastAsia="zh-CN"/>
              </w:rPr>
              <w:t>个企业地块由政府统一协调自行改造），较难分流改造地块为</w:t>
            </w:r>
            <w:r>
              <w:rPr>
                <w:rFonts w:hint="default"/>
                <w:sz w:val="24"/>
                <w:szCs w:val="24"/>
                <w:lang w:val="en-US" w:eastAsia="zh-CN"/>
              </w:rPr>
              <w:t>34</w:t>
            </w:r>
            <w:r>
              <w:rPr>
                <w:rFonts w:hint="eastAsia"/>
                <w:sz w:val="24"/>
                <w:szCs w:val="24"/>
                <w:lang w:val="en-US" w:eastAsia="zh-CN"/>
              </w:rPr>
              <w:t>个。因此牛栏坡调蓄池收集太阳桥主涵洞合流制溢流污水和雨污分流后片区的初期雨水，合流制面积约</w:t>
            </w:r>
            <w:r>
              <w:rPr>
                <w:rFonts w:hint="default"/>
                <w:sz w:val="24"/>
                <w:szCs w:val="24"/>
                <w:lang w:val="en-US" w:eastAsia="zh-CN"/>
              </w:rPr>
              <w:t>103ha</w:t>
            </w:r>
            <w:r>
              <w:rPr>
                <w:rFonts w:hint="eastAsia"/>
                <w:sz w:val="24"/>
                <w:szCs w:val="24"/>
                <w:lang w:val="en-US" w:eastAsia="zh-CN"/>
              </w:rPr>
              <w:t>，分流制面积约</w:t>
            </w:r>
            <w:r>
              <w:rPr>
                <w:rFonts w:hint="default"/>
                <w:sz w:val="24"/>
                <w:szCs w:val="24"/>
                <w:lang w:val="en-US" w:eastAsia="zh-CN"/>
              </w:rPr>
              <w:t>307ha</w:t>
            </w:r>
            <w:r>
              <w:rPr>
                <w:rFonts w:hint="eastAsia"/>
                <w:sz w:val="24"/>
                <w:szCs w:val="24"/>
                <w:lang w:val="en-US" w:eastAsia="zh-CN"/>
              </w:rPr>
              <w:t>。本项目拟建</w:t>
            </w:r>
            <w:r>
              <w:rPr>
                <w:rFonts w:hint="default"/>
                <w:sz w:val="24"/>
                <w:szCs w:val="24"/>
                <w:lang w:val="en-US" w:eastAsia="zh-CN"/>
              </w:rPr>
              <w:t>CSO</w:t>
            </w:r>
            <w:r>
              <w:rPr>
                <w:rFonts w:hint="eastAsia"/>
                <w:sz w:val="24"/>
                <w:szCs w:val="24"/>
                <w:lang w:val="en-US" w:eastAsia="zh-CN"/>
              </w:rPr>
              <w:t>调蓄池，对近期无法雨污分流的地块保留合流制，旱季污水通过截污干管进入污水厂处理，雨季超过截流倍数后先进入</w:t>
            </w:r>
            <w:r>
              <w:rPr>
                <w:rFonts w:hint="default"/>
                <w:sz w:val="24"/>
                <w:szCs w:val="24"/>
                <w:lang w:val="en-US" w:eastAsia="zh-CN"/>
              </w:rPr>
              <w:t>CSO</w:t>
            </w:r>
            <w:r>
              <w:rPr>
                <w:rFonts w:hint="eastAsia"/>
                <w:sz w:val="24"/>
                <w:szCs w:val="24"/>
                <w:lang w:val="en-US" w:eastAsia="zh-CN"/>
              </w:rPr>
              <w:t>调蓄池，调蓄池满后，如降雨仍未停止，后期雨水通过溢流箱涵排入北港河。</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 xml:space="preserve">    （2）调蓄池冲洗工艺</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eastAsia" w:ascii="Times New Roman" w:hAnsi="Times New Roman" w:eastAsia="宋体" w:cs="Times New Roman"/>
                <w:color w:val="auto"/>
                <w:kern w:val="2"/>
                <w:sz w:val="24"/>
                <w:szCs w:val="24"/>
                <w:lang w:val="en-US" w:eastAsia="zh-CN" w:bidi="ar-SA"/>
              </w:rPr>
              <w:t>由于污水在调蓄池当中会产生沉积，调蓄池内需设置冲洗装置。调蓄池的冲洗有多种方法，各有利弊国内外通常采用的机械冲洗措施有水力冲洗翻斗、门式冲洗系统、真空冲洗等</w:t>
            </w:r>
            <w:r>
              <w:rPr>
                <w:rFonts w:hint="eastAsia" w:cs="Times New Roman"/>
                <w:color w:val="auto"/>
                <w:kern w:val="2"/>
                <w:sz w:val="24"/>
                <w:szCs w:val="24"/>
                <w:lang w:val="en-US" w:eastAsia="zh-CN" w:bidi="ar-SA"/>
              </w:rPr>
              <w:t>。</w:t>
            </w:r>
            <w:r>
              <w:rPr>
                <w:rFonts w:hint="eastAsia" w:ascii="Times New Roman" w:hAnsi="Times New Roman" w:eastAsia="宋体" w:cs="Times New Roman"/>
                <w:color w:val="auto"/>
                <w:kern w:val="2"/>
                <w:sz w:val="24"/>
                <w:szCs w:val="24"/>
                <w:lang w:val="en-US" w:eastAsia="zh-CN" w:bidi="ar-SA"/>
              </w:rPr>
              <w:t>根据</w:t>
            </w:r>
            <w:r>
              <w:rPr>
                <w:rFonts w:hint="eastAsia" w:ascii="Times New Roman" w:hAnsi="Times New Roman" w:cs="Times New Roman"/>
                <w:color w:val="auto"/>
                <w:kern w:val="2"/>
                <w:sz w:val="24"/>
                <w:szCs w:val="24"/>
                <w:lang w:val="en-US" w:eastAsia="zh-CN" w:bidi="ar-SA"/>
              </w:rPr>
              <w:t>《罗家坡污水系统收集管网完善工程设计说明书》</w:t>
            </w:r>
            <w:r>
              <w:rPr>
                <w:rFonts w:hint="eastAsia" w:cs="Times New Roman"/>
                <w:color w:val="auto"/>
                <w:kern w:val="2"/>
                <w:sz w:val="24"/>
                <w:szCs w:val="24"/>
                <w:lang w:val="en-US" w:eastAsia="zh-CN" w:bidi="ar-SA"/>
              </w:rPr>
              <w:t>对冲洗工艺论证，本项目采用智能喷</w:t>
            </w:r>
            <w:r>
              <w:rPr>
                <w:rFonts w:hint="eastAsia" w:ascii="Times New Roman" w:hAnsi="Times New Roman" w:cs="Times New Roman"/>
                <w:color w:val="auto"/>
                <w:kern w:val="2"/>
                <w:sz w:val="24"/>
                <w:szCs w:val="24"/>
                <w:vertAlign w:val="baseline"/>
                <w:lang w:val="en-US" w:eastAsia="zh-CN" w:bidi="ar-SA"/>
              </w:rPr>
              <w:t>射器作为本次调蓄池冲洗设备。</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智能喷射器可利用高速的气液混合物对调蓄池底部进行搅拌冲洗，不仅可以自动全面冲洗，而且可以点对点的冲刷。当缓冲池的水位低于设定水位时，潜污泵开始对调蓄池进行排水；调蓄池的水位下降，智能喷射器开启，对调蓄池中的雨水进行搅拌，使沉积物处于悬浮状态，搅拌的同时潜污泵持续将调蓄池中的雨水排出；当调蓄池水位见底时，智能喷射器对池底进行全面冲洗，并对未冲洗干净的顽固淤泥进行定点冲洗，直到调蓄池冲洗干净。智能喷射器的水泵扬程可调，配合旋转装置260°旋转，因而可实现对一定面积区域内进行全范围冲洗。整个冲洗过程无需外部水源，可连续冲洗，不会淤积缓冲池和管渠。</w:t>
            </w:r>
          </w:p>
          <w:p>
            <w:pPr>
              <w:keepNext w:val="0"/>
              <w:keepLines w:val="0"/>
              <w:widowControl/>
              <w:numPr>
                <w:ilvl w:val="0"/>
                <w:numId w:val="4"/>
              </w:numPr>
              <w:suppressLineNumbers w:val="0"/>
              <w:spacing w:line="360" w:lineRule="auto"/>
              <w:ind w:left="480" w:leftChars="0" w:firstLine="0" w:firstLineChars="0"/>
              <w:jc w:val="left"/>
              <w:rPr>
                <w:rFonts w:hint="eastAsia"/>
                <w:sz w:val="24"/>
                <w:szCs w:val="24"/>
                <w:lang w:val="en-US" w:eastAsia="zh-CN"/>
              </w:rPr>
            </w:pPr>
            <w:r>
              <w:rPr>
                <w:rFonts w:hint="eastAsia"/>
                <w:sz w:val="24"/>
                <w:szCs w:val="24"/>
                <w:lang w:val="en-US" w:eastAsia="zh-CN"/>
              </w:rPr>
              <w:t>调蓄池工程设计</w:t>
            </w:r>
          </w:p>
          <w:p>
            <w:pPr>
              <w:pStyle w:val="2"/>
              <w:numPr>
                <w:ilvl w:val="2"/>
                <w:numId w:val="0"/>
              </w:numPr>
              <w:ind w:left="480" w:leftChars="0"/>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①基本参数 </w:t>
            </w:r>
          </w:p>
          <w:p>
            <w:pPr>
              <w:pStyle w:val="2"/>
              <w:numPr>
                <w:ilvl w:val="2"/>
                <w:numId w:val="0"/>
              </w:numPr>
              <w:ind w:left="480" w:leftChars="0"/>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 xml:space="preserve">设计年限：50 年 </w:t>
            </w:r>
          </w:p>
          <w:p>
            <w:pPr>
              <w:pStyle w:val="2"/>
              <w:numPr>
                <w:ilvl w:val="2"/>
                <w:numId w:val="0"/>
              </w:numPr>
              <w:ind w:left="480" w:leftChars="0"/>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设计规模：调蓄池 Q=8000</w:t>
            </w:r>
            <w:r>
              <w:rPr>
                <w:rFonts w:hint="eastAsia" w:ascii="Times New Roman" w:hAnsi="Times New Roman" w:eastAsia="宋体" w:cs="Times New Roman"/>
                <w:vertAlign w:val="superscript"/>
                <w:lang w:val="en-US" w:eastAsia="zh-CN"/>
              </w:rPr>
              <w:t>3</w:t>
            </w:r>
          </w:p>
          <w:p>
            <w:pPr>
              <w:pStyle w:val="2"/>
              <w:numPr>
                <w:ilvl w:val="2"/>
                <w:numId w:val="0"/>
              </w:numPr>
              <w:ind w:left="480" w:leftChars="0"/>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最大流量：Q</w:t>
            </w:r>
            <w:r>
              <w:rPr>
                <w:rFonts w:hint="default" w:ascii="Times New Roman" w:hAnsi="Times New Roman" w:eastAsia="宋体" w:cs="Times New Roman"/>
                <w:vertAlign w:val="subscript"/>
                <w:lang w:val="en-US" w:eastAsia="zh-CN"/>
              </w:rPr>
              <w:t>max</w:t>
            </w:r>
            <w:r>
              <w:rPr>
                <w:rFonts w:hint="default" w:ascii="Times New Roman" w:hAnsi="Times New Roman" w:eastAsia="宋体" w:cs="Times New Roman"/>
                <w:lang w:val="en-US" w:eastAsia="zh-CN"/>
              </w:rPr>
              <w:t>=2.41m</w:t>
            </w:r>
            <w:r>
              <w:rPr>
                <w:rFonts w:hint="eastAsia" w:ascii="Times New Roman" w:hAnsi="Times New Roman" w:eastAsia="宋体" w:cs="Times New Roman"/>
                <w:vertAlign w:val="superscript"/>
                <w:lang w:val="en-US" w:eastAsia="zh-CN"/>
              </w:rPr>
              <w:t>3</w:t>
            </w:r>
            <w:r>
              <w:rPr>
                <w:rFonts w:hint="default" w:ascii="Times New Roman" w:hAnsi="Times New Roman" w:eastAsia="宋体" w:cs="Times New Roman"/>
                <w:lang w:val="en-US" w:eastAsia="zh-CN"/>
              </w:rPr>
              <w:t>/s</w:t>
            </w:r>
          </w:p>
          <w:p>
            <w:pPr>
              <w:pStyle w:val="2"/>
              <w:numPr>
                <w:ilvl w:val="2"/>
                <w:numId w:val="0"/>
              </w:numPr>
              <w:ind w:left="480" w:leftChars="0"/>
              <w:rPr>
                <w:rFonts w:hint="eastAsia" w:ascii="Times New Roman" w:hAnsi="Times New Roman" w:eastAsia="宋体" w:cs="Times New Roman"/>
                <w:lang w:val="en-US" w:eastAsia="zh-CN"/>
              </w:rPr>
            </w:pPr>
            <w:r>
              <w:rPr>
                <w:rFonts w:hint="eastAsia" w:ascii="Times New Roman" w:hAnsi="Times New Roman" w:eastAsia="宋体" w:cs="Times New Roman"/>
                <w:lang w:val="en-US" w:eastAsia="zh-CN"/>
              </w:rPr>
              <w:t>②格栅井</w:t>
            </w:r>
          </w:p>
          <w:tbl>
            <w:tblPr>
              <w:tblStyle w:val="26"/>
              <w:tblW w:w="0" w:type="auto"/>
              <w:tblInd w:w="982"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1636"/>
              <w:gridCol w:w="46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2" w:hRule="atLeast"/>
              </w:trPr>
              <w:tc>
                <w:tcPr>
                  <w:tcW w:w="1636" w:type="dxa"/>
                </w:tcPr>
                <w:p>
                  <w:pPr>
                    <w:pStyle w:val="83"/>
                    <w:tabs>
                      <w:tab w:val="left" w:pos="919"/>
                    </w:tabs>
                    <w:spacing w:line="281" w:lineRule="exact"/>
                    <w:ind w:left="200"/>
                    <w:jc w:val="center"/>
                    <w:rPr>
                      <w:rFonts w:hint="eastAsia" w:ascii="宋体" w:eastAsia="宋体"/>
                      <w:sz w:val="24"/>
                    </w:rPr>
                  </w:pPr>
                  <w:r>
                    <w:rPr>
                      <w:rFonts w:hint="eastAsia" w:ascii="宋体" w:eastAsia="宋体"/>
                      <w:sz w:val="24"/>
                    </w:rPr>
                    <w:t>功</w:t>
                  </w:r>
                  <w:r>
                    <w:rPr>
                      <w:rFonts w:hint="eastAsia" w:ascii="宋体" w:eastAsia="宋体"/>
                      <w:sz w:val="24"/>
                    </w:rPr>
                    <w:tab/>
                  </w:r>
                  <w:r>
                    <w:rPr>
                      <w:rFonts w:hint="eastAsia" w:ascii="宋体" w:eastAsia="宋体"/>
                      <w:sz w:val="24"/>
                    </w:rPr>
                    <w:t>能：</w:t>
                  </w:r>
                </w:p>
              </w:tc>
              <w:tc>
                <w:tcPr>
                  <w:tcW w:w="4624" w:type="dxa"/>
                </w:tcPr>
                <w:p>
                  <w:pPr>
                    <w:pStyle w:val="83"/>
                    <w:spacing w:line="281" w:lineRule="exact"/>
                    <w:ind w:left="236"/>
                    <w:jc w:val="center"/>
                    <w:rPr>
                      <w:rFonts w:hint="default" w:ascii="Times New Roman" w:hAnsi="Times New Roman" w:eastAsia="宋体" w:cs="Times New Roman"/>
                      <w:sz w:val="24"/>
                    </w:rPr>
                  </w:pPr>
                  <w:r>
                    <w:rPr>
                      <w:rFonts w:hint="default" w:ascii="Times New Roman" w:hAnsi="Times New Roman" w:eastAsia="宋体" w:cs="Times New Roman"/>
                      <w:sz w:val="24"/>
                    </w:rPr>
                    <w:t xml:space="preserve">拦截 </w:t>
                  </w:r>
                  <w:r>
                    <w:rPr>
                      <w:rFonts w:hint="default" w:ascii="Times New Roman" w:hAnsi="Times New Roman" w:cs="Times New Roman"/>
                      <w:sz w:val="24"/>
                    </w:rPr>
                    <w:t>B</w:t>
                  </w:r>
                  <w:r>
                    <w:rPr>
                      <w:rFonts w:hint="default" w:ascii="Times New Roman" w:hAnsi="Times New Roman" w:eastAsia="宋体" w:cs="Times New Roman"/>
                      <w:sz w:val="24"/>
                    </w:rPr>
                    <w:t>×</w:t>
                  </w:r>
                  <w:r>
                    <w:rPr>
                      <w:rFonts w:hint="default" w:ascii="Times New Roman" w:hAnsi="Times New Roman" w:cs="Times New Roman"/>
                      <w:sz w:val="24"/>
                    </w:rPr>
                    <w:t>H=5000</w:t>
                  </w:r>
                  <w:r>
                    <w:rPr>
                      <w:rFonts w:hint="default" w:ascii="Times New Roman" w:hAnsi="Times New Roman" w:eastAsia="宋体" w:cs="Times New Roman"/>
                      <w:sz w:val="24"/>
                    </w:rPr>
                    <w:t>×</w:t>
                  </w:r>
                  <w:r>
                    <w:rPr>
                      <w:rFonts w:hint="default" w:ascii="Times New Roman" w:hAnsi="Times New Roman" w:cs="Times New Roman"/>
                      <w:sz w:val="24"/>
                    </w:rPr>
                    <w:t xml:space="preserve">3000 </w:t>
                  </w:r>
                  <w:r>
                    <w:rPr>
                      <w:rFonts w:hint="default" w:ascii="Times New Roman" w:hAnsi="Times New Roman" w:eastAsia="宋体" w:cs="Times New Roman"/>
                      <w:sz w:val="24"/>
                    </w:rPr>
                    <w:t>雨水箱涵内颗粒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03" w:hRule="atLeast"/>
              </w:trPr>
              <w:tc>
                <w:tcPr>
                  <w:tcW w:w="1636" w:type="dxa"/>
                </w:tcPr>
                <w:p>
                  <w:pPr>
                    <w:pStyle w:val="83"/>
                    <w:tabs>
                      <w:tab w:val="left" w:pos="919"/>
                    </w:tabs>
                    <w:spacing w:before="40"/>
                    <w:ind w:left="200"/>
                    <w:jc w:val="center"/>
                    <w:rPr>
                      <w:rFonts w:hint="eastAsia" w:ascii="宋体" w:eastAsia="宋体"/>
                      <w:sz w:val="24"/>
                    </w:rPr>
                  </w:pPr>
                  <w:r>
                    <w:rPr>
                      <w:rFonts w:hint="eastAsia" w:ascii="宋体" w:eastAsia="宋体"/>
                      <w:sz w:val="24"/>
                    </w:rPr>
                    <w:t>数</w:t>
                  </w:r>
                  <w:r>
                    <w:rPr>
                      <w:rFonts w:hint="eastAsia" w:ascii="宋体" w:eastAsia="宋体"/>
                      <w:sz w:val="24"/>
                    </w:rPr>
                    <w:tab/>
                  </w:r>
                  <w:r>
                    <w:rPr>
                      <w:rFonts w:hint="eastAsia" w:ascii="宋体" w:eastAsia="宋体"/>
                      <w:sz w:val="24"/>
                    </w:rPr>
                    <w:t>量：</w:t>
                  </w:r>
                </w:p>
              </w:tc>
              <w:tc>
                <w:tcPr>
                  <w:tcW w:w="4624" w:type="dxa"/>
                </w:tcPr>
                <w:p>
                  <w:pPr>
                    <w:pStyle w:val="83"/>
                    <w:spacing w:before="40"/>
                    <w:ind w:left="236"/>
                    <w:jc w:val="center"/>
                    <w:rPr>
                      <w:rFonts w:hint="default" w:ascii="Times New Roman" w:hAnsi="Times New Roman" w:eastAsia="宋体" w:cs="Times New Roman"/>
                      <w:sz w:val="24"/>
                    </w:rPr>
                  </w:pPr>
                  <w:r>
                    <w:rPr>
                      <w:rFonts w:hint="default" w:ascii="Times New Roman" w:hAnsi="Times New Roman" w:cs="Times New Roman"/>
                      <w:sz w:val="24"/>
                    </w:rPr>
                    <w:t xml:space="preserve">1 </w:t>
                  </w:r>
                  <w:r>
                    <w:rPr>
                      <w:rFonts w:hint="default" w:ascii="Times New Roman" w:hAnsi="Times New Roman" w:eastAsia="宋体" w:cs="Times New Roman"/>
                      <w:sz w:val="24"/>
                    </w:rPr>
                    <w:t>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11" w:hRule="atLeast"/>
              </w:trPr>
              <w:tc>
                <w:tcPr>
                  <w:tcW w:w="1636" w:type="dxa"/>
                </w:tcPr>
                <w:p>
                  <w:pPr>
                    <w:pStyle w:val="83"/>
                    <w:spacing w:before="37" w:line="254" w:lineRule="exact"/>
                    <w:ind w:left="200"/>
                    <w:jc w:val="center"/>
                    <w:rPr>
                      <w:rFonts w:hint="eastAsia" w:ascii="宋体" w:eastAsia="宋体"/>
                      <w:sz w:val="24"/>
                    </w:rPr>
                  </w:pPr>
                  <w:r>
                    <w:rPr>
                      <w:rFonts w:hint="eastAsia" w:ascii="宋体" w:eastAsia="宋体"/>
                      <w:sz w:val="24"/>
                    </w:rPr>
                    <w:t>平面尺寸：</w:t>
                  </w:r>
                </w:p>
              </w:tc>
              <w:tc>
                <w:tcPr>
                  <w:tcW w:w="4624" w:type="dxa"/>
                </w:tcPr>
                <w:p>
                  <w:pPr>
                    <w:pStyle w:val="83"/>
                    <w:spacing w:before="37" w:line="254" w:lineRule="exact"/>
                    <w:ind w:left="236"/>
                    <w:jc w:val="center"/>
                    <w:rPr>
                      <w:rFonts w:hint="eastAsia" w:ascii="宋体" w:eastAsia="宋体"/>
                      <w:sz w:val="24"/>
                    </w:rPr>
                  </w:pPr>
                  <w:r>
                    <w:rPr>
                      <w:rFonts w:hint="eastAsia" w:ascii="宋体" w:eastAsia="宋体"/>
                      <w:sz w:val="24"/>
                    </w:rPr>
                    <w:t>设备置于箱涵内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11" w:hRule="atLeast"/>
              </w:trPr>
              <w:tc>
                <w:tcPr>
                  <w:tcW w:w="1636" w:type="dxa"/>
                </w:tcPr>
                <w:p>
                  <w:pPr>
                    <w:pStyle w:val="83"/>
                    <w:spacing w:before="37" w:line="254" w:lineRule="exact"/>
                    <w:ind w:left="200"/>
                    <w:jc w:val="center"/>
                    <w:rPr>
                      <w:rFonts w:hint="eastAsia" w:ascii="宋体" w:eastAsia="宋体"/>
                      <w:sz w:val="24"/>
                      <w:lang w:eastAsia="zh-CN"/>
                    </w:rPr>
                  </w:pPr>
                  <w:r>
                    <w:rPr>
                      <w:rFonts w:hint="eastAsia" w:ascii="宋体" w:eastAsia="宋体"/>
                      <w:sz w:val="24"/>
                      <w:lang w:eastAsia="zh-CN"/>
                    </w:rPr>
                    <w:t>设备：</w:t>
                  </w:r>
                </w:p>
              </w:tc>
              <w:tc>
                <w:tcPr>
                  <w:tcW w:w="4624" w:type="dxa"/>
                </w:tcPr>
                <w:p>
                  <w:pPr>
                    <w:pStyle w:val="83"/>
                    <w:spacing w:before="37" w:line="254" w:lineRule="exact"/>
                    <w:ind w:left="236"/>
                    <w:jc w:val="center"/>
                    <w:rPr>
                      <w:rFonts w:hint="default" w:ascii="宋体" w:eastAsia="宋体"/>
                      <w:sz w:val="24"/>
                      <w:lang w:val="en-US"/>
                    </w:rPr>
                  </w:pPr>
                  <w:r>
                    <w:rPr>
                      <w:rFonts w:hint="eastAsia" w:ascii="宋体" w:eastAsia="宋体"/>
                      <w:sz w:val="24"/>
                      <w:lang w:val="en-US" w:eastAsia="zh-CN"/>
                    </w:rPr>
                    <w:t>回转式机械格栅，2台</w:t>
                  </w:r>
                </w:p>
              </w:tc>
            </w:tr>
          </w:tbl>
          <w:p>
            <w:pPr>
              <w:pStyle w:val="2"/>
              <w:numPr>
                <w:ilvl w:val="2"/>
                <w:numId w:val="0"/>
              </w:numPr>
              <w:ind w:left="480" w:leftChars="0"/>
              <w:rPr>
                <w:rFonts w:hint="eastAsia" w:ascii="Times New Roman" w:hAnsi="Times New Roman" w:eastAsia="宋体" w:cs="Times New Roman"/>
                <w:lang w:val="en-US" w:eastAsia="zh-CN"/>
              </w:rPr>
            </w:pPr>
            <w:bookmarkStart w:id="26" w:name="2. 调蓄池"/>
            <w:bookmarkEnd w:id="26"/>
            <w:bookmarkStart w:id="27" w:name="2. 调蓄池"/>
            <w:bookmarkEnd w:id="27"/>
            <w:r>
              <w:rPr>
                <w:rFonts w:hint="eastAsia" w:ascii="Times New Roman" w:hAnsi="Times New Roman" w:eastAsia="宋体" w:cs="Times New Roman"/>
                <w:lang w:val="en-US" w:eastAsia="zh-CN"/>
              </w:rPr>
              <w:t>③调蓄池</w:t>
            </w:r>
          </w:p>
          <w:tbl>
            <w:tblPr>
              <w:tblStyle w:val="26"/>
              <w:tblW w:w="0" w:type="auto"/>
              <w:tblInd w:w="107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1636"/>
              <w:gridCol w:w="34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20" w:hRule="atLeast"/>
              </w:trPr>
              <w:tc>
                <w:tcPr>
                  <w:tcW w:w="1636" w:type="dxa"/>
                </w:tcPr>
                <w:p>
                  <w:pPr>
                    <w:pStyle w:val="83"/>
                    <w:tabs>
                      <w:tab w:val="left" w:pos="719"/>
                    </w:tabs>
                    <w:spacing w:line="274" w:lineRule="exact"/>
                    <w:ind w:right="35"/>
                    <w:rPr>
                      <w:rFonts w:hint="eastAsia" w:ascii="宋体" w:eastAsia="宋体"/>
                      <w:sz w:val="24"/>
                    </w:rPr>
                  </w:pPr>
                  <w:r>
                    <w:rPr>
                      <w:rFonts w:hint="eastAsia" w:ascii="宋体" w:eastAsia="宋体"/>
                      <w:sz w:val="24"/>
                    </w:rPr>
                    <w:t>功</w:t>
                  </w:r>
                  <w:r>
                    <w:rPr>
                      <w:rFonts w:hint="eastAsia" w:ascii="宋体" w:eastAsia="宋体"/>
                      <w:sz w:val="24"/>
                    </w:rPr>
                    <w:tab/>
                  </w:r>
                  <w:r>
                    <w:rPr>
                      <w:rFonts w:hint="eastAsia" w:ascii="宋体" w:eastAsia="宋体"/>
                      <w:sz w:val="24"/>
                    </w:rPr>
                    <w:t>能：</w:t>
                  </w:r>
                </w:p>
              </w:tc>
              <w:tc>
                <w:tcPr>
                  <w:tcW w:w="3413" w:type="dxa"/>
                </w:tcPr>
                <w:p>
                  <w:pPr>
                    <w:pStyle w:val="83"/>
                    <w:spacing w:line="274" w:lineRule="exact"/>
                    <w:ind w:left="236"/>
                    <w:jc w:val="left"/>
                    <w:rPr>
                      <w:rFonts w:hint="eastAsia" w:ascii="宋体" w:eastAsia="宋体"/>
                      <w:sz w:val="24"/>
                    </w:rPr>
                  </w:pPr>
                  <w:r>
                    <w:rPr>
                      <w:rFonts w:hint="eastAsia" w:ascii="宋体" w:eastAsia="宋体"/>
                      <w:sz w:val="24"/>
                    </w:rPr>
                    <w:t>调蓄合流制溢流污水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5" w:hRule="atLeast"/>
              </w:trPr>
              <w:tc>
                <w:tcPr>
                  <w:tcW w:w="1636" w:type="dxa"/>
                </w:tcPr>
                <w:p>
                  <w:pPr>
                    <w:pStyle w:val="83"/>
                    <w:tabs>
                      <w:tab w:val="left" w:pos="719"/>
                    </w:tabs>
                    <w:spacing w:before="46"/>
                    <w:ind w:right="35"/>
                    <w:rPr>
                      <w:rFonts w:hint="eastAsia" w:ascii="宋体" w:eastAsia="宋体"/>
                      <w:sz w:val="24"/>
                    </w:rPr>
                  </w:pPr>
                  <w:r>
                    <w:rPr>
                      <w:rFonts w:hint="eastAsia" w:ascii="宋体" w:eastAsia="宋体"/>
                      <w:sz w:val="24"/>
                    </w:rPr>
                    <w:t>类</w:t>
                  </w:r>
                  <w:r>
                    <w:rPr>
                      <w:rFonts w:hint="eastAsia" w:ascii="宋体" w:eastAsia="宋体"/>
                      <w:sz w:val="24"/>
                    </w:rPr>
                    <w:tab/>
                  </w:r>
                  <w:r>
                    <w:rPr>
                      <w:rFonts w:hint="eastAsia" w:ascii="宋体" w:eastAsia="宋体"/>
                      <w:sz w:val="24"/>
                    </w:rPr>
                    <w:t>型：</w:t>
                  </w:r>
                </w:p>
              </w:tc>
              <w:tc>
                <w:tcPr>
                  <w:tcW w:w="3413" w:type="dxa"/>
                </w:tcPr>
                <w:p>
                  <w:pPr>
                    <w:pStyle w:val="83"/>
                    <w:spacing w:before="46"/>
                    <w:ind w:left="236"/>
                    <w:jc w:val="left"/>
                    <w:rPr>
                      <w:rFonts w:hint="eastAsia" w:ascii="宋体" w:eastAsia="宋体"/>
                      <w:sz w:val="24"/>
                    </w:rPr>
                  </w:pPr>
                  <w:r>
                    <w:rPr>
                      <w:rFonts w:hint="eastAsia" w:ascii="宋体" w:eastAsia="宋体"/>
                      <w:sz w:val="24"/>
                    </w:rPr>
                    <w:t>地下式钢筋砼构筑物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08" w:hRule="atLeast"/>
              </w:trPr>
              <w:tc>
                <w:tcPr>
                  <w:tcW w:w="1636" w:type="dxa"/>
                </w:tcPr>
                <w:p>
                  <w:pPr>
                    <w:pStyle w:val="83"/>
                    <w:tabs>
                      <w:tab w:val="left" w:pos="719"/>
                    </w:tabs>
                    <w:spacing w:before="49"/>
                    <w:ind w:right="35"/>
                    <w:rPr>
                      <w:rFonts w:hint="eastAsia" w:ascii="宋体" w:eastAsia="宋体"/>
                      <w:sz w:val="24"/>
                    </w:rPr>
                  </w:pPr>
                  <w:r>
                    <w:rPr>
                      <w:rFonts w:hint="eastAsia" w:ascii="宋体" w:eastAsia="宋体"/>
                      <w:sz w:val="24"/>
                    </w:rPr>
                    <w:t>数</w:t>
                  </w:r>
                  <w:r>
                    <w:rPr>
                      <w:rFonts w:hint="eastAsia" w:ascii="宋体" w:eastAsia="宋体"/>
                      <w:sz w:val="24"/>
                    </w:rPr>
                    <w:tab/>
                  </w:r>
                  <w:r>
                    <w:rPr>
                      <w:rFonts w:hint="eastAsia" w:ascii="宋体" w:eastAsia="宋体"/>
                      <w:sz w:val="24"/>
                    </w:rPr>
                    <w:t>量：</w:t>
                  </w:r>
                </w:p>
              </w:tc>
              <w:tc>
                <w:tcPr>
                  <w:tcW w:w="3413" w:type="dxa"/>
                </w:tcPr>
                <w:p>
                  <w:pPr>
                    <w:pStyle w:val="83"/>
                    <w:spacing w:before="49"/>
                    <w:ind w:left="236"/>
                    <w:jc w:val="left"/>
                    <w:rPr>
                      <w:rFonts w:hint="eastAsia" w:ascii="宋体" w:eastAsia="宋体"/>
                      <w:sz w:val="24"/>
                    </w:rPr>
                  </w:pPr>
                  <w:r>
                    <w:rPr>
                      <w:sz w:val="24"/>
                    </w:rPr>
                    <w:t xml:space="preserve">1 </w:t>
                  </w:r>
                  <w:r>
                    <w:rPr>
                      <w:rFonts w:hint="eastAsia" w:ascii="宋体" w:eastAsia="宋体"/>
                      <w:sz w:val="24"/>
                    </w:rPr>
                    <w:t>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3" w:hRule="atLeast"/>
              </w:trPr>
              <w:tc>
                <w:tcPr>
                  <w:tcW w:w="1636" w:type="dxa"/>
                </w:tcPr>
                <w:p>
                  <w:pPr>
                    <w:pStyle w:val="83"/>
                    <w:spacing w:before="41" w:line="272" w:lineRule="exact"/>
                    <w:ind w:right="35"/>
                    <w:rPr>
                      <w:rFonts w:hint="eastAsia" w:ascii="宋体" w:eastAsia="宋体"/>
                      <w:sz w:val="24"/>
                    </w:rPr>
                  </w:pPr>
                  <w:r>
                    <w:rPr>
                      <w:rFonts w:hint="eastAsia" w:ascii="宋体" w:eastAsia="宋体"/>
                      <w:sz w:val="24"/>
                    </w:rPr>
                    <w:t>平面尺寸：</w:t>
                  </w:r>
                </w:p>
              </w:tc>
              <w:tc>
                <w:tcPr>
                  <w:tcW w:w="3413" w:type="dxa"/>
                </w:tcPr>
                <w:p>
                  <w:pPr>
                    <w:pStyle w:val="83"/>
                    <w:spacing w:before="41" w:line="272" w:lineRule="exact"/>
                    <w:ind w:left="236"/>
                    <w:jc w:val="left"/>
                    <w:rPr>
                      <w:sz w:val="24"/>
                    </w:rPr>
                  </w:pPr>
                  <w:r>
                    <w:rPr>
                      <w:rFonts w:hint="default" w:ascii="Times New Roman" w:hAnsi="Times New Roman" w:cs="Times New Roman"/>
                      <w:sz w:val="24"/>
                    </w:rPr>
                    <w:t>D</w:t>
                  </w:r>
                  <w:r>
                    <w:rPr>
                      <w:rFonts w:hint="default" w:ascii="Times New Roman" w:hAnsi="Times New Roman" w:eastAsia="宋体" w:cs="Times New Roman"/>
                      <w:sz w:val="24"/>
                    </w:rPr>
                    <w:t>＝</w:t>
                  </w:r>
                  <w:r>
                    <w:rPr>
                      <w:rFonts w:hint="default" w:ascii="Times New Roman" w:hAnsi="Times New Roman" w:cs="Times New Roman"/>
                      <w:sz w:val="24"/>
                    </w:rPr>
                    <w:t>80.0m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3" w:hRule="atLeast"/>
              </w:trPr>
              <w:tc>
                <w:tcPr>
                  <w:tcW w:w="1636" w:type="dxa"/>
                </w:tcPr>
                <w:p>
                  <w:pPr>
                    <w:pStyle w:val="83"/>
                    <w:spacing w:before="41" w:line="272" w:lineRule="exact"/>
                    <w:ind w:right="35"/>
                    <w:rPr>
                      <w:rFonts w:hint="eastAsia" w:ascii="宋体" w:eastAsia="宋体"/>
                      <w:sz w:val="24"/>
                      <w:lang w:eastAsia="zh-CN"/>
                    </w:rPr>
                  </w:pPr>
                  <w:r>
                    <w:rPr>
                      <w:rFonts w:hint="eastAsia" w:ascii="宋体" w:eastAsia="宋体"/>
                      <w:sz w:val="24"/>
                      <w:lang w:eastAsia="zh-CN"/>
                    </w:rPr>
                    <w:t>设备：</w:t>
                  </w:r>
                </w:p>
              </w:tc>
              <w:tc>
                <w:tcPr>
                  <w:tcW w:w="3413" w:type="dxa"/>
                </w:tcPr>
                <w:p>
                  <w:pPr>
                    <w:pStyle w:val="54"/>
                    <w:numPr>
                      <w:ilvl w:val="0"/>
                      <w:numId w:val="0"/>
                    </w:numPr>
                    <w:tabs>
                      <w:tab w:val="left" w:pos="1334"/>
                    </w:tabs>
                    <w:spacing w:before="90" w:after="0" w:line="240" w:lineRule="auto"/>
                    <w:ind w:right="0" w:rightChars="0"/>
                    <w:jc w:val="center"/>
                    <w:rPr>
                      <w:sz w:val="24"/>
                    </w:rPr>
                  </w:pPr>
                  <w:r>
                    <w:rPr>
                      <w:sz w:val="24"/>
                    </w:rPr>
                    <w:t>智能喷射器冲洗系统</w:t>
                  </w:r>
                  <w:r>
                    <w:rPr>
                      <w:rFonts w:hint="eastAsia"/>
                      <w:sz w:val="24"/>
                      <w:lang w:val="en-US" w:eastAsia="zh-CN"/>
                    </w:rPr>
                    <w:t xml:space="preserve">   4台</w:t>
                  </w:r>
                </w:p>
              </w:tc>
            </w:tr>
          </w:tbl>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（5）单体设计</w:t>
            </w:r>
          </w:p>
          <w:p>
            <w:pPr>
              <w:keepNext w:val="0"/>
              <w:keepLines w:val="0"/>
              <w:widowControl/>
              <w:suppressLineNumbers w:val="0"/>
              <w:spacing w:line="360" w:lineRule="auto"/>
              <w:ind w:firstLine="480" w:firstLineChars="200"/>
              <w:jc w:val="left"/>
              <w:rPr>
                <w:sz w:val="24"/>
                <w:szCs w:val="24"/>
              </w:rPr>
            </w:pPr>
            <w:r>
              <w:rPr>
                <w:rFonts w:hint="eastAsia" w:ascii="宋体" w:hAnsi="宋体" w:eastAsia="宋体" w:cs="宋体"/>
                <w:color w:val="000000"/>
                <w:kern w:val="0"/>
                <w:sz w:val="24"/>
                <w:szCs w:val="24"/>
                <w:lang w:val="en-US" w:eastAsia="zh-CN" w:bidi="ar"/>
              </w:rPr>
              <w:t xml:space="preserve">①调蓄池 </w:t>
            </w:r>
          </w:p>
          <w:p>
            <w:pPr>
              <w:keepNext w:val="0"/>
              <w:keepLines w:val="0"/>
              <w:widowControl/>
              <w:suppressLineNumbers w:val="0"/>
              <w:spacing w:line="360" w:lineRule="auto"/>
              <w:ind w:firstLine="480" w:firstLineChars="200"/>
              <w:jc w:val="left"/>
              <w:rPr>
                <w:sz w:val="24"/>
                <w:szCs w:val="24"/>
              </w:rPr>
            </w:pPr>
            <w:r>
              <w:rPr>
                <w:rFonts w:hint="eastAsia" w:ascii="宋体" w:hAnsi="宋体" w:eastAsia="宋体" w:cs="宋体"/>
                <w:color w:val="000000"/>
                <w:kern w:val="0"/>
                <w:sz w:val="24"/>
                <w:szCs w:val="24"/>
                <w:lang w:val="en-US" w:eastAsia="zh-CN" w:bidi="ar"/>
              </w:rPr>
              <w:t>调蓄池净尺寸长</w:t>
            </w:r>
            <w:r>
              <w:rPr>
                <w:rFonts w:hint="default" w:ascii="TimesNewRomanPSMT" w:hAnsi="TimesNewRomanPSMT" w:eastAsia="TimesNewRomanPSMT" w:cs="TimesNewRomanPSMT"/>
                <w:color w:val="000000"/>
                <w:kern w:val="0"/>
                <w:sz w:val="24"/>
                <w:szCs w:val="24"/>
                <w:lang w:val="en-US" w:eastAsia="zh-CN" w:bidi="ar"/>
              </w:rPr>
              <w:t>50.6m</w:t>
            </w:r>
            <w:r>
              <w:rPr>
                <w:rFonts w:hint="eastAsia" w:ascii="宋体" w:hAnsi="宋体" w:eastAsia="宋体" w:cs="宋体"/>
                <w:color w:val="000000"/>
                <w:kern w:val="0"/>
                <w:sz w:val="24"/>
                <w:szCs w:val="24"/>
                <w:lang w:val="en-US" w:eastAsia="zh-CN" w:bidi="ar"/>
              </w:rPr>
              <w:t>，宽</w:t>
            </w:r>
            <w:r>
              <w:rPr>
                <w:rFonts w:hint="default" w:ascii="TimesNewRomanPSMT" w:hAnsi="TimesNewRomanPSMT" w:eastAsia="TimesNewRomanPSMT" w:cs="TimesNewRomanPSMT"/>
                <w:color w:val="000000"/>
                <w:kern w:val="0"/>
                <w:sz w:val="24"/>
                <w:szCs w:val="24"/>
                <w:lang w:val="en-US" w:eastAsia="zh-CN" w:bidi="ar"/>
              </w:rPr>
              <w:t>39.6m</w:t>
            </w:r>
            <w:r>
              <w:rPr>
                <w:rFonts w:hint="eastAsia" w:ascii="宋体" w:hAnsi="宋体" w:eastAsia="宋体" w:cs="宋体"/>
                <w:color w:val="000000"/>
                <w:kern w:val="0"/>
                <w:sz w:val="24"/>
                <w:szCs w:val="24"/>
                <w:lang w:val="en-US" w:eastAsia="zh-CN" w:bidi="ar"/>
              </w:rPr>
              <w:t>，高</w:t>
            </w:r>
            <w:r>
              <w:rPr>
                <w:rFonts w:hint="default" w:ascii="TimesNewRomanPSMT" w:hAnsi="TimesNewRomanPSMT" w:eastAsia="TimesNewRomanPSMT" w:cs="TimesNewRomanPSMT"/>
                <w:color w:val="000000"/>
                <w:kern w:val="0"/>
                <w:sz w:val="24"/>
                <w:szCs w:val="24"/>
                <w:lang w:val="en-US" w:eastAsia="zh-CN" w:bidi="ar"/>
              </w:rPr>
              <w:t>6m</w:t>
            </w:r>
            <w:r>
              <w:rPr>
                <w:rFonts w:hint="eastAsia" w:ascii="宋体" w:hAnsi="宋体" w:eastAsia="宋体" w:cs="宋体"/>
                <w:color w:val="000000"/>
                <w:kern w:val="0"/>
                <w:sz w:val="24"/>
                <w:szCs w:val="24"/>
                <w:lang w:val="en-US" w:eastAsia="zh-CN" w:bidi="ar"/>
              </w:rPr>
              <w:t xml:space="preserve">。 </w:t>
            </w:r>
          </w:p>
          <w:p>
            <w:pPr>
              <w:keepNext w:val="0"/>
              <w:keepLines w:val="0"/>
              <w:widowControl/>
              <w:suppressLineNumbers w:val="0"/>
              <w:spacing w:line="360" w:lineRule="auto"/>
              <w:ind w:firstLine="480" w:firstLineChars="200"/>
              <w:jc w:val="left"/>
              <w:rPr>
                <w:sz w:val="24"/>
                <w:szCs w:val="24"/>
              </w:rPr>
            </w:pPr>
            <w:r>
              <w:rPr>
                <w:rFonts w:hint="eastAsia" w:ascii="宋体" w:hAnsi="宋体" w:eastAsia="宋体" w:cs="宋体"/>
                <w:color w:val="000000"/>
                <w:kern w:val="0"/>
                <w:sz w:val="24"/>
                <w:szCs w:val="24"/>
                <w:lang w:val="en-US" w:eastAsia="zh-CN" w:bidi="ar"/>
              </w:rPr>
              <w:t xml:space="preserve">②配电及除臭设备间 </w:t>
            </w:r>
          </w:p>
          <w:p>
            <w:pPr>
              <w:keepNext w:val="0"/>
              <w:keepLines w:val="0"/>
              <w:widowControl/>
              <w:suppressLineNumbers w:val="0"/>
              <w:spacing w:line="360" w:lineRule="auto"/>
              <w:ind w:firstLine="480" w:firstLineChars="200"/>
              <w:jc w:val="left"/>
              <w:rPr>
                <w:sz w:val="24"/>
                <w:szCs w:val="24"/>
              </w:rPr>
            </w:pPr>
            <w:r>
              <w:rPr>
                <w:rFonts w:hint="eastAsia" w:ascii="宋体" w:hAnsi="宋体" w:eastAsia="宋体" w:cs="宋体"/>
                <w:color w:val="000000"/>
                <w:kern w:val="0"/>
                <w:sz w:val="24"/>
                <w:szCs w:val="24"/>
                <w:lang w:val="en-US" w:eastAsia="zh-CN" w:bidi="ar"/>
              </w:rPr>
              <w:t>配电及除臭设备间长</w:t>
            </w:r>
            <w:r>
              <w:rPr>
                <w:rFonts w:hint="default" w:ascii="TimesNewRomanPSMT" w:hAnsi="TimesNewRomanPSMT" w:eastAsia="TimesNewRomanPSMT" w:cs="TimesNewRomanPSMT"/>
                <w:color w:val="000000"/>
                <w:kern w:val="0"/>
                <w:sz w:val="24"/>
                <w:szCs w:val="24"/>
                <w:lang w:val="en-US" w:eastAsia="zh-CN" w:bidi="ar"/>
              </w:rPr>
              <w:t>9.4m</w:t>
            </w:r>
            <w:r>
              <w:rPr>
                <w:rFonts w:hint="eastAsia" w:ascii="宋体" w:hAnsi="宋体" w:eastAsia="宋体" w:cs="宋体"/>
                <w:color w:val="000000"/>
                <w:kern w:val="0"/>
                <w:sz w:val="24"/>
                <w:szCs w:val="24"/>
                <w:lang w:val="en-US" w:eastAsia="zh-CN" w:bidi="ar"/>
              </w:rPr>
              <w:t>，宽</w:t>
            </w:r>
            <w:r>
              <w:rPr>
                <w:rFonts w:hint="default" w:ascii="TimesNewRomanPSMT" w:hAnsi="TimesNewRomanPSMT" w:eastAsia="TimesNewRomanPSMT" w:cs="TimesNewRomanPSMT"/>
                <w:color w:val="000000"/>
                <w:kern w:val="0"/>
                <w:sz w:val="24"/>
                <w:szCs w:val="24"/>
                <w:lang w:val="en-US" w:eastAsia="zh-CN" w:bidi="ar"/>
              </w:rPr>
              <w:t>29.9m</w:t>
            </w:r>
            <w:r>
              <w:rPr>
                <w:rFonts w:hint="eastAsia" w:ascii="宋体" w:hAnsi="宋体" w:eastAsia="宋体" w:cs="宋体"/>
                <w:color w:val="000000"/>
                <w:kern w:val="0"/>
                <w:sz w:val="24"/>
                <w:szCs w:val="24"/>
                <w:lang w:val="en-US" w:eastAsia="zh-CN" w:bidi="ar"/>
              </w:rPr>
              <w:t>，地下高度</w:t>
            </w:r>
            <w:r>
              <w:rPr>
                <w:rFonts w:hint="default" w:ascii="TimesNewRomanPSMT" w:hAnsi="TimesNewRomanPSMT" w:eastAsia="TimesNewRomanPSMT" w:cs="TimesNewRomanPSMT"/>
                <w:color w:val="000000"/>
                <w:kern w:val="0"/>
                <w:sz w:val="24"/>
                <w:szCs w:val="24"/>
                <w:lang w:val="en-US" w:eastAsia="zh-CN" w:bidi="ar"/>
              </w:rPr>
              <w:t>5m</w:t>
            </w:r>
            <w:r>
              <w:rPr>
                <w:rFonts w:hint="eastAsia" w:ascii="宋体" w:hAnsi="宋体" w:eastAsia="宋体" w:cs="宋体"/>
                <w:color w:val="000000"/>
                <w:kern w:val="0"/>
                <w:sz w:val="24"/>
                <w:szCs w:val="24"/>
                <w:lang w:val="en-US" w:eastAsia="zh-CN" w:bidi="ar"/>
              </w:rPr>
              <w:t>，地上高度</w:t>
            </w:r>
            <w:r>
              <w:rPr>
                <w:rFonts w:hint="default" w:ascii="TimesNewRomanPSMT" w:hAnsi="TimesNewRomanPSMT" w:eastAsia="TimesNewRomanPSMT" w:cs="TimesNewRomanPSMT"/>
                <w:color w:val="000000"/>
                <w:kern w:val="0"/>
                <w:sz w:val="24"/>
                <w:szCs w:val="24"/>
                <w:lang w:val="en-US" w:eastAsia="zh-CN" w:bidi="ar"/>
              </w:rPr>
              <w:t>3m</w:t>
            </w:r>
            <w:r>
              <w:rPr>
                <w:rFonts w:hint="eastAsia" w:ascii="宋体" w:hAnsi="宋体" w:eastAsia="宋体" w:cs="宋体"/>
                <w:color w:val="000000"/>
                <w:kern w:val="0"/>
                <w:sz w:val="24"/>
                <w:szCs w:val="24"/>
                <w:lang w:val="en-US" w:eastAsia="zh-CN" w:bidi="ar"/>
              </w:rPr>
              <w:t>。</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1.8面源污染控制工程</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南北港河有三处较大的湿塘，水域总面积为57896 m</w:t>
            </w:r>
            <w:r>
              <w:rPr>
                <w:rFonts w:hint="eastAsia" w:ascii="Times New Roman" w:hAnsi="Times New Roman" w:cs="Times New Roman"/>
                <w:color w:val="auto"/>
                <w:kern w:val="2"/>
                <w:sz w:val="24"/>
                <w:szCs w:val="24"/>
                <w:vertAlign w:val="superscript"/>
                <w:lang w:val="en-US" w:eastAsia="zh-CN" w:bidi="ar-SA"/>
              </w:rPr>
              <w:t>2</w:t>
            </w:r>
            <w:r>
              <w:rPr>
                <w:rFonts w:hint="eastAsia" w:ascii="Times New Roman" w:hAnsi="Times New Roman" w:cs="Times New Roman"/>
                <w:color w:val="auto"/>
                <w:kern w:val="2"/>
                <w:sz w:val="24"/>
                <w:szCs w:val="24"/>
                <w:vertAlign w:val="baseline"/>
                <w:lang w:val="en-US" w:eastAsia="zh-CN" w:bidi="ar-SA"/>
              </w:rPr>
              <w:t>，水源主要为地表径流与周边居民散户排口出水，水体现状富营养化严重。通过水质净化工程，对湿塘现有水体、周边居民散户排口出水和地表雨水径流进行净化，有效削减湿塘污染物，使湿塘出水水质达到《地表水环境质量标准》（GB3838-2002）Ⅳ类标准，为河道整体提升与打造提供清洁补水。本工程占地总面积为75212m</w:t>
            </w:r>
            <w:r>
              <w:rPr>
                <w:rFonts w:hint="eastAsia" w:ascii="Times New Roman" w:hAnsi="Times New Roman" w:cs="Times New Roman"/>
                <w:color w:val="auto"/>
                <w:kern w:val="2"/>
                <w:sz w:val="24"/>
                <w:szCs w:val="24"/>
                <w:vertAlign w:val="superscript"/>
                <w:lang w:val="en-US" w:eastAsia="zh-CN" w:bidi="ar-SA"/>
              </w:rPr>
              <w:t>2</w:t>
            </w:r>
            <w:r>
              <w:rPr>
                <w:rFonts w:hint="eastAsia" w:ascii="Times New Roman" w:hAnsi="Times New Roman" w:cs="Times New Roman"/>
                <w:color w:val="auto"/>
                <w:kern w:val="2"/>
                <w:sz w:val="24"/>
                <w:szCs w:val="24"/>
                <w:vertAlign w:val="baseline"/>
                <w:lang w:val="en-US" w:eastAsia="zh-CN" w:bidi="ar-SA"/>
              </w:rPr>
              <w:t xml:space="preserve"> ，其中廖家巷湿塘占地面积为41290m</w:t>
            </w:r>
            <w:r>
              <w:rPr>
                <w:rFonts w:hint="eastAsia" w:ascii="Times New Roman" w:hAnsi="Times New Roman" w:cs="Times New Roman"/>
                <w:color w:val="auto"/>
                <w:kern w:val="2"/>
                <w:sz w:val="24"/>
                <w:szCs w:val="24"/>
                <w:vertAlign w:val="superscript"/>
                <w:lang w:val="en-US" w:eastAsia="zh-CN" w:bidi="ar-SA"/>
              </w:rPr>
              <w:t>2</w:t>
            </w:r>
            <w:r>
              <w:rPr>
                <w:rFonts w:hint="eastAsia" w:ascii="Times New Roman" w:hAnsi="Times New Roman" w:cs="Times New Roman"/>
                <w:color w:val="auto"/>
                <w:kern w:val="2"/>
                <w:sz w:val="24"/>
                <w:szCs w:val="24"/>
                <w:vertAlign w:val="baseline"/>
                <w:lang w:val="en-US" w:eastAsia="zh-CN" w:bidi="ar-SA"/>
              </w:rPr>
              <w:t>，颐养院湿塘占地面积为 14987m</w:t>
            </w:r>
            <w:r>
              <w:rPr>
                <w:rFonts w:hint="eastAsia" w:ascii="Times New Roman" w:hAnsi="Times New Roman" w:cs="Times New Roman"/>
                <w:color w:val="auto"/>
                <w:kern w:val="2"/>
                <w:sz w:val="24"/>
                <w:szCs w:val="24"/>
                <w:vertAlign w:val="superscript"/>
                <w:lang w:val="en-US" w:eastAsia="zh-CN" w:bidi="ar-SA"/>
              </w:rPr>
              <w:t>2</w:t>
            </w:r>
            <w:r>
              <w:rPr>
                <w:rFonts w:hint="eastAsia" w:ascii="Times New Roman" w:hAnsi="Times New Roman" w:cs="Times New Roman"/>
                <w:color w:val="auto"/>
                <w:kern w:val="2"/>
                <w:sz w:val="24"/>
                <w:szCs w:val="24"/>
                <w:vertAlign w:val="baseline"/>
                <w:lang w:val="en-US" w:eastAsia="zh-CN" w:bidi="ar-SA"/>
              </w:rPr>
              <w:t>，奥敏游泳馆湿塘占地面积为18935m</w:t>
            </w:r>
            <w:r>
              <w:rPr>
                <w:rFonts w:hint="eastAsia" w:ascii="Times New Roman" w:hAnsi="Times New Roman" w:cs="Times New Roman"/>
                <w:color w:val="auto"/>
                <w:kern w:val="2"/>
                <w:sz w:val="24"/>
                <w:szCs w:val="24"/>
                <w:vertAlign w:val="superscript"/>
                <w:lang w:val="en-US" w:eastAsia="zh-CN" w:bidi="ar-SA"/>
              </w:rPr>
              <w:t>2</w:t>
            </w:r>
            <w:r>
              <w:rPr>
                <w:rFonts w:hint="eastAsia" w:ascii="Times New Roman" w:hAnsi="Times New Roman" w:cs="Times New Roman"/>
                <w:color w:val="auto"/>
                <w:kern w:val="2"/>
                <w:sz w:val="24"/>
                <w:szCs w:val="24"/>
                <w:vertAlign w:val="baseline"/>
                <w:lang w:val="en-US" w:eastAsia="zh-CN" w:bidi="ar-SA"/>
              </w:rPr>
              <w:t>。考虑到南北港河三处湿塘的自身特点，综合治理工程的具体目标为：改善水质，美化景观，减少对南北港河主河道的污染，达到河流生态系统稳定、水质清洁优良的目的。湿塘平面位置图如图1.8-1所示。</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jc w:val="center"/>
              <w:textAlignment w:val="auto"/>
              <w:outlineLvl w:val="9"/>
              <w:rPr>
                <w:rFonts w:hint="eastAsia" w:ascii="Times New Roman" w:hAnsi="Times New Roman" w:cs="Times New Roman"/>
                <w:color w:val="auto"/>
                <w:kern w:val="2"/>
                <w:sz w:val="24"/>
                <w:szCs w:val="24"/>
                <w:vertAlign w:val="baseline"/>
                <w:lang w:val="en-US" w:eastAsia="zh-CN" w:bidi="ar-SA"/>
              </w:rPr>
            </w:pPr>
            <w:r>
              <w:drawing>
                <wp:inline distT="0" distB="0" distL="114300" distR="114300">
                  <wp:extent cx="4596765" cy="4093210"/>
                  <wp:effectExtent l="0" t="0" r="13335" b="254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2"/>
                          <a:stretch>
                            <a:fillRect/>
                          </a:stretch>
                        </pic:blipFill>
                        <pic:spPr>
                          <a:xfrm>
                            <a:off x="0" y="0"/>
                            <a:ext cx="4596765" cy="4093210"/>
                          </a:xfrm>
                          <a:prstGeom prst="rect">
                            <a:avLst/>
                          </a:prstGeom>
                          <a:noFill/>
                          <a:ln>
                            <a:noFill/>
                          </a:ln>
                        </pic:spPr>
                      </pic:pic>
                    </a:graphicData>
                  </a:graphic>
                </wp:inline>
              </w:drawing>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2" w:firstLineChars="200"/>
              <w:jc w:val="center"/>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图1.8-1  湿地平面位置图</w:t>
            </w:r>
          </w:p>
          <w:p>
            <w:pPr>
              <w:keepNext w:val="0"/>
              <w:keepLines w:val="0"/>
              <w:widowControl/>
              <w:suppressLineNumbers w:val="0"/>
              <w:spacing w:line="360" w:lineRule="auto"/>
              <w:jc w:val="left"/>
              <w:rPr>
                <w:rFonts w:hint="eastAsia" w:ascii="Times New Roman" w:hAnsi="Times New Roman" w:eastAsia="宋体"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 xml:space="preserve">  </w:t>
            </w:r>
            <w:r>
              <w:rPr>
                <w:rFonts w:hint="eastAsia" w:ascii="Times New Roman" w:hAnsi="Times New Roman" w:cs="Times New Roman"/>
                <w:b/>
                <w:bCs/>
                <w:color w:val="auto"/>
                <w:kern w:val="2"/>
                <w:sz w:val="24"/>
                <w:szCs w:val="24"/>
                <w:u w:val="none"/>
                <w:vertAlign w:val="baseline"/>
                <w:lang w:val="en-US" w:eastAsia="zh-CN" w:bidi="ar-SA"/>
              </w:rPr>
              <w:t xml:space="preserve">  </w:t>
            </w:r>
            <w:r>
              <w:rPr>
                <w:rFonts w:hint="eastAsia" w:ascii="Times New Roman" w:hAnsi="Times New Roman" w:cs="Times New Roman"/>
                <w:color w:val="auto"/>
                <w:kern w:val="2"/>
                <w:sz w:val="24"/>
                <w:szCs w:val="24"/>
                <w:u w:val="single"/>
                <w:vertAlign w:val="baseline"/>
                <w:lang w:val="en-US" w:eastAsia="zh-CN" w:bidi="ar-SA"/>
              </w:rPr>
              <w:t>三个湿塘现状为闲置鱼塘和水塘，周边为农村居住用地和农田。汇水区范围内汇入水系的污染物主要来源于地表雨水径流的面源污染、未接入管网的生活污水的点源污染以及三处湿塘本身的内源污染三部分。</w:t>
            </w:r>
            <w:r>
              <w:rPr>
                <w:rFonts w:hint="eastAsia" w:ascii="宋体" w:hAnsi="宋体" w:eastAsia="宋体" w:cs="宋体"/>
                <w:color w:val="000000"/>
                <w:kern w:val="0"/>
                <w:sz w:val="24"/>
                <w:szCs w:val="24"/>
                <w:u w:val="single"/>
                <w:lang w:val="en-US" w:eastAsia="zh-CN" w:bidi="ar"/>
              </w:rPr>
              <w:t>淤泥中的污染物是水体中污染物的重要来源，淤泥会不断的向上覆水体中释放污染物形成内源污染。针对湿塘内源污染现象，</w:t>
            </w:r>
            <w:r>
              <w:rPr>
                <w:rFonts w:hint="eastAsia" w:ascii="宋体" w:hAnsi="宋体" w:cs="宋体"/>
                <w:color w:val="000000"/>
                <w:kern w:val="0"/>
                <w:sz w:val="24"/>
                <w:szCs w:val="24"/>
                <w:u w:val="single"/>
                <w:lang w:val="en-US" w:eastAsia="zh-CN" w:bidi="ar"/>
              </w:rPr>
              <w:t>需对淤泥进行</w:t>
            </w:r>
            <w:r>
              <w:rPr>
                <w:rFonts w:hint="eastAsia" w:ascii="宋体" w:hAnsi="宋体" w:eastAsia="宋体" w:cs="宋体"/>
                <w:color w:val="000000"/>
                <w:kern w:val="0"/>
                <w:sz w:val="24"/>
                <w:szCs w:val="24"/>
                <w:u w:val="single"/>
                <w:lang w:val="en-US" w:eastAsia="zh-CN" w:bidi="ar"/>
              </w:rPr>
              <w:t>彻底清理。</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eastAsia"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1.8.1廖家巷湿塘</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eastAsia" w:ascii="Times New Roman" w:hAnsi="Times New Roman" w:cs="Times New Roman"/>
                <w:sz w:val="24"/>
                <w:szCs w:val="24"/>
                <w:lang w:val="en-US" w:eastAsia="zh-CN"/>
              </w:rPr>
            </w:pPr>
            <w:r>
              <w:rPr>
                <w:rFonts w:hint="eastAsia" w:ascii="Times New Roman" w:hAnsi="Times New Roman" w:cs="Times New Roman"/>
                <w:color w:val="auto"/>
                <w:kern w:val="2"/>
                <w:sz w:val="24"/>
                <w:szCs w:val="24"/>
                <w:vertAlign w:val="baseline"/>
                <w:lang w:val="en-US" w:eastAsia="zh-CN" w:bidi="ar-SA"/>
              </w:rPr>
              <w:t xml:space="preserve">  本次廖家巷湿塘工程建设内容包括</w:t>
            </w:r>
            <w:r>
              <w:rPr>
                <w:rFonts w:hint="eastAsia" w:cs="Times New Roman"/>
                <w:kern w:val="2"/>
                <w:sz w:val="21"/>
                <w:szCs w:val="21"/>
                <w:vertAlign w:val="baseline"/>
                <w:lang w:val="en-US" w:eastAsia="zh-CN"/>
              </w:rPr>
              <w:t>新</w:t>
            </w:r>
            <w:r>
              <w:rPr>
                <w:rFonts w:hint="default" w:ascii="Times New Roman" w:hAnsi="Times New Roman" w:cs="Times New Roman"/>
                <w:kern w:val="2"/>
                <w:sz w:val="24"/>
                <w:szCs w:val="24"/>
                <w:vertAlign w:val="baseline"/>
                <w:lang w:val="en-US" w:eastAsia="zh-CN"/>
              </w:rPr>
              <w:t>建2座一体化污水处理设备，处理能力分别为3t/d、5t/d；新建一体化污水提升泵站600t/d；并进行底泥清淤、底质改良、新建生态沟渠、生态滤坝、生态滞留塘、生态净化墙；新建岸坡稳定、水生态修复、</w:t>
            </w:r>
            <w:r>
              <w:rPr>
                <w:rFonts w:hint="default" w:ascii="Times New Roman" w:hAnsi="Times New Roman" w:cs="Times New Roman"/>
                <w:sz w:val="24"/>
                <w:szCs w:val="24"/>
                <w:lang w:val="en-US" w:eastAsia="zh-CN"/>
              </w:rPr>
              <w:t>退水设施</w:t>
            </w:r>
            <w:r>
              <w:rPr>
                <w:rFonts w:hint="eastAsia" w:ascii="Times New Roman" w:hAnsi="Times New Roman" w:cs="Times New Roman"/>
                <w:sz w:val="24"/>
                <w:szCs w:val="24"/>
                <w:lang w:val="en-US" w:eastAsia="zh-CN"/>
              </w:rPr>
              <w:t>。</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outlineLvl w:val="9"/>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    （1）污水处理设备</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u w:val="single"/>
                <w:vertAlign w:val="baseline"/>
                <w:lang w:val="en-US" w:eastAsia="zh-CN" w:bidi="ar-SA"/>
              </w:rPr>
            </w:pPr>
            <w:r>
              <w:rPr>
                <w:rFonts w:hint="eastAsia" w:ascii="Times New Roman" w:hAnsi="Times New Roman" w:cs="Times New Roman"/>
                <w:color w:val="auto"/>
                <w:kern w:val="2"/>
                <w:sz w:val="24"/>
                <w:szCs w:val="24"/>
                <w:u w:val="single"/>
                <w:vertAlign w:val="baseline"/>
                <w:lang w:val="en-US" w:eastAsia="zh-CN" w:bidi="ar-SA"/>
              </w:rPr>
              <w:t>廖家巷湿塘周边大部分生活污水已截留，部分散排的生活污水由于地形、高程等原因未能纳管截留，直接排入湿塘严重影响湿塘水体水质。</w:t>
            </w:r>
            <w:r>
              <w:rPr>
                <w:rFonts w:hint="default" w:ascii="Times New Roman" w:hAnsi="Times New Roman" w:cs="Times New Roman"/>
                <w:color w:val="auto"/>
                <w:kern w:val="2"/>
                <w:sz w:val="24"/>
                <w:szCs w:val="24"/>
                <w:u w:val="single"/>
                <w:vertAlign w:val="baseline"/>
                <w:lang w:val="en-US" w:eastAsia="zh-CN" w:bidi="ar-SA"/>
              </w:rPr>
              <w:t>经现场踏勘，湿塘周边共有排污口两处，散排住户五处。其中 04YS12156，04YS82746排污口流量较大且污水量不稳定，来源不明确，本次</w:t>
            </w:r>
            <w:r>
              <w:rPr>
                <w:rFonts w:hint="eastAsia" w:ascii="Times New Roman" w:hAnsi="Times New Roman" w:cs="Times New Roman"/>
                <w:color w:val="auto"/>
                <w:kern w:val="2"/>
                <w:sz w:val="24"/>
                <w:szCs w:val="24"/>
                <w:u w:val="single"/>
                <w:vertAlign w:val="baseline"/>
                <w:lang w:val="en-US" w:eastAsia="zh-CN" w:bidi="ar-SA"/>
              </w:rPr>
              <w:t>拟建</w:t>
            </w:r>
            <w:r>
              <w:rPr>
                <w:rFonts w:hint="default" w:ascii="Times New Roman" w:hAnsi="Times New Roman" w:cs="Times New Roman"/>
                <w:color w:val="auto"/>
                <w:kern w:val="2"/>
                <w:sz w:val="24"/>
                <w:szCs w:val="24"/>
                <w:u w:val="single"/>
                <w:vertAlign w:val="baseline"/>
                <w:lang w:val="en-US" w:eastAsia="zh-CN" w:bidi="ar-SA"/>
              </w:rPr>
              <w:t>1座一体化提升泵站将两个配口及廖家巷湿塘散户收集口</w:t>
            </w:r>
            <w:r>
              <w:rPr>
                <w:rFonts w:hint="eastAsia" w:ascii="Times New Roman" w:hAnsi="Times New Roman" w:cs="Times New Roman"/>
                <w:color w:val="auto"/>
                <w:kern w:val="2"/>
                <w:sz w:val="24"/>
                <w:szCs w:val="24"/>
                <w:u w:val="single"/>
                <w:vertAlign w:val="baseline"/>
                <w:lang w:val="en-US" w:eastAsia="zh-CN" w:bidi="ar-SA"/>
              </w:rPr>
              <w:t>1</w:t>
            </w:r>
            <w:r>
              <w:rPr>
                <w:rFonts w:hint="default" w:ascii="Times New Roman" w:hAnsi="Times New Roman" w:cs="Times New Roman"/>
                <w:color w:val="auto"/>
                <w:kern w:val="2"/>
                <w:sz w:val="24"/>
                <w:szCs w:val="24"/>
                <w:u w:val="single"/>
                <w:vertAlign w:val="baseline"/>
                <w:lang w:val="en-US" w:eastAsia="zh-CN" w:bidi="ar-SA"/>
              </w:rPr>
              <w:t>污水收集送至市政管网进行处理。湿塘其他散排住户比较分散故采取分散式治理模式，将根据地形单独或联合建设污水处理设备，共设置2座。</w:t>
            </w:r>
            <w:r>
              <w:rPr>
                <w:rFonts w:hint="eastAsia" w:ascii="Times New Roman" w:hAnsi="Times New Roman" w:cs="Times New Roman"/>
                <w:color w:val="auto"/>
                <w:kern w:val="2"/>
                <w:sz w:val="24"/>
                <w:szCs w:val="24"/>
                <w:u w:val="single"/>
                <w:vertAlign w:val="baseline"/>
                <w:lang w:val="en-US" w:eastAsia="zh-CN" w:bidi="ar-SA"/>
              </w:rPr>
              <w:t>其中散户收集口2可收纳周边4户居民住宅生活污水，散户收集口3可收纳周边5户居民住宅生活污水。</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u w:val="single"/>
                <w:vertAlign w:val="baseline"/>
                <w:lang w:val="en-US" w:eastAsia="zh-CN" w:bidi="ar-SA"/>
              </w:rPr>
            </w:pPr>
            <w:r>
              <w:rPr>
                <w:rFonts w:hint="default" w:ascii="Times New Roman" w:hAnsi="Times New Roman" w:cs="Times New Roman"/>
                <w:color w:val="auto"/>
                <w:kern w:val="2"/>
                <w:sz w:val="24"/>
                <w:szCs w:val="24"/>
                <w:u w:val="single"/>
                <w:vertAlign w:val="baseline"/>
                <w:lang w:val="en-US" w:eastAsia="zh-CN" w:bidi="ar-SA"/>
              </w:rPr>
              <w:t>根据本项目水质及处理目标，本项目其余排放量小的散户选用占地面积较小、结构简单、运行成本较低的四格池。四格池主要由沉淀池、厌氧处理池、兼氧处理池和脱色过滤池组成，是一种利用沉淀和厌氧、兼氧、过滤原理，去除生活污水中悬浮性有机物的处理设施。采用四格池对生活污水进行处理，出水可达</w:t>
            </w:r>
            <w:r>
              <w:rPr>
                <w:rFonts w:hint="eastAsia" w:ascii="Times New Roman" w:hAnsi="Times New Roman" w:cs="Times New Roman"/>
                <w:color w:val="000000" w:themeColor="text1"/>
                <w:kern w:val="0"/>
                <w:sz w:val="24"/>
                <w:u w:val="single"/>
                <w14:textFill>
                  <w14:solidFill>
                    <w14:schemeClr w14:val="tx1"/>
                  </w14:solidFill>
                </w14:textFill>
              </w:rPr>
              <w:t>《城镇污水处理厂污染物排放标准》（GB18918-2002）一级标准的</w:t>
            </w:r>
            <w:r>
              <w:rPr>
                <w:rFonts w:hint="eastAsia" w:cs="Times New Roman"/>
                <w:color w:val="000000" w:themeColor="text1"/>
                <w:kern w:val="0"/>
                <w:sz w:val="24"/>
                <w:u w:val="single"/>
                <w:lang w:val="en-US" w:eastAsia="zh-CN"/>
                <w14:textFill>
                  <w14:solidFill>
                    <w14:schemeClr w14:val="tx1"/>
                  </w14:solidFill>
                </w14:textFill>
              </w:rPr>
              <w:t>B</w:t>
            </w:r>
            <w:r>
              <w:rPr>
                <w:rFonts w:hint="eastAsia" w:ascii="Times New Roman" w:hAnsi="Times New Roman" w:cs="Times New Roman"/>
                <w:color w:val="000000" w:themeColor="text1"/>
                <w:kern w:val="0"/>
                <w:sz w:val="24"/>
                <w:u w:val="single"/>
                <w14:textFill>
                  <w14:solidFill>
                    <w14:schemeClr w14:val="tx1"/>
                  </w14:solidFill>
                </w14:textFill>
              </w:rPr>
              <w:t>标准</w:t>
            </w:r>
            <w:r>
              <w:rPr>
                <w:rFonts w:hint="eastAsia" w:ascii="Times New Roman" w:hAnsi="Times New Roman" w:cs="Times New Roman"/>
                <w:color w:val="auto"/>
                <w:kern w:val="2"/>
                <w:sz w:val="24"/>
                <w:szCs w:val="24"/>
                <w:u w:val="single"/>
                <w:vertAlign w:val="baseline"/>
                <w:lang w:val="en-US" w:eastAsia="zh-CN" w:bidi="ar-SA"/>
              </w:rPr>
              <w:t>，排入湿塘</w:t>
            </w:r>
            <w:r>
              <w:rPr>
                <w:rFonts w:hint="default" w:ascii="Times New Roman" w:hAnsi="Times New Roman" w:cs="Times New Roman"/>
                <w:color w:val="auto"/>
                <w:kern w:val="2"/>
                <w:sz w:val="24"/>
                <w:szCs w:val="24"/>
                <w:u w:val="single"/>
                <w:vertAlign w:val="baseline"/>
                <w:lang w:val="en-US" w:eastAsia="zh-CN" w:bidi="ar-SA"/>
              </w:rPr>
              <w:t>。</w:t>
            </w:r>
            <w:r>
              <w:rPr>
                <w:rFonts w:hint="eastAsia" w:ascii="Times New Roman" w:hAnsi="Times New Roman" w:cs="Times New Roman"/>
                <w:color w:val="auto"/>
                <w:kern w:val="2"/>
                <w:sz w:val="24"/>
                <w:szCs w:val="24"/>
                <w:u w:val="single"/>
                <w:vertAlign w:val="baseline"/>
                <w:lang w:val="en-US" w:eastAsia="zh-CN" w:bidi="ar-SA"/>
              </w:rPr>
              <w:t>项目采用的四格池污水处理工艺日常不需投加试剂等维持稳定运行，只需每半年或一年定期清掏。</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本项目一体化污水处理设备见表1.8-1，污水治理布置图如图1.8-1所示</w:t>
            </w:r>
          </w:p>
          <w:p>
            <w:pPr>
              <w:pStyle w:val="35"/>
              <w:keepNext w:val="0"/>
              <w:keepLines w:val="0"/>
              <w:pageBreakBefore w:val="0"/>
              <w:widowControl w:val="0"/>
              <w:kinsoku/>
              <w:wordWrap/>
              <w:overflowPunct/>
              <w:topLinePunct w:val="0"/>
              <w:autoSpaceDE w:val="0"/>
              <w:autoSpaceDN w:val="0"/>
              <w:bidi w:val="0"/>
              <w:adjustRightInd/>
              <w:snapToGrid/>
              <w:spacing w:line="360" w:lineRule="auto"/>
              <w:jc w:val="center"/>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表1.8-1  一体化污水处理设备统计表</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14"/>
              <w:gridCol w:w="2199"/>
              <w:gridCol w:w="1296"/>
              <w:gridCol w:w="1427"/>
              <w:gridCol w:w="1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位置</w:t>
                  </w:r>
                </w:p>
              </w:tc>
              <w:tc>
                <w:tcPr>
                  <w:tcW w:w="2199"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名称</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规格（t/d）</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单位</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TimesNewRomanPSMT" w:cs="Times New Roman"/>
                      <w:color w:val="000000"/>
                      <w:kern w:val="0"/>
                      <w:sz w:val="21"/>
                      <w:szCs w:val="21"/>
                      <w:lang w:val="en-US" w:eastAsia="zh-CN" w:bidi="ar"/>
                    </w:rPr>
                    <w:t>04YS12156</w:t>
                  </w:r>
                </w:p>
              </w:tc>
              <w:tc>
                <w:tcPr>
                  <w:tcW w:w="2199" w:type="dxa"/>
                  <w:vMerge w:val="restart"/>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一体化提升泵站</w:t>
                  </w:r>
                </w:p>
              </w:tc>
              <w:tc>
                <w:tcPr>
                  <w:tcW w:w="1296" w:type="dxa"/>
                  <w:vMerge w:val="restart"/>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600</w:t>
                  </w:r>
                </w:p>
              </w:tc>
              <w:tc>
                <w:tcPr>
                  <w:tcW w:w="1427" w:type="dxa"/>
                  <w:vMerge w:val="restart"/>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座</w:t>
                  </w:r>
                </w:p>
              </w:tc>
              <w:tc>
                <w:tcPr>
                  <w:tcW w:w="1413" w:type="dxa"/>
                  <w:vMerge w:val="restart"/>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TimesNewRomanPSMT" w:cs="Times New Roman"/>
                      <w:color w:val="000000"/>
                      <w:kern w:val="0"/>
                      <w:sz w:val="21"/>
                      <w:szCs w:val="21"/>
                      <w:lang w:val="en-US" w:eastAsia="zh-CN" w:bidi="ar"/>
                    </w:rPr>
                    <w:t>04YS82746</w:t>
                  </w:r>
                </w:p>
              </w:tc>
              <w:tc>
                <w:tcPr>
                  <w:tcW w:w="2199"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c>
                <w:tcPr>
                  <w:tcW w:w="1296"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c>
                <w:tcPr>
                  <w:tcW w:w="1427"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c>
                <w:tcPr>
                  <w:tcW w:w="1413"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宋体" w:cs="Times New Roman"/>
                      <w:color w:val="000000"/>
                      <w:kern w:val="0"/>
                      <w:sz w:val="21"/>
                      <w:szCs w:val="21"/>
                      <w:lang w:val="en-US" w:eastAsia="zh-CN" w:bidi="ar"/>
                    </w:rPr>
                    <w:t xml:space="preserve">廖家巷湿塘散户收集口 </w:t>
                  </w:r>
                  <w:r>
                    <w:rPr>
                      <w:rFonts w:hint="default" w:ascii="Times New Roman" w:hAnsi="Times New Roman" w:eastAsia="TimesNewRomanPSMT" w:cs="Times New Roman"/>
                      <w:color w:val="000000"/>
                      <w:kern w:val="0"/>
                      <w:sz w:val="21"/>
                      <w:szCs w:val="21"/>
                      <w:lang w:val="en-US" w:eastAsia="zh-CN" w:bidi="ar"/>
                    </w:rPr>
                    <w:t>1</w:t>
                  </w:r>
                </w:p>
              </w:tc>
              <w:tc>
                <w:tcPr>
                  <w:tcW w:w="2199"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c>
                <w:tcPr>
                  <w:tcW w:w="1296"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c>
                <w:tcPr>
                  <w:tcW w:w="1427"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c>
                <w:tcPr>
                  <w:tcW w:w="1413" w:type="dxa"/>
                  <w:vMerge w:val="continue"/>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宋体" w:cs="Times New Roman"/>
                      <w:color w:val="000000"/>
                      <w:kern w:val="0"/>
                      <w:sz w:val="21"/>
                      <w:szCs w:val="21"/>
                      <w:lang w:val="en-US" w:eastAsia="zh-CN" w:bidi="ar"/>
                    </w:rPr>
                    <w:t xml:space="preserve">廖家巷湿塘散户收集口 </w:t>
                  </w:r>
                  <w:r>
                    <w:rPr>
                      <w:rFonts w:hint="default" w:ascii="Times New Roman" w:hAnsi="Times New Roman" w:cs="Times New Roman"/>
                      <w:color w:val="000000"/>
                      <w:kern w:val="0"/>
                      <w:sz w:val="21"/>
                      <w:szCs w:val="21"/>
                      <w:lang w:val="en-US" w:eastAsia="zh-CN" w:bidi="ar"/>
                    </w:rPr>
                    <w:t>2</w:t>
                  </w:r>
                </w:p>
              </w:tc>
              <w:tc>
                <w:tcPr>
                  <w:tcW w:w="2199"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TimesNewRomanPSMT" w:cs="Times New Roman"/>
                      <w:color w:val="000000"/>
                      <w:kern w:val="0"/>
                      <w:sz w:val="21"/>
                      <w:szCs w:val="21"/>
                      <w:lang w:val="en-US" w:eastAsia="zh-CN" w:bidi="ar"/>
                    </w:rPr>
                    <w:t>1#</w:t>
                  </w:r>
                  <w:r>
                    <w:rPr>
                      <w:rFonts w:hint="default" w:ascii="Times New Roman" w:hAnsi="Times New Roman" w:eastAsia="宋体" w:cs="Times New Roman"/>
                      <w:color w:val="000000"/>
                      <w:kern w:val="0"/>
                      <w:sz w:val="21"/>
                      <w:szCs w:val="21"/>
                      <w:lang w:val="en-US" w:eastAsia="zh-CN" w:bidi="ar"/>
                    </w:rPr>
                    <w:t>一体化处理设备</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3</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座</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四格池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宋体" w:cs="Times New Roman"/>
                      <w:color w:val="000000"/>
                      <w:kern w:val="0"/>
                      <w:sz w:val="21"/>
                      <w:szCs w:val="21"/>
                      <w:lang w:val="en-US" w:eastAsia="zh-CN" w:bidi="ar"/>
                    </w:rPr>
                    <w:t xml:space="preserve">廖家巷湿塘散户收集口 </w:t>
                  </w:r>
                  <w:r>
                    <w:rPr>
                      <w:rFonts w:hint="default" w:ascii="Times New Roman" w:hAnsi="Times New Roman" w:cs="Times New Roman"/>
                      <w:color w:val="000000"/>
                      <w:kern w:val="0"/>
                      <w:sz w:val="21"/>
                      <w:szCs w:val="21"/>
                      <w:lang w:val="en-US" w:eastAsia="zh-CN" w:bidi="ar"/>
                    </w:rPr>
                    <w:t>3</w:t>
                  </w:r>
                </w:p>
              </w:tc>
              <w:tc>
                <w:tcPr>
                  <w:tcW w:w="2199"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TimesNewRomanPSMT" w:cs="Times New Roman"/>
                      <w:color w:val="000000"/>
                      <w:kern w:val="0"/>
                      <w:sz w:val="21"/>
                      <w:szCs w:val="21"/>
                      <w:lang w:val="en-US" w:eastAsia="zh-CN" w:bidi="ar"/>
                    </w:rPr>
                    <w:t>2#</w:t>
                  </w:r>
                  <w:r>
                    <w:rPr>
                      <w:rFonts w:hint="default" w:ascii="Times New Roman" w:hAnsi="Times New Roman" w:eastAsia="宋体" w:cs="Times New Roman"/>
                      <w:color w:val="000000"/>
                      <w:kern w:val="0"/>
                      <w:sz w:val="21"/>
                      <w:szCs w:val="21"/>
                      <w:lang w:val="en-US" w:eastAsia="zh-CN" w:bidi="ar"/>
                    </w:rPr>
                    <w:t>一体化处理设备</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5</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座</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四格池</w:t>
                  </w:r>
                </w:p>
              </w:tc>
            </w:tr>
          </w:tbl>
          <w:p>
            <w:pPr>
              <w:pStyle w:val="35"/>
              <w:keepNext w:val="0"/>
              <w:keepLines w:val="0"/>
              <w:pageBreakBefore w:val="0"/>
              <w:widowControl w:val="0"/>
              <w:kinsoku/>
              <w:wordWrap/>
              <w:overflowPunct/>
              <w:topLinePunct w:val="0"/>
              <w:autoSpaceDE w:val="0"/>
              <w:autoSpaceDN w:val="0"/>
              <w:bidi w:val="0"/>
              <w:adjustRightInd/>
              <w:snapToGrid/>
              <w:spacing w:line="360" w:lineRule="auto"/>
              <w:jc w:val="center"/>
              <w:textAlignment w:val="auto"/>
              <w:outlineLvl w:val="9"/>
            </w:pPr>
            <w:r>
              <w:drawing>
                <wp:inline distT="0" distB="0" distL="114300" distR="114300">
                  <wp:extent cx="3735070" cy="4090035"/>
                  <wp:effectExtent l="0" t="0" r="17780" b="571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3"/>
                          <a:stretch>
                            <a:fillRect/>
                          </a:stretch>
                        </pic:blipFill>
                        <pic:spPr>
                          <a:xfrm>
                            <a:off x="0" y="0"/>
                            <a:ext cx="3735070" cy="4090035"/>
                          </a:xfrm>
                          <a:prstGeom prst="rect">
                            <a:avLst/>
                          </a:prstGeom>
                          <a:noFill/>
                          <a:ln>
                            <a:noFill/>
                          </a:ln>
                        </pic:spPr>
                      </pic:pic>
                    </a:graphicData>
                  </a:graphic>
                </wp:inline>
              </w:drawing>
            </w:r>
          </w:p>
          <w:p>
            <w:pPr>
              <w:pStyle w:val="35"/>
              <w:keepNext w:val="0"/>
              <w:keepLines w:val="0"/>
              <w:pageBreakBefore w:val="0"/>
              <w:widowControl w:val="0"/>
              <w:kinsoku/>
              <w:wordWrap/>
              <w:overflowPunct/>
              <w:topLinePunct w:val="0"/>
              <w:autoSpaceDE w:val="0"/>
              <w:autoSpaceDN w:val="0"/>
              <w:bidi w:val="0"/>
              <w:adjustRightInd/>
              <w:snapToGrid/>
              <w:spacing w:line="360" w:lineRule="auto"/>
              <w:jc w:val="center"/>
              <w:textAlignment w:val="auto"/>
              <w:outlineLvl w:val="9"/>
              <w:rPr>
                <w:rFonts w:hint="default" w:ascii="Times New Roman" w:hAnsi="Times New Roman" w:eastAsia="宋体" w:cs="Times New Roman"/>
                <w:b/>
                <w:bCs/>
                <w:lang w:val="en-US" w:eastAsia="zh-CN"/>
              </w:rPr>
            </w:pPr>
            <w:r>
              <w:rPr>
                <w:rFonts w:hint="default" w:ascii="Times New Roman" w:hAnsi="Times New Roman" w:cs="Times New Roman"/>
                <w:b/>
                <w:bCs/>
                <w:lang w:eastAsia="zh-CN"/>
              </w:rPr>
              <w:t>图</w:t>
            </w:r>
            <w:r>
              <w:rPr>
                <w:rFonts w:hint="default" w:ascii="Times New Roman" w:hAnsi="Times New Roman" w:cs="Times New Roman"/>
                <w:b/>
                <w:bCs/>
                <w:lang w:val="en-US" w:eastAsia="zh-CN"/>
              </w:rPr>
              <w:t>1.8-1  廖家巷湿塘排污水治理布置图</w:t>
            </w:r>
          </w:p>
          <w:p>
            <w:pPr>
              <w:pStyle w:val="35"/>
              <w:keepNext w:val="0"/>
              <w:keepLines w:val="0"/>
              <w:pageBreakBefore w:val="0"/>
              <w:widowControl w:val="0"/>
              <w:numPr>
                <w:ilvl w:val="0"/>
                <w:numId w:val="5"/>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底泥清淤</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①</w:t>
            </w:r>
            <w:r>
              <w:rPr>
                <w:rFonts w:hint="default" w:ascii="Times New Roman" w:hAnsi="Times New Roman" w:cs="Times New Roman"/>
                <w:color w:val="auto"/>
                <w:kern w:val="2"/>
                <w:sz w:val="24"/>
                <w:szCs w:val="24"/>
                <w:vertAlign w:val="baseline"/>
                <w:lang w:val="en-US" w:eastAsia="zh-CN" w:bidi="ar-SA"/>
              </w:rPr>
              <w:t>建设内容</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u w:val="single"/>
                <w:vertAlign w:val="baseline"/>
                <w:lang w:val="en-US" w:eastAsia="zh-CN" w:bidi="ar-SA"/>
              </w:rPr>
            </w:pPr>
            <w:r>
              <w:rPr>
                <w:rFonts w:hint="default" w:ascii="Times New Roman" w:hAnsi="Times New Roman" w:cs="Times New Roman"/>
                <w:color w:val="auto"/>
                <w:kern w:val="2"/>
                <w:sz w:val="24"/>
                <w:szCs w:val="24"/>
                <w:u w:val="single"/>
                <w:vertAlign w:val="baseline"/>
                <w:lang w:val="en-US" w:eastAsia="zh-CN" w:bidi="ar-SA"/>
              </w:rPr>
              <w:t>底泥清淤是快速降低黑臭水体内源污染负荷的主要方式，也是治理黑臭水体不可缺少的步骤之一。本次底泥清淤方式采用</w:t>
            </w:r>
            <w:r>
              <w:rPr>
                <w:rFonts w:hint="eastAsia" w:ascii="Times New Roman" w:hAnsi="Times New Roman" w:cs="Times New Roman"/>
                <w:color w:val="auto"/>
                <w:kern w:val="2"/>
                <w:sz w:val="24"/>
                <w:szCs w:val="24"/>
                <w:u w:val="single"/>
                <w:vertAlign w:val="baseline"/>
                <w:lang w:val="en-US" w:eastAsia="zh-CN" w:bidi="ar-SA"/>
              </w:rPr>
              <w:t>干式清淤，即将水塘排干后使用高压水枪冲刷底泥后用泥浆泵输送至土工管袋，对淤泥进行脱水；因子清淤过程产生的淤泥不设堆放场地，直接由泵吸入土工管袋进行脱水。</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廖家巷湿塘全部面积清淤，清淤面积32112 m</w:t>
            </w:r>
            <w:r>
              <w:rPr>
                <w:rFonts w:hint="default" w:ascii="Times New Roman" w:hAnsi="Times New Roman" w:cs="Times New Roman"/>
                <w:color w:val="auto"/>
                <w:kern w:val="2"/>
                <w:sz w:val="24"/>
                <w:szCs w:val="24"/>
                <w:vertAlign w:val="superscript"/>
                <w:lang w:val="en-US" w:eastAsia="zh-CN" w:bidi="ar-SA"/>
              </w:rPr>
              <w:t>2</w:t>
            </w:r>
            <w:r>
              <w:rPr>
                <w:rFonts w:hint="default" w:ascii="Times New Roman" w:hAnsi="Times New Roman" w:cs="Times New Roman"/>
                <w:color w:val="auto"/>
                <w:kern w:val="2"/>
                <w:sz w:val="24"/>
                <w:szCs w:val="24"/>
                <w:vertAlign w:val="baseline"/>
                <w:lang w:val="en-US" w:eastAsia="zh-CN" w:bidi="ar-SA"/>
              </w:rPr>
              <w:t>，经水利断面模拟计算，清淤总量为10756m</w:t>
            </w:r>
            <w:r>
              <w:rPr>
                <w:rFonts w:hint="default" w:ascii="Times New Roman" w:hAnsi="Times New Roman" w:cs="Times New Roman"/>
                <w:color w:val="auto"/>
                <w:kern w:val="2"/>
                <w:sz w:val="24"/>
                <w:szCs w:val="24"/>
                <w:vertAlign w:val="superscript"/>
                <w:lang w:val="en-US" w:eastAsia="zh-CN" w:bidi="ar-SA"/>
              </w:rPr>
              <w:t>3</w:t>
            </w:r>
            <w:r>
              <w:rPr>
                <w:rFonts w:hint="default" w:ascii="Times New Roman" w:hAnsi="Times New Roman" w:cs="Times New Roman"/>
                <w:color w:val="auto"/>
                <w:kern w:val="2"/>
                <w:sz w:val="24"/>
                <w:szCs w:val="24"/>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②</w:t>
            </w:r>
            <w:r>
              <w:rPr>
                <w:rFonts w:hint="default" w:ascii="Times New Roman" w:hAnsi="Times New Roman" w:cs="Times New Roman"/>
                <w:color w:val="auto"/>
                <w:kern w:val="2"/>
                <w:sz w:val="24"/>
                <w:szCs w:val="24"/>
                <w:vertAlign w:val="baseline"/>
                <w:lang w:val="en-US" w:eastAsia="zh-CN" w:bidi="ar-SA"/>
              </w:rPr>
              <w:t>干化淤泥处理</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eastAsia" w:ascii="Times New Roman" w:hAnsi="Times New Roman" w:cs="Times New Roman"/>
                <w:color w:val="auto"/>
                <w:kern w:val="2"/>
                <w:sz w:val="24"/>
                <w:szCs w:val="24"/>
                <w:u w:val="single"/>
                <w:vertAlign w:val="baseline"/>
                <w:lang w:val="en-US" w:eastAsia="zh-CN" w:bidi="ar-SA"/>
              </w:rPr>
            </w:pPr>
            <w:r>
              <w:rPr>
                <w:rFonts w:hint="eastAsia" w:ascii="Times New Roman" w:hAnsi="Times New Roman" w:cs="Times New Roman"/>
                <w:color w:val="auto"/>
                <w:kern w:val="2"/>
                <w:sz w:val="24"/>
                <w:szCs w:val="24"/>
                <w:u w:val="single"/>
                <w:vertAlign w:val="baseline"/>
                <w:lang w:val="en-US" w:eastAsia="zh-CN" w:bidi="ar-SA"/>
              </w:rPr>
              <w:t>淤泥脱水具体步骤如下：添加絮凝剂，采用计量泵向输送管路中添加絮凝剂，并经过紧接其后的管道混合器混合，絮凝剂不仅能够加速污泥聚集脱水，也可使后续的污泥导电性能增加；注入污泥，经混合后的污泥由土工管袋上方开口注入，液面达到土工管袋的顶部时，停止注入，液面逐渐上升使土工管袋内部压力逐渐增加，泥浆中的水分由土工管袋中流出后，土工管袋中的液面会逐渐降低，此时向土工管袋中重复注入泥浆，重复注入 3～5 次。超过 99%的固体颗粒可被存在土工带管中。</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u w:val="single"/>
                <w:vertAlign w:val="baseline"/>
                <w:lang w:val="en-US" w:eastAsia="zh-CN" w:bidi="ar-SA"/>
              </w:rPr>
            </w:pPr>
            <w:r>
              <w:rPr>
                <w:rFonts w:hint="eastAsia" w:ascii="Times New Roman" w:hAnsi="Times New Roman" w:cs="Times New Roman"/>
                <w:color w:val="auto"/>
                <w:kern w:val="2"/>
                <w:sz w:val="24"/>
                <w:szCs w:val="24"/>
                <w:u w:val="single"/>
                <w:vertAlign w:val="baseline"/>
                <w:lang w:val="en-US" w:eastAsia="zh-CN" w:bidi="ar-SA"/>
              </w:rPr>
              <w:t>湿塘周边正在规划建设排污管道，届时脱水后的滤液进行收集排入市政污水管网，进入罗家坡污水处理厂处理。土工管袋内淤泥通过压滤后含水率可从90%下降到60%以下，淤泥内水分含量达到护坡中心填土要求时作为护坡中心填土使用。</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（3）底质改良</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default" w:ascii="Times New Roman" w:hAnsi="Times New Roman" w:cs="Times New Roman"/>
                <w:color w:val="auto"/>
                <w:kern w:val="2"/>
                <w:sz w:val="24"/>
                <w:szCs w:val="24"/>
                <w:vertAlign w:val="baseline"/>
                <w:lang w:val="en-US" w:eastAsia="zh-CN" w:bidi="ar-SA"/>
              </w:rPr>
              <w:t>本工程对廖家巷湿塘全部面积清淤范围内进行底质改良，提高底质土壤的可种植性。</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u w:val="single"/>
                <w:vertAlign w:val="baseline"/>
                <w:lang w:val="en-US" w:eastAsia="zh-CN" w:bidi="ar-SA"/>
              </w:rPr>
            </w:pPr>
            <w:r>
              <w:rPr>
                <w:rFonts w:hint="eastAsia" w:ascii="Times New Roman" w:hAnsi="Times New Roman" w:cs="Times New Roman"/>
                <w:color w:val="auto"/>
                <w:kern w:val="2"/>
                <w:sz w:val="24"/>
                <w:szCs w:val="24"/>
                <w:u w:val="single"/>
                <w:vertAlign w:val="baseline"/>
                <w:lang w:val="en-US" w:eastAsia="zh-CN" w:bidi="ar-SA"/>
              </w:rPr>
              <w:t>建设单位拟采用BIO-COLONY底质改良剂。BIO-COLONY是一种用优选的矿物（加工成沙状）做成的特效生物载体，这种生物载体除了能够有效分解恶臭物，快速将水体从厌氧状态变为好氧之外，其架状结构内部充满了微孔和通道，能为水中微生物群落提供巨大的生物附着表面积，内部的孔结构还具有筛选分子的作用，可以帮助我们选择优势微生物种群和帮助它们繁衍。类比《西秀区建成区黑臭水体治理工程》建设项目，采用BIO-COLONY为底质改良剂，对水质净化效果较好，且无水生态累积和不可逆影响。BIO-COLONY的用量，与水深没有任何的关系，是按照平方米来计算的，约200g/m</w:t>
            </w:r>
            <w:r>
              <w:rPr>
                <w:rFonts w:hint="eastAsia" w:ascii="Times New Roman" w:hAnsi="Times New Roman" w:cs="Times New Roman"/>
                <w:color w:val="auto"/>
                <w:kern w:val="2"/>
                <w:sz w:val="24"/>
                <w:szCs w:val="24"/>
                <w:u w:val="single"/>
                <w:vertAlign w:val="superscript"/>
                <w:lang w:val="en-US" w:eastAsia="zh-CN" w:bidi="ar-SA"/>
              </w:rPr>
              <w:t>2</w:t>
            </w:r>
            <w:r>
              <w:rPr>
                <w:rFonts w:hint="eastAsia" w:ascii="Times New Roman" w:hAnsi="Times New Roman" w:cs="Times New Roman"/>
                <w:color w:val="auto"/>
                <w:kern w:val="2"/>
                <w:sz w:val="24"/>
                <w:szCs w:val="24"/>
                <w:u w:val="single"/>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（4）面源控制</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净化塘等工程，削减进入湿塘的初期雨水径流污染净化塘等工程，削减进入湿塘的初期雨水径流污染。</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eastAsia="宋体"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①生态沟渠</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eastAsia="宋体"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生态沟渠可收集、输送和排放径流雨水，可高效吸收、渗透、净化雨污水，具有一定的雨水净化作用，同时兼顾景观效益。</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eastAsia="宋体"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②生态滤坝</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eastAsia="宋体"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生态滤坝净化水质的原理在于物理过滤、植物吸收和微生物降解，物理过滤在于堆积坝体的滤料之中形成许多空隙，污水在经过生态滤坝时，水中的污染物被吸附和拦截下来。生态滤坝上种植的水生植物产生大量根系深入坝体，吸收水中的营养盐和重金属。许多微生物和原生动物生长于滤料中，它们利用污水中的营养物质生存和繁殖，进而净化了水质。</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eastAsia="宋体"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③生态滞留塘</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eastAsia="宋体"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生态滞留塘可以发挥物理沉降和厌氧消化功能，可拦截很大一部分漂浮杂物及悬浮物，生态滞留塘内种植各种水生植物，不仅可以直接利用氮磷营养物质、补充氧气、美化环境，而且还提供微生物的附着载体，提高了净化效率。</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eastAsia="宋体" w:cs="Times New Roman"/>
                <w:color w:val="auto"/>
                <w:kern w:val="2"/>
                <w:sz w:val="24"/>
                <w:szCs w:val="24"/>
                <w:vertAlign w:val="baseline"/>
                <w:lang w:val="en-US" w:eastAsia="zh-CN" w:bidi="ar-SA"/>
              </w:rPr>
              <w:t>④生态净化塘</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本次生态净化塘是以密集挺水植物组成的特殊的水生态系统。这个系统通过密集挺水植物群落的阻滤、沉降、吸附等物理作用以及植物体的吸收、积累等生物作用而达到对污水的净化效果。</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（5）岸坡稳定</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 xml:space="preserve">根据廖家巷湿塘现场实际情况，本工程中护坡采用人工种草自然护坡，护岸平面形状保留弯曲自然形态，避免单调使用直线。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廖家巷湿塘岸坡设计总长度1356m。需要人工种草自然护坡面积总计约 28050m</w:t>
            </w:r>
            <w:r>
              <w:rPr>
                <w:rFonts w:hint="default" w:ascii="Times New Roman" w:hAnsi="Times New Roman" w:cs="Times New Roman"/>
                <w:color w:val="auto"/>
                <w:kern w:val="2"/>
                <w:sz w:val="24"/>
                <w:szCs w:val="24"/>
                <w:vertAlign w:val="superscript"/>
                <w:lang w:val="en-US" w:eastAsia="zh-CN" w:bidi="ar-SA"/>
              </w:rPr>
              <w:t>2</w:t>
            </w:r>
            <w:r>
              <w:rPr>
                <w:rFonts w:hint="default" w:ascii="Times New Roman" w:hAnsi="Times New Roman" w:cs="Times New Roman"/>
                <w:color w:val="auto"/>
                <w:kern w:val="2"/>
                <w:sz w:val="24"/>
                <w:szCs w:val="24"/>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（6）水生态修复</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cs="Times New Roman"/>
                <w:sz w:val="24"/>
                <w:szCs w:val="24"/>
              </w:rPr>
            </w:pPr>
            <w:r>
              <w:rPr>
                <w:rFonts w:hint="default" w:ascii="Times New Roman" w:hAnsi="Times New Roman" w:cs="Times New Roman"/>
                <w:color w:val="auto"/>
                <w:kern w:val="2"/>
                <w:sz w:val="24"/>
                <w:szCs w:val="24"/>
                <w:vertAlign w:val="baseline"/>
                <w:lang w:val="en-US" w:eastAsia="zh-CN" w:bidi="ar-SA"/>
              </w:rPr>
              <w:t>通过修复水生态系统，将大大提高湿塘水体的自净能力，实施生态修复是长效维持</w:t>
            </w:r>
            <w:r>
              <w:rPr>
                <w:rFonts w:hint="default" w:ascii="Times New Roman" w:hAnsi="Times New Roman" w:eastAsia="宋体" w:cs="Times New Roman"/>
                <w:color w:val="000000"/>
                <w:kern w:val="0"/>
                <w:sz w:val="24"/>
                <w:szCs w:val="24"/>
                <w:lang w:val="en-US" w:eastAsia="zh-CN" w:bidi="ar"/>
              </w:rPr>
              <w:t xml:space="preserve">湿塘水体水质，避免水质恶化必须开展的工作。湿塘水生态修复主要通过构建水质净化效果较好的沉水和挺水植物群落，将湿塘水体由藻型生态系统转变为草型生态系统，提高水生态系统初级生产力，逐步实现水生态系统结构和功能恢复。 </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cs="Times New Roman"/>
                <w:sz w:val="24"/>
                <w:szCs w:val="24"/>
              </w:rPr>
            </w:pPr>
            <w:r>
              <w:rPr>
                <w:rFonts w:hint="default" w:ascii="Times New Roman" w:hAnsi="Times New Roman" w:eastAsia="宋体" w:cs="Times New Roman"/>
                <w:color w:val="000000"/>
                <w:kern w:val="0"/>
                <w:sz w:val="24"/>
                <w:szCs w:val="24"/>
                <w:lang w:val="en-US" w:eastAsia="zh-CN" w:bidi="ar"/>
              </w:rPr>
              <w:t xml:space="preserve">廖家巷湿塘种植的均为净化效果较好、易成活、维护简单的水生植物，其中挺水植物包括芦苇、美人蕉、水葱、黄菖蒲、再力花、鸢尾，种植面积共计 </w:t>
            </w:r>
            <w:r>
              <w:rPr>
                <w:rFonts w:hint="default" w:ascii="Times New Roman" w:hAnsi="Times New Roman" w:eastAsia="TimesNewRomanPSMT" w:cs="Times New Roman"/>
                <w:color w:val="000000"/>
                <w:kern w:val="0"/>
                <w:sz w:val="24"/>
                <w:szCs w:val="24"/>
                <w:lang w:val="en-US" w:eastAsia="zh-CN" w:bidi="ar"/>
              </w:rPr>
              <w:t>6180m</w:t>
            </w:r>
            <w:r>
              <w:rPr>
                <w:rFonts w:hint="default" w:ascii="Times New Roman" w:hAnsi="Times New Roman" w:eastAsia="TimesNewRomanPSMT" w:cs="Times New Roman"/>
                <w:color w:val="000000"/>
                <w:kern w:val="0"/>
                <w:sz w:val="24"/>
                <w:szCs w:val="24"/>
                <w:vertAlign w:val="superscript"/>
                <w:lang w:val="en-US" w:eastAsia="zh-CN" w:bidi="ar"/>
              </w:rPr>
              <w:t>2</w:t>
            </w:r>
            <w:r>
              <w:rPr>
                <w:rFonts w:hint="default" w:ascii="Times New Roman" w:hAnsi="Times New Roman" w:eastAsia="TimesNewRomanPSMT" w:cs="Times New Roman"/>
                <w:color w:val="000000"/>
                <w:kern w:val="0"/>
                <w:sz w:val="24"/>
                <w:szCs w:val="24"/>
                <w:lang w:val="en-US" w:eastAsia="zh-CN" w:bidi="ar"/>
              </w:rPr>
              <w:t xml:space="preserve"> </w:t>
            </w:r>
            <w:r>
              <w:rPr>
                <w:rFonts w:hint="default" w:ascii="Times New Roman" w:hAnsi="Times New Roman" w:eastAsia="宋体" w:cs="Times New Roman"/>
                <w:color w:val="000000"/>
                <w:kern w:val="0"/>
                <w:sz w:val="24"/>
                <w:szCs w:val="24"/>
                <w:lang w:val="en-US" w:eastAsia="zh-CN" w:bidi="ar"/>
              </w:rPr>
              <w:t xml:space="preserve">；沉水植物包括金鱼藻、狐尾藻、黑藻、苦草，共计面积 </w:t>
            </w:r>
            <w:r>
              <w:rPr>
                <w:rFonts w:hint="default" w:ascii="Times New Roman" w:hAnsi="Times New Roman" w:eastAsia="TimesNewRomanPSMT" w:cs="Times New Roman"/>
                <w:color w:val="000000"/>
                <w:kern w:val="0"/>
                <w:sz w:val="24"/>
                <w:szCs w:val="24"/>
                <w:lang w:val="en-US" w:eastAsia="zh-CN" w:bidi="ar"/>
              </w:rPr>
              <w:t>10320m</w:t>
            </w:r>
            <w:r>
              <w:rPr>
                <w:rFonts w:hint="default" w:ascii="Times New Roman" w:hAnsi="Times New Roman" w:eastAsia="TimesNewRomanPSMT" w:cs="Times New Roman"/>
                <w:color w:val="000000"/>
                <w:kern w:val="0"/>
                <w:sz w:val="24"/>
                <w:szCs w:val="24"/>
                <w:vertAlign w:val="superscript"/>
                <w:lang w:val="en-US" w:eastAsia="zh-CN" w:bidi="ar"/>
              </w:rPr>
              <w:t>2</w:t>
            </w:r>
            <w:r>
              <w:rPr>
                <w:rFonts w:hint="default" w:ascii="Times New Roman" w:hAnsi="Times New Roman" w:eastAsia="宋体" w:cs="Times New Roman"/>
                <w:color w:val="000000"/>
                <w:kern w:val="0"/>
                <w:sz w:val="24"/>
                <w:szCs w:val="24"/>
                <w:lang w:val="en-US" w:eastAsia="zh-CN" w:bidi="ar"/>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（7）退水设施</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 xml:space="preserve">为在汛期有效调节廖家巷湿塘的水位，需要在廖家巷湿塘与南北港河修建退水闸1座。退水闸闸室段直接连接涵管通向南北港河，共 1 孔，单孔净宽 1m，闸底板高程为25.00m，底板厚 0.5m，边墩厚 0.6m 为矩形断面，整个闸室采用 C30 钢筋砼予以现浇，底部铺设 0.1m 厚 C15 砼垫层，具体结构详见图纸。退水闸采用的闸门规格为 PGZ1.0m（宽）×1.0m（高），由于闸门启闭次数有限，启闭机可采用 QL 手电两用系列螺杆启闭机，型号为QL-30-SD，闸门采用双向止水。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廖家巷湿塘正常蓄水位为26.05m，安全超高定为0.4m，当湿塘水位达到26.45m时，闸门需要打开放水，同时在湿塘需要进行换水等情况时，也可对闸门的启闭进行调节。</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1.8.2颐养院湿塘</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颐养院湿塘周边大部分生活污水已截留，部分散排的生活污水由于地形、高程等原因未能纳管截留，直接排入湿塘严重影响湿塘水体水质。</w:t>
            </w:r>
            <w:r>
              <w:rPr>
                <w:rFonts w:hint="eastAsia" w:ascii="Times New Roman" w:hAnsi="Times New Roman" w:cs="Times New Roman"/>
                <w:color w:val="auto"/>
                <w:kern w:val="2"/>
                <w:sz w:val="24"/>
                <w:szCs w:val="24"/>
                <w:vertAlign w:val="baseline"/>
                <w:lang w:val="en-US" w:eastAsia="zh-CN" w:bidi="ar-SA"/>
              </w:rPr>
              <w:t>本次颐养院湿塘工程建设内容包括</w:t>
            </w:r>
            <w:r>
              <w:rPr>
                <w:rFonts w:hint="default" w:ascii="Times New Roman" w:hAnsi="Times New Roman" w:cs="Times New Roman"/>
                <w:color w:val="auto"/>
                <w:kern w:val="2"/>
                <w:sz w:val="24"/>
                <w:szCs w:val="24"/>
                <w:vertAlign w:val="baseline"/>
                <w:lang w:val="en-US" w:eastAsia="zh-CN" w:bidi="ar-SA"/>
              </w:rPr>
              <w:t>新建2座一体化污水处理设备，处理能力分别为5t/d、3t/d，并进行底泥清淤、底质改良、新建生态沟渠、生态滤坝、生态滞留塘、生态净化墙；新建岸坡稳定、水生态修复、退水设施</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（1）污水处理设备</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本</w:t>
            </w:r>
            <w:r>
              <w:rPr>
                <w:rFonts w:hint="eastAsia" w:ascii="Times New Roman" w:hAnsi="Times New Roman" w:cs="Times New Roman"/>
                <w:color w:val="auto"/>
                <w:kern w:val="2"/>
                <w:sz w:val="24"/>
                <w:szCs w:val="24"/>
                <w:vertAlign w:val="baseline"/>
                <w:lang w:val="en-US" w:eastAsia="zh-CN" w:bidi="ar-SA"/>
              </w:rPr>
              <w:t>项目</w:t>
            </w:r>
            <w:r>
              <w:rPr>
                <w:rFonts w:hint="default" w:ascii="Times New Roman" w:hAnsi="Times New Roman" w:cs="Times New Roman"/>
                <w:color w:val="auto"/>
                <w:kern w:val="2"/>
                <w:sz w:val="24"/>
                <w:szCs w:val="24"/>
                <w:vertAlign w:val="baseline"/>
                <w:lang w:val="en-US" w:eastAsia="zh-CN" w:bidi="ar-SA"/>
              </w:rPr>
              <w:t>将流量较大的西边沟、北边沟纳入市政管网，在散住居民处建设一体化污水处理设备，将周边散排污水统一收集处理，</w:t>
            </w:r>
            <w:r>
              <w:rPr>
                <w:rFonts w:hint="eastAsia" w:ascii="Times New Roman" w:hAnsi="Times New Roman" w:cs="Times New Roman"/>
                <w:color w:val="auto"/>
                <w:kern w:val="2"/>
                <w:sz w:val="24"/>
                <w:szCs w:val="24"/>
                <w:vertAlign w:val="baseline"/>
                <w:lang w:val="en-US" w:eastAsia="zh-CN" w:bidi="ar-SA"/>
              </w:rPr>
              <w:t>出水达</w:t>
            </w:r>
            <w:r>
              <w:rPr>
                <w:rFonts w:hint="eastAsia" w:ascii="Times New Roman" w:hAnsi="Times New Roman" w:cs="Times New Roman"/>
                <w:color w:val="000000" w:themeColor="text1"/>
                <w:kern w:val="0"/>
                <w:sz w:val="24"/>
                <w:u w:val="none"/>
                <w14:textFill>
                  <w14:solidFill>
                    <w14:schemeClr w14:val="tx1"/>
                  </w14:solidFill>
                </w14:textFill>
              </w:rPr>
              <w:t>《城镇污水处理厂污染物排放标准》（GB18918-2002）一级标准的</w:t>
            </w:r>
            <w:r>
              <w:rPr>
                <w:rFonts w:hint="eastAsia" w:cs="Times New Roman"/>
                <w:color w:val="000000" w:themeColor="text1"/>
                <w:kern w:val="0"/>
                <w:sz w:val="24"/>
                <w:u w:val="none"/>
                <w:lang w:val="en-US" w:eastAsia="zh-CN"/>
                <w14:textFill>
                  <w14:solidFill>
                    <w14:schemeClr w14:val="tx1"/>
                  </w14:solidFill>
                </w14:textFill>
              </w:rPr>
              <w:t>B</w:t>
            </w:r>
            <w:r>
              <w:rPr>
                <w:rFonts w:hint="eastAsia" w:ascii="Times New Roman" w:hAnsi="Times New Roman" w:cs="Times New Roman"/>
                <w:color w:val="000000" w:themeColor="text1"/>
                <w:kern w:val="0"/>
                <w:sz w:val="24"/>
                <w:u w:val="none"/>
                <w14:textFill>
                  <w14:solidFill>
                    <w14:schemeClr w14:val="tx1"/>
                  </w14:solidFill>
                </w14:textFill>
              </w:rPr>
              <w:t>标准</w:t>
            </w:r>
            <w:r>
              <w:rPr>
                <w:rFonts w:hint="eastAsia" w:ascii="Times New Roman" w:hAnsi="Times New Roman" w:cs="Times New Roman"/>
                <w:color w:val="auto"/>
                <w:kern w:val="2"/>
                <w:sz w:val="24"/>
                <w:szCs w:val="24"/>
                <w:vertAlign w:val="baseline"/>
                <w:lang w:val="en-US" w:eastAsia="zh-CN" w:bidi="ar-SA"/>
              </w:rPr>
              <w:t>，排入湿塘。</w:t>
            </w:r>
            <w:r>
              <w:rPr>
                <w:rFonts w:hint="eastAsia" w:ascii="Times New Roman" w:hAnsi="Times New Roman" w:cs="Times New Roman"/>
                <w:color w:val="auto"/>
                <w:kern w:val="2"/>
                <w:sz w:val="24"/>
                <w:szCs w:val="24"/>
                <w:u w:val="single"/>
                <w:vertAlign w:val="baseline"/>
                <w:lang w:val="en-US" w:eastAsia="zh-CN" w:bidi="ar-SA"/>
              </w:rPr>
              <w:t>项目采用的四格池污水处理工艺日常不需投加试剂等维持稳定运行，只需每半年或一年定期清掏。</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eastAsia" w:ascii="Times New Roman" w:hAnsi="Times New Roman" w:cs="Times New Roman"/>
                <w:color w:val="auto"/>
                <w:kern w:val="2"/>
                <w:sz w:val="24"/>
                <w:szCs w:val="24"/>
                <w:u w:val="single"/>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经现场踏勘，湿塘周边共有排污口三处，散排住户两处。由于散排住户比较分散故采取分散式治理模式，每处单独建设污水处理设备一座，共设置2座。</w:t>
            </w:r>
            <w:r>
              <w:rPr>
                <w:rFonts w:hint="eastAsia" w:ascii="Times New Roman" w:hAnsi="Times New Roman" w:cs="Times New Roman"/>
                <w:color w:val="auto"/>
                <w:kern w:val="2"/>
                <w:sz w:val="24"/>
                <w:szCs w:val="24"/>
                <w:u w:val="single"/>
                <w:vertAlign w:val="baseline"/>
                <w:lang w:val="en-US" w:eastAsia="zh-CN" w:bidi="ar-SA"/>
              </w:rPr>
              <w:t>其中散户收集口1可收纳周边3户居民住宅生活污水，散户收集口2可收纳周边5户居民住宅生活污水。根据项目设计说明，本项目一体化污水处理设备见表1.8-2，污水治理布置图如图1.8-2所示。</w:t>
            </w:r>
          </w:p>
          <w:p>
            <w:pPr>
              <w:pStyle w:val="35"/>
              <w:keepNext w:val="0"/>
              <w:keepLines w:val="0"/>
              <w:pageBreakBefore w:val="0"/>
              <w:widowControl w:val="0"/>
              <w:kinsoku/>
              <w:wordWrap/>
              <w:overflowPunct/>
              <w:topLinePunct w:val="0"/>
              <w:autoSpaceDE w:val="0"/>
              <w:autoSpaceDN w:val="0"/>
              <w:bidi w:val="0"/>
              <w:adjustRightInd/>
              <w:snapToGrid/>
              <w:spacing w:line="360" w:lineRule="auto"/>
              <w:jc w:val="center"/>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表1.8-2  一体化污水处理设备统计表</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14"/>
              <w:gridCol w:w="2199"/>
              <w:gridCol w:w="1296"/>
              <w:gridCol w:w="1427"/>
              <w:gridCol w:w="1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位置</w:t>
                  </w:r>
                </w:p>
              </w:tc>
              <w:tc>
                <w:tcPr>
                  <w:tcW w:w="2199"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名称</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规格（t/d）</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单位</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eastAsia" w:cs="Times New Roman"/>
                      <w:color w:val="000000"/>
                      <w:kern w:val="0"/>
                      <w:sz w:val="21"/>
                      <w:szCs w:val="21"/>
                      <w:lang w:val="en-US" w:eastAsia="zh-CN" w:bidi="ar"/>
                    </w:rPr>
                    <w:t>颐养院</w:t>
                  </w:r>
                  <w:r>
                    <w:rPr>
                      <w:rFonts w:hint="default" w:ascii="Times New Roman" w:hAnsi="Times New Roman" w:eastAsia="宋体" w:cs="Times New Roman"/>
                      <w:color w:val="000000"/>
                      <w:kern w:val="0"/>
                      <w:sz w:val="21"/>
                      <w:szCs w:val="21"/>
                      <w:lang w:val="en-US" w:eastAsia="zh-CN" w:bidi="ar"/>
                    </w:rPr>
                    <w:t xml:space="preserve">湿塘散户收集口 </w:t>
                  </w:r>
                  <w:r>
                    <w:rPr>
                      <w:rFonts w:hint="eastAsia" w:cs="Times New Roman"/>
                      <w:color w:val="000000"/>
                      <w:kern w:val="0"/>
                      <w:sz w:val="21"/>
                      <w:szCs w:val="21"/>
                      <w:lang w:val="en-US" w:eastAsia="zh-CN" w:bidi="ar"/>
                    </w:rPr>
                    <w:t>1</w:t>
                  </w:r>
                </w:p>
              </w:tc>
              <w:tc>
                <w:tcPr>
                  <w:tcW w:w="2199"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TimesNewRomanPSMT" w:cs="Times New Roman"/>
                      <w:color w:val="000000"/>
                      <w:kern w:val="0"/>
                      <w:sz w:val="21"/>
                      <w:szCs w:val="21"/>
                      <w:lang w:val="en-US" w:eastAsia="zh-CN" w:bidi="ar"/>
                    </w:rPr>
                    <w:t>1#</w:t>
                  </w:r>
                  <w:r>
                    <w:rPr>
                      <w:rFonts w:hint="default" w:ascii="Times New Roman" w:hAnsi="Times New Roman" w:eastAsia="宋体" w:cs="Times New Roman"/>
                      <w:color w:val="000000"/>
                      <w:kern w:val="0"/>
                      <w:sz w:val="21"/>
                      <w:szCs w:val="21"/>
                      <w:lang w:val="en-US" w:eastAsia="zh-CN" w:bidi="ar"/>
                    </w:rPr>
                    <w:t>一体化处理设备</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eastAsia" w:ascii="Times New Roman" w:hAnsi="Times New Roman" w:cs="Times New Roman"/>
                      <w:color w:val="auto"/>
                      <w:kern w:val="2"/>
                      <w:sz w:val="21"/>
                      <w:szCs w:val="21"/>
                      <w:vertAlign w:val="baseline"/>
                      <w:lang w:val="en-US" w:eastAsia="zh-CN" w:bidi="ar-SA"/>
                    </w:rPr>
                    <w:t>5</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座</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四格池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eastAsia" w:cs="Times New Roman"/>
                      <w:color w:val="000000"/>
                      <w:kern w:val="0"/>
                      <w:sz w:val="21"/>
                      <w:szCs w:val="21"/>
                      <w:lang w:val="en-US" w:eastAsia="zh-CN" w:bidi="ar"/>
                    </w:rPr>
                    <w:t>颐养院</w:t>
                  </w:r>
                  <w:r>
                    <w:rPr>
                      <w:rFonts w:hint="default" w:ascii="Times New Roman" w:hAnsi="Times New Roman" w:eastAsia="宋体" w:cs="Times New Roman"/>
                      <w:color w:val="000000"/>
                      <w:kern w:val="0"/>
                      <w:sz w:val="21"/>
                      <w:szCs w:val="21"/>
                      <w:lang w:val="en-US" w:eastAsia="zh-CN" w:bidi="ar"/>
                    </w:rPr>
                    <w:t xml:space="preserve">湿塘散户收集口 </w:t>
                  </w:r>
                  <w:r>
                    <w:rPr>
                      <w:rFonts w:hint="eastAsia" w:cs="Times New Roman"/>
                      <w:color w:val="000000"/>
                      <w:kern w:val="0"/>
                      <w:sz w:val="21"/>
                      <w:szCs w:val="21"/>
                      <w:lang w:val="en-US" w:eastAsia="zh-CN" w:bidi="ar"/>
                    </w:rPr>
                    <w:t>2</w:t>
                  </w:r>
                </w:p>
              </w:tc>
              <w:tc>
                <w:tcPr>
                  <w:tcW w:w="2199"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TimesNewRomanPSMT" w:cs="Times New Roman"/>
                      <w:color w:val="000000"/>
                      <w:kern w:val="0"/>
                      <w:sz w:val="21"/>
                      <w:szCs w:val="21"/>
                      <w:lang w:val="en-US" w:eastAsia="zh-CN" w:bidi="ar"/>
                    </w:rPr>
                    <w:t>2#</w:t>
                  </w:r>
                  <w:r>
                    <w:rPr>
                      <w:rFonts w:hint="default" w:ascii="Times New Roman" w:hAnsi="Times New Roman" w:eastAsia="宋体" w:cs="Times New Roman"/>
                      <w:color w:val="000000"/>
                      <w:kern w:val="0"/>
                      <w:sz w:val="21"/>
                      <w:szCs w:val="21"/>
                      <w:lang w:val="en-US" w:eastAsia="zh-CN" w:bidi="ar"/>
                    </w:rPr>
                    <w:t>一体化处理设备</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eastAsia" w:ascii="Times New Roman" w:hAnsi="Times New Roman" w:cs="Times New Roman"/>
                      <w:color w:val="auto"/>
                      <w:kern w:val="2"/>
                      <w:sz w:val="21"/>
                      <w:szCs w:val="21"/>
                      <w:vertAlign w:val="baseline"/>
                      <w:lang w:val="en-US" w:eastAsia="zh-CN" w:bidi="ar-SA"/>
                    </w:rPr>
                    <w:t>3</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座</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四格池</w:t>
                  </w:r>
                </w:p>
              </w:tc>
            </w:tr>
          </w:tbl>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jc w:val="center"/>
              <w:textAlignment w:val="auto"/>
              <w:outlineLvl w:val="9"/>
              <w:rPr>
                <w:rFonts w:hint="default" w:ascii="Times New Roman" w:hAnsi="Times New Roman" w:cs="Times New Roman"/>
                <w:color w:val="auto"/>
                <w:kern w:val="2"/>
                <w:sz w:val="24"/>
                <w:szCs w:val="24"/>
                <w:vertAlign w:val="baseline"/>
                <w:lang w:val="en-US" w:eastAsia="zh-CN" w:bidi="ar-SA"/>
              </w:rPr>
            </w:pPr>
            <w:r>
              <w:drawing>
                <wp:inline distT="0" distB="0" distL="114300" distR="114300">
                  <wp:extent cx="3687445" cy="3220720"/>
                  <wp:effectExtent l="0" t="0" r="8255" b="17780"/>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4"/>
                          <a:stretch>
                            <a:fillRect/>
                          </a:stretch>
                        </pic:blipFill>
                        <pic:spPr>
                          <a:xfrm>
                            <a:off x="0" y="0"/>
                            <a:ext cx="3687445" cy="3220720"/>
                          </a:xfrm>
                          <a:prstGeom prst="rect">
                            <a:avLst/>
                          </a:prstGeom>
                          <a:noFill/>
                          <a:ln>
                            <a:noFill/>
                          </a:ln>
                        </pic:spPr>
                      </pic:pic>
                    </a:graphicData>
                  </a:graphic>
                </wp:inline>
              </w:drawing>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jc w:val="center"/>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图1.8-2  颐养院湿塘散排污水治理分布图</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（2）</w:t>
            </w:r>
            <w:r>
              <w:rPr>
                <w:rFonts w:hint="default" w:ascii="Times New Roman" w:hAnsi="Times New Roman" w:cs="Times New Roman"/>
                <w:color w:val="auto"/>
                <w:kern w:val="2"/>
                <w:sz w:val="24"/>
                <w:szCs w:val="24"/>
                <w:vertAlign w:val="baseline"/>
                <w:lang w:val="en-US" w:eastAsia="zh-CN" w:bidi="ar-SA"/>
              </w:rPr>
              <w:t>底泥清淤</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颐养院湿塘清淤方式采用与廖家巷相同的环保绞吸式清淤，清淤面积10121 m</w:t>
            </w:r>
            <w:r>
              <w:rPr>
                <w:rFonts w:hint="default" w:ascii="Times New Roman" w:hAnsi="Times New Roman" w:cs="Times New Roman"/>
                <w:color w:val="auto"/>
                <w:kern w:val="2"/>
                <w:sz w:val="24"/>
                <w:szCs w:val="24"/>
                <w:vertAlign w:val="superscript"/>
                <w:lang w:val="en-US" w:eastAsia="zh-CN" w:bidi="ar-SA"/>
              </w:rPr>
              <w:t>2</w:t>
            </w:r>
            <w:r>
              <w:rPr>
                <w:rFonts w:hint="default" w:ascii="Times New Roman" w:hAnsi="Times New Roman" w:cs="Times New Roman"/>
                <w:color w:val="auto"/>
                <w:kern w:val="2"/>
                <w:sz w:val="24"/>
                <w:szCs w:val="24"/>
                <w:vertAlign w:val="baseline"/>
                <w:lang w:val="en-US" w:eastAsia="zh-CN" w:bidi="ar-SA"/>
              </w:rPr>
              <w:t>经水利断面模拟计算，清淤总量为4934m</w:t>
            </w:r>
            <w:r>
              <w:rPr>
                <w:rFonts w:hint="default" w:ascii="Times New Roman" w:hAnsi="Times New Roman" w:cs="Times New Roman"/>
                <w:color w:val="auto"/>
                <w:kern w:val="2"/>
                <w:sz w:val="24"/>
                <w:szCs w:val="24"/>
                <w:vertAlign w:val="superscript"/>
                <w:lang w:val="en-US" w:eastAsia="zh-CN" w:bidi="ar-SA"/>
              </w:rPr>
              <w:t>3</w:t>
            </w:r>
            <w:r>
              <w:rPr>
                <w:rFonts w:hint="default" w:ascii="Times New Roman" w:hAnsi="Times New Roman" w:cs="Times New Roman"/>
                <w:color w:val="auto"/>
                <w:kern w:val="2"/>
                <w:sz w:val="24"/>
                <w:szCs w:val="24"/>
                <w:vertAlign w:val="baseline"/>
                <w:lang w:val="en-US" w:eastAsia="zh-CN" w:bidi="ar-SA"/>
              </w:rPr>
              <w:t xml:space="preserve">。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颐养院湿塘淤泥脱水处理与干泥处置方式与廖家巷湿塘一致，工程实施时可同步处理</w:t>
            </w:r>
            <w:r>
              <w:rPr>
                <w:rFonts w:hint="eastAsia" w:ascii="Times New Roman" w:hAnsi="Times New Roman" w:cs="Times New Roman"/>
                <w:color w:val="auto"/>
                <w:kern w:val="2"/>
                <w:sz w:val="24"/>
                <w:szCs w:val="24"/>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（3）底质改良</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cs="Times New Roman"/>
                <w:sz w:val="24"/>
                <w:szCs w:val="24"/>
              </w:rPr>
            </w:pPr>
            <w:r>
              <w:rPr>
                <w:rFonts w:hint="default" w:ascii="Times New Roman" w:hAnsi="Times New Roman" w:cs="Times New Roman"/>
                <w:color w:val="auto"/>
                <w:kern w:val="2"/>
                <w:sz w:val="24"/>
                <w:szCs w:val="24"/>
                <w:vertAlign w:val="baseline"/>
                <w:lang w:val="en-US" w:eastAsia="zh-CN" w:bidi="ar-SA"/>
              </w:rPr>
              <w:t>本工程对</w:t>
            </w:r>
            <w:r>
              <w:rPr>
                <w:rFonts w:hint="eastAsia" w:cs="Times New Roman"/>
                <w:color w:val="auto"/>
                <w:kern w:val="2"/>
                <w:sz w:val="24"/>
                <w:szCs w:val="24"/>
                <w:vertAlign w:val="baseline"/>
                <w:lang w:val="en-US" w:eastAsia="zh-CN" w:bidi="ar-SA"/>
              </w:rPr>
              <w:t>颐养院</w:t>
            </w:r>
            <w:r>
              <w:rPr>
                <w:rFonts w:hint="default" w:ascii="Times New Roman" w:hAnsi="Times New Roman" w:cs="Times New Roman"/>
                <w:color w:val="auto"/>
                <w:kern w:val="2"/>
                <w:sz w:val="24"/>
                <w:szCs w:val="24"/>
                <w:vertAlign w:val="baseline"/>
                <w:lang w:val="en-US" w:eastAsia="zh-CN" w:bidi="ar-SA"/>
              </w:rPr>
              <w:t>湿塘全部面积清淤范围内进行底质改良，提高底质土壤的可种植性。</w:t>
            </w:r>
            <w:r>
              <w:rPr>
                <w:rFonts w:hint="eastAsia" w:cs="Times New Roman"/>
                <w:color w:val="auto"/>
                <w:kern w:val="2"/>
                <w:sz w:val="24"/>
                <w:szCs w:val="24"/>
                <w:vertAlign w:val="baseline"/>
                <w:lang w:val="en-US" w:eastAsia="zh-CN" w:bidi="ar-SA"/>
              </w:rPr>
              <w:t>底质改良方式与廖家巷底质改良方式相同</w:t>
            </w:r>
            <w:r>
              <w:rPr>
                <w:rFonts w:hint="default" w:ascii="Times New Roman" w:hAnsi="Times New Roman" w:cs="Times New Roman"/>
                <w:color w:val="auto"/>
                <w:kern w:val="2"/>
                <w:sz w:val="24"/>
                <w:szCs w:val="24"/>
                <w:vertAlign w:val="baseline"/>
                <w:lang w:val="en-US" w:eastAsia="zh-CN" w:bidi="ar-SA"/>
              </w:rPr>
              <w:t>。</w:t>
            </w:r>
            <w:r>
              <w:rPr>
                <w:rFonts w:hint="default" w:ascii="Times New Roman" w:hAnsi="Times New Roman" w:eastAsia="宋体" w:cs="Times New Roman"/>
                <w:color w:val="000000"/>
                <w:kern w:val="0"/>
                <w:sz w:val="24"/>
                <w:szCs w:val="24"/>
                <w:lang w:val="en-US" w:eastAsia="zh-CN" w:bidi="ar"/>
              </w:rPr>
              <w:t>本工程根据实际情况及工程进度，对湿塘投加底质改良剂，</w:t>
            </w:r>
            <w:r>
              <w:rPr>
                <w:rFonts w:hint="default" w:ascii="Times New Roman" w:hAnsi="Times New Roman" w:eastAsia="TimesNewRomanPSMT" w:cs="Times New Roman"/>
                <w:color w:val="000000"/>
                <w:kern w:val="0"/>
                <w:sz w:val="24"/>
                <w:szCs w:val="24"/>
                <w:lang w:val="en-US" w:eastAsia="zh-CN" w:bidi="ar"/>
              </w:rPr>
              <w:t>7</w:t>
            </w:r>
            <w:r>
              <w:rPr>
                <w:rFonts w:hint="default" w:ascii="Times New Roman" w:hAnsi="Times New Roman" w:eastAsia="宋体" w:cs="Times New Roman"/>
                <w:color w:val="000000"/>
                <w:kern w:val="0"/>
                <w:sz w:val="24"/>
                <w:szCs w:val="24"/>
                <w:lang w:val="en-US" w:eastAsia="zh-CN" w:bidi="ar"/>
              </w:rPr>
              <w:t>天投加</w:t>
            </w:r>
            <w:r>
              <w:rPr>
                <w:rFonts w:hint="default" w:ascii="Times New Roman" w:hAnsi="Times New Roman" w:eastAsia="TimesNewRomanPSMT" w:cs="Times New Roman"/>
                <w:color w:val="000000"/>
                <w:kern w:val="0"/>
                <w:sz w:val="24"/>
                <w:szCs w:val="24"/>
                <w:lang w:val="en-US" w:eastAsia="zh-CN" w:bidi="ar"/>
              </w:rPr>
              <w:t>1</w:t>
            </w:r>
            <w:r>
              <w:rPr>
                <w:rFonts w:hint="default" w:ascii="Times New Roman" w:hAnsi="Times New Roman" w:eastAsia="宋体" w:cs="Times New Roman"/>
                <w:color w:val="000000"/>
                <w:kern w:val="0"/>
                <w:sz w:val="24"/>
                <w:szCs w:val="24"/>
                <w:lang w:val="en-US" w:eastAsia="zh-CN" w:bidi="ar"/>
              </w:rPr>
              <w:t>次，共投加</w:t>
            </w:r>
            <w:r>
              <w:rPr>
                <w:rFonts w:hint="default" w:ascii="Times New Roman" w:hAnsi="Times New Roman" w:eastAsia="TimesNewRomanPSMT" w:cs="Times New Roman"/>
                <w:color w:val="000000"/>
                <w:kern w:val="0"/>
                <w:sz w:val="24"/>
                <w:szCs w:val="24"/>
                <w:lang w:val="en-US" w:eastAsia="zh-CN" w:bidi="ar"/>
              </w:rPr>
              <w:t>8</w:t>
            </w:r>
            <w:r>
              <w:rPr>
                <w:rFonts w:hint="default" w:ascii="Times New Roman" w:hAnsi="Times New Roman" w:eastAsia="宋体" w:cs="Times New Roman"/>
                <w:color w:val="000000"/>
                <w:kern w:val="0"/>
                <w:sz w:val="24"/>
                <w:szCs w:val="24"/>
                <w:lang w:val="en-US" w:eastAsia="zh-CN" w:bidi="ar"/>
              </w:rPr>
              <w:t>次。本工程共计需投加底质改良剂约</w:t>
            </w:r>
            <w:r>
              <w:rPr>
                <w:rFonts w:hint="eastAsia" w:cs="Times New Roman"/>
                <w:color w:val="000000"/>
                <w:kern w:val="0"/>
                <w:sz w:val="24"/>
                <w:szCs w:val="24"/>
                <w:lang w:val="en-US" w:eastAsia="zh-CN" w:bidi="ar"/>
              </w:rPr>
              <w:t>1215</w:t>
            </w:r>
            <w:r>
              <w:rPr>
                <w:rFonts w:hint="default" w:ascii="Times New Roman" w:hAnsi="Times New Roman" w:eastAsia="TimesNewRomanPSMT" w:cs="Times New Roman"/>
                <w:color w:val="000000"/>
                <w:kern w:val="0"/>
                <w:sz w:val="24"/>
                <w:szCs w:val="24"/>
                <w:lang w:val="en-US" w:eastAsia="zh-CN" w:bidi="ar"/>
              </w:rPr>
              <w:t>kg</w:t>
            </w:r>
            <w:r>
              <w:rPr>
                <w:rFonts w:hint="default" w:ascii="Times New Roman" w:hAnsi="Times New Roman" w:eastAsia="宋体" w:cs="Times New Roman"/>
                <w:color w:val="000000"/>
                <w:kern w:val="0"/>
                <w:sz w:val="24"/>
                <w:szCs w:val="24"/>
                <w:lang w:val="en-US" w:eastAsia="zh-CN" w:bidi="ar"/>
              </w:rPr>
              <w:t xml:space="preserve">。后期根据水生植物的实际生长情况酌情添加。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（4）面源控制</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根据现场地形及周边环境情况，通过建设生态沟渠、生态滤坝、生态滞留塘、生态净化塘等工程，</w:t>
            </w:r>
            <w:r>
              <w:rPr>
                <w:rFonts w:hint="eastAsia" w:ascii="Times New Roman" w:hAnsi="Times New Roman" w:cs="Times New Roman"/>
                <w:color w:val="auto"/>
                <w:kern w:val="2"/>
                <w:sz w:val="24"/>
                <w:szCs w:val="24"/>
                <w:vertAlign w:val="baseline"/>
                <w:lang w:val="en-US" w:eastAsia="zh-CN" w:bidi="ar-SA"/>
              </w:rPr>
              <w:t>颐养院面源控制工程建设内容与廖家巷湿塘一致。</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（5）岸坡稳定</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颐养院湿塘实际情况与廖家巷湿塘相似，本工程中护坡采用与廖家巷湿塘一致的人工种草自然护坡。护岸平面形状保留弯曲自然形态，避免单调使用直线。</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廖家巷湿塘岸坡设计总长度</w:t>
            </w:r>
            <w:r>
              <w:rPr>
                <w:rFonts w:hint="eastAsia" w:ascii="Times New Roman" w:hAnsi="Times New Roman" w:cs="Times New Roman"/>
                <w:color w:val="auto"/>
                <w:kern w:val="2"/>
                <w:sz w:val="24"/>
                <w:szCs w:val="24"/>
                <w:vertAlign w:val="baseline"/>
                <w:lang w:val="en-US" w:eastAsia="zh-CN" w:bidi="ar-SA"/>
              </w:rPr>
              <w:t>556</w:t>
            </w:r>
            <w:r>
              <w:rPr>
                <w:rFonts w:hint="default" w:ascii="Times New Roman" w:hAnsi="Times New Roman" w:cs="Times New Roman"/>
                <w:color w:val="auto"/>
                <w:kern w:val="2"/>
                <w:sz w:val="24"/>
                <w:szCs w:val="24"/>
                <w:vertAlign w:val="baseline"/>
                <w:lang w:val="en-US" w:eastAsia="zh-CN" w:bidi="ar-SA"/>
              </w:rPr>
              <w:t>m。需要人工种草自然护坡面积总计约</w:t>
            </w:r>
            <w:r>
              <w:rPr>
                <w:rFonts w:hint="eastAsia" w:ascii="Times New Roman" w:hAnsi="Times New Roman" w:cs="Times New Roman"/>
                <w:color w:val="auto"/>
                <w:kern w:val="2"/>
                <w:sz w:val="24"/>
                <w:szCs w:val="24"/>
                <w:vertAlign w:val="baseline"/>
                <w:lang w:val="en-US" w:eastAsia="zh-CN" w:bidi="ar-SA"/>
              </w:rPr>
              <w:t>15040</w:t>
            </w:r>
            <w:r>
              <w:rPr>
                <w:rFonts w:hint="default" w:ascii="Times New Roman" w:hAnsi="Times New Roman" w:cs="Times New Roman"/>
                <w:color w:val="auto"/>
                <w:kern w:val="2"/>
                <w:sz w:val="24"/>
                <w:szCs w:val="24"/>
                <w:vertAlign w:val="baseline"/>
                <w:lang w:val="en-US" w:eastAsia="zh-CN" w:bidi="ar-SA"/>
              </w:rPr>
              <w:t>m</w:t>
            </w:r>
            <w:r>
              <w:rPr>
                <w:rFonts w:hint="default" w:ascii="Times New Roman" w:hAnsi="Times New Roman" w:cs="Times New Roman"/>
                <w:color w:val="auto"/>
                <w:kern w:val="2"/>
                <w:sz w:val="24"/>
                <w:szCs w:val="24"/>
                <w:vertAlign w:val="superscript"/>
                <w:lang w:val="en-US" w:eastAsia="zh-CN" w:bidi="ar-SA"/>
              </w:rPr>
              <w:t>2</w:t>
            </w:r>
            <w:r>
              <w:rPr>
                <w:rFonts w:hint="default" w:ascii="Times New Roman" w:hAnsi="Times New Roman" w:cs="Times New Roman"/>
                <w:color w:val="auto"/>
                <w:kern w:val="2"/>
                <w:sz w:val="24"/>
                <w:szCs w:val="24"/>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（6）水生态修复</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颐养院湿塘种植的均为净化效果较好、易成活、维护简单的水生植物，其中挺水植物包括芦苇、美人蕉、水葱、黄菖蒲、再力花、鸢尾，种植面积共计2746m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；沉水植物包括金鱼藻、狐尾藻、黑藻、苦草，种植面积共计4499m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（7）退水设施</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 xml:space="preserve">为在汛期有效调节廖家巷湿塘的水位，需要在廖家巷湿塘与南北港河修建退水闸1座。退水闸闸室段直接连接涵管通向南北港河，共 1 孔，单孔净宽 1m，闸底板高程为25.00m，底板厚 0.5m，边墩厚 0.6m 为矩形断面，整个闸室采用 C30 钢筋砼予以现浇，底部铺设 0.1m 厚 C15 砼垫层，具体结构详见图纸。退水闸采用的闸门规格为 PGZ1.0m（宽）×1.0m（高），由于闸门启闭次数有限，启闭机可采用 QL 手电两用系列螺杆启闭机，型号为QL-30-SD，闸门采用双向止水。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颐养院湿塘正常蓄水位为26.04m，安全超高定为0.4m，当湿塘水位达到26.44m时，闸门需要打开放水，同时在湿塘需要进行换水等情况时，也可对闸门的启闭进行启闭调节</w:t>
            </w:r>
            <w:r>
              <w:rPr>
                <w:rFonts w:hint="eastAsia" w:ascii="Times New Roman" w:hAnsi="Times New Roman" w:cs="Times New Roman"/>
                <w:color w:val="auto"/>
                <w:kern w:val="2"/>
                <w:sz w:val="24"/>
                <w:szCs w:val="24"/>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1.8.3奥敏游泳馆湿塘</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奥敏游泳馆湿塘周边大部分生活污水已截留，部分散排的生活污水由于高程等原因未能纳管截留，直接排入湿塘严重影响湿塘水体水质。</w:t>
            </w:r>
            <w:r>
              <w:rPr>
                <w:rFonts w:hint="eastAsia" w:ascii="Times New Roman" w:hAnsi="Times New Roman" w:cs="Times New Roman"/>
                <w:color w:val="auto"/>
                <w:kern w:val="2"/>
                <w:sz w:val="24"/>
                <w:szCs w:val="24"/>
                <w:vertAlign w:val="baseline"/>
                <w:lang w:val="en-US" w:eastAsia="zh-CN" w:bidi="ar-SA"/>
              </w:rPr>
              <w:t>本次奥敏游泳馆湿塘工程建设内容包括新建1座一体化污水处理设备，处理能力为5t/d，并进行底泥清淤、底质改良、新建生态沟渠、生态滤坝、生态滞留塘、生态净化墙；新建岸坡稳定、水生态修复、退水设施。</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（1）污水处理设备</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将流量较大的北渠、南渠纳入市政管网，在散户居民处建设一体化污水处理设备，将周边散排污水统一收集处理，出水达</w:t>
            </w:r>
            <w:r>
              <w:rPr>
                <w:rFonts w:hint="eastAsia" w:ascii="Times New Roman" w:hAnsi="Times New Roman" w:cs="Times New Roman"/>
                <w:color w:val="000000" w:themeColor="text1"/>
                <w:kern w:val="0"/>
                <w:sz w:val="24"/>
                <w:u w:val="none"/>
                <w14:textFill>
                  <w14:solidFill>
                    <w14:schemeClr w14:val="tx1"/>
                  </w14:solidFill>
                </w14:textFill>
              </w:rPr>
              <w:t>《城镇污水处理厂污染物排放标准》（GB18918-2002）一级标准的</w:t>
            </w:r>
            <w:r>
              <w:rPr>
                <w:rFonts w:hint="eastAsia" w:cs="Times New Roman"/>
                <w:color w:val="000000" w:themeColor="text1"/>
                <w:kern w:val="0"/>
                <w:sz w:val="24"/>
                <w:u w:val="none"/>
                <w:lang w:val="en-US" w:eastAsia="zh-CN"/>
                <w14:textFill>
                  <w14:solidFill>
                    <w14:schemeClr w14:val="tx1"/>
                  </w14:solidFill>
                </w14:textFill>
              </w:rPr>
              <w:t>B</w:t>
            </w:r>
            <w:r>
              <w:rPr>
                <w:rFonts w:hint="eastAsia" w:ascii="Times New Roman" w:hAnsi="Times New Roman" w:cs="Times New Roman"/>
                <w:color w:val="000000" w:themeColor="text1"/>
                <w:kern w:val="0"/>
                <w:sz w:val="24"/>
                <w:u w:val="none"/>
                <w14:textFill>
                  <w14:solidFill>
                    <w14:schemeClr w14:val="tx1"/>
                  </w14:solidFill>
                </w14:textFill>
              </w:rPr>
              <w:t>标准</w:t>
            </w:r>
            <w:r>
              <w:rPr>
                <w:rFonts w:hint="eastAsia" w:ascii="Times New Roman" w:hAnsi="Times New Roman" w:cs="Times New Roman"/>
                <w:color w:val="auto"/>
                <w:kern w:val="2"/>
                <w:sz w:val="24"/>
                <w:szCs w:val="24"/>
                <w:vertAlign w:val="baseline"/>
                <w:lang w:val="en-US" w:eastAsia="zh-CN" w:bidi="ar-SA"/>
              </w:rPr>
              <w:t>，排入湿塘。</w:t>
            </w:r>
            <w:r>
              <w:rPr>
                <w:rFonts w:hint="eastAsia" w:ascii="Times New Roman" w:hAnsi="Times New Roman" w:cs="Times New Roman"/>
                <w:color w:val="auto"/>
                <w:kern w:val="2"/>
                <w:sz w:val="24"/>
                <w:szCs w:val="24"/>
                <w:u w:val="single"/>
                <w:vertAlign w:val="baseline"/>
                <w:lang w:val="en-US" w:eastAsia="zh-CN" w:bidi="ar-SA"/>
              </w:rPr>
              <w:t>项目采用的四格池污水处理工艺日常不需投加试剂等维持稳定运行，只需每半年或一年定期清掏。</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经现场踏勘，湿塘周边共有排污口三处，散排住户两处。由于散排住户比较分散故采取分散式治理模式，每处单独建设污水处理设备一座，共设置1座</w:t>
            </w:r>
            <w:r>
              <w:rPr>
                <w:rFonts w:hint="eastAsia" w:ascii="Times New Roman" w:hAnsi="Times New Roman" w:cs="Times New Roman"/>
                <w:color w:val="auto"/>
                <w:kern w:val="2"/>
                <w:sz w:val="24"/>
                <w:szCs w:val="24"/>
                <w:vertAlign w:val="baseline"/>
                <w:lang w:val="en-US" w:eastAsia="zh-CN" w:bidi="ar-SA"/>
              </w:rPr>
              <w:t>，</w:t>
            </w:r>
            <w:r>
              <w:rPr>
                <w:rFonts w:hint="eastAsia" w:ascii="Times New Roman" w:hAnsi="Times New Roman" w:cs="Times New Roman"/>
                <w:color w:val="auto"/>
                <w:kern w:val="2"/>
                <w:sz w:val="24"/>
                <w:szCs w:val="24"/>
                <w:u w:val="single"/>
                <w:vertAlign w:val="baseline"/>
                <w:lang w:val="en-US" w:eastAsia="zh-CN" w:bidi="ar-SA"/>
              </w:rPr>
              <w:t>收纳周边5户居民住宅生活污水。</w:t>
            </w:r>
            <w:r>
              <w:rPr>
                <w:rFonts w:hint="eastAsia" w:ascii="Times New Roman" w:hAnsi="Times New Roman" w:cs="Times New Roman"/>
                <w:color w:val="auto"/>
                <w:kern w:val="2"/>
                <w:sz w:val="24"/>
                <w:szCs w:val="24"/>
                <w:vertAlign w:val="baseline"/>
                <w:lang w:val="en-US" w:eastAsia="zh-CN" w:bidi="ar-SA"/>
              </w:rPr>
              <w:t>根据项目设计说明，本项目一体化污水处理设备见表1.8-3，污水治理布置图如图1.8-3所示</w:t>
            </w:r>
          </w:p>
          <w:p>
            <w:pPr>
              <w:pStyle w:val="35"/>
              <w:keepNext w:val="0"/>
              <w:keepLines w:val="0"/>
              <w:pageBreakBefore w:val="0"/>
              <w:widowControl w:val="0"/>
              <w:kinsoku/>
              <w:wordWrap/>
              <w:overflowPunct/>
              <w:topLinePunct w:val="0"/>
              <w:autoSpaceDE w:val="0"/>
              <w:autoSpaceDN w:val="0"/>
              <w:bidi w:val="0"/>
              <w:adjustRightInd/>
              <w:snapToGrid/>
              <w:spacing w:line="360" w:lineRule="auto"/>
              <w:jc w:val="center"/>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表1.8-3  一体化污水处理设备统计表</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14"/>
              <w:gridCol w:w="2199"/>
              <w:gridCol w:w="1296"/>
              <w:gridCol w:w="1427"/>
              <w:gridCol w:w="1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位置</w:t>
                  </w:r>
                </w:p>
              </w:tc>
              <w:tc>
                <w:tcPr>
                  <w:tcW w:w="2199"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名称</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规格（t/d）</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单位</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工艺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14"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奥敏游泳馆湿塘散户收集口</w:t>
                  </w:r>
                </w:p>
              </w:tc>
              <w:tc>
                <w:tcPr>
                  <w:tcW w:w="2199" w:type="dxa"/>
                  <w:vAlign w:val="center"/>
                </w:tcPr>
                <w:p>
                  <w:pPr>
                    <w:keepNext w:val="0"/>
                    <w:keepLines w:val="0"/>
                    <w:widowControl/>
                    <w:suppressLineNumbers w:val="0"/>
                    <w:jc w:val="center"/>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eastAsia="宋体" w:cs="Times New Roman"/>
                      <w:color w:val="000000"/>
                      <w:kern w:val="0"/>
                      <w:sz w:val="21"/>
                      <w:szCs w:val="21"/>
                      <w:lang w:val="en-US" w:eastAsia="zh-CN" w:bidi="ar"/>
                    </w:rPr>
                    <w:t>一体化处理设备</w:t>
                  </w:r>
                </w:p>
              </w:tc>
              <w:tc>
                <w:tcPr>
                  <w:tcW w:w="1296"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eastAsia" w:ascii="Times New Roman" w:hAnsi="Times New Roman" w:cs="Times New Roman"/>
                      <w:color w:val="auto"/>
                      <w:kern w:val="2"/>
                      <w:sz w:val="21"/>
                      <w:szCs w:val="21"/>
                      <w:vertAlign w:val="baseline"/>
                      <w:lang w:val="en-US" w:eastAsia="zh-CN" w:bidi="ar-SA"/>
                    </w:rPr>
                    <w:t>5</w:t>
                  </w:r>
                </w:p>
              </w:tc>
              <w:tc>
                <w:tcPr>
                  <w:tcW w:w="1427"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座</w:t>
                  </w:r>
                </w:p>
              </w:tc>
              <w:tc>
                <w:tcPr>
                  <w:tcW w:w="1413" w:type="dxa"/>
                  <w:vAlign w:val="center"/>
                </w:tcPr>
                <w:p>
                  <w:pPr>
                    <w:pStyle w:val="35"/>
                    <w:keepNext w:val="0"/>
                    <w:keepLines w:val="0"/>
                    <w:pageBreakBefore w:val="0"/>
                    <w:widowControl w:val="0"/>
                    <w:kinsoku/>
                    <w:wordWrap/>
                    <w:overflowPunct/>
                    <w:topLinePunct w:val="0"/>
                    <w:autoSpaceDE w:val="0"/>
                    <w:autoSpaceDN w:val="0"/>
                    <w:bidi w:val="0"/>
                    <w:adjustRightInd/>
                    <w:snapToGrid/>
                    <w:spacing w:line="240" w:lineRule="auto"/>
                    <w:jc w:val="center"/>
                    <w:textAlignment w:val="auto"/>
                    <w:outlineLvl w:val="9"/>
                    <w:rPr>
                      <w:rFonts w:hint="default" w:ascii="Times New Roman" w:hAnsi="Times New Roman" w:cs="Times New Roman"/>
                      <w:color w:val="auto"/>
                      <w:kern w:val="2"/>
                      <w:sz w:val="21"/>
                      <w:szCs w:val="21"/>
                      <w:vertAlign w:val="baseline"/>
                      <w:lang w:val="en-US" w:eastAsia="zh-CN" w:bidi="ar-SA"/>
                    </w:rPr>
                  </w:pPr>
                  <w:r>
                    <w:rPr>
                      <w:rFonts w:hint="default" w:ascii="Times New Roman" w:hAnsi="Times New Roman" w:cs="Times New Roman"/>
                      <w:color w:val="auto"/>
                      <w:kern w:val="2"/>
                      <w:sz w:val="21"/>
                      <w:szCs w:val="21"/>
                      <w:vertAlign w:val="baseline"/>
                      <w:lang w:val="en-US" w:eastAsia="zh-CN" w:bidi="ar-SA"/>
                    </w:rPr>
                    <w:t>四格池</w:t>
                  </w:r>
                </w:p>
              </w:tc>
            </w:tr>
          </w:tbl>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firstLineChars="200"/>
              <w:jc w:val="center"/>
              <w:textAlignment w:val="auto"/>
              <w:outlineLvl w:val="9"/>
              <w:rPr>
                <w:rFonts w:hint="default" w:ascii="Times New Roman" w:hAnsi="Times New Roman" w:cs="Times New Roman"/>
                <w:color w:val="auto"/>
                <w:kern w:val="2"/>
                <w:sz w:val="24"/>
                <w:szCs w:val="24"/>
                <w:vertAlign w:val="baseline"/>
                <w:lang w:val="en-US" w:eastAsia="zh-CN" w:bidi="ar-SA"/>
              </w:rPr>
            </w:pPr>
            <w:r>
              <w:drawing>
                <wp:inline distT="0" distB="0" distL="114300" distR="114300">
                  <wp:extent cx="3035300" cy="3195955"/>
                  <wp:effectExtent l="0" t="0" r="12700" b="4445"/>
                  <wp:docPr id="2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
                          <pic:cNvPicPr>
                            <a:picLocks noChangeAspect="1"/>
                          </pic:cNvPicPr>
                        </pic:nvPicPr>
                        <pic:blipFill>
                          <a:blip r:embed="rId15"/>
                          <a:srcRect/>
                          <a:stretch>
                            <a:fillRect/>
                          </a:stretch>
                        </pic:blipFill>
                        <pic:spPr>
                          <a:xfrm>
                            <a:off x="0" y="0"/>
                            <a:ext cx="3035300" cy="3195955"/>
                          </a:xfrm>
                          <a:prstGeom prst="rect">
                            <a:avLst/>
                          </a:prstGeom>
                          <a:noFill/>
                          <a:ln>
                            <a:noFill/>
                          </a:ln>
                        </pic:spPr>
                      </pic:pic>
                    </a:graphicData>
                  </a:graphic>
                </wp:inline>
              </w:drawing>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jc w:val="center"/>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图1.8-3  奥敏游泳馆湿塘散排污水治理分布图</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（2）</w:t>
            </w:r>
            <w:r>
              <w:rPr>
                <w:rFonts w:hint="default" w:ascii="Times New Roman" w:hAnsi="Times New Roman" w:cs="Times New Roman"/>
                <w:color w:val="auto"/>
                <w:kern w:val="2"/>
                <w:sz w:val="24"/>
                <w:szCs w:val="24"/>
                <w:vertAlign w:val="baseline"/>
                <w:lang w:val="en-US" w:eastAsia="zh-CN" w:bidi="ar-SA"/>
              </w:rPr>
              <w:t>底泥清淤</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奥敏游泳馆湿塘清淤方式采用与廖家巷相同的环保绞吸式清淤，清淤面积 15663m</w:t>
            </w:r>
            <w:r>
              <w:rPr>
                <w:rFonts w:hint="default" w:ascii="Times New Roman" w:hAnsi="Times New Roman" w:cs="Times New Roman"/>
                <w:color w:val="auto"/>
                <w:kern w:val="2"/>
                <w:sz w:val="24"/>
                <w:szCs w:val="24"/>
                <w:vertAlign w:val="superscript"/>
                <w:lang w:val="en-US" w:eastAsia="zh-CN" w:bidi="ar-SA"/>
              </w:rPr>
              <w:t>2</w:t>
            </w:r>
            <w:r>
              <w:rPr>
                <w:rFonts w:hint="default" w:ascii="Times New Roman" w:hAnsi="Times New Roman" w:cs="Times New Roman"/>
                <w:color w:val="auto"/>
                <w:kern w:val="2"/>
                <w:sz w:val="24"/>
                <w:szCs w:val="24"/>
                <w:vertAlign w:val="baseline"/>
                <w:lang w:val="en-US" w:eastAsia="zh-CN" w:bidi="ar-SA"/>
              </w:rPr>
              <w:t>，经水利断面模拟计算，清淤总量为3010m</w:t>
            </w:r>
            <w:r>
              <w:rPr>
                <w:rFonts w:hint="default" w:ascii="Times New Roman" w:hAnsi="Times New Roman" w:cs="Times New Roman"/>
                <w:color w:val="auto"/>
                <w:kern w:val="2"/>
                <w:sz w:val="24"/>
                <w:szCs w:val="24"/>
                <w:vertAlign w:val="superscript"/>
                <w:lang w:val="en-US" w:eastAsia="zh-CN" w:bidi="ar-SA"/>
              </w:rPr>
              <w:t>3</w:t>
            </w:r>
            <w:r>
              <w:rPr>
                <w:rFonts w:hint="default" w:ascii="Times New Roman" w:hAnsi="Times New Roman" w:cs="Times New Roman"/>
                <w:color w:val="auto"/>
                <w:kern w:val="2"/>
                <w:sz w:val="24"/>
                <w:szCs w:val="24"/>
                <w:vertAlign w:val="baseline"/>
                <w:lang w:val="en-US" w:eastAsia="zh-CN" w:bidi="ar-SA"/>
              </w:rPr>
              <w:t xml:space="preserve">。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奥敏游泳馆湿塘淤泥脱水处理与干泥处置方式与廖家巷湿塘和颐养院湿塘一致，工程实施时可同步处理。</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（3）底质改良</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cs="Times New Roman"/>
                <w:sz w:val="24"/>
                <w:szCs w:val="24"/>
              </w:rPr>
            </w:pPr>
            <w:r>
              <w:rPr>
                <w:rFonts w:hint="default" w:ascii="Times New Roman" w:hAnsi="Times New Roman" w:cs="Times New Roman"/>
                <w:color w:val="auto"/>
                <w:kern w:val="2"/>
                <w:sz w:val="24"/>
                <w:szCs w:val="24"/>
                <w:vertAlign w:val="baseline"/>
                <w:lang w:val="en-US" w:eastAsia="zh-CN" w:bidi="ar-SA"/>
              </w:rPr>
              <w:t>本工程对奥敏游泳馆湿塘全部面积清淤范围内进行底质改良，提高底质土壤的可种植性。</w:t>
            </w:r>
            <w:r>
              <w:rPr>
                <w:rFonts w:hint="eastAsia" w:cs="Times New Roman"/>
                <w:color w:val="auto"/>
                <w:kern w:val="2"/>
                <w:sz w:val="24"/>
                <w:szCs w:val="24"/>
                <w:vertAlign w:val="baseline"/>
                <w:lang w:val="en-US" w:eastAsia="zh-CN" w:bidi="ar-SA"/>
              </w:rPr>
              <w:t>底质改良方式与廖家巷底质改良方式相同</w:t>
            </w:r>
            <w:r>
              <w:rPr>
                <w:rFonts w:hint="default" w:ascii="Times New Roman" w:hAnsi="Times New Roman" w:cs="Times New Roman"/>
                <w:color w:val="auto"/>
                <w:kern w:val="2"/>
                <w:sz w:val="24"/>
                <w:szCs w:val="24"/>
                <w:vertAlign w:val="baseline"/>
                <w:lang w:val="en-US" w:eastAsia="zh-CN" w:bidi="ar-SA"/>
              </w:rPr>
              <w:t>。</w:t>
            </w:r>
            <w:r>
              <w:rPr>
                <w:rFonts w:hint="default" w:ascii="Times New Roman" w:hAnsi="Times New Roman" w:eastAsia="宋体" w:cs="Times New Roman"/>
                <w:color w:val="000000"/>
                <w:kern w:val="0"/>
                <w:sz w:val="24"/>
                <w:szCs w:val="24"/>
                <w:lang w:val="en-US" w:eastAsia="zh-CN" w:bidi="ar"/>
              </w:rPr>
              <w:t>本工程根据实际情况及工程进度，对湿塘投加底质改良剂，</w:t>
            </w:r>
            <w:r>
              <w:rPr>
                <w:rFonts w:hint="default" w:ascii="Times New Roman" w:hAnsi="Times New Roman" w:eastAsia="TimesNewRomanPSMT" w:cs="Times New Roman"/>
                <w:color w:val="000000"/>
                <w:kern w:val="0"/>
                <w:sz w:val="24"/>
                <w:szCs w:val="24"/>
                <w:lang w:val="en-US" w:eastAsia="zh-CN" w:bidi="ar"/>
              </w:rPr>
              <w:t>7</w:t>
            </w:r>
            <w:r>
              <w:rPr>
                <w:rFonts w:hint="default" w:ascii="Times New Roman" w:hAnsi="Times New Roman" w:eastAsia="宋体" w:cs="Times New Roman"/>
                <w:color w:val="000000"/>
                <w:kern w:val="0"/>
                <w:sz w:val="24"/>
                <w:szCs w:val="24"/>
                <w:lang w:val="en-US" w:eastAsia="zh-CN" w:bidi="ar"/>
              </w:rPr>
              <w:t>天投加</w:t>
            </w:r>
            <w:r>
              <w:rPr>
                <w:rFonts w:hint="default" w:ascii="Times New Roman" w:hAnsi="Times New Roman" w:eastAsia="TimesNewRomanPSMT" w:cs="Times New Roman"/>
                <w:color w:val="000000"/>
                <w:kern w:val="0"/>
                <w:sz w:val="24"/>
                <w:szCs w:val="24"/>
                <w:lang w:val="en-US" w:eastAsia="zh-CN" w:bidi="ar"/>
              </w:rPr>
              <w:t>1</w:t>
            </w:r>
            <w:r>
              <w:rPr>
                <w:rFonts w:hint="default" w:ascii="Times New Roman" w:hAnsi="Times New Roman" w:eastAsia="宋体" w:cs="Times New Roman"/>
                <w:color w:val="000000"/>
                <w:kern w:val="0"/>
                <w:sz w:val="24"/>
                <w:szCs w:val="24"/>
                <w:lang w:val="en-US" w:eastAsia="zh-CN" w:bidi="ar"/>
              </w:rPr>
              <w:t>次，共投加</w:t>
            </w:r>
            <w:r>
              <w:rPr>
                <w:rFonts w:hint="default" w:ascii="Times New Roman" w:hAnsi="Times New Roman" w:eastAsia="TimesNewRomanPSMT" w:cs="Times New Roman"/>
                <w:color w:val="000000"/>
                <w:kern w:val="0"/>
                <w:sz w:val="24"/>
                <w:szCs w:val="24"/>
                <w:lang w:val="en-US" w:eastAsia="zh-CN" w:bidi="ar"/>
              </w:rPr>
              <w:t>8</w:t>
            </w:r>
            <w:r>
              <w:rPr>
                <w:rFonts w:hint="default" w:ascii="Times New Roman" w:hAnsi="Times New Roman" w:eastAsia="宋体" w:cs="Times New Roman"/>
                <w:color w:val="000000"/>
                <w:kern w:val="0"/>
                <w:sz w:val="24"/>
                <w:szCs w:val="24"/>
                <w:lang w:val="en-US" w:eastAsia="zh-CN" w:bidi="ar"/>
              </w:rPr>
              <w:t>次。本工程共计需投加底质改良剂</w:t>
            </w:r>
            <w:r>
              <w:rPr>
                <w:rFonts w:hint="eastAsia" w:cs="Times New Roman"/>
                <w:color w:val="000000"/>
                <w:kern w:val="0"/>
                <w:sz w:val="24"/>
                <w:szCs w:val="24"/>
                <w:lang w:val="en-US" w:eastAsia="zh-CN" w:bidi="ar"/>
              </w:rPr>
              <w:t>1880</w:t>
            </w:r>
            <w:r>
              <w:rPr>
                <w:rFonts w:hint="default" w:ascii="Times New Roman" w:hAnsi="Times New Roman" w:eastAsia="TimesNewRomanPSMT" w:cs="Times New Roman"/>
                <w:color w:val="000000"/>
                <w:kern w:val="0"/>
                <w:sz w:val="24"/>
                <w:szCs w:val="24"/>
                <w:lang w:val="en-US" w:eastAsia="zh-CN" w:bidi="ar"/>
              </w:rPr>
              <w:t>kg</w:t>
            </w:r>
            <w:r>
              <w:rPr>
                <w:rFonts w:hint="default" w:ascii="Times New Roman" w:hAnsi="Times New Roman" w:eastAsia="宋体" w:cs="Times New Roman"/>
                <w:color w:val="000000"/>
                <w:kern w:val="0"/>
                <w:sz w:val="24"/>
                <w:szCs w:val="24"/>
                <w:lang w:val="en-US" w:eastAsia="zh-CN" w:bidi="ar"/>
              </w:rPr>
              <w:t xml:space="preserve">。后期根据水生植物的实际生长情况酌情添加。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（4）面源控制</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根据现场地形及周边环境情况，通过建设生态沟渠、生态滤坝、生态滞留塘、生态净化塘等工程，</w:t>
            </w:r>
            <w:r>
              <w:rPr>
                <w:rFonts w:hint="eastAsia" w:ascii="Times New Roman" w:hAnsi="Times New Roman" w:cs="Times New Roman"/>
                <w:color w:val="auto"/>
                <w:kern w:val="2"/>
                <w:sz w:val="24"/>
                <w:szCs w:val="24"/>
                <w:vertAlign w:val="baseline"/>
                <w:lang w:val="en-US" w:eastAsia="zh-CN" w:bidi="ar-SA"/>
              </w:rPr>
              <w:t>奥敏游泳馆湿塘面源控制工程建设内容与廖家巷湿塘一致。</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（5）岸坡稳定</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奥敏游泳馆湿塘</w:t>
            </w:r>
            <w:r>
              <w:rPr>
                <w:rFonts w:hint="default" w:ascii="Times New Roman" w:hAnsi="Times New Roman" w:cs="Times New Roman"/>
                <w:color w:val="auto"/>
                <w:kern w:val="2"/>
                <w:sz w:val="24"/>
                <w:szCs w:val="24"/>
                <w:vertAlign w:val="baseline"/>
                <w:lang w:val="en-US" w:eastAsia="zh-CN" w:bidi="ar-SA"/>
              </w:rPr>
              <w:t>实际情况与廖家巷湿塘相似，本工程中护坡采用与廖家巷湿塘一致的人工种草自然护坡。护岸平面形状保留弯曲自然形态，避免单调使用直线。</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奥敏游泳馆湿塘岸坡设计总长度761m。需要护岸护坡人工种草自然护坡面积总计约 9450m</w:t>
            </w:r>
            <w:r>
              <w:rPr>
                <w:rFonts w:hint="default" w:ascii="Times New Roman" w:hAnsi="Times New Roman" w:cs="Times New Roman"/>
                <w:color w:val="auto"/>
                <w:kern w:val="2"/>
                <w:sz w:val="24"/>
                <w:szCs w:val="24"/>
                <w:vertAlign w:val="superscript"/>
                <w:lang w:val="en-US" w:eastAsia="zh-CN" w:bidi="ar-SA"/>
              </w:rPr>
              <w:t>2</w:t>
            </w:r>
            <w:r>
              <w:rPr>
                <w:rFonts w:hint="default" w:ascii="Times New Roman" w:hAnsi="Times New Roman" w:cs="Times New Roman"/>
                <w:color w:val="auto"/>
                <w:kern w:val="2"/>
                <w:sz w:val="24"/>
                <w:szCs w:val="24"/>
                <w:vertAlign w:val="baseline"/>
                <w:lang w:val="en-US" w:eastAsia="zh-CN" w:bidi="ar-SA"/>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（6）水生态修复</w:t>
            </w:r>
          </w:p>
          <w:p>
            <w:pPr>
              <w:keepNext w:val="0"/>
              <w:keepLines w:val="0"/>
              <w:pageBreakBefore w:val="0"/>
              <w:widowControl/>
              <w:suppressLineNumbers w:val="0"/>
              <w:kinsoku/>
              <w:wordWrap/>
              <w:overflowPunct/>
              <w:topLinePunct w:val="0"/>
              <w:bidi w:val="0"/>
              <w:adjustRightInd/>
              <w:snapToGrid/>
              <w:spacing w:line="360" w:lineRule="auto"/>
              <w:ind w:leftChars="0" w:firstLine="480" w:firstLineChars="200"/>
              <w:jc w:val="left"/>
              <w:textAlignment w:val="auto"/>
              <w:rPr>
                <w:rFonts w:hint="default" w:ascii="Times New Roman" w:hAnsi="Times New Roman" w:cs="Times New Roman"/>
                <w:sz w:val="24"/>
                <w:szCs w:val="24"/>
              </w:rPr>
            </w:pPr>
            <w:r>
              <w:rPr>
                <w:rFonts w:hint="eastAsia" w:cs="Times New Roman"/>
                <w:sz w:val="24"/>
                <w:szCs w:val="24"/>
                <w:lang w:val="en-US" w:eastAsia="zh-CN"/>
              </w:rPr>
              <w:t>奥敏游泳馆</w:t>
            </w:r>
            <w:r>
              <w:rPr>
                <w:rFonts w:hint="default" w:ascii="Times New Roman" w:hAnsi="Times New Roman" w:cs="Times New Roman"/>
                <w:sz w:val="24"/>
                <w:szCs w:val="24"/>
                <w:lang w:val="en-US" w:eastAsia="zh-CN"/>
              </w:rPr>
              <w:t>湿塘种植的均为净化效果较好、易成活、维护简单的水生植物，其中挺水植物包括芦苇、美人蕉、水葱、黄菖蒲、再力花、鸢尾，种植面积共计</w:t>
            </w:r>
            <w:r>
              <w:rPr>
                <w:rFonts w:hint="eastAsia" w:cs="Times New Roman"/>
                <w:sz w:val="24"/>
                <w:szCs w:val="24"/>
                <w:lang w:val="en-US" w:eastAsia="zh-CN"/>
              </w:rPr>
              <w:t>2695</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；沉水植物包括金鱼藻、狐尾藻、黑藻、苦草，种植面积共计</w:t>
            </w:r>
            <w:r>
              <w:rPr>
                <w:rFonts w:hint="eastAsia" w:cs="Times New Roman"/>
                <w:sz w:val="24"/>
                <w:szCs w:val="24"/>
                <w:lang w:val="en-US" w:eastAsia="zh-CN"/>
              </w:rPr>
              <w:t>6095</w:t>
            </w:r>
            <w:r>
              <w:rPr>
                <w:rFonts w:hint="default" w:ascii="Times New Roman" w:hAnsi="Times New Roman" w:cs="Times New Roman"/>
                <w:sz w:val="24"/>
                <w:szCs w:val="24"/>
                <w:lang w:val="en-US" w:eastAsia="zh-CN"/>
              </w:rPr>
              <w:t>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（7）退水设施</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vertAlign w:val="baseline"/>
                <w:lang w:val="en-US" w:eastAsia="zh-CN" w:bidi="ar-SA"/>
              </w:rPr>
            </w:pPr>
            <w:r>
              <w:rPr>
                <w:rFonts w:hint="default" w:ascii="Times New Roman" w:hAnsi="Times New Roman" w:cs="Times New Roman"/>
                <w:color w:val="auto"/>
                <w:kern w:val="2"/>
                <w:sz w:val="24"/>
                <w:szCs w:val="24"/>
                <w:vertAlign w:val="baseline"/>
                <w:lang w:val="en-US" w:eastAsia="zh-CN" w:bidi="ar-SA"/>
              </w:rPr>
              <w:t xml:space="preserve">为在汛期有效调节廖家巷湿塘的水位，需要在廖家巷湿塘与南北港河修建退水闸1座。退水闸闸室段直接连接涵管通向南北港河，共1孔，单孔净宽 1m，闸底板高程为25.00m，底板厚 0.5m，边墩厚 0.6m 为矩形断面，整个闸室采用C30钢筋砼予以现浇，底部铺设 0.1m 厚 C15 砼垫层，具体结构详见图纸。退水闸采用的闸门规格为 PGZ1.0m（宽）×1.0m（高），由于闸门启闭次数有限，启闭机可采用 QL 手电两用系列螺杆启闭机，型号为QL-30-SD，闸门采用双向止水。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eastAsia"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奥敏游泳馆湿塘正常蓄水位为28.16m，安全超高定为0.4m，当湿塘水位达到28.56m时，闸门需要打开放水，同时在湿塘需要进行换水等情况时，也可对闸门的启闭进行启闭调节。</w:t>
            </w:r>
          </w:p>
          <w:p>
            <w:pPr>
              <w:pStyle w:val="2"/>
              <w:pageBreakBefore w:val="0"/>
              <w:widowControl w:val="0"/>
              <w:numPr>
                <w:ilvl w:val="2"/>
                <w:numId w:val="0"/>
              </w:numPr>
              <w:kinsoku/>
              <w:wordWrap/>
              <w:overflowPunct/>
              <w:topLinePunct w:val="0"/>
              <w:autoSpaceDE/>
              <w:autoSpaceDN/>
              <w:bidi w:val="0"/>
              <w:adjustRightInd/>
              <w:snapToGrid/>
              <w:spacing w:line="360" w:lineRule="auto"/>
              <w:ind w:leftChars="0"/>
              <w:textAlignment w:val="auto"/>
              <w:rPr>
                <w:rFonts w:hint="default" w:cs="Times New Roman"/>
                <w:b/>
                <w:bCs/>
                <w:color w:val="auto"/>
                <w:sz w:val="24"/>
                <w:szCs w:val="24"/>
                <w:u w:val="single"/>
                <w:lang w:val="en-US" w:eastAsia="zh-CN"/>
              </w:rPr>
            </w:pPr>
            <w:r>
              <w:rPr>
                <w:rFonts w:hint="eastAsia" w:cs="Times New Roman"/>
                <w:b/>
                <w:bCs/>
                <w:color w:val="auto"/>
                <w:sz w:val="24"/>
                <w:szCs w:val="24"/>
                <w:u w:val="single"/>
                <w:lang w:val="en-US" w:eastAsia="zh-CN"/>
              </w:rPr>
              <w:t>1.8.4 污染治理削减量</w:t>
            </w:r>
          </w:p>
          <w:p>
            <w:pPr>
              <w:pStyle w:val="2"/>
              <w:pageBreakBefore w:val="0"/>
              <w:widowControl w:val="0"/>
              <w:numPr>
                <w:ilvl w:val="2"/>
                <w:numId w:val="0"/>
              </w:numPr>
              <w:kinsoku/>
              <w:wordWrap/>
              <w:overflowPunct/>
              <w:topLinePunct w:val="0"/>
              <w:autoSpaceDE/>
              <w:autoSpaceDN/>
              <w:bidi w:val="0"/>
              <w:adjustRightInd/>
              <w:snapToGrid/>
              <w:spacing w:line="360" w:lineRule="auto"/>
              <w:ind w:leftChars="0"/>
              <w:textAlignment w:val="auto"/>
              <w:rPr>
                <w:rFonts w:hint="eastAsia" w:cs="Times New Roman"/>
                <w:b/>
                <w:bCs/>
                <w:color w:val="auto"/>
                <w:sz w:val="24"/>
                <w:szCs w:val="24"/>
                <w:u w:val="single"/>
                <w:lang w:val="en-US" w:eastAsia="zh-CN"/>
              </w:rPr>
            </w:pPr>
            <w:r>
              <w:rPr>
                <w:rFonts w:hint="eastAsia" w:cs="Times New Roman"/>
                <w:b/>
                <w:bCs/>
                <w:color w:val="auto"/>
                <w:sz w:val="24"/>
                <w:szCs w:val="24"/>
                <w:u w:val="single"/>
                <w:lang w:val="en-US" w:eastAsia="zh-CN"/>
              </w:rPr>
              <w:t>1.8.4.1面源污染治理</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default"/>
                <w:sz w:val="24"/>
                <w:szCs w:val="24"/>
                <w:u w:val="single"/>
                <w:lang w:val="en-US" w:eastAsia="zh-CN"/>
              </w:rPr>
              <w:t>项目区面源污染采用面源控制、岸坡稳定、水生态系统构建强化耦合膜生物反应技术等措施主要进行面源污染治理，根据本项目 2020 年要达到水质提升至《地表水环境质量标准》（GB3838-2002）中地表Ⅳ类水标准的目标。本项目面源污染削减负荷按照此标准进行计算。</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default"/>
                <w:sz w:val="24"/>
                <w:szCs w:val="24"/>
                <w:u w:val="single"/>
                <w:lang w:val="en-US" w:eastAsia="zh-CN"/>
              </w:rPr>
              <w:t xml:space="preserve">（1）廖家巷湿塘面源污染COD削减总量为 33.04t/a，TN削减总量为4.71t/a，TP削减总量为 1.05t/a，经与要求削减污染负荷比较可得，本项目廖家巷湿塘面源污染可完成良好治理。 </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default"/>
                <w:sz w:val="24"/>
                <w:szCs w:val="24"/>
                <w:u w:val="single"/>
                <w:lang w:val="en-US" w:eastAsia="zh-CN"/>
              </w:rPr>
              <w:t xml:space="preserve">（2）颐养院湿塘面源污染COD削减总量为16.43t/a，TN削减总量为2.39t/a，TP削减总量为 0.55t/a，经与要求削减污染负荷比较可得，本项目颐养院湿塘面源污染可完成良好治理。 </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default"/>
                <w:sz w:val="24"/>
                <w:szCs w:val="24"/>
                <w:u w:val="single"/>
                <w:lang w:val="en-US" w:eastAsia="zh-CN"/>
              </w:rPr>
              <w:t>（3）奥敏游泳馆湿塘面源污染 COD 削减总量为 16.45t/a，TN 削减总量为 2.40t/a，TP 削减总量为 0.51t/a，经与要求削减污染负荷比较可得，本项目奥敏游泳馆湿塘面源污染可完成良好治理</w:t>
            </w:r>
            <w:r>
              <w:rPr>
                <w:rFonts w:hint="eastAsia"/>
                <w:sz w:val="24"/>
                <w:szCs w:val="24"/>
                <w:u w:val="single"/>
                <w:lang w:val="en-US" w:eastAsia="zh-CN"/>
              </w:rPr>
              <w:t>。</w:t>
            </w:r>
          </w:p>
          <w:p>
            <w:pPr>
              <w:pageBreakBefore w:val="0"/>
              <w:widowControl w:val="0"/>
              <w:kinsoku/>
              <w:wordWrap/>
              <w:overflowPunct/>
              <w:topLinePunct w:val="0"/>
              <w:autoSpaceDE/>
              <w:autoSpaceDN/>
              <w:bidi w:val="0"/>
              <w:adjustRightInd/>
              <w:snapToGrid/>
              <w:spacing w:line="360" w:lineRule="auto"/>
              <w:textAlignment w:val="auto"/>
              <w:rPr>
                <w:rFonts w:hint="default"/>
                <w:b/>
                <w:bCs/>
                <w:sz w:val="24"/>
                <w:szCs w:val="24"/>
                <w:lang w:val="en-US" w:eastAsia="zh-CN"/>
              </w:rPr>
            </w:pPr>
            <w:r>
              <w:rPr>
                <w:rFonts w:hint="eastAsia" w:cs="Times New Roman"/>
                <w:b/>
                <w:bCs/>
                <w:color w:val="auto"/>
                <w:sz w:val="24"/>
                <w:szCs w:val="24"/>
                <w:u w:val="none"/>
                <w:lang w:val="en-US" w:eastAsia="zh-CN"/>
              </w:rPr>
              <w:t>1.8.4.2</w:t>
            </w:r>
            <w:r>
              <w:rPr>
                <w:rFonts w:hint="eastAsia"/>
                <w:b/>
                <w:bCs/>
                <w:sz w:val="24"/>
                <w:szCs w:val="24"/>
                <w:lang w:val="en-US" w:eastAsia="zh-CN"/>
              </w:rPr>
              <w:t>点源污染治理</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NewRomanPSMT" w:hAnsi="TimesNewRomanPSMT" w:eastAsia="TimesNewRomanPSMT" w:cs="TimesNewRomanPSMT"/>
                <w:color w:val="000000"/>
                <w:kern w:val="0"/>
                <w:sz w:val="24"/>
                <w:szCs w:val="24"/>
                <w:u w:val="single"/>
                <w:lang w:val="en-US" w:eastAsia="zh-CN" w:bidi="ar"/>
              </w:rPr>
            </w:pPr>
            <w:r>
              <w:rPr>
                <w:rFonts w:hint="eastAsia" w:ascii="宋体" w:hAnsi="宋体" w:eastAsia="宋体" w:cs="宋体"/>
                <w:color w:val="000000"/>
                <w:kern w:val="0"/>
                <w:sz w:val="24"/>
                <w:szCs w:val="24"/>
                <w:u w:val="single"/>
                <w:lang w:val="en-US" w:eastAsia="zh-CN" w:bidi="ar"/>
              </w:rPr>
              <w:t xml:space="preserve">项目区点源污染针对流量较大的排口采用一体化提升泵站输送至市政管网，将沟渠引至市政管网，从源头上消除排口向水体中释放污染物，基本上解决点源污染的问题。其余小于 </w:t>
            </w:r>
            <w:r>
              <w:rPr>
                <w:rFonts w:ascii="TimesNewRomanPSMT" w:hAnsi="TimesNewRomanPSMT" w:eastAsia="TimesNewRomanPSMT" w:cs="TimesNewRomanPSMT"/>
                <w:color w:val="000000"/>
                <w:kern w:val="0"/>
                <w:sz w:val="24"/>
                <w:szCs w:val="24"/>
                <w:u w:val="single"/>
                <w:lang w:val="en-US" w:eastAsia="zh-CN" w:bidi="ar"/>
              </w:rPr>
              <w:t>10m</w:t>
            </w:r>
            <w:r>
              <w:rPr>
                <w:rFonts w:hint="default" w:ascii="TimesNewRomanPSMT" w:hAnsi="TimesNewRomanPSMT" w:eastAsia="TimesNewRomanPSMT" w:cs="TimesNewRomanPSMT"/>
                <w:color w:val="000000"/>
                <w:kern w:val="0"/>
                <w:sz w:val="24"/>
                <w:szCs w:val="24"/>
                <w:u w:val="single"/>
                <w:vertAlign w:val="super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 xml:space="preserve"> /d </w:t>
            </w:r>
            <w:r>
              <w:rPr>
                <w:rFonts w:hint="eastAsia" w:ascii="宋体" w:hAnsi="宋体" w:eastAsia="宋体" w:cs="宋体"/>
                <w:color w:val="000000"/>
                <w:kern w:val="0"/>
                <w:sz w:val="24"/>
                <w:szCs w:val="24"/>
                <w:u w:val="single"/>
                <w:lang w:val="en-US" w:eastAsia="zh-CN" w:bidi="ar"/>
              </w:rPr>
              <w:t>散户采用一体化污水处理设备进行点源污染治理，根据设计进水水质执行《农村生活污水处理工程技术标准》（</w:t>
            </w:r>
            <w:r>
              <w:rPr>
                <w:rFonts w:hint="default" w:ascii="TimesNewRomanPSMT" w:hAnsi="TimesNewRomanPSMT" w:eastAsia="TimesNewRomanPSMT" w:cs="TimesNewRomanPSMT"/>
                <w:color w:val="000000"/>
                <w:kern w:val="0"/>
                <w:sz w:val="24"/>
                <w:szCs w:val="24"/>
                <w:u w:val="single"/>
                <w:lang w:val="en-US" w:eastAsia="zh-CN" w:bidi="ar"/>
              </w:rPr>
              <w:t>GBT 51347-2019</w:t>
            </w:r>
            <w:r>
              <w:rPr>
                <w:rFonts w:hint="eastAsia" w:ascii="宋体" w:hAnsi="宋体" w:eastAsia="宋体" w:cs="宋体"/>
                <w:color w:val="000000"/>
                <w:kern w:val="0"/>
                <w:sz w:val="24"/>
                <w:szCs w:val="24"/>
                <w:u w:val="single"/>
                <w:lang w:val="en-US" w:eastAsia="zh-CN" w:bidi="ar"/>
              </w:rPr>
              <w:t>）农村居民生活污水水质参考值，设计出水执行更严格的《城镇污水处理厂污染物排放标准》（</w:t>
            </w:r>
            <w:r>
              <w:rPr>
                <w:rFonts w:hint="default" w:ascii="TimesNewRomanPSMT" w:hAnsi="TimesNewRomanPSMT" w:eastAsia="TimesNewRomanPSMT" w:cs="TimesNewRomanPSMT"/>
                <w:color w:val="000000"/>
                <w:kern w:val="0"/>
                <w:sz w:val="24"/>
                <w:szCs w:val="24"/>
                <w:u w:val="single"/>
                <w:lang w:val="en-US" w:eastAsia="zh-CN" w:bidi="ar"/>
              </w:rPr>
              <w:t>GB 18918-2002</w:t>
            </w:r>
            <w:r>
              <w:rPr>
                <w:rFonts w:hint="eastAsia" w:ascii="宋体" w:hAnsi="宋体" w:eastAsia="宋体" w:cs="宋体"/>
                <w:color w:val="000000"/>
                <w:kern w:val="0"/>
                <w:sz w:val="24"/>
                <w:szCs w:val="24"/>
                <w:u w:val="single"/>
                <w:lang w:val="en-US" w:eastAsia="zh-CN" w:bidi="ar"/>
              </w:rPr>
              <w:t xml:space="preserve">）一级 </w:t>
            </w:r>
            <w:r>
              <w:rPr>
                <w:rFonts w:hint="default" w:ascii="TimesNewRomanPSMT" w:hAnsi="TimesNewRomanPSMT" w:eastAsia="TimesNewRomanPSMT" w:cs="TimesNewRomanPSMT"/>
                <w:color w:val="000000"/>
                <w:kern w:val="0"/>
                <w:sz w:val="24"/>
                <w:szCs w:val="24"/>
                <w:u w:val="single"/>
                <w:lang w:val="en-US" w:eastAsia="zh-CN" w:bidi="ar"/>
              </w:rPr>
              <w:t xml:space="preserve">B </w:t>
            </w:r>
            <w:r>
              <w:rPr>
                <w:rFonts w:hint="eastAsia" w:ascii="宋体" w:hAnsi="宋体" w:eastAsia="宋体" w:cs="宋体"/>
                <w:color w:val="000000"/>
                <w:kern w:val="0"/>
                <w:sz w:val="24"/>
                <w:szCs w:val="24"/>
                <w:u w:val="single"/>
                <w:lang w:val="en-US" w:eastAsia="zh-CN" w:bidi="ar"/>
              </w:rPr>
              <w:t>标准，经计算，</w:t>
            </w:r>
            <w:r>
              <w:rPr>
                <w:rFonts w:hint="default" w:ascii="TimesNewRomanPSMT" w:hAnsi="TimesNewRomanPSMT" w:eastAsia="TimesNewRomanPSMT" w:cs="TimesNewRomanPSMT"/>
                <w:color w:val="000000"/>
                <w:kern w:val="0"/>
                <w:sz w:val="24"/>
                <w:szCs w:val="24"/>
                <w:u w:val="single"/>
                <w:lang w:val="en-US" w:eastAsia="zh-CN" w:bidi="ar"/>
              </w:rPr>
              <w:t xml:space="preserve">COD </w:t>
            </w:r>
            <w:r>
              <w:rPr>
                <w:rFonts w:hint="eastAsia" w:ascii="宋体" w:hAnsi="宋体" w:eastAsia="宋体" w:cs="宋体"/>
                <w:color w:val="000000"/>
                <w:kern w:val="0"/>
                <w:sz w:val="24"/>
                <w:szCs w:val="24"/>
                <w:u w:val="single"/>
                <w:lang w:val="en-US" w:eastAsia="zh-CN" w:bidi="ar"/>
              </w:rPr>
              <w:t>单元削减污染负荷：</w:t>
            </w:r>
            <w:r>
              <w:rPr>
                <w:rFonts w:hint="default" w:ascii="TimesNewRomanPSMT" w:hAnsi="TimesNewRomanPSMT" w:eastAsia="TimesNewRomanPSMT" w:cs="TimesNewRomanPSMT"/>
                <w:color w:val="000000"/>
                <w:kern w:val="0"/>
                <w:sz w:val="24"/>
                <w:szCs w:val="24"/>
                <w:u w:val="single"/>
                <w:lang w:val="en-US" w:eastAsia="zh-CN" w:bidi="ar"/>
              </w:rPr>
              <w:t>340mg/L</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TN </w:t>
            </w:r>
            <w:r>
              <w:rPr>
                <w:rFonts w:hint="eastAsia" w:ascii="宋体" w:hAnsi="宋体" w:eastAsia="宋体" w:cs="宋体"/>
                <w:color w:val="000000"/>
                <w:kern w:val="0"/>
                <w:sz w:val="24"/>
                <w:szCs w:val="24"/>
                <w:u w:val="single"/>
                <w:lang w:val="en-US" w:eastAsia="zh-CN" w:bidi="ar"/>
              </w:rPr>
              <w:t>单元削减污染负荷：</w:t>
            </w:r>
            <w:r>
              <w:rPr>
                <w:rFonts w:hint="default" w:ascii="TimesNewRomanPSMT" w:hAnsi="TimesNewRomanPSMT" w:eastAsia="TimesNewRomanPSMT" w:cs="TimesNewRomanPSMT"/>
                <w:color w:val="000000"/>
                <w:kern w:val="0"/>
                <w:sz w:val="24"/>
                <w:szCs w:val="24"/>
                <w:u w:val="single"/>
                <w:lang w:val="en-US" w:eastAsia="zh-CN" w:bidi="ar"/>
              </w:rPr>
              <w:t>30mg/L</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TP </w:t>
            </w:r>
            <w:r>
              <w:rPr>
                <w:rFonts w:hint="eastAsia" w:ascii="宋体" w:hAnsi="宋体" w:eastAsia="宋体" w:cs="宋体"/>
                <w:color w:val="000000"/>
                <w:kern w:val="0"/>
                <w:sz w:val="24"/>
                <w:szCs w:val="24"/>
                <w:u w:val="single"/>
                <w:lang w:val="en-US" w:eastAsia="zh-CN" w:bidi="ar"/>
              </w:rPr>
              <w:t>单元削减污染负荷：</w:t>
            </w:r>
            <w:r>
              <w:rPr>
                <w:rFonts w:hint="default" w:ascii="TimesNewRomanPSMT" w:hAnsi="TimesNewRomanPSMT" w:eastAsia="TimesNewRomanPSMT" w:cs="TimesNewRomanPSMT"/>
                <w:color w:val="000000"/>
                <w:kern w:val="0"/>
                <w:sz w:val="24"/>
                <w:szCs w:val="24"/>
                <w:u w:val="single"/>
                <w:lang w:val="en-US" w:eastAsia="zh-CN" w:bidi="ar"/>
              </w:rPr>
              <w:t>6mg/L</w:t>
            </w:r>
            <w:r>
              <w:rPr>
                <w:rFonts w:hint="eastAsia" w:ascii="宋体" w:hAnsi="宋体" w:eastAsia="宋体" w:cs="宋体"/>
                <w:color w:val="000000"/>
                <w:kern w:val="0"/>
                <w:sz w:val="24"/>
                <w:szCs w:val="24"/>
                <w:u w:val="single"/>
                <w:lang w:val="en-US" w:eastAsia="zh-CN" w:bidi="ar"/>
              </w:rPr>
              <w:t xml:space="preserve">。需要经过一体化污水处理设备处理廖家巷湿塘污水总处理量为 </w:t>
            </w:r>
            <w:r>
              <w:rPr>
                <w:rFonts w:hint="default" w:ascii="TimesNewRomanPSMT" w:hAnsi="TimesNewRomanPSMT" w:eastAsia="TimesNewRomanPSMT" w:cs="TimesNewRomanPSMT"/>
                <w:color w:val="000000"/>
                <w:kern w:val="0"/>
                <w:sz w:val="24"/>
                <w:szCs w:val="24"/>
                <w:u w:val="single"/>
                <w:lang w:val="en-US" w:eastAsia="zh-CN" w:bidi="ar"/>
              </w:rPr>
              <w:t>8 m</w:t>
            </w:r>
            <w:r>
              <w:rPr>
                <w:rFonts w:hint="default" w:ascii="TimesNewRomanPSMT" w:hAnsi="TimesNewRomanPSMT" w:eastAsia="TimesNewRomanPSMT" w:cs="TimesNewRomanPSMT"/>
                <w:color w:val="000000"/>
                <w:kern w:val="0"/>
                <w:sz w:val="24"/>
                <w:szCs w:val="24"/>
                <w:u w:val="single"/>
                <w:vertAlign w:val="super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 xml:space="preserve"> /d</w:t>
            </w:r>
            <w:r>
              <w:rPr>
                <w:rFonts w:hint="eastAsia" w:ascii="宋体" w:hAnsi="宋体" w:eastAsia="宋体" w:cs="宋体"/>
                <w:color w:val="000000"/>
                <w:kern w:val="0"/>
                <w:sz w:val="24"/>
                <w:szCs w:val="24"/>
                <w:u w:val="single"/>
                <w:lang w:val="en-US" w:eastAsia="zh-CN" w:bidi="ar"/>
              </w:rPr>
              <w:t xml:space="preserve">，颐养院湿塘污水总处理量为 </w:t>
            </w:r>
            <w:r>
              <w:rPr>
                <w:rFonts w:hint="default" w:ascii="TimesNewRomanPSMT" w:hAnsi="TimesNewRomanPSMT" w:eastAsia="TimesNewRomanPSMT" w:cs="TimesNewRomanPSMT"/>
                <w:color w:val="000000"/>
                <w:kern w:val="0"/>
                <w:sz w:val="24"/>
                <w:szCs w:val="24"/>
                <w:u w:val="single"/>
                <w:lang w:val="en-US" w:eastAsia="zh-CN" w:bidi="ar"/>
              </w:rPr>
              <w:t>5 m</w:t>
            </w:r>
            <w:r>
              <w:rPr>
                <w:rFonts w:hint="default" w:ascii="TimesNewRomanPSMT" w:hAnsi="TimesNewRomanPSMT" w:eastAsia="TimesNewRomanPSMT" w:cs="TimesNewRomanPSMT"/>
                <w:color w:val="000000"/>
                <w:kern w:val="0"/>
                <w:sz w:val="24"/>
                <w:szCs w:val="24"/>
                <w:u w:val="single"/>
                <w:vertAlign w:val="superscript"/>
                <w:lang w:val="en-US" w:eastAsia="zh-CN" w:bidi="ar"/>
              </w:rPr>
              <w:t>3</w:t>
            </w:r>
            <w:r>
              <w:rPr>
                <w:rFonts w:hint="default" w:ascii="TimesNewRomanPSMT" w:hAnsi="TimesNewRomanPSMT" w:eastAsia="TimesNewRomanPSMT" w:cs="TimesNewRomanPSMT"/>
                <w:color w:val="000000"/>
                <w:kern w:val="0"/>
                <w:sz w:val="24"/>
                <w:szCs w:val="24"/>
                <w:u w:val="single"/>
                <w:lang w:val="en-US" w:eastAsia="zh-CN" w:bidi="ar"/>
              </w:rPr>
              <w:t xml:space="preserve"> /d</w:t>
            </w:r>
            <w:r>
              <w:rPr>
                <w:rFonts w:hint="eastAsia" w:ascii="宋体" w:hAnsi="宋体" w:eastAsia="宋体" w:cs="宋体"/>
                <w:color w:val="000000"/>
                <w:kern w:val="0"/>
                <w:sz w:val="24"/>
                <w:szCs w:val="24"/>
                <w:u w:val="single"/>
                <w:lang w:val="en-US" w:eastAsia="zh-CN" w:bidi="ar"/>
              </w:rPr>
              <w:t>，奥敏游泳馆湿塘污水总处理量为</w:t>
            </w:r>
            <w:r>
              <w:rPr>
                <w:rFonts w:hint="default" w:ascii="TimesNewRomanPSMT" w:hAnsi="TimesNewRomanPSMT" w:eastAsia="TimesNewRomanPSMT" w:cs="TimesNewRomanPSMT"/>
                <w:color w:val="000000"/>
                <w:kern w:val="0"/>
                <w:sz w:val="24"/>
                <w:szCs w:val="24"/>
                <w:u w:val="single"/>
                <w:lang w:val="en-US" w:eastAsia="zh-CN" w:bidi="ar"/>
              </w:rPr>
              <w:t>5m</w:t>
            </w:r>
            <w:r>
              <w:rPr>
                <w:rFonts w:hint="default" w:ascii="TimesNewRomanPSMT" w:hAnsi="TimesNewRomanPSMT" w:eastAsia="TimesNewRomanPSMT" w:cs="TimesNewRomanPSMT"/>
                <w:color w:val="000000"/>
                <w:kern w:val="0"/>
                <w:sz w:val="24"/>
                <w:szCs w:val="24"/>
                <w:u w:val="single"/>
                <w:vertAlign w:val="superscript"/>
                <w:lang w:val="en-US" w:eastAsia="zh-CN" w:bidi="ar"/>
              </w:rPr>
              <w:t xml:space="preserve">3 </w:t>
            </w:r>
            <w:r>
              <w:rPr>
                <w:rFonts w:hint="default" w:ascii="TimesNewRomanPSMT" w:hAnsi="TimesNewRomanPSMT" w:eastAsia="TimesNewRomanPSMT" w:cs="TimesNewRomanPSMT"/>
                <w:color w:val="000000"/>
                <w:kern w:val="0"/>
                <w:sz w:val="24"/>
                <w:szCs w:val="24"/>
                <w:u w:val="single"/>
                <w:lang w:val="en-US" w:eastAsia="zh-CN" w:bidi="ar"/>
              </w:rPr>
              <w:t>/d</w:t>
            </w:r>
            <w:r>
              <w:rPr>
                <w:rFonts w:hint="eastAsia" w:ascii="TimesNewRomanPSMT" w:hAnsi="TimesNewRomanPSMT" w:eastAsia="TimesNewRomanPSMT" w:cs="TimesNewRomanPSMT"/>
                <w:color w:val="000000"/>
                <w:kern w:val="0"/>
                <w:sz w:val="24"/>
                <w:szCs w:val="24"/>
                <w:u w:val="single"/>
                <w:lang w:val="en-US" w:eastAsia="zh-CN" w:bidi="ar"/>
              </w:rPr>
              <w:t>。</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eastAsia" w:ascii="TimesNewRomanPSMT" w:hAnsi="TimesNewRomanPSMT" w:eastAsia="TimesNewRomanPSMT" w:cs="TimesNewRomanPSMT"/>
                <w:color w:val="000000"/>
                <w:kern w:val="0"/>
                <w:sz w:val="24"/>
                <w:szCs w:val="24"/>
                <w:u w:val="single"/>
                <w:lang w:val="en-US" w:eastAsia="zh-CN" w:bidi="ar"/>
              </w:rPr>
              <w:t>经计算廖家巷湿塘</w:t>
            </w:r>
            <w:r>
              <w:rPr>
                <w:rFonts w:hint="default"/>
                <w:sz w:val="24"/>
                <w:szCs w:val="24"/>
                <w:u w:val="single"/>
                <w:lang w:val="en-US" w:eastAsia="zh-CN"/>
              </w:rPr>
              <w:t>COD削减总量为</w:t>
            </w:r>
            <w:r>
              <w:rPr>
                <w:rFonts w:hint="eastAsia"/>
                <w:sz w:val="24"/>
                <w:szCs w:val="24"/>
                <w:u w:val="single"/>
                <w:lang w:val="en-US" w:eastAsia="zh-CN"/>
              </w:rPr>
              <w:t>6.37</w:t>
            </w:r>
            <w:r>
              <w:rPr>
                <w:rFonts w:hint="default"/>
                <w:sz w:val="24"/>
                <w:szCs w:val="24"/>
                <w:u w:val="single"/>
                <w:lang w:val="en-US" w:eastAsia="zh-CN"/>
              </w:rPr>
              <w:t>t/a，TN削减总量为</w:t>
            </w:r>
            <w:r>
              <w:rPr>
                <w:rFonts w:hint="eastAsia"/>
                <w:sz w:val="24"/>
                <w:szCs w:val="24"/>
                <w:u w:val="single"/>
                <w:lang w:val="en-US" w:eastAsia="zh-CN"/>
              </w:rPr>
              <w:t>1.58</w:t>
            </w:r>
            <w:r>
              <w:rPr>
                <w:rFonts w:hint="default"/>
                <w:sz w:val="24"/>
                <w:szCs w:val="24"/>
                <w:u w:val="single"/>
                <w:lang w:val="en-US" w:eastAsia="zh-CN"/>
              </w:rPr>
              <w:t>t/a，TP削减总量为</w:t>
            </w:r>
            <w:r>
              <w:rPr>
                <w:rFonts w:hint="eastAsia"/>
                <w:sz w:val="24"/>
                <w:szCs w:val="24"/>
                <w:u w:val="single"/>
                <w:lang w:val="en-US" w:eastAsia="zh-CN"/>
              </w:rPr>
              <w:t>0.13</w:t>
            </w:r>
            <w:r>
              <w:rPr>
                <w:rFonts w:hint="default"/>
                <w:sz w:val="24"/>
                <w:szCs w:val="24"/>
                <w:u w:val="single"/>
                <w:lang w:val="en-US" w:eastAsia="zh-CN"/>
              </w:rPr>
              <w:t xml:space="preserve">t/a。 </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default"/>
                <w:sz w:val="24"/>
                <w:szCs w:val="24"/>
                <w:u w:val="single"/>
                <w:lang w:val="en-US" w:eastAsia="zh-CN"/>
              </w:rPr>
              <w:t>颐养院湿塘面源污染COD削减总量为</w:t>
            </w:r>
            <w:r>
              <w:rPr>
                <w:rFonts w:hint="eastAsia"/>
                <w:sz w:val="24"/>
                <w:szCs w:val="24"/>
                <w:u w:val="single"/>
                <w:lang w:val="en-US" w:eastAsia="zh-CN"/>
              </w:rPr>
              <w:t>1.87</w:t>
            </w:r>
            <w:r>
              <w:rPr>
                <w:rFonts w:hint="default"/>
                <w:sz w:val="24"/>
                <w:szCs w:val="24"/>
                <w:u w:val="single"/>
                <w:lang w:val="en-US" w:eastAsia="zh-CN"/>
              </w:rPr>
              <w:t>t/a，TN削减总量为</w:t>
            </w:r>
            <w:r>
              <w:rPr>
                <w:rFonts w:hint="eastAsia"/>
                <w:sz w:val="24"/>
                <w:szCs w:val="24"/>
                <w:u w:val="single"/>
                <w:lang w:val="en-US" w:eastAsia="zh-CN"/>
              </w:rPr>
              <w:t>0.30</w:t>
            </w:r>
            <w:r>
              <w:rPr>
                <w:rFonts w:hint="default"/>
                <w:sz w:val="24"/>
                <w:szCs w:val="24"/>
                <w:u w:val="single"/>
                <w:lang w:val="en-US" w:eastAsia="zh-CN"/>
              </w:rPr>
              <w:t>t/a，TP削减总量为 0.</w:t>
            </w:r>
            <w:r>
              <w:rPr>
                <w:rFonts w:hint="eastAsia"/>
                <w:sz w:val="24"/>
                <w:szCs w:val="24"/>
                <w:u w:val="single"/>
                <w:lang w:val="en-US" w:eastAsia="zh-CN"/>
              </w:rPr>
              <w:t>30</w:t>
            </w:r>
            <w:r>
              <w:rPr>
                <w:rFonts w:hint="default"/>
                <w:sz w:val="24"/>
                <w:szCs w:val="24"/>
                <w:u w:val="single"/>
                <w:lang w:val="en-US" w:eastAsia="zh-CN"/>
              </w:rPr>
              <w:t xml:space="preserve">t/a，经与要求削减污染负荷比较可得。 </w:t>
            </w:r>
          </w:p>
          <w:p>
            <w:pPr>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sz w:val="24"/>
                <w:szCs w:val="24"/>
                <w:u w:val="single"/>
                <w:lang w:val="en-US" w:eastAsia="zh-CN"/>
              </w:rPr>
            </w:pPr>
            <w:r>
              <w:rPr>
                <w:rFonts w:hint="default"/>
                <w:sz w:val="24"/>
                <w:szCs w:val="24"/>
                <w:u w:val="single"/>
                <w:lang w:val="en-US" w:eastAsia="zh-CN"/>
              </w:rPr>
              <w:t>奥敏游泳馆湿塘面源污染 COD 削减总量为</w:t>
            </w:r>
            <w:r>
              <w:rPr>
                <w:rFonts w:hint="eastAsia"/>
                <w:sz w:val="24"/>
                <w:szCs w:val="24"/>
                <w:u w:val="single"/>
                <w:lang w:val="en-US" w:eastAsia="zh-CN"/>
              </w:rPr>
              <w:t>12.00</w:t>
            </w:r>
            <w:r>
              <w:rPr>
                <w:rFonts w:hint="default"/>
                <w:sz w:val="24"/>
                <w:szCs w:val="24"/>
                <w:u w:val="single"/>
                <w:lang w:val="en-US" w:eastAsia="zh-CN"/>
              </w:rPr>
              <w:t>t/a，TN 削减总量为</w:t>
            </w:r>
            <w:r>
              <w:rPr>
                <w:rFonts w:hint="eastAsia"/>
                <w:sz w:val="24"/>
                <w:szCs w:val="24"/>
                <w:u w:val="single"/>
                <w:lang w:val="en-US" w:eastAsia="zh-CN"/>
              </w:rPr>
              <w:t>3.27</w:t>
            </w:r>
            <w:r>
              <w:rPr>
                <w:rFonts w:hint="default"/>
                <w:sz w:val="24"/>
                <w:szCs w:val="24"/>
                <w:u w:val="single"/>
                <w:lang w:val="en-US" w:eastAsia="zh-CN"/>
              </w:rPr>
              <w:t>t/a，TP 削减总量为</w:t>
            </w:r>
            <w:r>
              <w:rPr>
                <w:rFonts w:hint="eastAsia"/>
                <w:sz w:val="24"/>
                <w:szCs w:val="24"/>
                <w:u w:val="single"/>
                <w:lang w:val="en-US" w:eastAsia="zh-CN"/>
              </w:rPr>
              <w:t>0.1</w:t>
            </w:r>
            <w:r>
              <w:rPr>
                <w:rFonts w:hint="default"/>
                <w:sz w:val="24"/>
                <w:szCs w:val="24"/>
                <w:u w:val="single"/>
                <w:lang w:val="en-US" w:eastAsia="zh-CN"/>
              </w:rPr>
              <w:t>1t/a</w:t>
            </w:r>
            <w:r>
              <w:rPr>
                <w:rFonts w:hint="eastAsia"/>
                <w:sz w:val="24"/>
                <w:szCs w:val="24"/>
                <w:u w:val="single"/>
                <w:lang w:val="en-US" w:eastAsia="zh-CN"/>
              </w:rPr>
              <w:t>。</w:t>
            </w:r>
          </w:p>
          <w:p>
            <w:pPr>
              <w:pStyle w:val="2"/>
              <w:numPr>
                <w:ilvl w:val="2"/>
                <w:numId w:val="0"/>
              </w:numPr>
              <w:ind w:leftChars="0"/>
              <w:rPr>
                <w:rFonts w:hint="eastAsia"/>
                <w:b/>
                <w:bCs w:val="0"/>
                <w:sz w:val="24"/>
                <w:szCs w:val="24"/>
                <w:u w:val="single"/>
                <w:lang w:val="en-US" w:eastAsia="zh-CN"/>
              </w:rPr>
            </w:pPr>
            <w:r>
              <w:rPr>
                <w:rFonts w:hint="eastAsia"/>
                <w:b/>
                <w:bCs w:val="0"/>
                <w:sz w:val="24"/>
                <w:szCs w:val="24"/>
                <w:u w:val="single"/>
                <w:lang w:val="en-US" w:eastAsia="zh-CN"/>
              </w:rPr>
              <w:t>1.8.4.1内源污染治理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sz w:val="24"/>
                <w:szCs w:val="24"/>
                <w:u w:val="single"/>
                <w:lang w:val="en-US" w:eastAsia="zh-CN"/>
              </w:rPr>
            </w:pPr>
            <w:r>
              <w:rPr>
                <w:rFonts w:hint="default"/>
                <w:sz w:val="24"/>
                <w:szCs w:val="24"/>
                <w:u w:val="single"/>
                <w:lang w:val="en-US" w:eastAsia="zh-CN"/>
              </w:rPr>
              <w:t>项目区内源污染采用底泥清淤、底质改良的措施进行内源污染治理。本项目对湿塘底部淤泥进行彻底清理，三个湿塘共清理淤泥 18750m</w:t>
            </w:r>
            <w:r>
              <w:rPr>
                <w:rFonts w:hint="default"/>
                <w:sz w:val="24"/>
                <w:szCs w:val="24"/>
                <w:u w:val="single"/>
                <w:vertAlign w:val="superscript"/>
                <w:lang w:val="en-US" w:eastAsia="zh-CN"/>
              </w:rPr>
              <w:t>3</w:t>
            </w:r>
            <w:r>
              <w:rPr>
                <w:rFonts w:hint="default"/>
                <w:sz w:val="24"/>
                <w:szCs w:val="24"/>
                <w:u w:val="single"/>
                <w:lang w:val="en-US" w:eastAsia="zh-CN"/>
              </w:rPr>
              <w:t>，从源头上消除淤泥向水体中释放污染物。可削减COD约184.46t，TN 约 9.22t，TP 约4.92t。通过向水体中添加底质改良剂，进一步对清淤后的湿塘进行底质改良，提高底质土壤的可种植性，湿塘在这两种措施的治理下，本项目内源污染可完成良好治理。</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1.9项目管道施工方案</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textAlignment w:val="auto"/>
              <w:outlineLvl w:val="9"/>
              <w:rPr>
                <w:rFonts w:hint="default" w:ascii="Times New Roman" w:hAnsi="Times New Roman" w:cs="Times New Roman"/>
                <w:b/>
                <w:bCs/>
                <w:color w:val="auto"/>
                <w:kern w:val="2"/>
                <w:sz w:val="24"/>
                <w:szCs w:val="24"/>
                <w:vertAlign w:val="baseline"/>
                <w:lang w:val="en-US" w:eastAsia="zh-CN" w:bidi="ar-SA"/>
              </w:rPr>
            </w:pPr>
            <w:r>
              <w:rPr>
                <w:rFonts w:hint="eastAsia" w:ascii="Times New Roman" w:hAnsi="Times New Roman" w:cs="Times New Roman"/>
                <w:b/>
                <w:bCs/>
                <w:color w:val="auto"/>
                <w:kern w:val="2"/>
                <w:sz w:val="24"/>
                <w:szCs w:val="24"/>
                <w:vertAlign w:val="baseline"/>
                <w:lang w:val="en-US" w:eastAsia="zh-CN" w:bidi="ar-SA"/>
              </w:rPr>
              <w:t>1.9.1管道工程材料</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 xml:space="preserve">管道材料：明铺管道主要采用聚乙烯缠绕结构壁管和钢筋混凝土承插管，顶管采用专用的钢承口钢筋混凝土管，强度等级C55，抗渗等级为 P8。 </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 xml:space="preserve">井室结构混凝土：检查井的强度等级为C25，工作井及接收井等其他井的强度等级为 C30，水胶比不大于0.50，抗渗等级为P6，深度超过10m 时抗渗等级为P8；垫层及填充材料为C15。 </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 xml:space="preserve">支护结构混凝土：支护桩强度等级为C30，喷混凝土及截排水沟为C20。 </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 xml:space="preserve">钢筋：HPB300、HRB400。 </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钢材：Q235B，焊材型号 E43。</w:t>
            </w:r>
          </w:p>
          <w:p>
            <w:pPr>
              <w:pStyle w:val="54"/>
              <w:keepNext w:val="0"/>
              <w:keepLines w:val="0"/>
              <w:pageBreakBefore w:val="0"/>
              <w:widowControl w:val="0"/>
              <w:numPr>
                <w:ilvl w:val="0"/>
                <w:numId w:val="0"/>
              </w:numPr>
              <w:tabs>
                <w:tab w:val="left" w:pos="1048"/>
              </w:tabs>
              <w:kinsoku/>
              <w:wordWrap/>
              <w:overflowPunct/>
              <w:topLinePunct w:val="0"/>
              <w:bidi w:val="0"/>
              <w:adjustRightInd/>
              <w:snapToGrid/>
              <w:spacing w:before="0" w:after="0" w:line="360" w:lineRule="auto"/>
              <w:ind w:leftChars="0" w:right="0" w:rightChars="0"/>
              <w:jc w:val="left"/>
              <w:textAlignment w:val="auto"/>
              <w:rPr>
                <w:rFonts w:hint="eastAsia" w:ascii="Times New Roman" w:hAnsi="Times New Roman" w:eastAsia="宋体" w:cs="Times New Roman"/>
                <w:b/>
                <w:bCs/>
                <w:color w:val="auto"/>
                <w:kern w:val="2"/>
                <w:sz w:val="24"/>
                <w:szCs w:val="24"/>
                <w:vertAlign w:val="baseline"/>
                <w:lang w:val="en-US" w:eastAsia="zh-CN" w:bidi="ar-SA"/>
              </w:rPr>
            </w:pPr>
            <w:r>
              <w:rPr>
                <w:rFonts w:hint="eastAsia" w:cs="Times New Roman"/>
                <w:b/>
                <w:bCs/>
                <w:color w:val="auto"/>
                <w:kern w:val="2"/>
                <w:sz w:val="24"/>
                <w:szCs w:val="24"/>
                <w:vertAlign w:val="baseline"/>
                <w:lang w:val="en-US" w:eastAsia="zh-CN" w:bidi="ar-SA"/>
              </w:rPr>
              <w:t>1.9.2</w:t>
            </w:r>
            <w:r>
              <w:rPr>
                <w:rFonts w:hint="eastAsia" w:ascii="Times New Roman" w:hAnsi="Times New Roman" w:eastAsia="宋体" w:cs="Times New Roman"/>
                <w:b/>
                <w:bCs/>
                <w:color w:val="auto"/>
                <w:kern w:val="2"/>
                <w:sz w:val="24"/>
                <w:szCs w:val="24"/>
                <w:vertAlign w:val="baseline"/>
                <w:lang w:val="en-US" w:eastAsia="zh-CN" w:bidi="ar-SA"/>
              </w:rPr>
              <w:t>管道连接</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 xml:space="preserve">聚乙烯缠绕结构壁管每节之间采用橡胶圈密封或热熔接口，管与检查井连接一般采用在预留孔洞内后埋方式，采用现浇混凝土或防水砂浆封闭孔洞，并设置遇水膨胀橡胶圈止水。 </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 xml:space="preserve">钢筋混凝土承插管每节之间采用滑动橡胶圈接口，管与检查井连接一般采用预埋，连接处外孔壁凿毛，浸润后浇筑检查井，孔周边采用防水砂浆封缝。 </w:t>
            </w:r>
          </w:p>
          <w:p>
            <w:pPr>
              <w:pStyle w:val="54"/>
              <w:keepNext w:val="0"/>
              <w:keepLines w:val="0"/>
              <w:pageBreakBefore w:val="0"/>
              <w:widowControl w:val="0"/>
              <w:numPr>
                <w:ilvl w:val="0"/>
                <w:numId w:val="0"/>
              </w:numPr>
              <w:tabs>
                <w:tab w:val="left" w:pos="1048"/>
              </w:tabs>
              <w:kinsoku/>
              <w:wordWrap/>
              <w:overflowPunct/>
              <w:topLinePunct w:val="0"/>
              <w:autoSpaceDE/>
              <w:autoSpaceDN/>
              <w:bidi w:val="0"/>
              <w:adjustRightInd/>
              <w:snapToGrid/>
              <w:spacing w:before="0" w:after="0" w:line="360" w:lineRule="auto"/>
              <w:ind w:leftChars="0" w:right="0" w:rightChars="0" w:firstLine="480" w:firstLineChars="200"/>
              <w:jc w:val="left"/>
              <w:textAlignment w:val="auto"/>
              <w:rPr>
                <w:rFonts w:hint="eastAsia"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周边已有管道一般就近接入污水管的检查井，管与检查井连接根据管材选择，一般采用预埋或设置套管后接入。</w:t>
            </w:r>
          </w:p>
          <w:p>
            <w:pPr>
              <w:pStyle w:val="54"/>
              <w:keepNext w:val="0"/>
              <w:keepLines w:val="0"/>
              <w:pageBreakBefore w:val="0"/>
              <w:widowControl w:val="0"/>
              <w:numPr>
                <w:ilvl w:val="0"/>
                <w:numId w:val="0"/>
              </w:numPr>
              <w:tabs>
                <w:tab w:val="left" w:pos="1048"/>
              </w:tabs>
              <w:kinsoku/>
              <w:wordWrap/>
              <w:overflowPunct/>
              <w:topLinePunct w:val="0"/>
              <w:bidi w:val="0"/>
              <w:adjustRightInd/>
              <w:snapToGrid/>
              <w:spacing w:before="0" w:after="0" w:line="360" w:lineRule="auto"/>
              <w:ind w:leftChars="0" w:right="0" w:rightChars="0"/>
              <w:jc w:val="left"/>
              <w:textAlignment w:val="auto"/>
              <w:rPr>
                <w:rFonts w:hint="eastAsia" w:cs="Times New Roman"/>
                <w:b/>
                <w:bCs/>
                <w:color w:val="auto"/>
                <w:kern w:val="2"/>
                <w:sz w:val="24"/>
                <w:szCs w:val="24"/>
                <w:vertAlign w:val="baseline"/>
                <w:lang w:val="en-US" w:eastAsia="zh-CN" w:bidi="ar-SA"/>
              </w:rPr>
            </w:pPr>
            <w:r>
              <w:rPr>
                <w:rFonts w:hint="eastAsia" w:cs="Times New Roman"/>
                <w:b/>
                <w:bCs/>
                <w:color w:val="auto"/>
                <w:kern w:val="2"/>
                <w:sz w:val="24"/>
                <w:szCs w:val="24"/>
                <w:vertAlign w:val="baseline"/>
                <w:lang w:val="en-US" w:eastAsia="zh-CN" w:bidi="ar-SA"/>
              </w:rPr>
              <w:t>1.9.3顶管工程</w:t>
            </w:r>
          </w:p>
          <w:p>
            <w:pPr>
              <w:pStyle w:val="9"/>
              <w:keepNext w:val="0"/>
              <w:keepLines w:val="0"/>
              <w:pageBreakBefore w:val="0"/>
              <w:widowControl w:val="0"/>
              <w:kinsoku/>
              <w:wordWrap/>
              <w:overflowPunct/>
              <w:topLinePunct w:val="0"/>
              <w:bidi w:val="0"/>
              <w:adjustRightInd/>
              <w:snapToGrid/>
              <w:spacing w:line="360" w:lineRule="auto"/>
              <w:ind w:left="0" w:right="0" w:firstLine="480" w:firstLineChars="200"/>
              <w:textAlignment w:val="auto"/>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1</w:t>
            </w:r>
            <w:r>
              <w:rPr>
                <w:rFonts w:hint="eastAsia" w:ascii="Times New Roman" w:hAnsi="Times New Roman" w:eastAsia="宋体" w:cs="Times New Roman"/>
                <w:sz w:val="24"/>
                <w:szCs w:val="24"/>
                <w:lang w:eastAsia="zh-CN"/>
              </w:rPr>
              <w:t>）基本情况</w:t>
            </w:r>
          </w:p>
          <w:p>
            <w:pPr>
              <w:pStyle w:val="9"/>
              <w:keepNext w:val="0"/>
              <w:keepLines w:val="0"/>
              <w:pageBreakBefore w:val="0"/>
              <w:widowControl w:val="0"/>
              <w:kinsoku/>
              <w:wordWrap/>
              <w:overflowPunct/>
              <w:topLinePunct w:val="0"/>
              <w:bidi w:val="0"/>
              <w:adjustRightInd/>
              <w:snapToGrid/>
              <w:spacing w:line="360" w:lineRule="auto"/>
              <w:ind w:left="0" w:right="0"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本工程各条管线顶管基本情况详见下表。</w:t>
            </w:r>
          </w:p>
          <w:p>
            <w:pPr>
              <w:keepNext w:val="0"/>
              <w:keepLines w:val="0"/>
              <w:pageBreakBefore w:val="0"/>
              <w:widowControl w:val="0"/>
              <w:kinsoku/>
              <w:wordWrap/>
              <w:overflowPunct/>
              <w:topLinePunct w:val="0"/>
              <w:bidi w:val="0"/>
              <w:adjustRightInd/>
              <w:snapToGrid/>
              <w:spacing w:line="360" w:lineRule="auto"/>
              <w:ind w:left="0" w:right="0" w:firstLine="0"/>
              <w:jc w:val="center"/>
              <w:textAlignment w:val="auto"/>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 xml:space="preserve">表 </w:t>
            </w:r>
            <w:r>
              <w:rPr>
                <w:rFonts w:hint="eastAsia" w:cs="Times New Roman"/>
                <w:b/>
                <w:bCs/>
                <w:sz w:val="24"/>
                <w:szCs w:val="24"/>
                <w:lang w:val="en-US" w:eastAsia="zh-CN"/>
              </w:rPr>
              <w:t xml:space="preserve">1.9-1 </w:t>
            </w:r>
            <w:r>
              <w:rPr>
                <w:rFonts w:hint="default" w:ascii="Times New Roman" w:hAnsi="Times New Roman" w:eastAsia="宋体" w:cs="Times New Roman"/>
                <w:b/>
                <w:bCs/>
                <w:sz w:val="24"/>
                <w:szCs w:val="24"/>
              </w:rPr>
              <w:t xml:space="preserve"> 管线顶管基本情况</w:t>
            </w:r>
          </w:p>
          <w:tbl>
            <w:tblPr>
              <w:tblStyle w:val="26"/>
              <w:tblW w:w="4995" w:type="pct"/>
              <w:tblInd w:w="1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2073"/>
              <w:gridCol w:w="1348"/>
              <w:gridCol w:w="1299"/>
              <w:gridCol w:w="1297"/>
              <w:gridCol w:w="1784"/>
              <w:gridCol w:w="174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6"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管线名称</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pacing w:val="-1"/>
                      <w:sz w:val="21"/>
                      <w:szCs w:val="21"/>
                    </w:rPr>
                    <w:t>顶管长度</w:t>
                  </w:r>
                  <w:r>
                    <w:rPr>
                      <w:rFonts w:hint="default" w:ascii="Times New Roman" w:hAnsi="Times New Roman" w:eastAsia="宋体" w:cs="Times New Roman"/>
                      <w:sz w:val="21"/>
                      <w:szCs w:val="21"/>
                    </w:rPr>
                    <w:t>(m)</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顶管深度</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(m)</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顶管管径</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（mm）</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工作井尺寸</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(m×m)</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接收井尺寸</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(m×m)</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宋体" w:cs="Times New Roman"/>
                      <w:sz w:val="21"/>
                      <w:szCs w:val="21"/>
                    </w:rPr>
                    <w:t>岳阳大道东片区顶</w:t>
                  </w:r>
                  <w:r>
                    <w:rPr>
                      <w:rFonts w:hint="eastAsia" w:ascii="Times New Roman" w:hAnsi="Times New Roman" w:eastAsia="宋体" w:cs="Times New Roman"/>
                      <w:sz w:val="21"/>
                      <w:szCs w:val="21"/>
                      <w:lang w:eastAsia="zh-CN"/>
                    </w:rPr>
                    <w:t>管</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106</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4.0~6.0</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1000</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5.5×7.0</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5.5×4.0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长山路延长线顶管</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255</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8.0</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3200/1000</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10.0×10.0</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10.0×6.0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青年东路</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277</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8.0</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1800/800</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7.5×8.0</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7.5×4.0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桐子岭路</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194</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5.0~8.0</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1200/800</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5.5×7.0</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5.5×4.0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5"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巴陵东路</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201</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6.0~10.0</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1200/800</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7.5×8.0</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7.5×4.0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88" w:hRule="atLeast"/>
              </w:trPr>
              <w:tc>
                <w:tcPr>
                  <w:tcW w:w="108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白石岭路北段</w:t>
                  </w:r>
                </w:p>
              </w:tc>
              <w:tc>
                <w:tcPr>
                  <w:tcW w:w="706"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2135</w:t>
                  </w:r>
                </w:p>
              </w:tc>
              <w:tc>
                <w:tcPr>
                  <w:tcW w:w="680"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12.0~13.0</w:t>
                  </w:r>
                </w:p>
              </w:tc>
              <w:tc>
                <w:tcPr>
                  <w:tcW w:w="679"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800~3200</w:t>
                  </w:r>
                </w:p>
              </w:tc>
              <w:tc>
                <w:tcPr>
                  <w:tcW w:w="934"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8.0×8.0</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8.5×8.0</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9.0×8.0</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10.0×10.0</w:t>
                  </w:r>
                </w:p>
              </w:tc>
              <w:tc>
                <w:tcPr>
                  <w:tcW w:w="913" w:type="pct"/>
                  <w:tcBorders>
                    <w:tl2br w:val="nil"/>
                    <w:tr2bl w:val="nil"/>
                  </w:tcBorders>
                  <w:vAlign w:val="center"/>
                </w:tcPr>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8.5×5.0</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9.0×5.0</w:t>
                  </w:r>
                </w:p>
                <w:p>
                  <w:pPr>
                    <w:pStyle w:val="83"/>
                    <w:keepNext w:val="0"/>
                    <w:keepLines w:val="0"/>
                    <w:pageBreakBefore w:val="0"/>
                    <w:widowControl w:val="0"/>
                    <w:kinsoku/>
                    <w:wordWrap/>
                    <w:overflowPunct/>
                    <w:topLinePunct w:val="0"/>
                    <w:autoSpaceDE w:val="0"/>
                    <w:autoSpaceDN w:val="0"/>
                    <w:bidi w:val="0"/>
                    <w:adjustRightInd/>
                    <w:snapToGrid/>
                    <w:spacing w:before="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10.0×6.0</w:t>
                  </w:r>
                </w:p>
              </w:tc>
            </w:tr>
          </w:tbl>
          <w:p>
            <w:pPr>
              <w:keepNext w:val="0"/>
              <w:keepLines w:val="0"/>
              <w:pageBreakBefore w:val="0"/>
              <w:widowControl w:val="0"/>
              <w:kinsoku/>
              <w:wordWrap/>
              <w:overflowPunct/>
              <w:topLinePunct w:val="0"/>
              <w:bidi w:val="0"/>
              <w:adjustRightInd/>
              <w:snapToGrid/>
              <w:spacing w:line="360" w:lineRule="auto"/>
              <w:ind w:left="0" w:right="0" w:firstLine="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注：表中顶管长度为同一路段雨污管线共槽顶管长度。</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default" w:ascii="Times New Roman" w:hAnsi="Times New Roman" w:eastAsia="宋体" w:cs="Times New Roman"/>
                <w:b/>
                <w:bCs/>
                <w:spacing w:val="0"/>
                <w:sz w:val="24"/>
                <w:szCs w:val="24"/>
                <w:lang w:val="en-US" w:eastAsia="zh-CN"/>
              </w:rPr>
            </w:pPr>
            <w:r>
              <w:rPr>
                <w:rFonts w:hint="eastAsia" w:cs="Times New Roman"/>
                <w:b/>
                <w:bCs/>
                <w:spacing w:val="0"/>
                <w:sz w:val="24"/>
                <w:szCs w:val="24"/>
                <w:lang w:val="en-US" w:eastAsia="zh-CN"/>
              </w:rPr>
              <w:t>1.9.4</w:t>
            </w:r>
            <w:r>
              <w:rPr>
                <w:rFonts w:hint="default" w:ascii="Times New Roman" w:hAnsi="Times New Roman" w:eastAsia="宋体" w:cs="Times New Roman"/>
                <w:b/>
                <w:bCs/>
                <w:spacing w:val="0"/>
                <w:sz w:val="24"/>
                <w:szCs w:val="24"/>
                <w:lang w:val="en-US" w:eastAsia="zh-CN"/>
              </w:rPr>
              <w:t>顶管施工</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（1）</w:t>
            </w:r>
            <w:r>
              <w:rPr>
                <w:rFonts w:hint="default" w:ascii="Times New Roman" w:hAnsi="Times New Roman" w:eastAsia="宋体" w:cs="Times New Roman"/>
                <w:spacing w:val="0"/>
                <w:sz w:val="24"/>
                <w:szCs w:val="24"/>
                <w:lang w:val="en-US" w:eastAsia="zh-CN"/>
              </w:rPr>
              <w:t>顶进用钢筋混凝土管接头采用柔性接口钢承口，接头的允许偏转角大于0.5°。</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（2）</w:t>
            </w:r>
            <w:r>
              <w:rPr>
                <w:rFonts w:hint="default" w:ascii="Times New Roman" w:hAnsi="Times New Roman" w:eastAsia="宋体" w:cs="Times New Roman"/>
                <w:spacing w:val="0"/>
                <w:sz w:val="24"/>
                <w:szCs w:val="24"/>
                <w:lang w:val="en-US" w:eastAsia="zh-CN"/>
              </w:rPr>
              <w:t>混凝土传力面上应设置环形木垫圈，并用胶粘剂粘在传力面上。</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（3）</w:t>
            </w:r>
            <w:r>
              <w:rPr>
                <w:rFonts w:hint="default" w:ascii="Times New Roman" w:hAnsi="Times New Roman" w:eastAsia="宋体" w:cs="Times New Roman"/>
                <w:spacing w:val="0"/>
                <w:sz w:val="24"/>
                <w:szCs w:val="24"/>
                <w:lang w:val="en-US" w:eastAsia="zh-CN"/>
              </w:rPr>
              <w:t>钢承口接头的钢套管与混凝土的接缝应采用弹性密封填料勾缝。</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（4）</w:t>
            </w:r>
            <w:r>
              <w:rPr>
                <w:rFonts w:hint="default" w:ascii="Times New Roman" w:hAnsi="Times New Roman" w:eastAsia="宋体" w:cs="Times New Roman"/>
                <w:spacing w:val="0"/>
                <w:sz w:val="24"/>
                <w:szCs w:val="24"/>
                <w:lang w:val="en-US" w:eastAsia="zh-CN"/>
              </w:rPr>
              <w:t>顶管施工工艺建议采用土压平衡法或泥水平衡法，触变泥浆减阻。</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（5）</w:t>
            </w:r>
            <w:r>
              <w:rPr>
                <w:rFonts w:hint="default" w:ascii="Times New Roman" w:hAnsi="Times New Roman" w:eastAsia="宋体" w:cs="Times New Roman"/>
                <w:spacing w:val="0"/>
                <w:sz w:val="24"/>
                <w:szCs w:val="24"/>
                <w:lang w:val="en-US" w:eastAsia="zh-CN"/>
              </w:rPr>
              <w:t>管道顶进完成后，应立即采用水泥浆等易于固结、稳定性较好的浆液将润滑泥浆置换出来，以确保管道外围土体有足够的支撑能力和减少渗漏水。</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（6）</w:t>
            </w:r>
            <w:r>
              <w:rPr>
                <w:rFonts w:hint="default" w:ascii="Times New Roman" w:hAnsi="Times New Roman" w:eastAsia="宋体" w:cs="Times New Roman"/>
                <w:spacing w:val="0"/>
                <w:sz w:val="24"/>
                <w:szCs w:val="24"/>
                <w:lang w:val="en-US" w:eastAsia="zh-CN"/>
              </w:rPr>
              <w:t>拆除注浆管路后，应及时将管道上的注浆孔封堵严密。</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（7）</w:t>
            </w:r>
            <w:r>
              <w:rPr>
                <w:rFonts w:hint="default" w:ascii="Times New Roman" w:hAnsi="Times New Roman" w:eastAsia="宋体" w:cs="Times New Roman"/>
                <w:spacing w:val="0"/>
                <w:sz w:val="24"/>
                <w:szCs w:val="24"/>
                <w:lang w:val="en-US" w:eastAsia="zh-CN"/>
              </w:rPr>
              <w:t>顶管机外壁与工作坑洞圈之间设置洞口止水装置，防止顶进施工时水、泥渗入工作坑。</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（8）</w:t>
            </w:r>
            <w:r>
              <w:rPr>
                <w:rFonts w:hint="default" w:ascii="Times New Roman" w:hAnsi="Times New Roman" w:eastAsia="宋体" w:cs="Times New Roman"/>
                <w:spacing w:val="0"/>
                <w:sz w:val="24"/>
                <w:szCs w:val="24"/>
                <w:lang w:val="en-US" w:eastAsia="zh-CN"/>
              </w:rPr>
              <w:t>在管道顶进施工中应采取 24h 连续施工，使管道处于动态平衡之中。顶管施工前应保证两侧建筑物与管线的安全并做好安全施工预案。</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default" w:cs="Times New Roman"/>
                <w:b/>
                <w:bCs/>
                <w:spacing w:val="0"/>
                <w:sz w:val="24"/>
                <w:szCs w:val="24"/>
                <w:lang w:val="en-US" w:eastAsia="zh-CN"/>
              </w:rPr>
            </w:pPr>
            <w:bookmarkStart w:id="28" w:name="_bookmark312"/>
            <w:bookmarkEnd w:id="28"/>
            <w:bookmarkStart w:id="29" w:name="_bookmark312"/>
            <w:bookmarkEnd w:id="29"/>
            <w:bookmarkStart w:id="30" w:name="10.5.1 拆除工程施工"/>
            <w:bookmarkEnd w:id="30"/>
            <w:r>
              <w:rPr>
                <w:rFonts w:hint="eastAsia" w:cs="Times New Roman"/>
                <w:b/>
                <w:bCs/>
                <w:spacing w:val="0"/>
                <w:sz w:val="24"/>
                <w:szCs w:val="24"/>
                <w:lang w:val="en-US" w:eastAsia="zh-CN"/>
              </w:rPr>
              <w:t>1.9.5</w:t>
            </w:r>
            <w:r>
              <w:rPr>
                <w:rFonts w:hint="default" w:cs="Times New Roman"/>
                <w:b/>
                <w:bCs/>
                <w:spacing w:val="0"/>
                <w:sz w:val="24"/>
                <w:szCs w:val="24"/>
                <w:lang w:val="en-US" w:eastAsia="zh-CN"/>
              </w:rPr>
              <w:t>拆除工程施工</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（1）</w:t>
            </w:r>
            <w:r>
              <w:rPr>
                <w:rFonts w:hint="default" w:ascii="Times New Roman" w:hAnsi="Times New Roman" w:eastAsia="宋体" w:cs="Times New Roman"/>
                <w:spacing w:val="0"/>
                <w:sz w:val="24"/>
                <w:szCs w:val="24"/>
                <w:lang w:val="en-US" w:eastAsia="zh-CN"/>
              </w:rPr>
              <w:t>拆除路面主要施工方法</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施工准备→定位放线→高程测量→切割边线（沥青面层处）→油锤破碎沥青砼路面→挖掘机集碴装车→外运到指定地点→开挖道路基层→装车外运指定地点→验收。</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首先定出各路线中桩的道路边缘具体位置，以便定出道路轮廓，在测量放样时以明显标志标识。</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采用油锤破碎沥青砼路面，挖掘机集碴装车外运，运到指定地点，面层拆除后，再拆除基层，挖掘机开挖并装车外运。在拆除沥青砼路面前，根据现场实际情况，人工开挖探坑，对设计图中未示出的地下管道、缆线、文物和其他结构的保护，一旦发现，要及时上报并保护好现场。</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（2）</w:t>
            </w:r>
            <w:r>
              <w:rPr>
                <w:rFonts w:hint="default" w:ascii="Times New Roman" w:hAnsi="Times New Roman" w:eastAsia="宋体" w:cs="Times New Roman"/>
                <w:spacing w:val="0"/>
                <w:sz w:val="24"/>
                <w:szCs w:val="24"/>
                <w:lang w:val="en-US" w:eastAsia="zh-CN"/>
              </w:rPr>
              <w:t>拆除人行道的主要施工方法</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施工准备→定位放线→人工拆除人行道块料→清理成堆→拆除人行道基层（人工配合机械）→人工配合机械装车→外运至指定地点→路基整平清理→验收。</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人工拆除人行道块料面材，采用小推车集中堆放到指定地点；待恢复面层时二次运回使用。</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（3）</w:t>
            </w:r>
            <w:r>
              <w:rPr>
                <w:rFonts w:hint="default" w:ascii="Times New Roman" w:hAnsi="Times New Roman" w:eastAsia="宋体" w:cs="Times New Roman"/>
                <w:spacing w:val="0"/>
                <w:sz w:val="24"/>
                <w:szCs w:val="24"/>
                <w:lang w:val="en-US" w:eastAsia="zh-CN"/>
              </w:rPr>
              <w:t>拆除路缘石的主要施工方法</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路缘石的拆除</w:t>
            </w:r>
            <w:r>
              <w:rPr>
                <w:rFonts w:hint="eastAsia" w:cs="Times New Roman"/>
                <w:spacing w:val="0"/>
                <w:sz w:val="24"/>
                <w:szCs w:val="24"/>
                <w:lang w:val="en-US" w:eastAsia="zh-CN"/>
              </w:rPr>
              <w:t>采用</w:t>
            </w:r>
            <w:r>
              <w:rPr>
                <w:rFonts w:hint="default" w:ascii="Times New Roman" w:hAnsi="Times New Roman" w:eastAsia="宋体" w:cs="Times New Roman"/>
                <w:spacing w:val="0"/>
                <w:sz w:val="24"/>
                <w:szCs w:val="24"/>
                <w:lang w:val="en-US" w:eastAsia="zh-CN"/>
              </w:rPr>
              <w:t>人工拆除，把拆除的旧料倒运到空闲场地，根据图纸的要求，把拆除的旧沿石破碎后，装车外运。</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拆除路缘石之前，查看现场情况，拆除时注意旁边的树木、绿化带、管线等，发现问题及时回报，上报相关部门。</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（4）</w:t>
            </w:r>
            <w:r>
              <w:rPr>
                <w:rFonts w:hint="default" w:ascii="Times New Roman" w:hAnsi="Times New Roman" w:eastAsia="宋体" w:cs="Times New Roman"/>
                <w:spacing w:val="0"/>
                <w:sz w:val="24"/>
                <w:szCs w:val="24"/>
                <w:lang w:val="en-US" w:eastAsia="zh-CN"/>
              </w:rPr>
              <w:t>渣土外运的施工方案</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土方运输的主要工具为全封闭自卸式汽车。</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根据现场情况合理安排运输车辆的行走路线。土方运输前办理好相关行政环保及夜间施工手续，工地门口设置洗车槽，从管理及措施上保护城市环境。</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土方的运输，严格按照岳阳市有关散体物料运输的规定进行，运输车辆符合散体物料运输车的规定，沿途不撒漏。</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由于本工程处于主、次干路及居民区，出入车辆行人众多，机械装车时，在施工区外，做好警示标志，放在明显的位置，挖掘旋转半径内严禁站人。</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default" w:ascii="Times New Roman" w:hAnsi="Times New Roman" w:eastAsia="宋体" w:cs="Times New Roman"/>
                <w:b/>
                <w:bCs/>
                <w:spacing w:val="0"/>
                <w:sz w:val="24"/>
                <w:szCs w:val="24"/>
                <w:lang w:val="en-US" w:eastAsia="zh-CN"/>
              </w:rPr>
            </w:pPr>
            <w:bookmarkStart w:id="31" w:name="_bookmark313"/>
            <w:bookmarkEnd w:id="31"/>
            <w:bookmarkStart w:id="32" w:name="_bookmark313"/>
            <w:bookmarkEnd w:id="32"/>
            <w:bookmarkStart w:id="33" w:name="10.5.2 雨污管道施工方案"/>
            <w:bookmarkEnd w:id="33"/>
            <w:r>
              <w:rPr>
                <w:rFonts w:hint="eastAsia" w:cs="Times New Roman"/>
                <w:b/>
                <w:bCs/>
                <w:spacing w:val="0"/>
                <w:sz w:val="24"/>
                <w:szCs w:val="24"/>
                <w:lang w:val="en-US" w:eastAsia="zh-CN"/>
              </w:rPr>
              <w:t>1.9.6</w:t>
            </w:r>
            <w:r>
              <w:rPr>
                <w:rFonts w:hint="default" w:ascii="Times New Roman" w:hAnsi="Times New Roman" w:eastAsia="宋体" w:cs="Times New Roman"/>
                <w:b/>
                <w:bCs/>
                <w:spacing w:val="0"/>
                <w:sz w:val="24"/>
                <w:szCs w:val="24"/>
                <w:lang w:val="en-US" w:eastAsia="zh-CN"/>
              </w:rPr>
              <w:t>雨污管道施工方案</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（1）</w:t>
            </w:r>
            <w:r>
              <w:rPr>
                <w:rFonts w:hint="default" w:ascii="Times New Roman" w:hAnsi="Times New Roman" w:eastAsia="宋体" w:cs="Times New Roman"/>
                <w:spacing w:val="0"/>
                <w:sz w:val="24"/>
                <w:szCs w:val="24"/>
                <w:lang w:val="en-US" w:eastAsia="zh-CN"/>
              </w:rPr>
              <w:t>探管及</w:t>
            </w:r>
            <w:r>
              <w:rPr>
                <w:rFonts w:hint="eastAsia" w:cs="Times New Roman"/>
                <w:spacing w:val="0"/>
                <w:sz w:val="24"/>
                <w:szCs w:val="24"/>
                <w:lang w:val="en-US" w:eastAsia="zh-CN"/>
              </w:rPr>
              <w:t>管线测量</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在施工前必须对施工范围内的管线情况进行调查</w:t>
            </w:r>
            <w:r>
              <w:rPr>
                <w:rFonts w:hint="eastAsia" w:cs="Times New Roman"/>
                <w:spacing w:val="0"/>
                <w:sz w:val="24"/>
                <w:szCs w:val="24"/>
                <w:lang w:val="en-US" w:eastAsia="zh-CN"/>
              </w:rPr>
              <w:t>。</w:t>
            </w:r>
            <w:r>
              <w:rPr>
                <w:rFonts w:hint="default" w:ascii="Times New Roman" w:hAnsi="Times New Roman" w:eastAsia="宋体" w:cs="Times New Roman"/>
                <w:spacing w:val="0"/>
                <w:sz w:val="24"/>
                <w:szCs w:val="24"/>
                <w:lang w:val="en-US" w:eastAsia="zh-CN"/>
              </w:rPr>
              <w:t>在施工前，根据设计图纸所提供的管线位置，逐条进行探测。严格按施工图定出管线平面位置，包括管中心线和开槽边线。</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（2）</w:t>
            </w:r>
            <w:r>
              <w:rPr>
                <w:rFonts w:hint="default" w:ascii="Times New Roman" w:hAnsi="Times New Roman" w:eastAsia="宋体" w:cs="Times New Roman"/>
                <w:spacing w:val="0"/>
                <w:sz w:val="24"/>
                <w:szCs w:val="24"/>
                <w:lang w:val="en-US" w:eastAsia="zh-CN"/>
              </w:rPr>
              <w:t>土方开挖</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开挖沟槽用反铲挖掘机进行开挖，人工辅助配合。</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eastAsia="宋体" w:cs="Times New Roman"/>
                <w:spacing w:val="0"/>
                <w:sz w:val="24"/>
                <w:szCs w:val="24"/>
                <w:lang w:val="en-US" w:eastAsia="zh-CN"/>
              </w:rPr>
              <w:t>开槽土方：采用槽边堆土及土方外弃相结合的形式，槽边堆土距槽边大于 1m，高度小于 1.4m，注意保护测量标志。管沟宽度根据管道埋深确定，无水时沟底宽度一般为管外径加 0.5 米。施工过程中，在沟槽顶靠近道路一侧的边沿线外 1.5m 处用栏杆做围护。在沟槽两侧距沟槽边线 0.5m 处设 200mm 高挡水土埂。</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（3）</w:t>
            </w:r>
            <w:r>
              <w:rPr>
                <w:rFonts w:hint="default" w:ascii="Times New Roman" w:hAnsi="Times New Roman" w:eastAsia="宋体" w:cs="Times New Roman"/>
                <w:spacing w:val="0"/>
                <w:sz w:val="24"/>
                <w:szCs w:val="24"/>
                <w:lang w:val="en-US" w:eastAsia="zh-CN"/>
              </w:rPr>
              <w:t>管道安装</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ascii="Times New Roman" w:hAnsi="Times New Roman" w:cs="Times New Roman"/>
                <w:kern w:val="2"/>
                <w:sz w:val="24"/>
                <w:szCs w:val="24"/>
                <w:lang w:val="en-US" w:eastAsia="zh-CN" w:bidi="ar-SA"/>
              </w:rPr>
              <w:t>管基夯实平整，铺设垫层，管道运输到现场应放置在指定的空地上，</w:t>
            </w:r>
            <w:r>
              <w:rPr>
                <w:rFonts w:hint="default" w:ascii="Times New Roman" w:hAnsi="Times New Roman" w:eastAsia="宋体" w:cs="Times New Roman"/>
                <w:spacing w:val="0"/>
                <w:sz w:val="24"/>
                <w:szCs w:val="24"/>
                <w:lang w:val="en-US" w:eastAsia="zh-CN"/>
              </w:rPr>
              <w:t>采用 8~16t 吊车</w:t>
            </w:r>
            <w:r>
              <w:rPr>
                <w:rFonts w:hint="eastAsia" w:cs="Times New Roman"/>
                <w:spacing w:val="0"/>
                <w:sz w:val="24"/>
                <w:szCs w:val="24"/>
                <w:lang w:val="en-US" w:eastAsia="zh-CN"/>
              </w:rPr>
              <w:t>吊装、下管；</w:t>
            </w:r>
            <w:r>
              <w:rPr>
                <w:rFonts w:hint="eastAsia" w:ascii="Times New Roman" w:hAnsi="Times New Roman" w:cs="Times New Roman"/>
                <w:kern w:val="2"/>
                <w:sz w:val="24"/>
                <w:szCs w:val="24"/>
                <w:lang w:val="en-US" w:eastAsia="zh-CN" w:bidi="ar-SA"/>
              </w:rPr>
              <w:t>调整好接口间隙后进行管段对接</w:t>
            </w:r>
            <w:r>
              <w:rPr>
                <w:rFonts w:hint="eastAsia" w:cs="Times New Roman"/>
                <w:kern w:val="2"/>
                <w:sz w:val="24"/>
                <w:szCs w:val="24"/>
                <w:lang w:val="en-US" w:eastAsia="zh-CN" w:bidi="ar-SA"/>
              </w:rPr>
              <w:t>。</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（4）</w:t>
            </w:r>
            <w:r>
              <w:rPr>
                <w:rFonts w:hint="default" w:ascii="Times New Roman" w:hAnsi="Times New Roman" w:eastAsia="宋体" w:cs="Times New Roman"/>
                <w:spacing w:val="0"/>
                <w:sz w:val="24"/>
                <w:szCs w:val="24"/>
                <w:lang w:val="en-US" w:eastAsia="zh-CN"/>
              </w:rPr>
              <w:t>检查井施工</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default" w:ascii="Times New Roman" w:hAnsi="Times New Roman" w:cs="Times New Roman"/>
                <w:kern w:val="2"/>
                <w:sz w:val="24"/>
                <w:szCs w:val="24"/>
                <w:lang w:val="en-US" w:eastAsia="zh-CN" w:bidi="ar-SA"/>
              </w:rPr>
              <w:t>采用一顺一丁砌法。先抄平、弹线、定出墙身位置、门窗洞口位置，然后摆放尽可能少砍砖，不出现通缝。水泥砂浆要求采用符合设计详图要求的设计标号和易性，具有良好的保水性能。采</w:t>
            </w:r>
            <w:r>
              <w:rPr>
                <w:rFonts w:hint="default" w:ascii="Times New Roman" w:hAnsi="Times New Roman" w:cs="Times New Roman"/>
                <w:kern w:val="2"/>
                <w:sz w:val="24"/>
                <w:szCs w:val="24"/>
                <w:highlight w:val="none"/>
                <w:lang w:val="en-US" w:eastAsia="zh-CN" w:bidi="ar-SA"/>
              </w:rPr>
              <w:t>用人工现场拌制水泥砂浆。混凝土由</w:t>
            </w:r>
            <w:r>
              <w:rPr>
                <w:rFonts w:hint="default" w:ascii="Times New Roman" w:hAnsi="Times New Roman" w:cs="Times New Roman"/>
                <w:kern w:val="2"/>
                <w:sz w:val="24"/>
                <w:szCs w:val="24"/>
                <w:lang w:val="en-US" w:eastAsia="zh-CN" w:bidi="ar-SA"/>
              </w:rPr>
              <w:t>拌和机供应，手推汽胶轮车运输到工作面，用棒状振捣器振捣密实</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（5）</w:t>
            </w:r>
            <w:r>
              <w:rPr>
                <w:rFonts w:hint="default" w:ascii="Times New Roman" w:hAnsi="Times New Roman" w:eastAsia="宋体" w:cs="Times New Roman"/>
                <w:spacing w:val="0"/>
                <w:sz w:val="24"/>
                <w:szCs w:val="24"/>
                <w:lang w:val="en-US" w:eastAsia="zh-CN"/>
              </w:rPr>
              <w:t>管道闭水试验</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cs="Times New Roman"/>
                <w:kern w:val="2"/>
                <w:sz w:val="24"/>
                <w:szCs w:val="24"/>
                <w:lang w:val="en-US" w:eastAsia="zh-CN" w:bidi="ar-SA"/>
              </w:rPr>
            </w:pPr>
            <w:r>
              <w:rPr>
                <w:rFonts w:hint="default" w:ascii="Times New Roman" w:hAnsi="Times New Roman" w:cs="Times New Roman"/>
                <w:kern w:val="2"/>
                <w:sz w:val="24"/>
                <w:szCs w:val="24"/>
                <w:lang w:val="en-US" w:eastAsia="zh-CN" w:bidi="ar-SA"/>
              </w:rPr>
              <w:t>道密闭性试验管道安装完毕且经检查合格后，进行管道的密闭性检验。闭水试验时管道两端用砖封堵，并进行养护，使其达到一定强度后，向闭水段的检查井内注水，注水至规定水位后，开始记录。根据井内水面在规定时间内的下降值计算，渗水量不得超过施工规范规定的允许值为合格。</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eastAsia="宋体" w:cs="Times New Roman"/>
                <w:spacing w:val="0"/>
                <w:sz w:val="24"/>
                <w:szCs w:val="24"/>
                <w:lang w:val="en-US" w:eastAsia="zh-CN"/>
              </w:rPr>
            </w:pPr>
            <w:r>
              <w:rPr>
                <w:rFonts w:hint="eastAsia" w:cs="Times New Roman"/>
                <w:spacing w:val="0"/>
                <w:sz w:val="24"/>
                <w:szCs w:val="24"/>
                <w:lang w:val="en-US" w:eastAsia="zh-CN"/>
              </w:rPr>
              <w:t>（6）管顶、沟槽</w:t>
            </w:r>
            <w:r>
              <w:rPr>
                <w:rFonts w:hint="default" w:ascii="Times New Roman" w:hAnsi="Times New Roman" w:eastAsia="宋体" w:cs="Times New Roman"/>
                <w:spacing w:val="0"/>
                <w:sz w:val="24"/>
                <w:szCs w:val="24"/>
                <w:lang w:val="en-US" w:eastAsia="zh-CN"/>
              </w:rPr>
              <w:t>回填</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cs="Times New Roman"/>
                <w:kern w:val="2"/>
                <w:sz w:val="24"/>
                <w:szCs w:val="24"/>
                <w:lang w:val="en-US" w:eastAsia="zh-CN" w:bidi="ar-SA"/>
              </w:rPr>
            </w:pPr>
            <w:r>
              <w:rPr>
                <w:rFonts w:hint="default" w:ascii="Times New Roman" w:hAnsi="Times New Roman" w:eastAsia="宋体" w:cs="Times New Roman"/>
                <w:spacing w:val="0"/>
                <w:sz w:val="24"/>
                <w:szCs w:val="24"/>
                <w:lang w:val="en-US" w:eastAsia="zh-CN"/>
              </w:rPr>
              <w:t>沟槽的回填在隐蔽工程验收合格后及时回填。槽内砖、石、木块等杂物应彻底清除干净；回填土时，槽底至管顶以上 500mm 范围内采用人工回填，</w:t>
            </w:r>
            <w:r>
              <w:rPr>
                <w:rFonts w:hint="default" w:ascii="Times New Roman" w:hAnsi="Times New Roman" w:cs="Times New Roman"/>
                <w:kern w:val="2"/>
                <w:sz w:val="24"/>
                <w:szCs w:val="24"/>
                <w:lang w:val="en-US" w:eastAsia="zh-CN" w:bidi="ar-SA"/>
              </w:rPr>
              <w:t>人工平整、夯实</w:t>
            </w:r>
            <w:r>
              <w:rPr>
                <w:rFonts w:hint="default" w:ascii="Times New Roman" w:hAnsi="Times New Roman" w:eastAsia="宋体" w:cs="Times New Roman"/>
                <w:spacing w:val="0"/>
                <w:sz w:val="24"/>
                <w:szCs w:val="24"/>
                <w:lang w:val="en-US" w:eastAsia="zh-CN"/>
              </w:rPr>
              <w:t>。</w:t>
            </w:r>
            <w:r>
              <w:rPr>
                <w:rFonts w:hint="default" w:ascii="Times New Roman" w:hAnsi="Times New Roman" w:cs="Times New Roman"/>
                <w:kern w:val="2"/>
                <w:sz w:val="24"/>
                <w:szCs w:val="24"/>
                <w:lang w:val="en-US" w:eastAsia="zh-CN" w:bidi="ar-SA"/>
              </w:rPr>
              <w:t>其余部位采取反铲填料，振动碾碾压，分层回填、分层夯实回填到设计高程。优先采用开挖土回填，减少弃方。</w:t>
            </w:r>
          </w:p>
          <w:p>
            <w:pPr>
              <w:pStyle w:val="54"/>
              <w:keepNext w:val="0"/>
              <w:keepLines w:val="0"/>
              <w:pageBreakBefore w:val="0"/>
              <w:widowControl w:val="0"/>
              <w:numPr>
                <w:ilvl w:val="0"/>
                <w:numId w:val="6"/>
              </w:numPr>
              <w:tabs>
                <w:tab w:val="left" w:pos="1582"/>
              </w:tabs>
              <w:kinsoku/>
              <w:wordWrap/>
              <w:overflowPunct/>
              <w:topLinePunct w:val="0"/>
              <w:autoSpaceDE/>
              <w:autoSpaceDN/>
              <w:bidi w:val="0"/>
              <w:adjustRightInd/>
              <w:snapToGrid/>
              <w:spacing w:after="0" w:line="360" w:lineRule="auto"/>
              <w:ind w:leftChars="0" w:right="0" w:rightChars="0" w:firstLine="480" w:firstLineChars="200"/>
              <w:jc w:val="left"/>
              <w:textAlignment w:val="auto"/>
              <w:rPr>
                <w:rFonts w:hint="default" w:ascii="Times New Roman" w:hAnsi="Times New Roman" w:cs="Times New Roman"/>
                <w:kern w:val="2"/>
                <w:sz w:val="24"/>
                <w:szCs w:val="24"/>
                <w:lang w:val="en-US" w:eastAsia="zh-CN" w:bidi="ar-SA"/>
              </w:rPr>
            </w:pPr>
            <w:r>
              <w:rPr>
                <w:rFonts w:hint="default" w:ascii="Times New Roman" w:hAnsi="Times New Roman" w:cs="Times New Roman"/>
                <w:kern w:val="2"/>
                <w:sz w:val="24"/>
                <w:szCs w:val="24"/>
                <w:lang w:val="en-US" w:eastAsia="zh-CN" w:bidi="ar-SA"/>
              </w:rPr>
              <w:t>路面恢复</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firstLine="480" w:firstLineChars="200"/>
              <w:jc w:val="left"/>
              <w:textAlignment w:val="auto"/>
              <w:rPr>
                <w:rFonts w:hint="default" w:ascii="Times New Roman" w:hAnsi="Times New Roman" w:cs="Times New Roman"/>
                <w:kern w:val="2"/>
                <w:sz w:val="24"/>
                <w:szCs w:val="24"/>
                <w:lang w:val="en-US" w:eastAsia="zh-CN" w:bidi="ar-SA"/>
              </w:rPr>
            </w:pPr>
            <w:r>
              <w:rPr>
                <w:rFonts w:hint="default" w:ascii="Times New Roman" w:hAnsi="Times New Roman" w:cs="Times New Roman"/>
                <w:kern w:val="2"/>
                <w:sz w:val="24"/>
                <w:szCs w:val="24"/>
                <w:lang w:val="en-US" w:eastAsia="zh-CN" w:bidi="ar-SA"/>
              </w:rPr>
              <w:t>道路恢复有三种型式：水泥混凝土路面恢复、沥青路面恢复和人行道恢复。路面基层、面层厚度不得低于现状道路，混凝土和沥青混凝土均采用商品混凝土。</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eastAsia" w:cs="Times New Roman"/>
                <w:b/>
                <w:bCs/>
                <w:spacing w:val="0"/>
                <w:sz w:val="24"/>
                <w:szCs w:val="24"/>
                <w:lang w:val="en-US" w:eastAsia="zh-CN"/>
              </w:rPr>
            </w:pPr>
            <w:r>
              <w:rPr>
                <w:rFonts w:hint="eastAsia" w:cs="Times New Roman"/>
                <w:b/>
                <w:bCs/>
                <w:spacing w:val="0"/>
                <w:sz w:val="24"/>
                <w:szCs w:val="24"/>
                <w:lang w:val="en-US" w:eastAsia="zh-CN"/>
              </w:rPr>
              <w:t>1.10交通组织方案</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eastAsia" w:cs="Times New Roman"/>
                <w:b/>
                <w:bCs/>
                <w:spacing w:val="0"/>
                <w:sz w:val="24"/>
                <w:szCs w:val="24"/>
                <w:lang w:val="en-US" w:eastAsia="zh-CN"/>
              </w:rPr>
            </w:pPr>
            <w:r>
              <w:rPr>
                <w:rFonts w:hint="eastAsia" w:cs="Times New Roman"/>
                <w:b/>
                <w:bCs/>
                <w:spacing w:val="0"/>
                <w:sz w:val="24"/>
                <w:szCs w:val="24"/>
                <w:lang w:val="en-US" w:eastAsia="zh-CN"/>
              </w:rPr>
              <w:t xml:space="preserve">1.10.1 网路交通疏解对策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1</w:t>
            </w:r>
            <w:r>
              <w:rPr>
                <w:rFonts w:hint="eastAsia" w:ascii="宋体" w:hAnsi="宋体" w:eastAsia="宋体" w:cs="宋体"/>
                <w:color w:val="000000"/>
                <w:kern w:val="0"/>
                <w:sz w:val="24"/>
                <w:szCs w:val="24"/>
                <w:u w:val="single"/>
                <w:lang w:val="en-US" w:eastAsia="zh-CN" w:bidi="ar"/>
              </w:rPr>
              <w:t xml:space="preserve">）分流疏导：采取自然分流与管制分流相结合，通过媒体引导市民选择其它路线出行，在相交道路的相邻路口设置告示牌，提示行车避开施工路段，利用周边路网分流交通。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2</w:t>
            </w:r>
            <w:r>
              <w:rPr>
                <w:rFonts w:hint="eastAsia" w:ascii="宋体" w:hAnsi="宋体" w:eastAsia="宋体" w:cs="宋体"/>
                <w:color w:val="000000"/>
                <w:kern w:val="0"/>
                <w:sz w:val="24"/>
                <w:szCs w:val="24"/>
                <w:u w:val="single"/>
                <w:lang w:val="en-US" w:eastAsia="zh-CN" w:bidi="ar"/>
              </w:rPr>
              <w:t xml:space="preserve">）分幅施工，通过新建临时疏解便道及左右幅路分开施工，保证被相交道路每个方向有一个车道通行，在留出通行的车行道内，将每个车道压缩的宽度为 </w:t>
            </w:r>
            <w:r>
              <w:rPr>
                <w:rFonts w:hint="default" w:ascii="TimesNewRomanPSMT" w:hAnsi="TimesNewRomanPSMT" w:eastAsia="TimesNewRomanPSMT" w:cs="TimesNewRomanPSMT"/>
                <w:color w:val="000000"/>
                <w:kern w:val="0"/>
                <w:sz w:val="24"/>
                <w:szCs w:val="24"/>
                <w:u w:val="single"/>
                <w:lang w:val="en-US" w:eastAsia="zh-CN" w:bidi="ar"/>
              </w:rPr>
              <w:t>3.25m</w:t>
            </w:r>
            <w:r>
              <w:rPr>
                <w:rFonts w:hint="eastAsia" w:ascii="宋体" w:hAnsi="宋体" w:eastAsia="宋体" w:cs="宋体"/>
                <w:color w:val="000000"/>
                <w:kern w:val="0"/>
                <w:sz w:val="24"/>
                <w:szCs w:val="24"/>
                <w:u w:val="single"/>
                <w:lang w:val="en-US" w:eastAsia="zh-CN" w:bidi="ar"/>
              </w:rPr>
              <w:t xml:space="preserve">，保证车道数满足现状交通需求，保证现状路的公共交通、片区出入交通、组团之间联系交通与现状基本一致。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3</w:t>
            </w:r>
            <w:r>
              <w:rPr>
                <w:rFonts w:hint="eastAsia" w:ascii="宋体" w:hAnsi="宋体" w:eastAsia="宋体" w:cs="宋体"/>
                <w:color w:val="000000"/>
                <w:kern w:val="0"/>
                <w:sz w:val="24"/>
                <w:szCs w:val="24"/>
                <w:u w:val="single"/>
                <w:lang w:val="en-US" w:eastAsia="zh-CN" w:bidi="ar"/>
              </w:rPr>
              <w:t xml:space="preserve">）分时段施工，白天施工对交通影响小的工作面，在夜间交通低谷时施工对交通影响大的工作面，同时注意控制噪声污染。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4</w:t>
            </w:r>
            <w:r>
              <w:rPr>
                <w:rFonts w:hint="eastAsia" w:ascii="宋体" w:hAnsi="宋体" w:eastAsia="宋体" w:cs="宋体"/>
                <w:color w:val="000000"/>
                <w:kern w:val="0"/>
                <w:sz w:val="24"/>
                <w:szCs w:val="24"/>
                <w:u w:val="single"/>
                <w:lang w:val="en-US" w:eastAsia="zh-CN" w:bidi="ar"/>
              </w:rPr>
              <w:t>）对施工组织进行动态管理，派专人巡逻，发现施工地段交通拥堵后，立即撤离工地，疏导交通，重新研究施工组织方案</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eastAsia" w:cs="Times New Roman"/>
                <w:b/>
                <w:bCs/>
                <w:spacing w:val="0"/>
                <w:sz w:val="24"/>
                <w:szCs w:val="24"/>
                <w:u w:val="single"/>
                <w:lang w:val="en-US" w:eastAsia="zh-CN"/>
              </w:rPr>
            </w:pPr>
            <w:r>
              <w:rPr>
                <w:rFonts w:hint="eastAsia" w:cs="Times New Roman"/>
                <w:b/>
                <w:bCs/>
                <w:spacing w:val="0"/>
                <w:sz w:val="24"/>
                <w:szCs w:val="24"/>
                <w:u w:val="single"/>
                <w:lang w:val="en-US" w:eastAsia="zh-CN"/>
              </w:rPr>
              <w:t xml:space="preserve">1.10.2路内交通疏解对策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 xml:space="preserve">根据原状道路及设计道路横断面以及交通条件、施工情况，提出施工组织建议：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sz w:val="24"/>
                <w:szCs w:val="24"/>
                <w:u w:val="single"/>
              </w:rPr>
            </w:pPr>
            <w:r>
              <w:rPr>
                <w:rFonts w:hint="eastAsia" w:ascii="宋体" w:hAnsi="宋体" w:eastAsia="宋体" w:cs="宋体"/>
                <w:color w:val="000000"/>
                <w:kern w:val="0"/>
                <w:sz w:val="24"/>
                <w:szCs w:val="24"/>
                <w:u w:val="single"/>
                <w:lang w:val="en-US" w:eastAsia="zh-CN" w:bidi="ar"/>
              </w:rPr>
              <w:t>（</w:t>
            </w:r>
            <w:r>
              <w:rPr>
                <w:rFonts w:ascii="TimesNewRomanPSMT" w:hAnsi="TimesNewRomanPSMT" w:eastAsia="TimesNewRomanPSMT" w:cs="TimesNewRomanPSMT"/>
                <w:color w:val="000000"/>
                <w:kern w:val="0"/>
                <w:sz w:val="24"/>
                <w:szCs w:val="24"/>
                <w:u w:val="single"/>
                <w:lang w:val="en-US" w:eastAsia="zh-CN" w:bidi="ar"/>
              </w:rPr>
              <w:t>1</w:t>
            </w:r>
            <w:r>
              <w:rPr>
                <w:rFonts w:hint="eastAsia" w:ascii="宋体" w:hAnsi="宋体" w:eastAsia="宋体" w:cs="宋体"/>
                <w:color w:val="000000"/>
                <w:kern w:val="0"/>
                <w:sz w:val="24"/>
                <w:szCs w:val="24"/>
                <w:u w:val="single"/>
                <w:lang w:val="en-US" w:eastAsia="zh-CN" w:bidi="ar"/>
              </w:rPr>
              <w:t xml:space="preserve">）考虑现阶段交通情况，施工先进行主管道敷设道路段施工，最后进行交叉口及直管位置的施工；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cs="Times New Roman"/>
                <w:b/>
                <w:bCs/>
                <w:spacing w:val="0"/>
                <w:sz w:val="24"/>
                <w:szCs w:val="24"/>
                <w:u w:val="single"/>
                <w:lang w:val="en-US" w:eastAsia="zh-CN"/>
              </w:rPr>
            </w:pP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2</w:t>
            </w:r>
            <w:r>
              <w:rPr>
                <w:rFonts w:hint="eastAsia" w:ascii="宋体" w:hAnsi="宋体" w:eastAsia="宋体" w:cs="宋体"/>
                <w:color w:val="000000"/>
                <w:kern w:val="0"/>
                <w:sz w:val="24"/>
                <w:szCs w:val="24"/>
                <w:u w:val="single"/>
                <w:lang w:val="en-US" w:eastAsia="zh-CN" w:bidi="ar"/>
              </w:rPr>
              <w:t xml:space="preserve">）路段施工期间的交通疏导共分为三个阶段，施工区域采用 </w:t>
            </w:r>
            <w:r>
              <w:rPr>
                <w:rFonts w:hint="default" w:ascii="TimesNewRomanPSMT" w:hAnsi="TimesNewRomanPSMT" w:eastAsia="TimesNewRomanPSMT" w:cs="TimesNewRomanPSMT"/>
                <w:color w:val="000000"/>
                <w:kern w:val="0"/>
                <w:sz w:val="24"/>
                <w:szCs w:val="24"/>
                <w:u w:val="single"/>
                <w:lang w:val="en-US" w:eastAsia="zh-CN" w:bidi="ar"/>
              </w:rPr>
              <w:t>2.5m</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3m </w:t>
            </w:r>
            <w:r>
              <w:rPr>
                <w:rFonts w:hint="eastAsia" w:ascii="宋体" w:hAnsi="宋体" w:eastAsia="宋体" w:cs="宋体"/>
                <w:color w:val="000000"/>
                <w:kern w:val="0"/>
                <w:sz w:val="24"/>
                <w:szCs w:val="24"/>
                <w:u w:val="single"/>
                <w:lang w:val="en-US" w:eastAsia="zh-CN" w:bidi="ar"/>
              </w:rPr>
              <w:t>硬质围挡进行封闭，围挡段中间和两端预留出入口，便于施工机械，材料，人工的进入，围挡上悬挂太阳能警示灯以提示车辆行人注意，围挡前方按国标摆放</w:t>
            </w:r>
            <w:r>
              <w:rPr>
                <w:rFonts w:hint="default" w:ascii="TimesNewRomanPSMT" w:hAnsi="TimesNewRomanPSMT" w:eastAsia="TimesNewRomanPSMT" w:cs="TimesNewRomanPSMT"/>
                <w:color w:val="000000"/>
                <w:kern w:val="0"/>
                <w:sz w:val="24"/>
                <w:szCs w:val="24"/>
                <w:u w:val="single"/>
                <w:lang w:val="en-US" w:eastAsia="zh-CN" w:bidi="ar"/>
              </w:rPr>
              <w:t>"</w:t>
            </w:r>
            <w:r>
              <w:rPr>
                <w:rFonts w:hint="eastAsia" w:ascii="宋体" w:hAnsi="宋体" w:eastAsia="宋体" w:cs="宋体"/>
                <w:color w:val="000000"/>
                <w:kern w:val="0"/>
                <w:sz w:val="24"/>
                <w:szCs w:val="24"/>
                <w:u w:val="single"/>
                <w:lang w:val="en-US" w:eastAsia="zh-CN" w:bidi="ar"/>
              </w:rPr>
              <w:t>道路施工</w:t>
            </w:r>
            <w:r>
              <w:rPr>
                <w:rFonts w:hint="default" w:ascii="TimesNewRomanPSMT" w:hAnsi="TimesNewRomanPSMT" w:eastAsia="TimesNewRomanPSMT" w:cs="TimesNewRomanPSMT"/>
                <w:color w:val="000000"/>
                <w:kern w:val="0"/>
                <w:sz w:val="24"/>
                <w:szCs w:val="24"/>
                <w:u w:val="single"/>
                <w:lang w:val="en-US" w:eastAsia="zh-CN" w:bidi="ar"/>
              </w:rPr>
              <w:t>"</w:t>
            </w:r>
            <w:r>
              <w:rPr>
                <w:rFonts w:hint="eastAsia" w:ascii="宋体" w:hAnsi="宋体" w:eastAsia="宋体" w:cs="宋体"/>
                <w:color w:val="000000"/>
                <w:kern w:val="0"/>
                <w:sz w:val="24"/>
                <w:szCs w:val="24"/>
                <w:u w:val="single"/>
                <w:lang w:val="en-US" w:eastAsia="zh-CN" w:bidi="ar"/>
              </w:rPr>
              <w:t>、</w:t>
            </w:r>
            <w:r>
              <w:rPr>
                <w:rFonts w:hint="default" w:ascii="TimesNewRomanPSMT" w:hAnsi="TimesNewRomanPSMT" w:eastAsia="TimesNewRomanPSMT" w:cs="TimesNewRomanPSMT"/>
                <w:color w:val="000000"/>
                <w:kern w:val="0"/>
                <w:sz w:val="24"/>
                <w:szCs w:val="24"/>
                <w:u w:val="single"/>
                <w:lang w:val="en-US" w:eastAsia="zh-CN" w:bidi="ar"/>
              </w:rPr>
              <w:t xml:space="preserve">LED </w:t>
            </w:r>
            <w:r>
              <w:rPr>
                <w:rFonts w:hint="eastAsia" w:ascii="宋体" w:hAnsi="宋体" w:eastAsia="宋体" w:cs="宋体"/>
                <w:color w:val="000000"/>
                <w:kern w:val="0"/>
                <w:sz w:val="24"/>
                <w:szCs w:val="24"/>
                <w:u w:val="single"/>
                <w:lang w:val="en-US" w:eastAsia="zh-CN" w:bidi="ar"/>
              </w:rPr>
              <w:t xml:space="preserve">灯、圆盘闪灯等交通标志。 </w:t>
            </w:r>
          </w:p>
          <w:p>
            <w:pPr>
              <w:pStyle w:val="54"/>
              <w:keepNext w:val="0"/>
              <w:keepLines w:val="0"/>
              <w:pageBreakBefore w:val="0"/>
              <w:widowControl w:val="0"/>
              <w:numPr>
                <w:ilvl w:val="0"/>
                <w:numId w:val="0"/>
              </w:numPr>
              <w:tabs>
                <w:tab w:val="left" w:pos="1582"/>
              </w:tabs>
              <w:kinsoku/>
              <w:wordWrap/>
              <w:overflowPunct/>
              <w:topLinePunct w:val="0"/>
              <w:autoSpaceDE/>
              <w:autoSpaceDN/>
              <w:bidi w:val="0"/>
              <w:adjustRightInd/>
              <w:snapToGrid/>
              <w:spacing w:after="0" w:line="360" w:lineRule="auto"/>
              <w:ind w:right="0" w:rightChars="0"/>
              <w:jc w:val="left"/>
              <w:textAlignment w:val="auto"/>
              <w:rPr>
                <w:rFonts w:hint="default" w:cs="Times New Roman"/>
                <w:b/>
                <w:bCs/>
                <w:spacing w:val="0"/>
                <w:sz w:val="24"/>
                <w:szCs w:val="24"/>
                <w:lang w:val="en-US" w:eastAsia="zh-CN"/>
              </w:rPr>
            </w:pPr>
            <w:r>
              <w:rPr>
                <w:rFonts w:hint="eastAsia" w:cs="Times New Roman"/>
                <w:b/>
                <w:bCs/>
                <w:spacing w:val="0"/>
                <w:sz w:val="24"/>
                <w:szCs w:val="24"/>
                <w:lang w:val="en-US" w:eastAsia="zh-CN"/>
              </w:rPr>
              <w:t>1.11施工组织</w:t>
            </w:r>
          </w:p>
          <w:p>
            <w:pPr>
              <w:keepNext w:val="0"/>
              <w:keepLines w:val="0"/>
              <w:pageBreakBefore w:val="0"/>
              <w:kinsoku/>
              <w:wordWrap/>
              <w:overflowPunct/>
              <w:topLinePunct w:val="0"/>
              <w:autoSpaceDE/>
              <w:autoSpaceDN/>
              <w:bidi w:val="0"/>
              <w:adjustRightInd/>
              <w:snapToGrid/>
              <w:spacing w:line="360" w:lineRule="auto"/>
              <w:ind w:leftChars="0" w:firstLine="480" w:firstLineChars="200"/>
              <w:textAlignment w:val="auto"/>
              <w:rPr>
                <w:rFonts w:hint="default"/>
                <w:b w:val="0"/>
                <w:bCs w:val="0"/>
                <w:snapToGrid w:val="0"/>
                <w:color w:val="auto"/>
                <w:sz w:val="24"/>
                <w:szCs w:val="24"/>
                <w:lang w:val="en-US" w:eastAsia="zh-CN"/>
              </w:rPr>
            </w:pPr>
            <w:r>
              <w:rPr>
                <w:rFonts w:hint="eastAsia"/>
                <w:b w:val="0"/>
                <w:bCs w:val="0"/>
                <w:snapToGrid w:val="0"/>
                <w:color w:val="auto"/>
                <w:sz w:val="24"/>
                <w:szCs w:val="24"/>
                <w:lang w:val="en-US" w:eastAsia="zh-CN"/>
              </w:rPr>
              <w:t>（1）施工条件</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default" w:hAnsi="Times New Roman" w:eastAsia="宋体"/>
                <w:b w:val="0"/>
                <w:bCs w:val="0"/>
                <w:color w:val="auto"/>
                <w:sz w:val="24"/>
                <w:szCs w:val="24"/>
                <w:lang w:val="en-US" w:eastAsia="zh-CN"/>
              </w:rPr>
            </w:pPr>
            <w:r>
              <w:rPr>
                <w:rFonts w:hint="default" w:hAnsi="Times New Roman" w:eastAsia="宋体"/>
                <w:b w:val="0"/>
                <w:bCs w:val="0"/>
                <w:color w:val="auto"/>
                <w:sz w:val="24"/>
                <w:szCs w:val="24"/>
                <w:lang w:val="en-US" w:eastAsia="zh-CN"/>
              </w:rPr>
              <w:t>①</w:t>
            </w:r>
            <w:r>
              <w:rPr>
                <w:rFonts w:hint="eastAsia" w:hAnsi="Times New Roman" w:eastAsia="宋体"/>
                <w:b w:val="0"/>
                <w:bCs w:val="0"/>
                <w:color w:val="auto"/>
                <w:sz w:val="24"/>
                <w:szCs w:val="24"/>
                <w:lang w:val="en-US" w:eastAsia="zh-CN"/>
              </w:rPr>
              <w:t>工程地点、对外交通</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hAnsi="Times New Roman" w:eastAsia="宋体"/>
                <w:b w:val="0"/>
                <w:bCs w:val="0"/>
                <w:color w:val="auto"/>
                <w:sz w:val="24"/>
                <w:szCs w:val="24"/>
                <w:lang w:val="en-US" w:eastAsia="zh-CN"/>
              </w:rPr>
            </w:pPr>
            <w:r>
              <w:rPr>
                <w:rFonts w:hint="eastAsia"/>
                <w:b w:val="0"/>
                <w:bCs w:val="0"/>
                <w:color w:val="auto"/>
                <w:sz w:val="24"/>
                <w:szCs w:val="24"/>
                <w:lang w:val="en-US" w:eastAsia="zh-CN"/>
              </w:rPr>
              <w:t>工程位于岳阳市经开区</w:t>
            </w:r>
            <w:r>
              <w:rPr>
                <w:rFonts w:hint="eastAsia"/>
                <w:color w:val="auto"/>
                <w:sz w:val="24"/>
                <w:szCs w:val="24"/>
                <w:lang w:val="en-US" w:eastAsia="zh-CN"/>
              </w:rPr>
              <w:t>、楼区</w:t>
            </w:r>
            <w:r>
              <w:rPr>
                <w:rFonts w:hint="eastAsia"/>
                <w:b w:val="0"/>
                <w:bCs w:val="0"/>
                <w:color w:val="auto"/>
                <w:sz w:val="24"/>
                <w:szCs w:val="24"/>
                <w:lang w:val="en-US" w:eastAsia="zh-CN"/>
              </w:rPr>
              <w:t>，对外交通条件较好。</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hAnsi="Times New Roman" w:eastAsia="宋体"/>
                <w:b w:val="0"/>
                <w:bCs w:val="0"/>
                <w:color w:val="auto"/>
                <w:sz w:val="24"/>
                <w:szCs w:val="24"/>
                <w:lang w:val="en-US" w:eastAsia="zh-CN"/>
              </w:rPr>
            </w:pPr>
            <w:r>
              <w:rPr>
                <w:rFonts w:hint="default" w:hAnsi="Times New Roman" w:eastAsia="宋体"/>
                <w:b w:val="0"/>
                <w:bCs w:val="0"/>
                <w:color w:val="auto"/>
                <w:sz w:val="24"/>
                <w:szCs w:val="24"/>
                <w:lang w:val="en-US" w:eastAsia="zh-CN"/>
              </w:rPr>
              <w:t>②</w:t>
            </w:r>
            <w:r>
              <w:rPr>
                <w:rFonts w:hint="eastAsia" w:hAnsi="Times New Roman" w:eastAsia="宋体"/>
                <w:b w:val="0"/>
                <w:bCs w:val="0"/>
                <w:color w:val="auto"/>
                <w:sz w:val="24"/>
                <w:szCs w:val="24"/>
                <w:lang w:val="en-US" w:eastAsia="zh-CN"/>
              </w:rPr>
              <w:t>施工建材供应</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default" w:hAnsi="Times New Roman" w:eastAsia="宋体"/>
                <w:b w:val="0"/>
                <w:bCs w:val="0"/>
                <w:color w:val="auto"/>
                <w:sz w:val="24"/>
                <w:szCs w:val="24"/>
                <w:lang w:val="en-US" w:eastAsia="zh-CN"/>
              </w:rPr>
            </w:pPr>
            <w:r>
              <w:rPr>
                <w:rFonts w:hint="eastAsia" w:hAnsi="Times New Roman" w:eastAsia="宋体"/>
                <w:b w:val="0"/>
                <w:bCs w:val="0"/>
                <w:color w:val="auto"/>
                <w:sz w:val="24"/>
                <w:szCs w:val="24"/>
                <w:lang w:val="en-US" w:eastAsia="zh-CN"/>
              </w:rPr>
              <w:t>工程主要外购材料有块石、水泥、钢筋、商品混凝土</w:t>
            </w:r>
            <w:r>
              <w:rPr>
                <w:rFonts w:hint="eastAsia"/>
                <w:b w:val="0"/>
                <w:bCs w:val="0"/>
                <w:color w:val="auto"/>
                <w:sz w:val="24"/>
                <w:szCs w:val="24"/>
                <w:lang w:val="en-US" w:eastAsia="zh-CN"/>
              </w:rPr>
              <w:t>、管道</w:t>
            </w:r>
            <w:r>
              <w:rPr>
                <w:rFonts w:hint="eastAsia" w:hAnsi="Times New Roman" w:eastAsia="宋体"/>
                <w:b w:val="0"/>
                <w:bCs w:val="0"/>
                <w:color w:val="auto"/>
                <w:sz w:val="24"/>
                <w:szCs w:val="24"/>
                <w:lang w:val="en-US" w:eastAsia="zh-CN"/>
              </w:rPr>
              <w:t>等。</w:t>
            </w:r>
            <w:r>
              <w:rPr>
                <w:rFonts w:hint="eastAsia" w:eastAsia="宋体"/>
                <w:b w:val="0"/>
                <w:bCs w:val="0"/>
                <w:color w:val="auto"/>
                <w:sz w:val="24"/>
                <w:szCs w:val="24"/>
                <w:lang w:val="en-US" w:eastAsia="zh-CN"/>
              </w:rPr>
              <w:t>所用外购材料均在</w:t>
            </w:r>
            <w:r>
              <w:rPr>
                <w:rFonts w:hint="eastAsia"/>
                <w:b w:val="0"/>
                <w:bCs w:val="0"/>
                <w:color w:val="auto"/>
                <w:sz w:val="24"/>
                <w:szCs w:val="24"/>
                <w:lang w:val="en-US" w:eastAsia="zh-CN"/>
              </w:rPr>
              <w:t>岳阳市</w:t>
            </w:r>
            <w:r>
              <w:rPr>
                <w:rFonts w:hint="eastAsia" w:hAnsi="Times New Roman" w:eastAsia="宋体"/>
                <w:b w:val="0"/>
                <w:bCs w:val="0"/>
                <w:color w:val="auto"/>
                <w:sz w:val="24"/>
                <w:szCs w:val="24"/>
                <w:lang w:val="en-US" w:eastAsia="zh-CN"/>
              </w:rPr>
              <w:t>内采购，工程不单独设置商品混凝土搅拌站、石料加工场。</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default" w:hAnsi="Times New Roman" w:eastAsia="宋体"/>
                <w:b w:val="0"/>
                <w:bCs w:val="0"/>
                <w:color w:val="auto"/>
                <w:sz w:val="24"/>
                <w:szCs w:val="24"/>
                <w:u w:val="single"/>
                <w:lang w:val="en-US" w:eastAsia="zh-CN"/>
              </w:rPr>
            </w:pPr>
            <w:r>
              <w:rPr>
                <w:rFonts w:hint="default" w:hAnsi="Times New Roman" w:eastAsia="宋体"/>
                <w:b w:val="0"/>
                <w:bCs w:val="0"/>
                <w:color w:val="auto"/>
                <w:sz w:val="24"/>
                <w:szCs w:val="24"/>
                <w:u w:val="single"/>
                <w:lang w:val="en-US" w:eastAsia="zh-CN"/>
              </w:rPr>
              <w:t>③</w:t>
            </w:r>
            <w:r>
              <w:rPr>
                <w:rFonts w:hint="eastAsia" w:hAnsi="Times New Roman" w:eastAsia="宋体"/>
                <w:b w:val="0"/>
                <w:bCs w:val="0"/>
                <w:color w:val="auto"/>
                <w:sz w:val="24"/>
                <w:szCs w:val="24"/>
                <w:u w:val="single"/>
                <w:lang w:val="en-US" w:eastAsia="zh-CN"/>
              </w:rPr>
              <w:t xml:space="preserve">临时工程    </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hAnsi="Times New Roman" w:eastAsia="宋体"/>
                <w:b w:val="0"/>
                <w:bCs w:val="0"/>
                <w:color w:val="auto"/>
                <w:sz w:val="24"/>
                <w:szCs w:val="24"/>
                <w:u w:val="single"/>
                <w:lang w:val="en-US" w:eastAsia="zh-CN"/>
              </w:rPr>
            </w:pPr>
            <w:r>
              <w:rPr>
                <w:rFonts w:hint="eastAsia" w:hAnsi="Times New Roman" w:eastAsia="宋体"/>
                <w:b w:val="0"/>
                <w:bCs w:val="0"/>
                <w:color w:val="auto"/>
                <w:sz w:val="24"/>
                <w:szCs w:val="24"/>
                <w:u w:val="single"/>
                <w:lang w:val="en-US" w:eastAsia="zh-CN"/>
              </w:rPr>
              <w:t>生活、办公：项目施工场地内不设施工生活营地，不设食堂等配套生活设施，施工人员食宿问题由周边社会力量解决。</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hAnsi="Times New Roman" w:eastAsia="宋体"/>
                <w:b w:val="0"/>
                <w:bCs w:val="0"/>
                <w:color w:val="auto"/>
                <w:sz w:val="24"/>
                <w:szCs w:val="24"/>
                <w:u w:val="single"/>
                <w:lang w:val="en-US" w:eastAsia="zh-CN"/>
              </w:rPr>
            </w:pPr>
            <w:r>
              <w:rPr>
                <w:rFonts w:hint="eastAsia" w:hAnsi="Times New Roman" w:eastAsia="宋体"/>
                <w:b w:val="0"/>
                <w:bCs w:val="0"/>
                <w:color w:val="auto"/>
                <w:sz w:val="24"/>
                <w:szCs w:val="24"/>
                <w:u w:val="single"/>
                <w:lang w:val="en-US" w:eastAsia="zh-CN"/>
              </w:rPr>
              <w:t>项目管线材料、设备等依托沿线道路进行临时堆存，不新建库房，施工结束后，应对临时工程进行拆除并进行生态修复。</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hAnsi="Times New Roman" w:eastAsia="宋体"/>
                <w:b w:val="0"/>
                <w:bCs w:val="0"/>
                <w:color w:val="auto"/>
                <w:sz w:val="24"/>
                <w:szCs w:val="24"/>
                <w:u w:val="single"/>
                <w:lang w:val="en-US" w:eastAsia="zh-CN"/>
              </w:rPr>
            </w:pPr>
            <w:r>
              <w:rPr>
                <w:rFonts w:hint="eastAsia"/>
                <w:b w:val="0"/>
                <w:bCs w:val="0"/>
                <w:color w:val="auto"/>
                <w:sz w:val="24"/>
                <w:szCs w:val="24"/>
                <w:u w:val="single"/>
                <w:lang w:val="en-US" w:eastAsia="zh-CN"/>
              </w:rPr>
              <w:t>取土、</w:t>
            </w:r>
            <w:r>
              <w:rPr>
                <w:rFonts w:hint="eastAsia" w:hAnsi="Times New Roman" w:eastAsia="宋体"/>
                <w:b w:val="0"/>
                <w:bCs w:val="0"/>
                <w:color w:val="auto"/>
                <w:sz w:val="24"/>
                <w:szCs w:val="24"/>
                <w:u w:val="single"/>
                <w:lang w:val="en-US" w:eastAsia="zh-CN"/>
              </w:rPr>
              <w:t>弃渣场：工程土石方</w:t>
            </w:r>
            <w:r>
              <w:rPr>
                <w:rFonts w:hint="eastAsia"/>
                <w:b w:val="0"/>
                <w:bCs w:val="0"/>
                <w:color w:val="auto"/>
                <w:sz w:val="24"/>
                <w:szCs w:val="24"/>
                <w:u w:val="single"/>
                <w:lang w:val="en-US" w:eastAsia="zh-CN"/>
              </w:rPr>
              <w:t>绝大</w:t>
            </w:r>
            <w:r>
              <w:rPr>
                <w:rFonts w:hint="eastAsia" w:hAnsi="Times New Roman" w:eastAsia="宋体"/>
                <w:b w:val="0"/>
                <w:bCs w:val="0"/>
                <w:color w:val="auto"/>
                <w:sz w:val="24"/>
                <w:szCs w:val="24"/>
                <w:u w:val="single"/>
                <w:lang w:val="en-US" w:eastAsia="zh-CN"/>
              </w:rPr>
              <w:t>部分用于回填，其余弃渣运至指定弃渣场进行处置</w:t>
            </w:r>
            <w:r>
              <w:rPr>
                <w:rFonts w:hint="eastAsia"/>
                <w:b w:val="0"/>
                <w:bCs w:val="0"/>
                <w:color w:val="auto"/>
                <w:sz w:val="24"/>
                <w:szCs w:val="24"/>
                <w:u w:val="single"/>
                <w:lang w:val="en-US" w:eastAsia="zh-CN"/>
              </w:rPr>
              <w:t>，本项目不设置取土场和临时弃渣场</w:t>
            </w:r>
            <w:r>
              <w:rPr>
                <w:rFonts w:hint="eastAsia" w:hAnsi="Times New Roman" w:eastAsia="宋体"/>
                <w:b w:val="0"/>
                <w:bCs w:val="0"/>
                <w:color w:val="auto"/>
                <w:sz w:val="24"/>
                <w:szCs w:val="24"/>
                <w:u w:val="single"/>
                <w:lang w:val="en-US" w:eastAsia="zh-CN"/>
              </w:rPr>
              <w:t>。</w:t>
            </w:r>
          </w:p>
          <w:p>
            <w:pPr>
              <w:spacing w:line="360" w:lineRule="auto"/>
              <w:rPr>
                <w:rFonts w:hint="default"/>
                <w:sz w:val="24"/>
                <w:szCs w:val="24"/>
                <w:u w:val="single"/>
                <w:lang w:val="en-US" w:eastAsia="zh-CN"/>
              </w:rPr>
            </w:pPr>
            <w:r>
              <w:rPr>
                <w:rFonts w:hint="eastAsia"/>
                <w:sz w:val="24"/>
                <w:szCs w:val="24"/>
                <w:u w:val="single"/>
                <w:lang w:val="en-US" w:eastAsia="zh-CN"/>
              </w:rPr>
              <w:t xml:space="preserve">    施工便道：项目利用现有道路，不新建施工便道。</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eastAsia="宋体"/>
                <w:b w:val="0"/>
                <w:bCs w:val="0"/>
                <w:snapToGrid w:val="0"/>
                <w:color w:val="auto"/>
                <w:sz w:val="24"/>
                <w:szCs w:val="24"/>
                <w:u w:val="single"/>
                <w:lang w:val="en-US" w:eastAsia="zh-CN"/>
              </w:rPr>
            </w:pPr>
            <w:r>
              <w:rPr>
                <w:rFonts w:hint="eastAsia" w:hAnsi="Times New Roman" w:eastAsia="宋体"/>
                <w:b w:val="0"/>
                <w:bCs w:val="0"/>
                <w:color w:val="auto"/>
                <w:sz w:val="24"/>
                <w:szCs w:val="24"/>
                <w:u w:val="single"/>
                <w:lang w:val="en-US" w:eastAsia="zh-CN"/>
              </w:rPr>
              <w:t>本项目混凝土均采用商品混凝土，施工现场不设置混凝土搅拌站。</w:t>
            </w:r>
          </w:p>
          <w:p>
            <w:pPr>
              <w:keepNext w:val="0"/>
              <w:keepLines w:val="0"/>
              <w:pageBreakBefore w:val="0"/>
              <w:kinsoku/>
              <w:wordWrap/>
              <w:overflowPunct/>
              <w:topLinePunct w:val="0"/>
              <w:autoSpaceDE/>
              <w:autoSpaceDN/>
              <w:bidi w:val="0"/>
              <w:adjustRightInd/>
              <w:snapToGrid/>
              <w:spacing w:line="360" w:lineRule="auto"/>
              <w:ind w:leftChars="0" w:firstLine="480" w:firstLineChars="200"/>
              <w:textAlignment w:val="auto"/>
              <w:rPr>
                <w:rFonts w:hint="default" w:eastAsia="宋体"/>
                <w:b w:val="0"/>
                <w:bCs w:val="0"/>
                <w:snapToGrid w:val="0"/>
                <w:color w:val="auto"/>
                <w:sz w:val="24"/>
                <w:szCs w:val="24"/>
                <w:lang w:val="en-US" w:eastAsia="zh-CN"/>
              </w:rPr>
            </w:pPr>
            <w:r>
              <w:rPr>
                <w:rFonts w:hint="eastAsia" w:eastAsia="宋体"/>
                <w:b w:val="0"/>
                <w:bCs w:val="0"/>
                <w:snapToGrid w:val="0"/>
                <w:color w:val="auto"/>
                <w:sz w:val="24"/>
                <w:szCs w:val="24"/>
                <w:lang w:val="en-US" w:eastAsia="zh-CN"/>
              </w:rPr>
              <w:t>（2）施工进度安排</w:t>
            </w:r>
          </w:p>
          <w:p>
            <w:pPr>
              <w:keepNext w:val="0"/>
              <w:keepLines w:val="0"/>
              <w:pageBreakBefore w:val="0"/>
              <w:widowControl/>
              <w:kinsoku/>
              <w:wordWrap/>
              <w:overflowPunct/>
              <w:topLinePunct w:val="0"/>
              <w:autoSpaceDE/>
              <w:autoSpaceDN/>
              <w:bidi w:val="0"/>
              <w:adjustRightInd/>
              <w:snapToGrid/>
              <w:spacing w:line="360" w:lineRule="auto"/>
              <w:ind w:leftChars="0" w:firstLine="480" w:firstLineChars="200"/>
              <w:jc w:val="left"/>
              <w:textAlignment w:val="auto"/>
              <w:rPr>
                <w:rFonts w:hint="eastAsia" w:hAnsi="Times New Roman" w:eastAsia="宋体"/>
                <w:color w:val="auto"/>
                <w:szCs w:val="22"/>
                <w:lang w:val="en-US" w:eastAsia="zh-CN"/>
              </w:rPr>
            </w:pPr>
            <w:r>
              <w:rPr>
                <w:rFonts w:hint="eastAsia" w:hAnsi="Times New Roman" w:eastAsia="宋体"/>
                <w:b w:val="0"/>
                <w:bCs w:val="0"/>
                <w:color w:val="auto"/>
                <w:sz w:val="24"/>
                <w:szCs w:val="24"/>
                <w:lang w:val="en-US" w:eastAsia="zh-CN"/>
              </w:rPr>
              <w:t>本项目计划建设周期为</w:t>
            </w:r>
            <w:r>
              <w:rPr>
                <w:rFonts w:hint="eastAsia"/>
                <w:b w:val="0"/>
                <w:bCs w:val="0"/>
                <w:color w:val="auto"/>
                <w:sz w:val="24"/>
                <w:szCs w:val="24"/>
                <w:lang w:val="en-US" w:eastAsia="zh-CN"/>
              </w:rPr>
              <w:t>12</w:t>
            </w:r>
            <w:r>
              <w:rPr>
                <w:rFonts w:hint="eastAsia" w:hAnsi="Times New Roman" w:eastAsia="宋体"/>
                <w:b w:val="0"/>
                <w:bCs w:val="0"/>
                <w:color w:val="auto"/>
                <w:sz w:val="24"/>
                <w:szCs w:val="24"/>
                <w:lang w:val="en-US" w:eastAsia="zh-CN"/>
              </w:rPr>
              <w:t>个月，于20</w:t>
            </w:r>
            <w:r>
              <w:rPr>
                <w:rFonts w:hint="eastAsia"/>
                <w:b w:val="0"/>
                <w:bCs w:val="0"/>
                <w:color w:val="auto"/>
                <w:sz w:val="24"/>
                <w:szCs w:val="24"/>
                <w:lang w:val="en-US" w:eastAsia="zh-CN"/>
              </w:rPr>
              <w:t>20</w:t>
            </w:r>
            <w:r>
              <w:rPr>
                <w:rFonts w:hint="eastAsia" w:hAnsi="Times New Roman" w:eastAsia="宋体"/>
                <w:b w:val="0"/>
                <w:bCs w:val="0"/>
                <w:color w:val="auto"/>
                <w:sz w:val="24"/>
                <w:szCs w:val="24"/>
                <w:lang w:val="en-US" w:eastAsia="zh-CN"/>
              </w:rPr>
              <w:t>年</w:t>
            </w:r>
            <w:r>
              <w:rPr>
                <w:rFonts w:hint="eastAsia"/>
                <w:b w:val="0"/>
                <w:bCs w:val="0"/>
                <w:color w:val="auto"/>
                <w:sz w:val="24"/>
                <w:szCs w:val="24"/>
                <w:lang w:val="en-US" w:eastAsia="zh-CN"/>
              </w:rPr>
              <w:t>10</w:t>
            </w:r>
            <w:r>
              <w:rPr>
                <w:rFonts w:hint="eastAsia" w:hAnsi="Times New Roman" w:eastAsia="宋体"/>
                <w:b w:val="0"/>
                <w:bCs w:val="0"/>
                <w:color w:val="auto"/>
                <w:sz w:val="24"/>
                <w:szCs w:val="24"/>
                <w:lang w:val="en-US" w:eastAsia="zh-CN"/>
              </w:rPr>
              <w:t>月</w:t>
            </w:r>
            <w:r>
              <w:rPr>
                <w:rFonts w:hint="eastAsia"/>
                <w:b w:val="0"/>
                <w:bCs w:val="0"/>
                <w:color w:val="auto"/>
                <w:sz w:val="24"/>
                <w:szCs w:val="24"/>
                <w:lang w:val="en-US" w:eastAsia="zh-CN"/>
              </w:rPr>
              <w:t>初</w:t>
            </w:r>
            <w:r>
              <w:rPr>
                <w:rFonts w:hint="eastAsia" w:hAnsi="Times New Roman" w:eastAsia="宋体"/>
                <w:b w:val="0"/>
                <w:bCs w:val="0"/>
                <w:color w:val="auto"/>
                <w:sz w:val="24"/>
                <w:szCs w:val="24"/>
                <w:lang w:val="en-US" w:eastAsia="zh-CN"/>
              </w:rPr>
              <w:t>开始实施，202</w:t>
            </w:r>
            <w:r>
              <w:rPr>
                <w:rFonts w:hint="eastAsia"/>
                <w:b w:val="0"/>
                <w:bCs w:val="0"/>
                <w:color w:val="auto"/>
                <w:sz w:val="24"/>
                <w:szCs w:val="24"/>
                <w:lang w:val="en-US" w:eastAsia="zh-CN"/>
              </w:rPr>
              <w:t>1</w:t>
            </w:r>
            <w:r>
              <w:rPr>
                <w:rFonts w:hint="eastAsia" w:hAnsi="Times New Roman" w:eastAsia="宋体"/>
                <w:b w:val="0"/>
                <w:bCs w:val="0"/>
                <w:color w:val="auto"/>
                <w:sz w:val="24"/>
                <w:szCs w:val="24"/>
                <w:lang w:val="en-US" w:eastAsia="zh-CN"/>
              </w:rPr>
              <w:t>年</w:t>
            </w:r>
            <w:r>
              <w:rPr>
                <w:rFonts w:hint="eastAsia"/>
                <w:b w:val="0"/>
                <w:bCs w:val="0"/>
                <w:color w:val="auto"/>
                <w:sz w:val="24"/>
                <w:szCs w:val="24"/>
                <w:lang w:val="en-US" w:eastAsia="zh-CN"/>
              </w:rPr>
              <w:t>10</w:t>
            </w:r>
            <w:r>
              <w:rPr>
                <w:rFonts w:hint="eastAsia" w:hAnsi="Times New Roman" w:eastAsia="宋体"/>
                <w:b w:val="0"/>
                <w:bCs w:val="0"/>
                <w:color w:val="auto"/>
                <w:sz w:val="24"/>
                <w:szCs w:val="24"/>
                <w:lang w:val="en-US" w:eastAsia="zh-CN"/>
              </w:rPr>
              <w:t>月底全部竣工并投入使用。</w:t>
            </w:r>
          </w:p>
          <w:p>
            <w:pPr>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eastAsia" w:ascii="Times New Roman" w:hAnsi="Times New Roman" w:cs="Times New Roman"/>
                <w:b/>
                <w:bCs/>
                <w:color w:val="auto"/>
                <w:sz w:val="24"/>
                <w:szCs w:val="24"/>
                <w:u w:val="none"/>
                <w:lang w:val="en-US" w:eastAsia="zh-CN"/>
              </w:rPr>
            </w:pPr>
            <w:r>
              <w:rPr>
                <w:rFonts w:hint="eastAsia" w:ascii="Times New Roman" w:hAnsi="Times New Roman" w:cs="Times New Roman"/>
                <w:b/>
                <w:bCs/>
                <w:color w:val="auto"/>
                <w:sz w:val="24"/>
                <w:szCs w:val="24"/>
                <w:u w:val="none"/>
                <w:lang w:val="en-US" w:eastAsia="zh-CN"/>
              </w:rPr>
              <w:t>1.1</w:t>
            </w:r>
            <w:r>
              <w:rPr>
                <w:rFonts w:hint="eastAsia" w:cs="Times New Roman"/>
                <w:b/>
                <w:bCs/>
                <w:color w:val="auto"/>
                <w:sz w:val="24"/>
                <w:szCs w:val="24"/>
                <w:u w:val="none"/>
                <w:lang w:val="en-US" w:eastAsia="zh-CN"/>
              </w:rPr>
              <w:t>2</w:t>
            </w:r>
            <w:r>
              <w:rPr>
                <w:rFonts w:hint="eastAsia" w:ascii="Times New Roman" w:hAnsi="Times New Roman" w:cs="Times New Roman"/>
                <w:b/>
                <w:bCs/>
                <w:color w:val="auto"/>
                <w:sz w:val="24"/>
                <w:szCs w:val="24"/>
                <w:u w:val="none"/>
                <w:lang w:val="en-US" w:eastAsia="zh-CN"/>
              </w:rPr>
              <w:t>与本项目有关的原有污染情况及主要环境问题：</w:t>
            </w:r>
          </w:p>
          <w:p>
            <w:pPr>
              <w:keepNext w:val="0"/>
              <w:keepLines w:val="0"/>
              <w:widowControl/>
              <w:suppressLineNumbers w:val="0"/>
              <w:spacing w:line="360" w:lineRule="auto"/>
              <w:ind w:firstLine="480" w:firstLineChars="200"/>
              <w:jc w:val="left"/>
              <w:rPr>
                <w:rFonts w:hint="eastAsia" w:ascii="Times New Roman" w:hAnsi="Times New Roman" w:eastAsia="宋体"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罗家坡片区作为罗家坡污水处理厂纳污范围中的主要区域，对污水处理厂运行、南北港河的水质有着重要影响。</w:t>
            </w:r>
            <w:r>
              <w:rPr>
                <w:rFonts w:hint="eastAsia" w:cs="Times New Roman"/>
                <w:color w:val="000000"/>
                <w:kern w:val="0"/>
                <w:sz w:val="24"/>
                <w:szCs w:val="24"/>
                <w:lang w:val="en-US" w:eastAsia="zh-CN" w:bidi="ar"/>
              </w:rPr>
              <w:t>根据调查，目前项目区存在如下问题：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1</w:t>
            </w:r>
            <w:r>
              <w:rPr>
                <w:rFonts w:hint="eastAsia" w:ascii="Times New Roman" w:hAnsi="Times New Roman" w:eastAsia="宋体" w:cs="Times New Roman"/>
                <w:color w:val="000000"/>
                <w:kern w:val="0"/>
                <w:sz w:val="24"/>
                <w:szCs w:val="24"/>
                <w:lang w:val="en-US" w:eastAsia="zh-CN" w:bidi="ar"/>
              </w:rPr>
              <w:t xml:space="preserve">）管网建设密度低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 xml:space="preserve">通常城市排水管网密度（城市区域内的排水管道散布的疏密水平，为城市排水管道总长与建成区面积的比值）指标越高，反映一个城市的排水管网普及率越高、效劳面积越大。岳阳市排水管网建设密度低， 低于发达国家的普遍水平，严重影响了污水收集率和污水处理率。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2</w:t>
            </w:r>
            <w:r>
              <w:rPr>
                <w:rFonts w:hint="eastAsia" w:ascii="Times New Roman" w:hAnsi="Times New Roman" w:eastAsia="宋体" w:cs="Times New Roman"/>
                <w:color w:val="000000"/>
                <w:kern w:val="0"/>
                <w:sz w:val="24"/>
                <w:szCs w:val="24"/>
                <w:lang w:val="en-US" w:eastAsia="zh-CN" w:bidi="ar"/>
              </w:rPr>
              <w:t xml:space="preserve">）合流制管网占比高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 xml:space="preserve">岳阳市在近些年的建设过程中按照排水专项规划采用分流制排水体制，道路下均敷设了雨水、污水管网，但是由于以前建设时的合流制排水体制仍然存在，因此形成了合流制和分流制排水体制共存的混合制排水体制。降雨时期，合流制排口将产生大量溢流，对河湖水质造成严重污染。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3</w:t>
            </w:r>
            <w:r>
              <w:rPr>
                <w:rFonts w:hint="eastAsia" w:ascii="Times New Roman" w:hAnsi="Times New Roman" w:eastAsia="宋体" w:cs="Times New Roman"/>
                <w:color w:val="000000"/>
                <w:kern w:val="0"/>
                <w:sz w:val="24"/>
                <w:szCs w:val="24"/>
                <w:lang w:val="en-US" w:eastAsia="zh-CN" w:bidi="ar"/>
              </w:rPr>
              <w:t xml:space="preserve">）污水直排现象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 xml:space="preserve">罗家坡片区由于污水管网覆盖率低且分流制区域雨污混接现象严重，诊断范围内存在大量污水排口，旱季污水排入河道严重影响河道水质，增加河道黑臭风险。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4</w:t>
            </w:r>
            <w:r>
              <w:rPr>
                <w:rFonts w:hint="eastAsia" w:ascii="Times New Roman" w:hAnsi="Times New Roman" w:eastAsia="宋体" w:cs="Times New Roman"/>
                <w:color w:val="000000"/>
                <w:kern w:val="0"/>
                <w:sz w:val="24"/>
                <w:szCs w:val="24"/>
                <w:lang w:val="en-US" w:eastAsia="zh-CN" w:bidi="ar"/>
              </w:rPr>
              <w:t xml:space="preserve">）雨污混接问题严重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污水混接进雨水管网导致旱季雨水排口有污水流出污染河道水质，雨水混接进污水系统增加雨天污水厂运行负荷，影响污水处理厂的正常运行。</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w:t>
            </w:r>
            <w:r>
              <w:rPr>
                <w:rFonts w:hint="default" w:ascii="Times New Roman" w:hAnsi="Times New Roman" w:eastAsia="宋体" w:cs="Times New Roman"/>
                <w:color w:val="000000"/>
                <w:kern w:val="0"/>
                <w:sz w:val="24"/>
                <w:szCs w:val="24"/>
                <w:lang w:val="en-US" w:eastAsia="zh-CN" w:bidi="ar"/>
              </w:rPr>
              <w:t>5</w:t>
            </w:r>
            <w:r>
              <w:rPr>
                <w:rFonts w:hint="eastAsia" w:ascii="Times New Roman" w:hAnsi="Times New Roman" w:eastAsia="宋体" w:cs="Times New Roman"/>
                <w:color w:val="000000"/>
                <w:kern w:val="0"/>
                <w:sz w:val="24"/>
                <w:szCs w:val="24"/>
                <w:lang w:val="en-US" w:eastAsia="zh-CN" w:bidi="ar"/>
              </w:rPr>
              <w:t xml:space="preserve">）污水管网入渗入流问题严重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cs="Times New Roman"/>
                <w:color w:val="000000"/>
                <w:kern w:val="0"/>
                <w:sz w:val="24"/>
                <w:szCs w:val="24"/>
                <w:lang w:val="en-US" w:eastAsia="zh-CN" w:bidi="ar"/>
              </w:rPr>
            </w:pPr>
            <w:r>
              <w:rPr>
                <w:rFonts w:hint="eastAsia" w:ascii="Times New Roman" w:hAnsi="Times New Roman" w:eastAsia="宋体" w:cs="Times New Roman"/>
                <w:color w:val="000000"/>
                <w:kern w:val="0"/>
                <w:sz w:val="24"/>
                <w:szCs w:val="24"/>
                <w:lang w:val="en-US" w:eastAsia="zh-CN" w:bidi="ar"/>
              </w:rPr>
              <w:t>诊断范围内部分污水管道由于建设时间较长，老化、破损现象较为严重，其他客水（地下水、河水等）进入污水管网影响管道过水能力，增加污水厂运行负荷</w:t>
            </w:r>
            <w:r>
              <w:rPr>
                <w:rFonts w:hint="eastAsia" w:cs="Times New Roman"/>
                <w:color w:val="000000"/>
                <w:kern w:val="0"/>
                <w:sz w:val="24"/>
                <w:szCs w:val="24"/>
                <w:lang w:val="en-US" w:eastAsia="zh-CN" w:bidi="ar"/>
              </w:rPr>
              <w:t>。</w:t>
            </w:r>
          </w:p>
          <w:p>
            <w:pPr>
              <w:pStyle w:val="9"/>
              <w:rPr>
                <w:rFonts w:hint="eastAsia" w:cs="Times New Roman"/>
                <w:color w:val="000000"/>
                <w:kern w:val="0"/>
                <w:sz w:val="24"/>
                <w:szCs w:val="24"/>
                <w:lang w:val="en-US" w:eastAsia="zh-CN" w:bidi="ar"/>
              </w:rPr>
            </w:pPr>
          </w:p>
          <w:p>
            <w:pPr>
              <w:rPr>
                <w:rFonts w:hint="eastAsia" w:cs="Times New Roman"/>
                <w:color w:val="000000"/>
                <w:kern w:val="0"/>
                <w:sz w:val="24"/>
                <w:szCs w:val="24"/>
                <w:lang w:val="en-US" w:eastAsia="zh-CN" w:bidi="ar"/>
              </w:rPr>
            </w:pPr>
          </w:p>
          <w:p>
            <w:pPr>
              <w:pStyle w:val="9"/>
              <w:rPr>
                <w:rFonts w:hint="eastAsia" w:cs="Times New Roman"/>
                <w:color w:val="000000"/>
                <w:kern w:val="0"/>
                <w:sz w:val="24"/>
                <w:szCs w:val="24"/>
                <w:lang w:val="en-US" w:eastAsia="zh-CN" w:bidi="ar"/>
              </w:rPr>
            </w:pPr>
          </w:p>
          <w:p>
            <w:pPr>
              <w:rPr>
                <w:rFonts w:hint="eastAsia" w:cs="Times New Roman"/>
                <w:color w:val="000000"/>
                <w:kern w:val="0"/>
                <w:sz w:val="24"/>
                <w:szCs w:val="24"/>
                <w:lang w:val="en-US" w:eastAsia="zh-CN" w:bidi="ar"/>
              </w:rPr>
            </w:pPr>
          </w:p>
          <w:p>
            <w:pPr>
              <w:pStyle w:val="9"/>
              <w:rPr>
                <w:rFonts w:hint="eastAsia" w:cs="Times New Roman"/>
                <w:color w:val="000000"/>
                <w:kern w:val="0"/>
                <w:sz w:val="24"/>
                <w:szCs w:val="24"/>
                <w:lang w:val="en-US" w:eastAsia="zh-CN" w:bidi="ar"/>
              </w:rPr>
            </w:pPr>
          </w:p>
          <w:p>
            <w:pPr>
              <w:pStyle w:val="9"/>
              <w:rPr>
                <w:rFonts w:hint="eastAsia" w:cs="Times New Roman"/>
                <w:color w:val="000000"/>
                <w:kern w:val="0"/>
                <w:sz w:val="24"/>
                <w:szCs w:val="24"/>
                <w:lang w:val="en-US" w:eastAsia="zh-CN" w:bidi="ar"/>
              </w:rPr>
            </w:pPr>
          </w:p>
          <w:p>
            <w:pPr>
              <w:rPr>
                <w:rFonts w:hint="eastAsia" w:cs="Times New Roman"/>
                <w:color w:val="000000"/>
                <w:kern w:val="0"/>
                <w:sz w:val="24"/>
                <w:szCs w:val="24"/>
                <w:lang w:val="en-US" w:eastAsia="zh-CN" w:bidi="ar"/>
              </w:rPr>
            </w:pPr>
          </w:p>
          <w:p>
            <w:pPr>
              <w:pStyle w:val="9"/>
              <w:rPr>
                <w:rFonts w:hint="eastAsia" w:cs="Times New Roman"/>
                <w:color w:val="000000"/>
                <w:kern w:val="0"/>
                <w:sz w:val="24"/>
                <w:szCs w:val="24"/>
                <w:lang w:val="en-US" w:eastAsia="zh-CN" w:bidi="ar"/>
              </w:rPr>
            </w:pPr>
          </w:p>
          <w:p>
            <w:pPr>
              <w:rPr>
                <w:rFonts w:hint="eastAsia"/>
                <w:lang w:val="en-US" w:eastAsia="zh-CN"/>
              </w:rPr>
            </w:pPr>
          </w:p>
          <w:p>
            <w:pPr>
              <w:rPr>
                <w:rFonts w:hint="eastAsia" w:cs="Times New Roman"/>
                <w:color w:val="000000"/>
                <w:kern w:val="0"/>
                <w:sz w:val="24"/>
                <w:szCs w:val="24"/>
                <w:lang w:val="en-US" w:eastAsia="zh-CN" w:bidi="ar"/>
              </w:rPr>
            </w:pPr>
          </w:p>
          <w:p>
            <w:pPr>
              <w:pStyle w:val="8"/>
              <w:keepNext w:val="0"/>
              <w:keepLines w:val="0"/>
              <w:pageBreakBefore w:val="0"/>
              <w:widowControl/>
              <w:kinsoku/>
              <w:wordWrap/>
              <w:overflowPunct/>
              <w:topLinePunct w:val="0"/>
              <w:autoSpaceDE/>
              <w:autoSpaceDN/>
              <w:bidi w:val="0"/>
              <w:adjustRightInd/>
              <w:snapToGrid/>
              <w:ind w:left="0" w:leftChars="0" w:firstLine="0" w:firstLineChars="0"/>
              <w:textAlignment w:val="auto"/>
              <w:outlineLvl w:val="9"/>
              <w:rPr>
                <w:rFonts w:hint="eastAsia"/>
                <w:color w:val="auto"/>
                <w:spacing w:val="6"/>
                <w:sz w:val="24"/>
                <w:szCs w:val="24"/>
                <w:lang w:eastAsia="zh-CN"/>
              </w:rPr>
            </w:pPr>
          </w:p>
        </w:tc>
      </w:tr>
    </w:tbl>
    <w:p>
      <w:pPr>
        <w:pStyle w:val="37"/>
        <w:pageBreakBefore/>
        <w:tabs>
          <w:tab w:val="clear" w:pos="1800"/>
        </w:tabs>
        <w:rPr>
          <w:rFonts w:eastAsia="宋体"/>
          <w:color w:val="auto"/>
        </w:rPr>
      </w:pPr>
      <w:bookmarkStart w:id="34" w:name="_Toc30157"/>
      <w:bookmarkStart w:id="35" w:name="_Toc20805"/>
      <w:bookmarkStart w:id="36" w:name="_Toc297732134"/>
      <w:r>
        <w:rPr>
          <w:rFonts w:eastAsia="宋体"/>
          <w:color w:val="auto"/>
        </w:rPr>
        <w:t>二、建设项目所在地自然环境社会环境简况</w:t>
      </w:r>
      <w:bookmarkEnd w:id="34"/>
      <w:bookmarkEnd w:id="35"/>
    </w:p>
    <w:tbl>
      <w:tblPr>
        <w:tblStyle w:val="26"/>
        <w:tblW w:w="97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977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9775" w:type="dxa"/>
          </w:tcPr>
          <w:p>
            <w:pPr>
              <w:keepNext w:val="0"/>
              <w:keepLines w:val="0"/>
              <w:pageBreakBefore w:val="0"/>
              <w:widowControl w:val="0"/>
              <w:kinsoku/>
              <w:wordWrap/>
              <w:overflowPunct/>
              <w:topLinePunct w:val="0"/>
              <w:autoSpaceDE/>
              <w:autoSpaceDN/>
              <w:bidi w:val="0"/>
              <w:adjustRightInd/>
              <w:snapToGrid/>
              <w:spacing w:line="360" w:lineRule="auto"/>
              <w:textAlignment w:val="auto"/>
              <w:rPr>
                <w:b/>
                <w:color w:val="auto"/>
                <w:sz w:val="18"/>
                <w:szCs w:val="18"/>
              </w:rPr>
            </w:pPr>
            <w:r>
              <w:rPr>
                <w:b/>
                <w:color w:val="auto"/>
                <w:sz w:val="24"/>
                <w:szCs w:val="24"/>
              </w:rPr>
              <w:t>自然环境简况（地形、地貌、地质、气候、气象、水文、植被、生物多样性等）：</w:t>
            </w:r>
          </w:p>
          <w:p>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b/>
                <w:color w:val="auto"/>
                <w:sz w:val="24"/>
              </w:rPr>
            </w:pPr>
            <w:r>
              <w:rPr>
                <w:rFonts w:hint="eastAsia"/>
                <w:b/>
                <w:color w:val="auto"/>
                <w:sz w:val="24"/>
                <w:lang w:val="en-US" w:eastAsia="zh-CN"/>
              </w:rPr>
              <w:t>2.</w:t>
            </w:r>
            <w:r>
              <w:rPr>
                <w:b/>
                <w:color w:val="auto"/>
                <w:sz w:val="24"/>
              </w:rPr>
              <w:t>1</w:t>
            </w:r>
            <w:r>
              <w:rPr>
                <w:rFonts w:hint="eastAsia"/>
                <w:b/>
                <w:color w:val="auto"/>
                <w:sz w:val="24"/>
                <w:lang w:val="en-US" w:eastAsia="zh-CN"/>
              </w:rPr>
              <w:t>.1</w:t>
            </w:r>
            <w:r>
              <w:rPr>
                <w:b/>
                <w:color w:val="auto"/>
                <w:sz w:val="24"/>
              </w:rPr>
              <w:t>地理位置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kern w:val="0"/>
                <w:sz w:val="24"/>
              </w:rPr>
            </w:pPr>
            <w:r>
              <w:rPr>
                <w:rFonts w:hint="default" w:ascii="Times New Roman" w:hAnsi="Times New Roman" w:cs="Times New Roman"/>
                <w:color w:val="auto"/>
                <w:kern w:val="0"/>
                <w:sz w:val="24"/>
                <w:lang w:val="en-US" w:eastAsia="zh-CN"/>
              </w:rPr>
              <w:t>岳阳市位于湖南省东北部，素有“湘北门户”之称，地处长江中游南岸，环抱洞庭，濒临长江，介于东经112°10’3”至114°9’6”，北纬28°25’33”至29°48’27” 之间，东临赣鄂两省，北与江汉平原隔江相望，西与湖北石首毗邻。地处一湖（洞庭湖）、两原（江汉平原、洞庭湖平原）、三省（湘、赣、鄂）、四线（京广铁路、京港澳高速公路、107 国道、长江）的多元交汇点上，是湖南省的北大门和长江中游仅次于武汉的又一个金十字架。</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olor w:val="auto"/>
                <w:kern w:val="0"/>
                <w:sz w:val="24"/>
              </w:rPr>
            </w:pPr>
            <w:r>
              <w:rPr>
                <w:rFonts w:hint="default" w:ascii="Times New Roman" w:hAnsi="Times New Roman" w:cs="Times New Roman"/>
                <w:color w:val="auto"/>
                <w:kern w:val="0"/>
                <w:sz w:val="24"/>
                <w:lang w:val="en-US" w:eastAsia="zh-CN"/>
              </w:rPr>
              <w:t>岳阳辖岳阳楼区、岳阳经济技术开发区、云溪区、君山区4个区，湘阴县、岳阳县、华容县、平江县4个县，代管汨罗市、临湘市2个县级市，设有岳阳经济技术开发区（国家级）、城陵矶临港产业新区、南湖新区和屈原管理区4个行政管理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color w:val="auto"/>
                <w:kern w:val="0"/>
                <w:sz w:val="24"/>
                <w:szCs w:val="20"/>
              </w:rPr>
            </w:pPr>
            <w:r>
              <w:rPr>
                <w:rFonts w:hint="eastAsia" w:ascii="Times New Roman" w:hAnsi="Times New Roman"/>
                <w:color w:val="auto"/>
                <w:sz w:val="24"/>
                <w:szCs w:val="24"/>
                <w:lang w:val="en-US" w:eastAsia="zh-CN"/>
              </w:rPr>
              <w:t>本</w:t>
            </w:r>
            <w:r>
              <w:rPr>
                <w:rFonts w:hint="eastAsia"/>
                <w:color w:val="auto"/>
                <w:sz w:val="24"/>
                <w:szCs w:val="24"/>
                <w:lang w:val="en-US" w:eastAsia="zh-CN"/>
              </w:rPr>
              <w:t>工程</w:t>
            </w:r>
            <w:r>
              <w:rPr>
                <w:rFonts w:hint="eastAsia" w:ascii="Times New Roman" w:hAnsi="Times New Roman"/>
                <w:color w:val="auto"/>
                <w:sz w:val="24"/>
                <w:szCs w:val="24"/>
                <w:lang w:val="en-US" w:eastAsia="zh-CN"/>
              </w:rPr>
              <w:t>位于</w:t>
            </w:r>
            <w:r>
              <w:rPr>
                <w:rFonts w:hint="eastAsia"/>
                <w:color w:val="auto"/>
                <w:sz w:val="24"/>
                <w:szCs w:val="24"/>
                <w:lang w:eastAsia="zh-CN"/>
              </w:rPr>
              <w:t>岳阳经济技术开发区</w:t>
            </w:r>
            <w:r>
              <w:rPr>
                <w:rFonts w:hint="eastAsia" w:ascii="Times New Roman" w:hAnsi="Times New Roman"/>
                <w:color w:val="auto"/>
                <w:sz w:val="24"/>
                <w:szCs w:val="24"/>
              </w:rPr>
              <w:t>，</w:t>
            </w:r>
            <w:r>
              <w:rPr>
                <w:rFonts w:hint="eastAsia"/>
                <w:color w:val="auto"/>
                <w:sz w:val="24"/>
                <w:szCs w:val="24"/>
                <w:lang w:val="en-US" w:eastAsia="zh-CN"/>
              </w:rPr>
              <w:t>项目</w:t>
            </w:r>
            <w:r>
              <w:rPr>
                <w:rFonts w:hint="eastAsia"/>
                <w:color w:val="auto"/>
                <w:kern w:val="0"/>
                <w:sz w:val="24"/>
                <w:szCs w:val="20"/>
                <w:lang w:eastAsia="zh-CN"/>
              </w:rPr>
              <w:t>总布置图</w:t>
            </w:r>
            <w:r>
              <w:rPr>
                <w:rFonts w:hint="eastAsia"/>
                <w:color w:val="auto"/>
                <w:kern w:val="0"/>
                <w:sz w:val="24"/>
                <w:szCs w:val="20"/>
              </w:rPr>
              <w:t>详见附图</w:t>
            </w:r>
            <w:r>
              <w:rPr>
                <w:rFonts w:hint="eastAsia"/>
                <w:color w:val="auto"/>
                <w:kern w:val="0"/>
                <w:sz w:val="24"/>
                <w:szCs w:val="20"/>
                <w:lang w:val="en-US" w:eastAsia="zh-CN"/>
              </w:rPr>
              <w:t>1</w:t>
            </w:r>
            <w:r>
              <w:rPr>
                <w:rFonts w:hint="eastAsia"/>
                <w:color w:val="auto"/>
                <w:kern w:val="0"/>
                <w:sz w:val="24"/>
                <w:szCs w:val="20"/>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rFonts w:hint="eastAsia" w:eastAsia="宋体"/>
                <w:b/>
                <w:color w:val="auto"/>
                <w:sz w:val="24"/>
                <w:lang w:val="en-US" w:eastAsia="zh-CN"/>
              </w:rPr>
            </w:pPr>
            <w:r>
              <w:rPr>
                <w:rFonts w:hint="eastAsia"/>
                <w:b/>
                <w:color w:val="auto"/>
                <w:sz w:val="24"/>
                <w:lang w:val="en-US" w:eastAsia="zh-CN"/>
              </w:rPr>
              <w:t>2.</w:t>
            </w:r>
            <w:r>
              <w:rPr>
                <w:b/>
                <w:color w:val="auto"/>
                <w:sz w:val="24"/>
              </w:rPr>
              <w:t>1</w:t>
            </w:r>
            <w:r>
              <w:rPr>
                <w:rFonts w:hint="eastAsia"/>
                <w:b/>
                <w:color w:val="auto"/>
                <w:sz w:val="24"/>
                <w:lang w:val="en-US" w:eastAsia="zh-CN"/>
              </w:rPr>
              <w:t>.</w:t>
            </w:r>
            <w:r>
              <w:rPr>
                <w:b/>
                <w:color w:val="auto"/>
                <w:sz w:val="24"/>
              </w:rPr>
              <w:t>2地形、地貌、地质</w:t>
            </w:r>
            <w:r>
              <w:rPr>
                <w:rFonts w:hint="eastAsia"/>
                <w:b/>
                <w:color w:val="auto"/>
                <w:sz w:val="24"/>
                <w:lang w:eastAsia="zh-CN"/>
              </w:rPr>
              <w:t>、</w:t>
            </w:r>
            <w:r>
              <w:rPr>
                <w:rFonts w:hint="eastAsia"/>
                <w:b/>
                <w:color w:val="auto"/>
                <w:sz w:val="24"/>
                <w:lang w:val="en-US" w:eastAsia="zh-CN"/>
              </w:rPr>
              <w:t>地层岩性</w:t>
            </w:r>
          </w:p>
          <w:p>
            <w:pPr>
              <w:keepNext w:val="0"/>
              <w:keepLines w:val="0"/>
              <w:pageBreakBefore w:val="0"/>
              <w:widowControl w:val="0"/>
              <w:numPr>
                <w:ilvl w:val="0"/>
                <w:numId w:val="7"/>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地质构造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 xml:space="preserve">本区域构造背景是以北西向构造构成基底，东西向构造横贯全区，北东向构造纵贯南北，构成本区主要格架。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岳阳处于石门—华容—临湘东西构造带与新华厦构造体系构造复合部位，基底构造为北西——北西西向分布的土马坳扇形背斜，盖层构造有临湘东西向向斜和北西向新开塘——郭镇向斜。北东向断裂构造有湘阴——洪湖大断裂（湘江断裂）。</w:t>
            </w:r>
          </w:p>
          <w:p>
            <w:pPr>
              <w:keepNext w:val="0"/>
              <w:keepLines w:val="0"/>
              <w:pageBreakBefore w:val="0"/>
              <w:widowControl w:val="0"/>
              <w:numPr>
                <w:ilvl w:val="0"/>
                <w:numId w:val="7"/>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地形地貌</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岳阳市地处湘北“撮箕口”东侧，境内地势东高西低，自东南呈阶梯状想西北洞庭湖倾斜，东南为山丘区，西北为洞庭湖平原，中部为过渡性环湖浅丘地带，丘岗与盆地相穿插，平原与湖泊犬牙交错，海拔高度一般在28～58m之间，高差为15～35m。境内最高点位平江县连云山主峰，最低点为君山区濠河河底，全市山地占14.6%，丘岗区占41.2%，平原占27%，水面占17.2%。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罗家坡片区属丘陵低山地形。地势四周高中间低，呈阶梯状向南北港河倾斜。地貌以岗丘地貌为主，间与平原、湖泊犬牙交错。山丘呈波状，海拔多在30—60米间，南北港河、梅溪港、金凤桥水库嵌于城区周围，水资源丰富。</w:t>
            </w:r>
          </w:p>
          <w:p>
            <w:pPr>
              <w:keepNext w:val="0"/>
              <w:keepLines w:val="0"/>
              <w:pageBreakBefore w:val="0"/>
              <w:widowControl w:val="0"/>
              <w:numPr>
                <w:ilvl w:val="0"/>
                <w:numId w:val="7"/>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地层岩性</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根据本项目设计单位中国市政工程华北设计研究总院有限公司勘察资料</w:t>
            </w:r>
            <w:r>
              <w:rPr>
                <w:rFonts w:hint="default" w:ascii="Times New Roman" w:hAnsi="Times New Roman" w:cs="Times New Roman"/>
                <w:sz w:val="24"/>
                <w:szCs w:val="24"/>
                <w:lang w:val="en-US" w:eastAsia="zh-CN"/>
              </w:rPr>
              <w:t>，拟建场地地层按地质年代、成因类型、岩性及其工程特性，自上而下分别为路基结构层、素填土、粉质黏土（可塑）、粉质黏土（硬塑）、全风化板岩、强风化板岩、中风化板岩，微风化板岩。兹按钻探揭露顺序自上而下描述如下：</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素填土 (Q4ml)</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黑色、灰白色，主要由沥青混凝土、碎石组成，其中沥青混凝土为路面层，厚约30cm， 以下为碎石路基，碎石粒径一般为3-5cm为主，局部混杂少量粉质粘土，稍湿，填筑时间较长，稍压实，该层一般厚约0.40-1.80m，平均厚约0.68m，层顶高程42.16-48.81m，层底高程40.78-48.31m，该层场地内遍布。</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素填土(Q4ml)</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黄灰、黄绿、褐黄色为主，稍湿，稍密状为主，局部呈中密状，以风化岩块、碎石和粉质黏土为主，碎块石粒径一般2-5cm，部分10-20cm，含量约占30%左右，个别钻孔地段达50%以上。该层回填时间较长，基本完成自重固结。该层厚0.50-19.30m，平均层厚7.68m，层顶高程40.96-48.31m，层底高程22.32-45.52m，该层整个场地分布较广，仅少部分勘探孔直接路基下直接为基岩而缺失，CK55～CK59 孔段勘探孔20m深度范围内尚未揭穿该层。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粉质黏土（可塑）(Q4al)</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褐色、褐黄色，可塑，黏粒为主要成分，韧性中等，黏性较好，干强度较高，稍具光泽，无摇震反应。层厚1.00-4.40m，平均层厚2.35m，层顶高程30.40-38.28m，层底高程 29.90-36.48m，该层在场区范围内仅在 ZK12、CK7～CK8、CK27～CK29、CK42～CK44、CK46～CK49孔地段有分布，CK7孔15m 勘探深度尚未揭穿该层。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粉质黏土（硬塑）(Q2al)</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褐红色，硬塑，黏粒为主要成分，韧性中等，黏性较高，干强度较高，稍具光泽，无摇震反应。层厚0.90-5.20m，平均层厚2.55m，层顶高程 34.60-43.29m，层底高程31.81-41.47m，该层在场区范围内仅在CK2～CK3、CK8～CK10、CK17～CK18、CK23～ CK24、CK27～CK29 孔地段有分布，CK2、CK26-CK29孔15m 勘探深度尚未揭穿该层。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全风化板岩（Pt）</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黄色、黄灰色，泥质成分，变余泥质结构，原岩结构基本破坏，全风化后岩芯呈土状，遇水极易软化，失水易干裂，呈硬塑状态。层厚 0.50-3.20m，平均层厚 1.68m，层顶高程36.48-42.81m，层底高程 35.98-39.87m，该层在场区范围内仅在CK24、CK34、CK41～CK42孔地段有分布。</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强风化板岩（Pt）</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黄灰、黄绿色，泥质结构，板状构造，节理裂隙很发育，岩体极破碎，岩芯多呈碎块状、块状，存在差异风化，局部风化呈土状，遇水极易软化，岩块用手易折断捏碎， 属极软岩，岩体质量指标为极差的（RQD≤25），岩体质量等级为Ⅴ类。层厚 0.50-13.60m，平均层厚3.22m，层顶高程 30.04-48.28m，层底高程 22.32-47.73m，在ZK7、ZK12、ZK16、CK1、CK3～CK6、CK8～CK10、CK12～CK14、CK16～CK25、CK30～CK32、CK34～ CK35、CK38、CK40～CK45、CK48、CK51～CK52、CK62～CK66、CK68 地段有分布，CK1、CK3、CK8、ZK12、CK30、CK52 孔尚未揭穿该层。</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中风化板岩（Pt）</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黄灰、黄绿色，泥质结构，板状构造，节理裂隙较发育，岩体较破碎为主，局部较完整。岩芯多呈块状、短柱状、少量呈柱状、碎块状，锤击声略清脆，局部偏哑声，属软岩，岩石质量指标多为较差的（RQD=50-75），随着深度的增加，岩体强度增高，岩体基本质量等级一般为V类。CK14（10-15m）、CK15、CK16 中下部及钻孔CK17、CK22、 CK37 、CK39 、CK42 、CK51 处岩体较完整，岩体基本质量等级为Ⅳ类。该层厚0.80-16.00m，平均层厚 7.57m，层顶高程 27.94-48.23m，层底高程 22.16-38.78m，该层广泛分布整个场地，在 ZK7、ZK16、CK4～CK6、CK9～CK25、CK31～CK51、CK53～ CK54、CK61～CK68 都有揭露，且多未钻穿。</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微风化板岩（Pt）</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青灰色，泥质、砂质结构，板状构造，节理裂隙较发育，岩体较完整，岩芯多呈短柱状、块状，锤击声较清脆，属较软岩，因机械破碎影响，岩石质量指标为较差的（RQD=50-75），随着深度的增加，岩体强度增高，岩体基本质量等级一般为Ⅳ类。该层在勘探深度范围内，仅在 ZK7、ZK16、CK24、CK33、CK35～CK39、CK42～CK44、CK64～CK68孔有揭露，揭露层厚0.80-12.80m，平均层厚4.64m，层顶高程24.38-38.78m，均未钻穿。</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（4）水文地质条件 </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根据地下水赋存介质及水动力特征，主要为上层滞水、孔隙潜水。及基岩裂隙水。</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上层滞水主要赋存于①2层素填土中，连通性较差，无连续的水位面，季节性存在，水量少。主要接受大气降水渗透补给，沿地形向低洼冲沟及蒸发排泄。</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孔隙性潜水：主要赋存于①2层素填土、②、③层粉质粘土中，其补给来源为大气降水，沿地形向低洼地带及蒸发排泄，水位随季节、气候、地形等因素而变化。</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基岩裂隙水：主要赋存于风化板岩的裂隙中，主要接受潜水越流补给，水量贫乏，一般未见稳定水位。</w:t>
            </w:r>
          </w:p>
          <w:p>
            <w:pPr>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outlineLvl w:val="9"/>
              <w:rPr>
                <w:rFonts w:hint="default" w:ascii="Times New Roman" w:hAnsi="Times New Roman" w:cs="Times New Roman"/>
                <w:b/>
                <w:color w:val="auto"/>
                <w:sz w:val="24"/>
              </w:rPr>
            </w:pPr>
            <w:r>
              <w:rPr>
                <w:rFonts w:hint="default" w:ascii="Times New Roman" w:hAnsi="Times New Roman" w:cs="Times New Roman"/>
                <w:b/>
                <w:color w:val="auto"/>
                <w:sz w:val="24"/>
                <w:lang w:val="en-US" w:eastAsia="zh-CN"/>
              </w:rPr>
              <w:t>2.</w:t>
            </w:r>
            <w:r>
              <w:rPr>
                <w:rFonts w:hint="default" w:ascii="Times New Roman" w:hAnsi="Times New Roman" w:cs="Times New Roman"/>
                <w:b/>
                <w:color w:val="auto"/>
                <w:sz w:val="24"/>
              </w:rPr>
              <w:t>1</w:t>
            </w:r>
            <w:r>
              <w:rPr>
                <w:rFonts w:hint="default" w:ascii="Times New Roman" w:hAnsi="Times New Roman" w:cs="Times New Roman"/>
                <w:b/>
                <w:color w:val="auto"/>
                <w:sz w:val="24"/>
                <w:lang w:val="en-US" w:eastAsia="zh-CN"/>
              </w:rPr>
              <w:t>.3</w:t>
            </w:r>
            <w:r>
              <w:rPr>
                <w:rFonts w:hint="default" w:ascii="Times New Roman" w:hAnsi="Times New Roman" w:cs="Times New Roman"/>
                <w:b/>
                <w:color w:val="auto"/>
                <w:sz w:val="24"/>
              </w:rPr>
              <w:t>气象气候</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岳阳市地处亚热带湿润气候区，气候温暖、湿润，雨量充沛，四季分明，严寒期短，无霜气长，春温多变，秋寒偏早，雨季明显，夏季多旱，“湖陆风”盛行，洞庭秋月朗。湖区气候均一，山地气候差异大，农业气候条件好。</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多年平均气温17.2℃，岳阳市区受到洞庭湖水体和城市“热岛效应”的影响，年均气温偏高，为17℃。历年极端最高气温39.3～40.4℃，极端最低气温﹣11.8～﹣18.1℃。年均气温日较差为6.6～9.1℃，湖区为6.6～7.4℃，山岳区位7.5～9.1℃，气温日较差在年内以9～11 月为最大。</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多年平均降雨量1352mm，多年平均蒸发量1446.4mm。由外围山丘向内部平原减少，4～6 月降雨占总降雨的50%以上，多为大雨和暴雨，若遇到各水洪峰遭遇，易形成洪涝渍灾。</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根据岳阳市1955年～2014年的实测降雨系列数据进行分析，降雨分配极不均匀。汛期 5～10月降雨量站全年的60%。实测24小时最大暴雨量为314.7mm，3天最大暴雨量为 443.8mm，15天最大暴雨量为538mm。最大暴雨主要出现在6～8月（其中6月占全年降水量的 23%，7月和8月各占18%）。年最高洪水位主要出现在7月，所以暴雨与洪水遭遇的几率较高，对排涝不利。</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多年平均风速2.8m/s，多年平均最大风速15.0m/s，历年极端最大风速28.0m/s。</w:t>
            </w:r>
          </w:p>
          <w:p>
            <w:pPr>
              <w:keepNext w:val="0"/>
              <w:keepLines w:val="0"/>
              <w:pageBreakBefore w:val="0"/>
              <w:widowControl w:val="0"/>
              <w:kinsoku/>
              <w:wordWrap/>
              <w:overflowPunct/>
              <w:topLinePunct w:val="0"/>
              <w:autoSpaceDE/>
              <w:autoSpaceDN/>
              <w:bidi w:val="0"/>
              <w:adjustRightInd/>
              <w:snapToGrid/>
              <w:spacing w:line="360" w:lineRule="auto"/>
              <w:textAlignment w:val="auto"/>
              <w:rPr>
                <w:b/>
                <w:color w:val="auto"/>
                <w:sz w:val="24"/>
              </w:rPr>
            </w:pPr>
            <w:r>
              <w:rPr>
                <w:rFonts w:hint="eastAsia"/>
                <w:b/>
                <w:color w:val="auto"/>
                <w:sz w:val="24"/>
                <w:lang w:val="en-US" w:eastAsia="zh-CN"/>
              </w:rPr>
              <w:t>2.</w:t>
            </w:r>
            <w:r>
              <w:rPr>
                <w:b/>
                <w:color w:val="auto"/>
                <w:sz w:val="24"/>
              </w:rPr>
              <w:t>1</w:t>
            </w:r>
            <w:r>
              <w:rPr>
                <w:rFonts w:hint="eastAsia"/>
                <w:b/>
                <w:color w:val="auto"/>
                <w:sz w:val="24"/>
                <w:lang w:val="en-US" w:eastAsia="zh-CN"/>
              </w:rPr>
              <w:t>.4</w:t>
            </w:r>
            <w:r>
              <w:rPr>
                <w:b/>
                <w:color w:val="auto"/>
                <w:sz w:val="24"/>
              </w:rPr>
              <w:t>水文</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岳阳市居长江中游，洞庭湖东北岸，湖泊星布，河流网织，水系发达。水域面积（不含外湖）2539km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，占总面积的17%。境内有5km 以上的河流265条，50km以上河流6条，大小湖泊165个，还有多座中小型水库，引水河渠密布，多处蓄水山塘，内湖面积48.02万亩。河流、湖泊分别属于洞庭湖水系和长江水系。位于主城区的湖泊主要是南湖、东风湖、吉家湖和芭蕉湖。</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主城区水系发达，外有长江、洞庭湖，内有月形湖、关门湖、南湖、东风湖、吉家湖、芭蕉湖和松阳湖等，</w:t>
            </w:r>
            <w:r>
              <w:rPr>
                <w:rFonts w:hint="default" w:ascii="Times New Roman" w:hAnsi="Times New Roman" w:cs="Times New Roman"/>
                <w:sz w:val="24"/>
                <w:szCs w:val="24"/>
                <w:lang w:val="en-US" w:eastAsia="zh-CN"/>
              </w:rPr>
              <w:fldChar w:fldCharType="begin"/>
            </w:r>
            <w:r>
              <w:rPr>
                <w:rFonts w:hint="default" w:ascii="Times New Roman" w:hAnsi="Times New Roman" w:cs="Times New Roman"/>
                <w:sz w:val="24"/>
                <w:szCs w:val="24"/>
                <w:lang w:val="en-US" w:eastAsia="zh-CN"/>
              </w:rPr>
              <w:instrText xml:space="preserve"> HYPERLINK \l "_bookmark24" </w:instrText>
            </w:r>
            <w:r>
              <w:rPr>
                <w:rFonts w:hint="default" w:ascii="Times New Roman" w:hAnsi="Times New Roman" w:cs="Times New Roman"/>
                <w:sz w:val="24"/>
                <w:szCs w:val="24"/>
                <w:lang w:val="en-US" w:eastAsia="zh-CN"/>
              </w:rPr>
              <w:fldChar w:fldCharType="separate"/>
            </w:r>
            <w:r>
              <w:rPr>
                <w:rFonts w:hint="default" w:ascii="Times New Roman" w:hAnsi="Times New Roman" w:cs="Times New Roman"/>
                <w:sz w:val="24"/>
                <w:szCs w:val="24"/>
                <w:lang w:val="en-US" w:eastAsia="zh-CN"/>
              </w:rPr>
              <w:t>水系分布见图2.1-</w:t>
            </w:r>
            <w:r>
              <w:rPr>
                <w:rFonts w:hint="eastAsia" w:cs="Times New Roman"/>
                <w:sz w:val="24"/>
                <w:szCs w:val="24"/>
                <w:lang w:val="en-US" w:eastAsia="zh-CN"/>
              </w:rPr>
              <w:t>1</w:t>
            </w:r>
            <w:r>
              <w:rPr>
                <w:rFonts w:hint="default" w:ascii="Times New Roman" w:hAnsi="Times New Roman" w:cs="Times New Roman"/>
                <w:sz w:val="24"/>
                <w:szCs w:val="24"/>
                <w:lang w:val="en-US" w:eastAsia="zh-CN"/>
              </w:rPr>
              <w:fldChar w:fldCharType="end"/>
            </w:r>
            <w:r>
              <w:rPr>
                <w:rFonts w:hint="default" w:ascii="Times New Roman" w:hAnsi="Times New Roman" w:cs="Times New Roman"/>
                <w:sz w:val="24"/>
                <w:szCs w:val="24"/>
                <w:lang w:val="en-US" w:eastAsia="zh-CN"/>
              </w:rPr>
              <w:t>。内湖总集雨面积367km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，调蓄库容5128万m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，水面面积32.86km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。面积最大的南湖位于主城区东南部，主要有王家河、北港河两条大支流，其中上游又分布有梅溪港、芭山港、柴家港、熊彭港等支流。岳阳市主城区集雨面积内有中型水库2座（金凤水库，总库容1172万m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；双花水库，总库容1068万m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。）小（1）型水库6座（总库容1468万m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），小2型水库49座（总库容1327万m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），坑塘1104处（总面积415.4hm</w:t>
            </w:r>
            <w:r>
              <w:rPr>
                <w:rFonts w:hint="default" w:ascii="Times New Roman" w:hAnsi="Times New Roman" w:cs="Times New Roman"/>
                <w:sz w:val="24"/>
                <w:szCs w:val="24"/>
                <w:vertAlign w:val="superscript"/>
                <w:lang w:val="en-US" w:eastAsia="zh-CN"/>
              </w:rPr>
              <w:t>2</w:t>
            </w:r>
            <w:r>
              <w:rPr>
                <w:rFonts w:hint="default" w:ascii="Times New Roman" w:hAnsi="Times New Roman" w:cs="Times New Roman"/>
                <w:sz w:val="24"/>
                <w:szCs w:val="24"/>
                <w:lang w:val="en-US" w:eastAsia="zh-CN"/>
              </w:rPr>
              <w:t>，总库容1040万m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w:t>
            </w:r>
          </w:p>
          <w:p>
            <w:pPr>
              <w:pStyle w:val="9"/>
              <w:ind w:left="2292"/>
              <w:rPr>
                <w:sz w:val="20"/>
              </w:rPr>
            </w:pPr>
            <w:r>
              <w:rPr>
                <w:sz w:val="20"/>
              </w:rPr>
              <w:drawing>
                <wp:inline distT="0" distB="0" distL="0" distR="0">
                  <wp:extent cx="3669030" cy="4128770"/>
                  <wp:effectExtent l="0" t="0" r="7620" b="5080"/>
                  <wp:docPr id="29" name="image17.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7.png" descr="?"/>
                          <pic:cNvPicPr>
                            <a:picLocks noChangeAspect="1"/>
                          </pic:cNvPicPr>
                        </pic:nvPicPr>
                        <pic:blipFill>
                          <a:blip r:embed="rId16" cstate="print"/>
                          <a:stretch>
                            <a:fillRect/>
                          </a:stretch>
                        </pic:blipFill>
                        <pic:spPr>
                          <a:xfrm>
                            <a:off x="0" y="0"/>
                            <a:ext cx="3669167" cy="4129087"/>
                          </a:xfrm>
                          <a:prstGeom prst="rect">
                            <a:avLst/>
                          </a:prstGeom>
                        </pic:spPr>
                      </pic:pic>
                    </a:graphicData>
                  </a:graphic>
                </wp:inline>
              </w:drawing>
            </w:r>
          </w:p>
          <w:p>
            <w:pPr>
              <w:spacing w:before="0"/>
              <w:ind w:left="0" w:right="0" w:firstLine="0"/>
              <w:jc w:val="center"/>
              <w:rPr>
                <w:rFonts w:hint="default" w:ascii="Times New Roman" w:hAnsi="Times New Roman" w:eastAsia="宋体" w:cs="Times New Roman"/>
                <w:b/>
                <w:bCs/>
                <w:sz w:val="24"/>
                <w:szCs w:val="24"/>
              </w:rPr>
            </w:pPr>
            <w:bookmarkStart w:id="37" w:name="_bookmark24"/>
            <w:bookmarkEnd w:id="37"/>
            <w:r>
              <w:rPr>
                <w:rFonts w:hint="default" w:ascii="Times New Roman" w:hAnsi="Times New Roman" w:eastAsia="宋体" w:cs="Times New Roman"/>
                <w:b/>
                <w:bCs/>
                <w:sz w:val="24"/>
                <w:szCs w:val="24"/>
              </w:rPr>
              <w:t>图 2.1-</w:t>
            </w:r>
            <w:r>
              <w:rPr>
                <w:rFonts w:hint="default" w:ascii="Times New Roman" w:hAnsi="Times New Roman" w:eastAsia="宋体" w:cs="Times New Roman"/>
                <w:b/>
                <w:bCs/>
                <w:sz w:val="24"/>
                <w:szCs w:val="24"/>
                <w:lang w:val="en-US" w:eastAsia="zh-CN"/>
              </w:rPr>
              <w:t>1</w:t>
            </w:r>
            <w:r>
              <w:rPr>
                <w:rFonts w:hint="default" w:ascii="Times New Roman" w:hAnsi="Times New Roman" w:eastAsia="宋体" w:cs="Times New Roman"/>
                <w:b/>
                <w:bCs/>
                <w:sz w:val="24"/>
                <w:szCs w:val="24"/>
              </w:rPr>
              <w:t xml:space="preserve"> 岳阳市水系图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 xml:space="preserve">罗家坡片区西靠南北港河，东临金凤桥水库，南北港河支流流经罗家坡片区最终分别汇入南北港河，南港河最终汇入北港河流入南湖。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北港河分布有南港河、路桥港、梅溪港、芭山港4条支流，南港河分布有木里港、柴家港、熊彭港、沧田港4条支流。</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其中，太阳桥主涵片区（岳阳大道以北、107国道以西）通过太阳桥主涵流入牛栏坡支流；梅溪港、芭山港和新华港汇水范围内的雨污水散排入河，最终流入北港河；木里港及柴家港汇水范围内的雨污水散排入河，最终汇入南港河。综上，南北港河流域包含罗家坡片区，罗家坡片区内雨污水汇入各支流，最终流入南北港河。</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pPr>
            <w:r>
              <w:drawing>
                <wp:inline distT="0" distB="0" distL="114300" distR="114300">
                  <wp:extent cx="3797300" cy="4024630"/>
                  <wp:effectExtent l="0" t="0" r="12700" b="1397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17"/>
                          <a:stretch>
                            <a:fillRect/>
                          </a:stretch>
                        </pic:blipFill>
                        <pic:spPr>
                          <a:xfrm>
                            <a:off x="0" y="0"/>
                            <a:ext cx="3797300" cy="4024630"/>
                          </a:xfrm>
                          <a:prstGeom prst="rect">
                            <a:avLst/>
                          </a:prstGeom>
                          <a:noFill/>
                          <a:ln>
                            <a:noFill/>
                          </a:ln>
                        </pic:spPr>
                      </pic:pic>
                    </a:graphicData>
                  </a:graphic>
                </wp:inline>
              </w:drawing>
            </w:r>
          </w:p>
          <w:p>
            <w:pPr>
              <w:pStyle w:val="9"/>
              <w:jc w:val="center"/>
              <w:rPr>
                <w:rFonts w:hint="eastAsia"/>
                <w:b/>
                <w:color w:val="auto"/>
                <w:sz w:val="24"/>
                <w:lang w:val="en-US" w:eastAsia="zh-CN"/>
              </w:rPr>
            </w:pPr>
            <w:r>
              <w:rPr>
                <w:rFonts w:hint="eastAsia"/>
                <w:b/>
                <w:bCs/>
                <w:sz w:val="24"/>
                <w:szCs w:val="24"/>
                <w:lang w:eastAsia="zh-CN"/>
              </w:rPr>
              <w:t>图</w:t>
            </w:r>
            <w:r>
              <w:rPr>
                <w:rFonts w:hint="eastAsia"/>
                <w:b/>
                <w:bCs/>
                <w:sz w:val="24"/>
                <w:szCs w:val="24"/>
                <w:lang w:val="en-US" w:eastAsia="zh-CN"/>
              </w:rPr>
              <w:t>2.1-2   水系分布图</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eastAsia="宋体"/>
                <w:b/>
                <w:color w:val="auto"/>
                <w:sz w:val="24"/>
                <w:lang w:val="en-US" w:eastAsia="zh-CN"/>
              </w:rPr>
            </w:pPr>
            <w:r>
              <w:rPr>
                <w:rFonts w:hint="eastAsia"/>
                <w:b/>
                <w:color w:val="auto"/>
                <w:sz w:val="24"/>
                <w:lang w:val="en-US" w:eastAsia="zh-CN"/>
              </w:rPr>
              <w:t>2.</w:t>
            </w:r>
            <w:r>
              <w:rPr>
                <w:b/>
                <w:color w:val="auto"/>
                <w:sz w:val="24"/>
              </w:rPr>
              <w:t>1</w:t>
            </w:r>
            <w:r>
              <w:rPr>
                <w:rFonts w:hint="eastAsia"/>
                <w:b/>
                <w:color w:val="auto"/>
                <w:sz w:val="24"/>
                <w:lang w:val="en-US" w:eastAsia="zh-CN"/>
              </w:rPr>
              <w:t>.5土壤与动植物</w:t>
            </w:r>
          </w:p>
          <w:p>
            <w:pPr>
              <w:pStyle w:val="49"/>
              <w:keepNext w:val="0"/>
              <w:keepLines w:val="0"/>
              <w:pageBreakBefore w:val="0"/>
              <w:widowControl w:val="0"/>
              <w:tabs>
                <w:tab w:val="left" w:pos="1021"/>
              </w:tabs>
              <w:kinsoku/>
              <w:wordWrap/>
              <w:overflowPunct/>
              <w:topLinePunct w:val="0"/>
              <w:autoSpaceDE/>
              <w:autoSpaceDN/>
              <w:bidi w:val="0"/>
              <w:adjustRightInd/>
              <w:snapToGrid/>
              <w:spacing w:line="360" w:lineRule="auto"/>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岳阳</w:t>
            </w:r>
            <w:r>
              <w:rPr>
                <w:rFonts w:hint="eastAsia" w:ascii="Times New Roman" w:hAnsi="Times New Roman" w:cs="Times New Roman"/>
                <w:color w:val="auto"/>
                <w:sz w:val="24"/>
                <w:szCs w:val="24"/>
                <w:lang w:eastAsia="zh-CN"/>
              </w:rPr>
              <w:t>市</w:t>
            </w:r>
            <w:r>
              <w:rPr>
                <w:rFonts w:hint="default" w:ascii="Times New Roman" w:hAnsi="Times New Roman" w:cs="Times New Roman"/>
                <w:color w:val="auto"/>
                <w:sz w:val="24"/>
                <w:szCs w:val="24"/>
              </w:rPr>
              <w:t>土壤以红壤为主，北半部紫色土分布较为普遍，土壤酸碱度在5.0-6.5之间。境内记录到的木本类植物829种，其中乡土树种655种，属国家及省定保护树种24种。用材树种主要有杉、松、樟、枫、檫、楠、桐、柏等，果木树种主要有桃、李、梨、桔等。竹类有楠竹、凤凰竹等十余种，水生植物有芦苇、莲藕、茭白、席草等百余种。主要农作物有水稻、棉花、油菜、芝麻、花生、薯类、蚕豆、黄豆、绿豆、湘莲等。</w:t>
            </w:r>
          </w:p>
          <w:p>
            <w:pPr>
              <w:pStyle w:val="49"/>
              <w:keepNext w:val="0"/>
              <w:keepLines w:val="0"/>
              <w:pageBreakBefore w:val="0"/>
              <w:widowControl w:val="0"/>
              <w:tabs>
                <w:tab w:val="left" w:pos="1021"/>
              </w:tabs>
              <w:kinsoku/>
              <w:wordWrap/>
              <w:overflowPunct/>
              <w:topLinePunct w:val="0"/>
              <w:autoSpaceDE/>
              <w:autoSpaceDN/>
              <w:bidi w:val="0"/>
              <w:adjustRightInd/>
              <w:snapToGrid/>
              <w:spacing w:line="360" w:lineRule="auto"/>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境内记录到的野生动物500种，即兽类22种，鸟类266种，虫类195种，其它17种。记录到的鱼类114种。家畜有猪、狗等，家禽有鸡、蜜峰等。境内记录到的木本类植物829种，其中乡土树种655种，属国家及省定保护树种24种。境内已探明的矿产有钒、锰、铁、磷、石煤、泥炭、绿柱石、萤石、耐火粘土、石英、钾长石、白云石、石灰石等20余种。</w:t>
            </w:r>
          </w:p>
          <w:p>
            <w:pPr>
              <w:pStyle w:val="49"/>
              <w:keepNext w:val="0"/>
              <w:keepLines w:val="0"/>
              <w:pageBreakBefore w:val="0"/>
              <w:widowControl w:val="0"/>
              <w:tabs>
                <w:tab w:val="left" w:pos="1021"/>
              </w:tabs>
              <w:kinsoku/>
              <w:wordWrap/>
              <w:overflowPunct/>
              <w:topLinePunct w:val="0"/>
              <w:autoSpaceDE/>
              <w:autoSpaceDN/>
              <w:bidi w:val="0"/>
              <w:adjustRightInd/>
              <w:snapToGrid/>
              <w:spacing w:line="360" w:lineRule="auto"/>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本评价区域内未发现珍稀濒危等需要特殊保护的野生动物。</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color w:val="auto"/>
                <w:sz w:val="24"/>
                <w:lang w:val="en-US" w:eastAsia="zh-CN"/>
              </w:rPr>
            </w:pPr>
            <w:r>
              <w:rPr>
                <w:rFonts w:hint="eastAsia"/>
                <w:b/>
                <w:color w:val="auto"/>
                <w:sz w:val="24"/>
                <w:lang w:val="en-US" w:eastAsia="zh-CN"/>
              </w:rPr>
              <w:t>2.1.6</w:t>
            </w:r>
            <w:r>
              <w:rPr>
                <w:rFonts w:hint="default" w:ascii="Times New Roman" w:hAnsi="Times New Roman" w:cs="Times New Roman"/>
                <w:b/>
                <w:sz w:val="24"/>
                <w:szCs w:val="24"/>
              </w:rPr>
              <w:t>岳阳市南湖景区控制性详细规划</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kern w:val="24"/>
                <w:sz w:val="24"/>
              </w:rPr>
            </w:pPr>
            <w:r>
              <w:rPr>
                <w:rFonts w:hint="default" w:ascii="Times New Roman" w:hAnsi="Times New Roman" w:cs="Times New Roman"/>
                <w:bCs/>
                <w:kern w:val="24"/>
                <w:sz w:val="24"/>
              </w:rPr>
              <w:t>根据《岳阳市南湖景区控制性详细规划》的内容，南湖景区规划范围以南湖主体水面为中心，北至中心城区南环路，包括南津港、千亩湖、南湖广场、南湖公园和天灯咀半岛、刘山庙半岛部分用地；东北至岳阳大道，包括三眼桥湖、螺丝岛、珍珠山一带；东至岳兴公路；南至龙山南侧的城市规划路；西至湖滨大道（岳荣公路）；西北至洞庭湖湖面，包括甄壁山、岳阳党校及部分洞庭湖水面。规划总用地面积为32.72平方公里，其中陆地面积17.36平方公里，水面15.36平方公里（不包括鱼塘、水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Cs/>
                <w:kern w:val="24"/>
                <w:sz w:val="24"/>
              </w:rPr>
            </w:pPr>
            <w:r>
              <w:rPr>
                <w:rFonts w:hint="default" w:ascii="Times New Roman" w:hAnsi="Times New Roman" w:cs="Times New Roman"/>
                <w:bCs/>
                <w:kern w:val="24"/>
                <w:sz w:val="24"/>
              </w:rPr>
              <w:t>规划从水体边界线、核心景区界线、景区边界线、景区外围保护区界线、景区外围保护地带高层建筑控制线等五条界线的保护控制出发，对每个界线都作出相关的保护规定，严格保护景区资源不受破坏。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bCs/>
                <w:kern w:val="24"/>
                <w:sz w:val="24"/>
                <w:lang w:eastAsia="zh-CN"/>
              </w:rPr>
            </w:pPr>
            <w:r>
              <w:rPr>
                <w:rFonts w:hint="default" w:ascii="Times New Roman" w:hAnsi="Times New Roman" w:cs="Times New Roman"/>
                <w:bCs/>
                <w:kern w:val="24"/>
                <w:sz w:val="24"/>
              </w:rPr>
              <w:t>本项目</w:t>
            </w:r>
            <w:r>
              <w:rPr>
                <w:rFonts w:hint="eastAsia" w:ascii="Times New Roman" w:hAnsi="Times New Roman" w:cs="Times New Roman"/>
                <w:bCs/>
                <w:kern w:val="24"/>
                <w:sz w:val="24"/>
                <w:lang w:eastAsia="zh-CN"/>
              </w:rPr>
              <w:t>距离南湖景区最近工程为廖家巷湿塘整治工程，不属于南湖景区规划范围。</w:t>
            </w:r>
          </w:p>
          <w:p>
            <w:pPr>
              <w:pStyle w:val="4"/>
              <w:numPr>
                <w:ilvl w:val="1"/>
                <w:numId w:val="0"/>
              </w:numPr>
              <w:ind w:leftChars="0"/>
              <w:rPr>
                <w:rFonts w:hint="eastAsia" w:ascii="Times New Roman" w:hAnsi="Times New Roman" w:eastAsia="宋体" w:cs="Times New Roman"/>
                <w:b/>
                <w:bCs w:val="0"/>
                <w:color w:val="auto"/>
                <w:kern w:val="2"/>
                <w:sz w:val="24"/>
                <w:szCs w:val="22"/>
                <w:lang w:val="en-US" w:eastAsia="zh-CN" w:bidi="ar-SA"/>
              </w:rPr>
            </w:pPr>
            <w:r>
              <w:rPr>
                <w:rFonts w:hint="eastAsia" w:ascii="Times New Roman" w:hAnsi="Times New Roman" w:eastAsia="宋体" w:cs="Times New Roman"/>
                <w:b/>
                <w:bCs w:val="0"/>
                <w:color w:val="auto"/>
                <w:kern w:val="2"/>
                <w:sz w:val="24"/>
                <w:szCs w:val="22"/>
                <w:lang w:val="en-US" w:eastAsia="zh-CN" w:bidi="ar-SA"/>
              </w:rPr>
              <w:t>2.1.7东洞庭湖自然保护区概况</w:t>
            </w:r>
          </w:p>
          <w:p>
            <w:pPr>
              <w:pStyle w:val="74"/>
              <w:ind w:firstLine="482"/>
              <w:rPr>
                <w:b/>
                <w:bCs/>
              </w:rPr>
            </w:pPr>
            <w:r>
              <w:rPr>
                <w:b/>
                <w:bCs/>
              </w:rPr>
              <w:t>1、基本情况</w:t>
            </w:r>
          </w:p>
          <w:p>
            <w:pPr>
              <w:pStyle w:val="74"/>
            </w:pPr>
            <w:r>
              <w:t>湖南东洞庭湖国家级自然保护区位于长江中下游荆江江段南侧，地处湖南省东北部岳阳市境内，地理坐标介于东经112°43′-113°14′，北纬29°00′-29°38′之间。总面积157628公顷（调整后），主要保护东洞庭湖特有湿地生态系统和生物多样性。保护区成立于1982年，1992年加入“国际重要湿地公约”，被列为我国首批加入“国际重要湿地公约”的六个国际重要湿地之一，1994年经国务院批准升格为国家级自然保护区。</w:t>
            </w:r>
          </w:p>
          <w:p>
            <w:pPr>
              <w:pStyle w:val="74"/>
            </w:pPr>
            <w:r>
              <w:t>东洞庭湖独特的生态环境孕育了丰富自然资源，根据湖南东洞庭湖国家级自然保护区前期综合科学考察报告（1993年）、湖南东洞庭湖国家级自然保护区范围和功能区调整综合科学考察报告（国家林业局中南林业调查规划设计院，2013.12）与多年来专家学者的实地调查研究，湖南东洞庭湖自然保护区共有野生脊椎动物5纲36目101科410种。其中，鱼纲7目19科90种；两栖纲2目5科11种；爬行纲3目8科25种；鸟纲17目55科251种；哺乳纲7目14科33种。</w:t>
            </w:r>
          </w:p>
          <w:p>
            <w:pPr>
              <w:pStyle w:val="74"/>
            </w:pPr>
            <w:r>
              <w:t>东洞庭湖既是我国湿地水禽的重要越冬地，也是重要繁殖地、停歇地。栖息的雁鸭类、鸻鹬类等水鸟达数十万羽。在东北亚鹤类迁徙网络、东亚雁鸭类迁徙网络和东亚——澳大利亚涉禽迁徙网络等区域物种保护网络中具有十分重要的地位。全球濒危物种小白额雁占全球越冬种群的70%以上，栖息着中国唯一的自然野化麋鹿种群。被誉为“世界巨大基因宝库”、“拯救世界频危物种的希望地”和“人与自然和谐共处的典范”。</w:t>
            </w:r>
          </w:p>
          <w:p>
            <w:pPr>
              <w:pStyle w:val="74"/>
              <w:ind w:firstLine="482"/>
              <w:rPr>
                <w:b/>
                <w:bCs/>
              </w:rPr>
            </w:pPr>
            <w:r>
              <w:rPr>
                <w:b/>
                <w:bCs/>
              </w:rPr>
              <w:t>2、保护区类型</w:t>
            </w:r>
          </w:p>
          <w:p>
            <w:pPr>
              <w:pStyle w:val="74"/>
            </w:pPr>
            <w:r>
              <w:t>湖南东洞庭湖国家级自然保护区境内湿地生态环境保存完好，珍稀濒危水禽种类、数量丰富，为迁徙水禽特别重要的越冬地和栖息地，并具有良好的自然属性。根据《自然保护区类型与级别区份原则》（GB/T14529-93），该保护区类别为自然生态系统类、内陆湿地和水域生态系统类型的国家级自然保护区。</w:t>
            </w:r>
          </w:p>
          <w:p>
            <w:pPr>
              <w:pStyle w:val="74"/>
              <w:ind w:firstLine="482"/>
              <w:rPr>
                <w:b/>
                <w:bCs/>
              </w:rPr>
            </w:pPr>
            <w:r>
              <w:rPr>
                <w:b/>
                <w:bCs/>
              </w:rPr>
              <w:t>3、功能区划</w:t>
            </w:r>
          </w:p>
          <w:p>
            <w:pPr>
              <w:pStyle w:val="74"/>
            </w:pPr>
            <w:r>
              <w:t>（1）功能区划概况</w:t>
            </w:r>
          </w:p>
          <w:p>
            <w:pPr>
              <w:pStyle w:val="74"/>
            </w:pPr>
            <w:r>
              <w:t>调整后，东洞庭湖国家级自然保护区功能区划分情况为：</w:t>
            </w:r>
          </w:p>
          <w:p>
            <w:pPr>
              <w:pStyle w:val="74"/>
            </w:pPr>
            <w:r>
              <w:t xml:space="preserve"> ① 核心区。湿地生态系统完整，生物资源丰富，白鹤、黑鹤、东方白鹤、小天鹅、鸿雁等珍稀濒危鸟类集中栖息的地段，面积33286.2hm</w:t>
            </w:r>
            <w:r>
              <w:rPr>
                <w:vertAlign w:val="superscript"/>
              </w:rPr>
              <w:t>2</w:t>
            </w:r>
            <w:r>
              <w:t>。</w:t>
            </w:r>
          </w:p>
          <w:p>
            <w:pPr>
              <w:pStyle w:val="74"/>
            </w:pPr>
            <w:r>
              <w:t xml:space="preserve"> ② 缓冲区。核心区外围所有东洞庭湖区域，面积32369.8hm</w:t>
            </w:r>
            <w:r>
              <w:rPr>
                <w:vertAlign w:val="superscript"/>
              </w:rPr>
              <w:t>2</w:t>
            </w:r>
            <w:r>
              <w:t>。</w:t>
            </w:r>
          </w:p>
          <w:p>
            <w:pPr>
              <w:pStyle w:val="74"/>
            </w:pPr>
            <w:r>
              <w:t xml:space="preserve"> ③ 实验区。保护区区界以内缓冲区以外的广大区域，包括团湖、南湖等在内的湖泊、库塘、农业等用地，面积91972hm</w:t>
            </w:r>
            <w:r>
              <w:rPr>
                <w:vertAlign w:val="superscript"/>
              </w:rPr>
              <w:t>2</w:t>
            </w:r>
            <w:r>
              <w:t>。</w:t>
            </w:r>
          </w:p>
          <w:p>
            <w:pPr>
              <w:pStyle w:val="74"/>
            </w:pPr>
            <w:r>
              <w:t>本项目不在湖南东洞庭湖国家级自然保护区内。</w:t>
            </w:r>
          </w:p>
          <w:p>
            <w:pPr>
              <w:pStyle w:val="74"/>
            </w:pPr>
            <w:r>
              <w:t>（2）规划调整概况</w:t>
            </w:r>
          </w:p>
          <w:p>
            <w:pPr>
              <w:pStyle w:val="74"/>
            </w:pPr>
            <w:r>
              <w:t>根据《国务院办公厅关于调整湖南东洞庭湖等4处国家级自然保护区的通知》（国办函[2018]19号），国务院已同意调整湖南东洞庭湖国家级自然保护区的范围。此次范围调整只涉及将部分实验区部分区域调出保护区；功能区调整拟将部分实验区调整为缓冲区，并将部分缓冲区调整为核心区。范围和功能区调整方案如下：</w:t>
            </w:r>
          </w:p>
          <w:p>
            <w:pPr>
              <w:pStyle w:val="74"/>
            </w:pPr>
            <w:r>
              <w:t>调整范围：</w:t>
            </w:r>
          </w:p>
          <w:p>
            <w:pPr>
              <w:pStyle w:val="74"/>
            </w:pPr>
            <w:r>
              <w:t>将5个实验区地块调出自然保护区范围。其中：2号调整地块：位于自然保护区实验区范围，为岳阳市中心城区（涉及岳阳楼区、南湖区、高新区、临港新区、岳阳市经济开发区）以及岳阳县麻塘镇、新开镇等部分集镇区域，总面积23836.0公顷。从道人矶往南至东风湖北岸七里山以长江和洞庭瑚大堤为界，东风湖至高家嘴区域洞庭湖大堤或水岸线为界（南湖除外），高家嘴往南至北湖村则沿S201省道往西缓冲600米为界，北湖村至畔湖村以S201省道为界，畔湖村至春风村蓄水湖之间麻塘集镇区域以沿S201省道往西缓冲700米为界，该界东部区域均为拟调整范围。</w:t>
            </w:r>
          </w:p>
          <w:p>
            <w:pPr>
              <w:pStyle w:val="74"/>
            </w:pPr>
            <w:r>
              <w:t>该区域为岳阳市中心城区（涉及岳阳楼区、南湖区、高新区，临港新区、岳阳市经济开发区）以及岳阳县麻塘镇、新开镇等部分集镇区域，是岳阳市的主要工业产业聚集地也是岳阳市城区居民聚集地。据调查，该区域总面积23836.0公顷，2012年束总户数192724户，总人口达462935人，人口密度达到2078人/km2。该区域聚集了以长岭炼化、巴陵石化，华能电厂、岳阳纸业等大中型国企为代表的一大批石化、食品、造纸、电力、机械、纺织工业企业，而且包含了岳阳市新老城区以及岳阳市经济临港新区等大面积工业园区，是岳阳市的行政、文化、商业和经济发展中心。</w:t>
            </w:r>
          </w:p>
          <w:p>
            <w:pPr>
              <w:pStyle w:val="74"/>
            </w:pPr>
            <w:r>
              <w:t>由于历史原因，这些区域早在80年代被划入了自然保护区，当时已经作为岳阳市中心城区的范围被划为自然保护区的实验区进行保护管理。由于人口密集，工农业聚集，管理难度极大，基本不具各自然保护区实验区的保护意义。通过组织专家进行实地调查发现，该区域近洞庭湖大堤区域大部分为城市集镇，城区周边区域则多为低山丘陵、农田村庄，且距洞庭湖距离较远（最远距离超过12公里），与洞庭湖湿地生态系统存在较强的地理隔离，也未发现有越冬水禽分布，因此该区域基本不具备保护价值。</w:t>
            </w:r>
          </w:p>
          <w:p>
            <w:pPr>
              <w:pStyle w:val="74"/>
            </w:pPr>
            <w:r>
              <w:t>湖南东洞庭湖国家级自然保护区调整后范围为地理坐标在N 29°0'0''-29°37'45.7''，E112°43'59.5"-113°13'13.4"之间，自然保护区北起长江湘鄂两省主航道分界线，南至汨罗磊石山，东至京广铁路，西与南县交界。东西宽约50公里，南北长70公里，总面积157628公顷。</w:t>
            </w:r>
          </w:p>
          <w:p>
            <w:pPr>
              <w:pStyle w:val="74"/>
              <w:rPr>
                <w:u w:val="single"/>
              </w:rPr>
            </w:pPr>
            <w:r>
              <w:rPr>
                <w:u w:val="single"/>
              </w:rPr>
              <w:t>东洞庭湖自然保护区方案调整后，</w:t>
            </w:r>
            <w:r>
              <w:rPr>
                <w:rFonts w:hint="eastAsia"/>
                <w:u w:val="single"/>
                <w:lang w:eastAsia="zh-CN"/>
              </w:rPr>
              <w:t>本项目排水收纳水体为南港河和北港河，南港河和北港河流经三眼桥湖、南湖，最终汇入东洞庭湖，因此</w:t>
            </w:r>
            <w:r>
              <w:rPr>
                <w:u w:val="single"/>
              </w:rPr>
              <w:t>本项目仍</w:t>
            </w:r>
            <w:r>
              <w:rPr>
                <w:rFonts w:hint="eastAsia"/>
                <w:u w:val="single"/>
                <w:lang w:eastAsia="zh-CN"/>
              </w:rPr>
              <w:t>不属于</w:t>
            </w:r>
            <w:r>
              <w:rPr>
                <w:u w:val="single"/>
              </w:rPr>
              <w:t>湖南东洞庭湖国家级自然保护区内。</w:t>
            </w:r>
          </w:p>
          <w:p>
            <w:pPr>
              <w:pStyle w:val="74"/>
              <w:ind w:firstLine="482"/>
              <w:rPr>
                <w:b/>
                <w:bCs/>
              </w:rPr>
            </w:pPr>
            <w:r>
              <w:rPr>
                <w:b/>
                <w:bCs/>
              </w:rPr>
              <w:t>4、主要保护对象</w:t>
            </w:r>
          </w:p>
          <w:p>
            <w:pPr>
              <w:pStyle w:val="74"/>
            </w:pPr>
            <w:r>
              <w:t>自然保护区的主要保护对象为：</w:t>
            </w:r>
          </w:p>
          <w:p>
            <w:pPr>
              <w:pStyle w:val="74"/>
            </w:pPr>
            <w:r>
              <w:t>①主要保护金荞麦（Fagopyrum dibotrys）、野大豆（Glycine soja）、中华结缕草（Zoysia sinica ）等国家重点保护野生植物；</w:t>
            </w:r>
          </w:p>
          <w:p>
            <w:pPr>
              <w:pStyle w:val="74"/>
            </w:pPr>
            <w:r>
              <w:t>②鱼类资源：中华鲟(Acipenser )、白鲟（Psephurus gladius）、胭脂（Myxocyprinus  asiaticus）等珍稀鱼类；</w:t>
            </w:r>
          </w:p>
          <w:p>
            <w:pPr>
              <w:pStyle w:val="74"/>
            </w:pPr>
            <w:r>
              <w:t>③两栖动物：虎纹蛙（Rana rugulosa）等国家保护动物；</w:t>
            </w:r>
          </w:p>
          <w:p>
            <w:pPr>
              <w:pStyle w:val="74"/>
            </w:pPr>
            <w:r>
              <w:t>④鸟类：东方白鹤（Ciconiac）、黑鹤（Ciconiac nigra）、中华秋沙鸭（Mergus squamatus）、白尾海雕（Haliaeetus albicilla）、白鹤（Grusg leucogeranus）、白头鹤（Grusgmonacha）、大鸨（Otis tarda dybowskjjs）等国家保护动物；</w:t>
            </w:r>
          </w:p>
          <w:p>
            <w:pPr>
              <w:pStyle w:val="74"/>
            </w:pPr>
            <w:r>
              <w:t>⑤哺乳动物：江豚（Lipotes vexijjifer）、麋鹿（Elaphurus davidianus）等国家保护动物。</w:t>
            </w:r>
          </w:p>
          <w:p>
            <w:pPr>
              <w:pStyle w:val="74"/>
            </w:pPr>
            <w:r>
              <w:t>⑥湿地生态系统和生物多样性。</w:t>
            </w:r>
          </w:p>
          <w:p>
            <w:pPr>
              <w:pStyle w:val="74"/>
            </w:pPr>
            <w:r>
              <w:t>⑦自然生态环境和自然资源。</w:t>
            </w:r>
          </w:p>
          <w:p>
            <w:pPr>
              <w:pStyle w:val="74"/>
            </w:pPr>
            <w:r>
              <w:t>⑧自然和人文景观。</w:t>
            </w:r>
          </w:p>
          <w:p>
            <w:pPr>
              <w:pStyle w:val="74"/>
            </w:pPr>
            <w:r>
              <w:t>⑨越冬湿地鸟类及其栖息地。</w:t>
            </w:r>
          </w:p>
          <w:p>
            <w:pPr>
              <w:pStyle w:val="4"/>
              <w:numPr>
                <w:ilvl w:val="1"/>
                <w:numId w:val="0"/>
              </w:numPr>
              <w:ind w:leftChars="0"/>
              <w:rPr>
                <w:rFonts w:hint="eastAsia" w:ascii="Times New Roman" w:hAnsi="Times New Roman" w:eastAsia="宋体" w:cs="Times New Roman"/>
                <w:b/>
                <w:bCs w:val="0"/>
                <w:color w:val="auto"/>
                <w:kern w:val="2"/>
                <w:sz w:val="24"/>
                <w:szCs w:val="22"/>
                <w:lang w:val="en-US" w:eastAsia="zh-CN" w:bidi="ar-SA"/>
              </w:rPr>
            </w:pPr>
            <w:bookmarkStart w:id="38" w:name="_Toc41838317"/>
            <w:r>
              <w:rPr>
                <w:rFonts w:hint="eastAsia" w:ascii="Times New Roman" w:hAnsi="Times New Roman" w:eastAsia="宋体" w:cs="Times New Roman"/>
                <w:b/>
                <w:bCs w:val="0"/>
                <w:color w:val="auto"/>
                <w:kern w:val="2"/>
                <w:sz w:val="24"/>
                <w:szCs w:val="22"/>
                <w:lang w:val="en-US" w:eastAsia="zh-CN" w:bidi="ar-SA"/>
              </w:rPr>
              <w:t>2.1.8 湖南东洞庭湖湿地概况</w:t>
            </w:r>
            <w:bookmarkEnd w:id="38"/>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东洞庭湖湖泊湿地总面积190000hm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，岳阳市东洞庭湖湿地与东洞庭湖湿地属于同一个湿地，主管部门、面积、范围等均相同。主要保护对象是越冬湿地鸟类及其栖息地。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东洞庭湖湿地在东北亚鹤类迁徙网络、东亚雁鸭类迁徙网络等国际区域性物种保护网络中具有十分重要的地位。每年10月至次年3月，有217种鸟类共1000万只候鸟在这里越冬。白鹤、白鹳、灰鹤、小天鹅、白鹭等国家Ⅰ级、Ⅱ级保护动物在东洞庭湖随处可见，很受国际关注，而且很多已经宣布为濒危的鸟类如白头鹤、大鸨、鸿雁、小额雁、青头潜鸭等在东洞庭湖也不难见到。东洞庭湖湿地在东北亚鹤类迁徙网络、东亚雁鸭类迁徙网络等国际区域性物种保护网络中具有十分重要的地位。每年10月至次年3月，有217种鸟类共1000万只候鸟在这里越冬。白鹤、白鹳、灰鹤、小天鹅、白鹭等国家Ⅰ级、Ⅱ级保护动物在东洞庭湖随处可见，很受国际关注，而且很多已经宣布为濒危的鸟类如白头鹤、大鸨、鸿雁、小额雁、青头潜鸭等在东洞庭湖也不难见到，上述越冬鸟类的栖息地分布整个东洞庭湖湿地范围内。东洞庭湖湿地边界范围与东洞庭湖国家自然保护区边界范围相同。</w:t>
            </w:r>
          </w:p>
          <w:p>
            <w:pPr>
              <w:pStyle w:val="3"/>
              <w:numPr>
                <w:ilvl w:val="0"/>
                <w:numId w:val="0"/>
              </w:numPr>
              <w:ind w:leftChars="0"/>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p>
          <w:p>
            <w:pPr>
              <w:pStyle w:val="3"/>
              <w:numPr>
                <w:ilvl w:val="0"/>
                <w:numId w:val="0"/>
              </w:numPr>
              <w:ind w:leftChars="0"/>
              <w:rPr>
                <w:rFonts w:hint="default"/>
              </w:rPr>
            </w:pPr>
          </w:p>
          <w:p>
            <w:pPr>
              <w:rPr>
                <w:rFonts w:hint="default" w:ascii="Times New Roman" w:hAnsi="Times New Roman" w:eastAsia="宋体" w:cs="Times New Roman"/>
                <w:sz w:val="24"/>
                <w:szCs w:val="24"/>
              </w:rPr>
            </w:pPr>
          </w:p>
          <w:p>
            <w:pPr>
              <w:pStyle w:val="3"/>
              <w:numPr>
                <w:ilvl w:val="0"/>
                <w:numId w:val="0"/>
              </w:numPr>
              <w:ind w:leftChars="0"/>
              <w:rPr>
                <w:rFonts w:hint="default"/>
              </w:rPr>
            </w:pPr>
          </w:p>
          <w:p>
            <w:pPr>
              <w:rPr>
                <w:rFonts w:hint="default" w:ascii="Times New Roman" w:hAnsi="Times New Roman" w:eastAsia="宋体" w:cs="Times New Roman"/>
                <w:sz w:val="24"/>
                <w:szCs w:val="24"/>
              </w:rPr>
            </w:pPr>
          </w:p>
          <w:p>
            <w:pPr>
              <w:pStyle w:val="3"/>
              <w:numPr>
                <w:ilvl w:val="0"/>
                <w:numId w:val="0"/>
              </w:numPr>
              <w:ind w:leftChars="0"/>
              <w:rPr>
                <w:rFonts w:hint="default"/>
              </w:rPr>
            </w:pPr>
          </w:p>
          <w:p>
            <w:pPr>
              <w:pStyle w:val="49"/>
              <w:keepNext w:val="0"/>
              <w:keepLines w:val="0"/>
              <w:pageBreakBefore w:val="0"/>
              <w:widowControl w:val="0"/>
              <w:tabs>
                <w:tab w:val="left" w:pos="1021"/>
              </w:tabs>
              <w:kinsoku/>
              <w:wordWrap/>
              <w:overflowPunct/>
              <w:topLinePunct w:val="0"/>
              <w:autoSpaceDE/>
              <w:autoSpaceDN/>
              <w:bidi w:val="0"/>
              <w:adjustRightInd/>
              <w:snapToGrid/>
              <w:spacing w:line="360" w:lineRule="auto"/>
              <w:textAlignment w:val="auto"/>
              <w:rPr>
                <w:rFonts w:hint="default" w:ascii="Times New Roman" w:hAnsi="Times New Roman" w:cs="Times New Roman"/>
                <w:color w:val="auto"/>
                <w:sz w:val="24"/>
                <w:szCs w:val="24"/>
              </w:rPr>
            </w:pPr>
          </w:p>
        </w:tc>
      </w:tr>
    </w:tbl>
    <w:p>
      <w:pPr>
        <w:pStyle w:val="37"/>
        <w:pageBreakBefore/>
        <w:tabs>
          <w:tab w:val="clear" w:pos="1800"/>
        </w:tabs>
        <w:rPr>
          <w:rFonts w:eastAsia="宋体"/>
          <w:color w:val="auto"/>
        </w:rPr>
      </w:pPr>
      <w:bookmarkStart w:id="39" w:name="_Toc29973"/>
      <w:bookmarkStart w:id="40" w:name="_Toc24526"/>
      <w:r>
        <w:rPr>
          <w:rFonts w:eastAsia="宋体"/>
          <w:color w:val="auto"/>
        </w:rPr>
        <w:t>三、建设项目所在地环境现状简况</w:t>
      </w:r>
      <w:bookmarkEnd w:id="36"/>
      <w:bookmarkEnd w:id="39"/>
      <w:bookmarkEnd w:id="40"/>
    </w:p>
    <w:tbl>
      <w:tblPr>
        <w:tblStyle w:val="26"/>
        <w:tblW w:w="9775" w:type="dxa"/>
        <w:jc w:val="center"/>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9775"/>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9775" w:type="dxa"/>
          </w:tcPr>
          <w:p>
            <w:pPr>
              <w:pStyle w:val="8"/>
              <w:ind w:firstLine="0"/>
              <w:rPr>
                <w:b/>
                <w:color w:val="auto"/>
                <w:sz w:val="24"/>
                <w:szCs w:val="24"/>
              </w:rPr>
            </w:pPr>
            <w:r>
              <w:rPr>
                <w:b/>
                <w:color w:val="auto"/>
                <w:sz w:val="24"/>
                <w:szCs w:val="24"/>
              </w:rPr>
              <w:t>环境质量现状及主要环境问题</w:t>
            </w:r>
            <w:bookmarkStart w:id="41" w:name="_Toc215375685"/>
            <w:bookmarkStart w:id="42" w:name="_Toc260819606"/>
            <w:r>
              <w:rPr>
                <w:b/>
                <w:color w:val="auto"/>
                <w:sz w:val="24"/>
                <w:szCs w:val="24"/>
              </w:rPr>
              <w:t>（地表水、空气环境、声环境、生态环境等）</w:t>
            </w:r>
            <w:bookmarkEnd w:id="41"/>
            <w:bookmarkEnd w:id="42"/>
            <w:bookmarkStart w:id="43" w:name="_Toc289866715"/>
          </w:p>
          <w:p>
            <w:pPr>
              <w:pStyle w:val="4"/>
              <w:keepNext/>
              <w:keepLines/>
              <w:pageBreakBefore w:val="0"/>
              <w:widowControl w:val="0"/>
              <w:numPr>
                <w:ilvl w:val="1"/>
                <w:numId w:val="0"/>
              </w:numPr>
              <w:kinsoku/>
              <w:wordWrap/>
              <w:overflowPunct/>
              <w:topLinePunct w:val="0"/>
              <w:autoSpaceDE/>
              <w:autoSpaceDN/>
              <w:bidi w:val="0"/>
              <w:adjustRightInd/>
              <w:snapToGrid/>
              <w:textAlignment w:val="auto"/>
              <w:outlineLvl w:val="1"/>
              <w:rPr>
                <w:rFonts w:eastAsia="宋体"/>
                <w:b/>
                <w:bCs w:val="0"/>
                <w:color w:val="auto"/>
              </w:rPr>
            </w:pPr>
            <w:bookmarkStart w:id="44" w:name="_Toc181"/>
            <w:bookmarkStart w:id="45" w:name="_Toc11630"/>
            <w:bookmarkStart w:id="46" w:name="_Toc15768"/>
            <w:r>
              <w:rPr>
                <w:rFonts w:hint="eastAsia" w:eastAsia="宋体"/>
                <w:b/>
                <w:bCs w:val="0"/>
                <w:color w:val="auto"/>
                <w:lang w:val="en-US" w:eastAsia="zh-CN"/>
              </w:rPr>
              <w:t>3.1</w:t>
            </w:r>
            <w:r>
              <w:rPr>
                <w:rFonts w:eastAsia="宋体"/>
                <w:b/>
                <w:bCs w:val="0"/>
                <w:color w:val="auto"/>
              </w:rPr>
              <w:t>空气环境质量现状监测与评价</w:t>
            </w:r>
            <w:bookmarkEnd w:id="44"/>
            <w:bookmarkEnd w:id="45"/>
            <w:bookmarkEnd w:id="46"/>
          </w:p>
          <w:p>
            <w:pPr>
              <w:keepNext w:val="0"/>
              <w:keepLines w:val="0"/>
              <w:pageBreakBefore w:val="0"/>
              <w:widowControl w:val="0"/>
              <w:kinsoku/>
              <w:wordWrap/>
              <w:overflowPunct/>
              <w:topLinePunct w:val="0"/>
              <w:autoSpaceDE/>
              <w:autoSpaceDN/>
              <w:bidi w:val="0"/>
              <w:adjustRightInd/>
              <w:snapToGrid/>
              <w:spacing w:line="360" w:lineRule="auto"/>
              <w:ind w:firstLine="492" w:firstLineChars="200"/>
              <w:textAlignment w:val="auto"/>
              <w:rPr>
                <w:rFonts w:ascii="Times New Roman" w:hAnsi="Times New Roman" w:cs="Times New Roman"/>
                <w:color w:val="000000"/>
                <w:spacing w:val="3"/>
                <w:sz w:val="24"/>
                <w:szCs w:val="24"/>
              </w:rPr>
            </w:pPr>
            <w:bookmarkStart w:id="47" w:name="_Toc16496"/>
            <w:r>
              <w:rPr>
                <w:rFonts w:ascii="Times New Roman" w:hAnsi="Times New Roman" w:cs="Times New Roman"/>
                <w:color w:val="000000"/>
                <w:spacing w:val="3"/>
                <w:sz w:val="24"/>
                <w:szCs w:val="24"/>
              </w:rPr>
              <w:t>根据《环境影响评价技术导则 大气环境》(HJ2.2-2018)第6.2.1.1条规定：项目所在区域达标判定，优先采用国家或地方生态环境主管部门公开发布的评价基准年环境质量公告或环境质量报告中的数据或结论，并能满足项目评价要求的，可不再进行现状监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color w:val="000000"/>
                <w:sz w:val="24"/>
                <w:szCs w:val="24"/>
              </w:rPr>
            </w:pPr>
            <w:r>
              <w:rPr>
                <w:rFonts w:ascii="Times New Roman" w:hAnsi="Times New Roman" w:cs="Times New Roman"/>
                <w:color w:val="000000"/>
                <w:sz w:val="24"/>
                <w:szCs w:val="24"/>
              </w:rPr>
              <w:t>本项目位于</w:t>
            </w:r>
            <w:r>
              <w:rPr>
                <w:rFonts w:ascii="Times New Roman" w:hAnsi="Times New Roman" w:cs="Times New Roman"/>
                <w:color w:val="000000"/>
                <w:sz w:val="24"/>
                <w:szCs w:val="24"/>
                <w:highlight w:val="none"/>
              </w:rPr>
              <w:t>湖南省</w:t>
            </w:r>
            <w:r>
              <w:rPr>
                <w:rFonts w:hint="eastAsia"/>
                <w:color w:val="auto"/>
                <w:sz w:val="24"/>
                <w:szCs w:val="24"/>
                <w:highlight w:val="none"/>
                <w:lang w:val="en-US" w:eastAsia="zh-CN"/>
              </w:rPr>
              <w:t>岳阳市经开区</w:t>
            </w:r>
            <w:r>
              <w:rPr>
                <w:rFonts w:hint="eastAsia"/>
                <w:color w:val="auto"/>
                <w:sz w:val="24"/>
                <w:szCs w:val="24"/>
                <w:lang w:val="en-US" w:eastAsia="zh-CN"/>
              </w:rPr>
              <w:t>、楼区</w:t>
            </w:r>
            <w:r>
              <w:rPr>
                <w:rFonts w:ascii="Times New Roman" w:hAnsi="Times New Roman" w:cs="Times New Roman"/>
                <w:color w:val="000000"/>
                <w:sz w:val="24"/>
                <w:szCs w:val="24"/>
              </w:rPr>
              <w:t>，本次评价引用《岳阳市</w:t>
            </w:r>
            <w:r>
              <w:rPr>
                <w:rFonts w:hint="eastAsia" w:ascii="Times New Roman" w:hAnsi="Times New Roman" w:cs="Times New Roman"/>
                <w:color w:val="000000"/>
                <w:sz w:val="24"/>
                <w:szCs w:val="24"/>
                <w:lang w:val="en-US" w:eastAsia="zh-CN"/>
              </w:rPr>
              <w:t>2018</w:t>
            </w:r>
            <w:r>
              <w:rPr>
                <w:rFonts w:ascii="Times New Roman" w:hAnsi="Times New Roman" w:cs="Times New Roman"/>
                <w:color w:val="000000"/>
                <w:sz w:val="24"/>
                <w:szCs w:val="24"/>
              </w:rPr>
              <w:t>年度环境质量公报》中发布2018年岳阳市空气质量监测数据作为达标区判定依据，具体评价情况如下表所示。</w:t>
            </w:r>
          </w:p>
          <w:p>
            <w:pPr>
              <w:widowControl w:val="0"/>
              <w:adjustRightInd w:val="0"/>
              <w:snapToGrid w:val="0"/>
              <w:ind w:firstLine="0" w:firstLineChars="0"/>
              <w:jc w:val="center"/>
              <w:rPr>
                <w:rFonts w:ascii="Times New Roman" w:hAnsi="Times New Roman" w:cs="Times New Roman"/>
                <w:b/>
                <w:bCs/>
                <w:snapToGrid w:val="0"/>
                <w:color w:val="000000"/>
                <w:sz w:val="24"/>
                <w:szCs w:val="24"/>
              </w:rPr>
            </w:pPr>
            <w:r>
              <w:rPr>
                <w:rFonts w:ascii="Times New Roman" w:hAnsi="Times New Roman" w:cs="Times New Roman"/>
                <w:b/>
                <w:bCs/>
                <w:snapToGrid w:val="0"/>
                <w:color w:val="000000"/>
                <w:sz w:val="24"/>
                <w:szCs w:val="24"/>
              </w:rPr>
              <w:t>表</w:t>
            </w:r>
            <w:r>
              <w:rPr>
                <w:rFonts w:hint="eastAsia" w:ascii="Times New Roman" w:hAnsi="Times New Roman" w:cs="Times New Roman"/>
                <w:b/>
                <w:bCs/>
                <w:snapToGrid w:val="0"/>
                <w:color w:val="000000"/>
                <w:sz w:val="24"/>
                <w:szCs w:val="24"/>
                <w:lang w:val="en-US" w:eastAsia="zh-CN"/>
              </w:rPr>
              <w:t>3.1</w:t>
            </w:r>
            <w:r>
              <w:rPr>
                <w:rFonts w:ascii="Times New Roman" w:hAnsi="Times New Roman" w:cs="Times New Roman"/>
                <w:b/>
                <w:bCs/>
                <w:snapToGrid w:val="0"/>
                <w:color w:val="000000"/>
                <w:sz w:val="24"/>
                <w:szCs w:val="24"/>
              </w:rPr>
              <w:t>-1    岳阳市空气质量现状评价表</w:t>
            </w:r>
          </w:p>
          <w:tbl>
            <w:tblPr>
              <w:tblStyle w:val="26"/>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5"/>
              <w:gridCol w:w="2405"/>
              <w:gridCol w:w="1202"/>
              <w:gridCol w:w="1353"/>
              <w:gridCol w:w="1351"/>
              <w:gridCol w:w="1353"/>
              <w:gridCol w:w="8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污染物</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平均时段</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百分位</w:t>
                  </w:r>
                </w:p>
              </w:tc>
              <w:tc>
                <w:tcPr>
                  <w:tcW w:w="708"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现状浓度（μg/m³）</w:t>
                  </w:r>
                </w:p>
              </w:tc>
              <w:tc>
                <w:tcPr>
                  <w:tcW w:w="707"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标准值（μg/m³）</w:t>
                  </w:r>
                </w:p>
              </w:tc>
              <w:tc>
                <w:tcPr>
                  <w:tcW w:w="708"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占标率/%</w:t>
                  </w:r>
                </w:p>
              </w:tc>
              <w:tc>
                <w:tcPr>
                  <w:tcW w:w="452"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restar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SO</w:t>
                  </w:r>
                  <w:r>
                    <w:rPr>
                      <w:rFonts w:ascii="Times New Roman" w:hAnsi="Times New Roman" w:cs="Times New Roman"/>
                      <w:b w:val="0"/>
                      <w:bCs w:val="0"/>
                      <w:color w:val="000000"/>
                      <w:kern w:val="2"/>
                      <w:sz w:val="21"/>
                      <w:szCs w:val="21"/>
                      <w:vertAlign w:val="subscript"/>
                    </w:rPr>
                    <w:t>2</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年平均质量浓度</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1</w:t>
                  </w:r>
                  <w:r>
                    <w:rPr>
                      <w:rFonts w:hint="eastAsia" w:ascii="Times New Roman" w:hAnsi="Times New Roman" w:cs="Times New Roman"/>
                      <w:b w:val="0"/>
                      <w:bCs w:val="0"/>
                      <w:color w:val="000000"/>
                      <w:sz w:val="21"/>
                      <w:szCs w:val="21"/>
                    </w:rPr>
                    <w:t>4</w:t>
                  </w:r>
                </w:p>
              </w:tc>
              <w:tc>
                <w:tcPr>
                  <w:tcW w:w="707"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60</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sz w:val="21"/>
                      <w:szCs w:val="21"/>
                    </w:rPr>
                    <w:t>23.3</w:t>
                  </w:r>
                </w:p>
              </w:tc>
              <w:tc>
                <w:tcPr>
                  <w:tcW w:w="452" w:type="pct"/>
                  <w:vMerge w:val="restar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不</w:t>
                  </w:r>
                </w:p>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达</w:t>
                  </w:r>
                </w:p>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continue"/>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百分位上日平均</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98</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24</w:t>
                  </w:r>
                </w:p>
              </w:tc>
              <w:tc>
                <w:tcPr>
                  <w:tcW w:w="707"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150</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16</w:t>
                  </w:r>
                </w:p>
              </w:tc>
              <w:tc>
                <w:tcPr>
                  <w:tcW w:w="452" w:type="pct"/>
                  <w:vMerge w:val="continue"/>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restar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NO</w:t>
                  </w:r>
                  <w:r>
                    <w:rPr>
                      <w:rFonts w:ascii="Times New Roman" w:hAnsi="Times New Roman" w:cs="Times New Roman"/>
                      <w:b w:val="0"/>
                      <w:bCs w:val="0"/>
                      <w:color w:val="000000"/>
                      <w:kern w:val="2"/>
                      <w:sz w:val="21"/>
                      <w:szCs w:val="21"/>
                      <w:vertAlign w:val="subscript"/>
                    </w:rPr>
                    <w:t>2</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年平均质量浓度</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23</w:t>
                  </w:r>
                </w:p>
              </w:tc>
              <w:tc>
                <w:tcPr>
                  <w:tcW w:w="707"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40</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57.5</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continue"/>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百分位上日平均</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98</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55</w:t>
                  </w:r>
                </w:p>
              </w:tc>
              <w:tc>
                <w:tcPr>
                  <w:tcW w:w="707"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80</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68.8</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restar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PM</w:t>
                  </w:r>
                  <w:r>
                    <w:rPr>
                      <w:rFonts w:ascii="Times New Roman" w:hAnsi="Times New Roman" w:cs="Times New Roman"/>
                      <w:b w:val="0"/>
                      <w:bCs w:val="0"/>
                      <w:color w:val="000000"/>
                      <w:kern w:val="2"/>
                      <w:sz w:val="21"/>
                      <w:szCs w:val="21"/>
                      <w:vertAlign w:val="subscript"/>
                    </w:rPr>
                    <w:t>10</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年平均质量浓度</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7</w:t>
                  </w:r>
                  <w:r>
                    <w:rPr>
                      <w:rFonts w:hint="eastAsia" w:ascii="Times New Roman" w:hAnsi="Times New Roman" w:cs="Times New Roman"/>
                      <w:b w:val="0"/>
                      <w:bCs w:val="0"/>
                      <w:color w:val="000000"/>
                      <w:sz w:val="21"/>
                      <w:szCs w:val="21"/>
                    </w:rPr>
                    <w:t>4</w:t>
                  </w:r>
                </w:p>
              </w:tc>
              <w:tc>
                <w:tcPr>
                  <w:tcW w:w="707"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70</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ascii="Times New Roman" w:hAnsi="Times New Roman" w:cs="Times New Roman"/>
                      <w:b w:val="0"/>
                      <w:bCs w:val="0"/>
                      <w:color w:val="000000"/>
                      <w:sz w:val="21"/>
                      <w:szCs w:val="21"/>
                    </w:rPr>
                    <w:t>10</w:t>
                  </w:r>
                  <w:r>
                    <w:rPr>
                      <w:rFonts w:hint="eastAsia" w:ascii="Times New Roman" w:hAnsi="Times New Roman" w:cs="Times New Roman"/>
                      <w:b w:val="0"/>
                      <w:bCs w:val="0"/>
                      <w:color w:val="000000"/>
                      <w:sz w:val="21"/>
                      <w:szCs w:val="21"/>
                    </w:rPr>
                    <w:t>5.7</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continue"/>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百分位上日平均</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sz w:val="21"/>
                      <w:szCs w:val="21"/>
                    </w:rPr>
                    <w:t>95</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160</w:t>
                  </w:r>
                </w:p>
              </w:tc>
              <w:tc>
                <w:tcPr>
                  <w:tcW w:w="707"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150</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106.7</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restar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PM</w:t>
                  </w:r>
                  <w:r>
                    <w:rPr>
                      <w:rFonts w:ascii="Times New Roman" w:hAnsi="Times New Roman" w:cs="Times New Roman"/>
                      <w:b w:val="0"/>
                      <w:bCs w:val="0"/>
                      <w:color w:val="000000"/>
                      <w:kern w:val="2"/>
                      <w:sz w:val="21"/>
                      <w:szCs w:val="21"/>
                      <w:vertAlign w:val="subscript"/>
                    </w:rPr>
                    <w:t>2.5</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年平均质量浓度</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4</w:t>
                  </w:r>
                  <w:r>
                    <w:rPr>
                      <w:rFonts w:hint="eastAsia" w:ascii="Times New Roman" w:hAnsi="Times New Roman" w:cs="Times New Roman"/>
                      <w:b w:val="0"/>
                      <w:bCs w:val="0"/>
                      <w:color w:val="000000"/>
                      <w:sz w:val="21"/>
                      <w:szCs w:val="21"/>
                    </w:rPr>
                    <w:t>8</w:t>
                  </w:r>
                </w:p>
              </w:tc>
              <w:tc>
                <w:tcPr>
                  <w:tcW w:w="707"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35</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1</w:t>
                  </w:r>
                  <w:r>
                    <w:rPr>
                      <w:rFonts w:hint="eastAsia" w:ascii="Times New Roman" w:hAnsi="Times New Roman" w:cs="Times New Roman"/>
                      <w:b w:val="0"/>
                      <w:bCs w:val="0"/>
                      <w:color w:val="000000"/>
                      <w:sz w:val="21"/>
                      <w:szCs w:val="21"/>
                    </w:rPr>
                    <w:t>37.1</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vMerge w:val="continue"/>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百分位上日平均</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95</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105</w:t>
                  </w:r>
                </w:p>
              </w:tc>
              <w:tc>
                <w:tcPr>
                  <w:tcW w:w="707"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75</w:t>
                  </w:r>
                </w:p>
              </w:tc>
              <w:tc>
                <w:tcPr>
                  <w:tcW w:w="708" w:type="pct"/>
                  <w:noWrap w:val="0"/>
                  <w:vAlign w:val="center"/>
                </w:tcPr>
                <w:p>
                  <w:pPr>
                    <w:ind w:firstLine="0" w:firstLineChars="0"/>
                    <w:jc w:val="center"/>
                    <w:rPr>
                      <w:rFonts w:ascii="Times New Roman" w:hAnsi="Times New Roman" w:cs="Times New Roman"/>
                      <w:b w:val="0"/>
                      <w:bCs w:val="0"/>
                      <w:color w:val="000000"/>
                      <w:sz w:val="21"/>
                      <w:szCs w:val="21"/>
                    </w:rPr>
                  </w:pPr>
                  <w:r>
                    <w:rPr>
                      <w:rFonts w:hint="eastAsia" w:ascii="Times New Roman" w:hAnsi="Times New Roman" w:cs="Times New Roman"/>
                      <w:b w:val="0"/>
                      <w:bCs w:val="0"/>
                      <w:color w:val="000000"/>
                      <w:sz w:val="21"/>
                      <w:szCs w:val="21"/>
                    </w:rPr>
                    <w:t>140</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CO</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百分位上日平均</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95</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1</w:t>
                  </w:r>
                  <w:r>
                    <w:rPr>
                      <w:rFonts w:hint="eastAsia" w:ascii="Times New Roman" w:hAnsi="Times New Roman" w:cs="Times New Roman"/>
                      <w:b w:val="0"/>
                      <w:bCs w:val="0"/>
                      <w:color w:val="000000"/>
                      <w:sz w:val="21"/>
                      <w:szCs w:val="21"/>
                    </w:rPr>
                    <w:t>5</w:t>
                  </w:r>
                  <w:r>
                    <w:rPr>
                      <w:rFonts w:ascii="Times New Roman" w:hAnsi="Times New Roman" w:cs="Times New Roman"/>
                      <w:b w:val="0"/>
                      <w:bCs w:val="0"/>
                      <w:color w:val="000000"/>
                      <w:sz w:val="21"/>
                      <w:szCs w:val="21"/>
                    </w:rPr>
                    <w:t>00</w:t>
                  </w:r>
                </w:p>
              </w:tc>
              <w:tc>
                <w:tcPr>
                  <w:tcW w:w="707"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4000</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3</w:t>
                  </w:r>
                  <w:r>
                    <w:rPr>
                      <w:rFonts w:hint="eastAsia" w:ascii="Times New Roman" w:hAnsi="Times New Roman" w:cs="Times New Roman"/>
                      <w:b w:val="0"/>
                      <w:bCs w:val="0"/>
                      <w:color w:val="000000"/>
                      <w:sz w:val="21"/>
                      <w:szCs w:val="21"/>
                    </w:rPr>
                    <w:t>7.5</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532"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O</w:t>
                  </w:r>
                  <w:r>
                    <w:rPr>
                      <w:rFonts w:ascii="Times New Roman" w:hAnsi="Times New Roman" w:cs="Times New Roman"/>
                      <w:b w:val="0"/>
                      <w:bCs w:val="0"/>
                      <w:color w:val="000000"/>
                      <w:kern w:val="2"/>
                      <w:sz w:val="21"/>
                      <w:szCs w:val="21"/>
                      <w:vertAlign w:val="subscript"/>
                    </w:rPr>
                    <w:t>3</w:t>
                  </w:r>
                </w:p>
              </w:tc>
              <w:tc>
                <w:tcPr>
                  <w:tcW w:w="125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kern w:val="2"/>
                      <w:sz w:val="21"/>
                      <w:szCs w:val="21"/>
                    </w:rPr>
                    <w:t>8h平均质量浓度</w:t>
                  </w:r>
                </w:p>
              </w:tc>
              <w:tc>
                <w:tcPr>
                  <w:tcW w:w="629" w:type="pct"/>
                  <w:noWrap w:val="0"/>
                  <w:vAlign w:val="center"/>
                </w:tcPr>
                <w:p>
                  <w:pPr>
                    <w:widowControl w:val="0"/>
                    <w:adjustRightInd w:val="0"/>
                    <w:snapToGrid w:val="0"/>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kern w:val="2"/>
                      <w:sz w:val="21"/>
                      <w:szCs w:val="21"/>
                    </w:rPr>
                    <w:t>90</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1</w:t>
                  </w:r>
                  <w:r>
                    <w:rPr>
                      <w:rFonts w:hint="eastAsia" w:ascii="Times New Roman" w:hAnsi="Times New Roman" w:cs="Times New Roman"/>
                      <w:b w:val="0"/>
                      <w:bCs w:val="0"/>
                      <w:color w:val="000000"/>
                      <w:sz w:val="21"/>
                      <w:szCs w:val="21"/>
                    </w:rPr>
                    <w:t>37</w:t>
                  </w:r>
                </w:p>
              </w:tc>
              <w:tc>
                <w:tcPr>
                  <w:tcW w:w="707"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ascii="Times New Roman" w:hAnsi="Times New Roman" w:cs="Times New Roman"/>
                      <w:b w:val="0"/>
                      <w:bCs w:val="0"/>
                      <w:color w:val="000000"/>
                      <w:sz w:val="21"/>
                      <w:szCs w:val="21"/>
                    </w:rPr>
                    <w:t>160</w:t>
                  </w:r>
                </w:p>
              </w:tc>
              <w:tc>
                <w:tcPr>
                  <w:tcW w:w="708" w:type="pct"/>
                  <w:noWrap w:val="0"/>
                  <w:vAlign w:val="center"/>
                </w:tcPr>
                <w:p>
                  <w:pPr>
                    <w:ind w:firstLine="0" w:firstLineChars="0"/>
                    <w:jc w:val="center"/>
                    <w:rPr>
                      <w:rFonts w:ascii="Times New Roman" w:hAnsi="Times New Roman" w:cs="Times New Roman"/>
                      <w:b w:val="0"/>
                      <w:bCs w:val="0"/>
                      <w:color w:val="000000"/>
                      <w:kern w:val="2"/>
                      <w:sz w:val="21"/>
                      <w:szCs w:val="21"/>
                    </w:rPr>
                  </w:pPr>
                  <w:r>
                    <w:rPr>
                      <w:rFonts w:hint="eastAsia" w:ascii="Times New Roman" w:hAnsi="Times New Roman" w:cs="Times New Roman"/>
                      <w:b w:val="0"/>
                      <w:bCs w:val="0"/>
                      <w:color w:val="000000"/>
                      <w:sz w:val="21"/>
                      <w:szCs w:val="21"/>
                    </w:rPr>
                    <w:t>85.6</w:t>
                  </w:r>
                </w:p>
              </w:tc>
              <w:tc>
                <w:tcPr>
                  <w:tcW w:w="452" w:type="pct"/>
                  <w:vMerge w:val="continue"/>
                  <w:noWrap w:val="0"/>
                  <w:vAlign w:val="center"/>
                </w:tcPr>
                <w:p>
                  <w:pPr>
                    <w:widowControl w:val="0"/>
                    <w:ind w:firstLine="0" w:firstLineChars="0"/>
                    <w:rPr>
                      <w:rFonts w:ascii="Times New Roman" w:hAnsi="Times New Roman" w:cs="Times New Roman"/>
                      <w:b w:val="0"/>
                      <w:bCs w:val="0"/>
                      <w:color w:val="000000"/>
                      <w:kern w:val="2"/>
                      <w:sz w:val="21"/>
                      <w:szCs w:val="21"/>
                    </w:rPr>
                  </w:pPr>
                </w:p>
              </w:tc>
            </w:tr>
          </w:tbl>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cs="Times New Roman"/>
                <w:color w:val="000000"/>
                <w:sz w:val="24"/>
                <w:szCs w:val="24"/>
              </w:rPr>
            </w:pPr>
            <w:r>
              <w:rPr>
                <w:rFonts w:ascii="Times New Roman" w:hAnsi="Times New Roman" w:cs="Times New Roman"/>
                <w:color w:val="000000"/>
                <w:sz w:val="24"/>
                <w:szCs w:val="24"/>
              </w:rPr>
              <w:t>由上表可知，所在区域PM</w:t>
            </w:r>
            <w:r>
              <w:rPr>
                <w:rFonts w:ascii="Times New Roman" w:hAnsi="Times New Roman" w:cs="Times New Roman"/>
                <w:color w:val="000000"/>
                <w:sz w:val="24"/>
                <w:szCs w:val="24"/>
                <w:vertAlign w:val="subscript"/>
              </w:rPr>
              <w:t>10</w:t>
            </w:r>
            <w:r>
              <w:rPr>
                <w:rFonts w:ascii="Times New Roman" w:hAnsi="Times New Roman" w:cs="Times New Roman"/>
                <w:color w:val="000000"/>
                <w:sz w:val="24"/>
                <w:szCs w:val="24"/>
              </w:rPr>
              <w:t>和PM</w:t>
            </w:r>
            <w:r>
              <w:rPr>
                <w:rFonts w:ascii="Times New Roman" w:hAnsi="Times New Roman" w:cs="Times New Roman"/>
                <w:color w:val="000000"/>
                <w:sz w:val="24"/>
                <w:szCs w:val="24"/>
                <w:vertAlign w:val="subscript"/>
              </w:rPr>
              <w:t>2.5</w:t>
            </w:r>
            <w:r>
              <w:rPr>
                <w:rFonts w:ascii="Times New Roman" w:hAnsi="Times New Roman" w:cs="Times New Roman"/>
                <w:color w:val="000000"/>
                <w:sz w:val="24"/>
                <w:szCs w:val="24"/>
              </w:rPr>
              <w:t>的年均浓度超标，故本项目所在区域2018年为环境空气质量不达标区。</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eastAsia="宋体"/>
                <w:sz w:val="24"/>
                <w:szCs w:val="24"/>
                <w:u w:val="none"/>
                <w:lang w:val="en-US" w:eastAsia="zh-CN"/>
              </w:rPr>
            </w:pPr>
            <w:r>
              <w:rPr>
                <w:rFonts w:ascii="Times New Roman" w:hAnsi="Times New Roman" w:cs="Times New Roman"/>
                <w:color w:val="000000"/>
                <w:sz w:val="24"/>
                <w:szCs w:val="24"/>
              </w:rPr>
              <w:t>根据《湖南省污染防治攻坚战三年行动计划(2018-2020年)》的通知(湘政发〔2018〕17号)、《湖南省“蓝天保卫战”实施方案(2018-2020年)》、《岳阳经济技术开发区洞庭湖生态环境专项整治三年行动实施方案(2018-2020)》(岳经办发〔2018〕20号)等文件要求，通过调整产业结构调整、推进“散乱污”企业政治、优化能源结构调整、加快清洁能源替代利用、推动交通结构调整、加快绿色交通体系建设、加大污染治理力度等措施，区域大气污染物排放总量将大幅减少，环境空气质量将得到持续改善。</w:t>
            </w:r>
          </w:p>
          <w:p>
            <w:pPr>
              <w:pStyle w:val="4"/>
              <w:pageBreakBefore w:val="0"/>
              <w:widowControl w:val="0"/>
              <w:numPr>
                <w:ilvl w:val="1"/>
                <w:numId w:val="0"/>
              </w:numPr>
              <w:kinsoku/>
              <w:wordWrap/>
              <w:overflowPunct/>
              <w:topLinePunct w:val="0"/>
              <w:autoSpaceDE/>
              <w:autoSpaceDN/>
              <w:bidi w:val="0"/>
              <w:adjustRightInd/>
              <w:snapToGrid/>
              <w:ind w:left="0"/>
              <w:textAlignment w:val="auto"/>
              <w:rPr>
                <w:rFonts w:eastAsia="宋体"/>
                <w:b/>
                <w:bCs w:val="0"/>
                <w:color w:val="auto"/>
              </w:rPr>
            </w:pPr>
            <w:bookmarkStart w:id="48" w:name="_Toc20217"/>
            <w:bookmarkStart w:id="49" w:name="_Toc17867"/>
            <w:bookmarkStart w:id="50" w:name="_Toc16432"/>
            <w:r>
              <w:rPr>
                <w:rFonts w:hint="eastAsia" w:eastAsia="宋体"/>
                <w:b/>
                <w:bCs w:val="0"/>
                <w:color w:val="auto"/>
                <w:lang w:val="en-US" w:eastAsia="zh-CN"/>
              </w:rPr>
              <w:t>3.2</w:t>
            </w:r>
            <w:r>
              <w:rPr>
                <w:rFonts w:eastAsia="宋体"/>
                <w:b/>
                <w:bCs w:val="0"/>
                <w:color w:val="auto"/>
              </w:rPr>
              <w:t>水环境质量现状监测与评价</w:t>
            </w:r>
            <w:bookmarkEnd w:id="43"/>
            <w:bookmarkEnd w:id="47"/>
            <w:bookmarkEnd w:id="48"/>
            <w:bookmarkEnd w:id="49"/>
            <w:bookmarkEnd w:id="50"/>
          </w:p>
          <w:p>
            <w:pPr>
              <w:keepNext w:val="0"/>
              <w:keepLines w:val="0"/>
              <w:widowControl/>
              <w:suppressLineNumbers w:val="0"/>
              <w:spacing w:line="360" w:lineRule="auto"/>
              <w:ind w:firstLine="472" w:firstLineChars="200"/>
              <w:jc w:val="left"/>
              <w:rPr>
                <w:rFonts w:hint="eastAsia" w:ascii="Times New Roman" w:hAnsi="Times New Roman" w:eastAsia="宋体" w:cs="Times New Roman"/>
                <w:color w:val="auto"/>
                <w:spacing w:val="-2"/>
                <w:sz w:val="24"/>
                <w:szCs w:val="22"/>
                <w:u w:val="none"/>
                <w:lang w:val="en-US" w:eastAsia="zh-CN" w:bidi="ar-SA"/>
              </w:rPr>
            </w:pPr>
            <w:bookmarkStart w:id="51" w:name="_Toc289866718"/>
            <w:bookmarkStart w:id="52" w:name="_Toc28824"/>
            <w:bookmarkStart w:id="53" w:name="_Toc7949"/>
            <w:bookmarkStart w:id="54" w:name="_Toc32345"/>
            <w:bookmarkStart w:id="55" w:name="_Toc20290"/>
            <w:r>
              <w:rPr>
                <w:rFonts w:hint="eastAsia" w:cs="Times New Roman"/>
                <w:color w:val="auto"/>
                <w:spacing w:val="-2"/>
                <w:sz w:val="24"/>
                <w:szCs w:val="22"/>
                <w:u w:val="none"/>
                <w:lang w:val="en-US" w:eastAsia="zh-CN" w:bidi="ar-SA"/>
              </w:rPr>
              <w:t>本项目奇家社区截污工程新建一座污水处理站，区域生活污水收集经污水处理站处理后由小溪排入南港河。面源污染控制工程拟对三个湿塘散排住户生活污水进行收集后分别设置四格池对其进行处理，经处理后出水排入各湿塘。</w:t>
            </w:r>
          </w:p>
          <w:p>
            <w:pPr>
              <w:spacing w:line="360" w:lineRule="auto"/>
              <w:ind w:firstLine="480"/>
              <w:rPr>
                <w:rFonts w:hint="default" w:ascii="Times New Roman" w:hAnsi="Times New Roman" w:eastAsia="宋体"/>
                <w:color w:val="auto"/>
                <w:sz w:val="24"/>
                <w:szCs w:val="24"/>
                <w:lang w:val="en-US" w:eastAsia="zh-CN"/>
              </w:rPr>
            </w:pPr>
            <w:r>
              <w:rPr>
                <w:rFonts w:hint="eastAsia" w:ascii="Times New Roman" w:hAnsi="Times New Roman" w:cs="Times New Roman"/>
                <w:color w:val="auto"/>
                <w:sz w:val="24"/>
                <w:szCs w:val="24"/>
                <w:lang w:eastAsia="zh-CN"/>
              </w:rPr>
              <w:t>为了解</w:t>
            </w:r>
            <w:r>
              <w:rPr>
                <w:rFonts w:hint="eastAsia" w:cs="Times New Roman"/>
                <w:color w:val="auto"/>
                <w:sz w:val="24"/>
                <w:szCs w:val="24"/>
                <w:lang w:eastAsia="zh-CN"/>
              </w:rPr>
              <w:t>区域</w:t>
            </w:r>
            <w:r>
              <w:rPr>
                <w:rFonts w:hint="eastAsia" w:ascii="Times New Roman" w:hAnsi="Times New Roman" w:cs="Times New Roman"/>
                <w:color w:val="auto"/>
                <w:sz w:val="24"/>
                <w:szCs w:val="24"/>
                <w:lang w:eastAsia="zh-CN"/>
              </w:rPr>
              <w:t>水质情况，</w:t>
            </w:r>
            <w:r>
              <w:rPr>
                <w:rFonts w:hint="default" w:ascii="Times New Roman" w:hAnsi="Times New Roman" w:cs="Times New Roman"/>
                <w:color w:val="auto"/>
                <w:sz w:val="24"/>
                <w:szCs w:val="24"/>
              </w:rPr>
              <w:t>本次评价</w:t>
            </w:r>
            <w:r>
              <w:rPr>
                <w:rFonts w:hint="eastAsia" w:ascii="Times New Roman" w:hAnsi="Times New Roman" w:cs="Times New Roman"/>
                <w:color w:val="auto"/>
                <w:sz w:val="24"/>
                <w:szCs w:val="24"/>
                <w:lang w:eastAsia="zh-CN"/>
              </w:rPr>
              <w:t>委</w:t>
            </w:r>
            <w:r>
              <w:rPr>
                <w:rFonts w:hint="eastAsia" w:ascii="Times New Roman" w:hAnsi="Times New Roman" w:cs="Times New Roman"/>
                <w:color w:val="auto"/>
                <w:sz w:val="24"/>
                <w:szCs w:val="24"/>
                <w:highlight w:val="none"/>
                <w:lang w:eastAsia="zh-CN"/>
              </w:rPr>
              <w:t>托湖南</w:t>
            </w:r>
            <w:r>
              <w:rPr>
                <w:rFonts w:hint="eastAsia" w:cs="Times New Roman"/>
                <w:color w:val="auto"/>
                <w:sz w:val="24"/>
                <w:szCs w:val="24"/>
                <w:highlight w:val="none"/>
                <w:lang w:eastAsia="zh-CN"/>
              </w:rPr>
              <w:t>亿科检测有限公司</w:t>
            </w:r>
            <w:r>
              <w:rPr>
                <w:rFonts w:hint="eastAsia" w:cs="Times New Roman"/>
                <w:color w:val="auto"/>
                <w:sz w:val="24"/>
                <w:szCs w:val="24"/>
                <w:highlight w:val="none"/>
                <w:lang w:val="en-US" w:eastAsia="zh-CN"/>
              </w:rPr>
              <w:t>对其现状进行</w:t>
            </w:r>
            <w:r>
              <w:rPr>
                <w:rFonts w:hint="eastAsia" w:cs="Times New Roman"/>
                <w:color w:val="auto"/>
                <w:sz w:val="24"/>
                <w:szCs w:val="24"/>
                <w:lang w:val="en-US" w:eastAsia="zh-CN"/>
              </w:rPr>
              <w:t>了监测。</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cs="Times New Roman"/>
                <w:color w:val="auto"/>
                <w:sz w:val="24"/>
              </w:rPr>
            </w:pPr>
            <w:r>
              <w:rPr>
                <w:rFonts w:hint="eastAsia" w:ascii="Times New Roman" w:hAnsi="Times New Roman" w:cs="Times New Roman"/>
                <w:color w:val="auto"/>
                <w:sz w:val="24"/>
                <w:lang w:eastAsia="zh-CN"/>
              </w:rPr>
              <w:t>（</w:t>
            </w:r>
            <w:r>
              <w:rPr>
                <w:rFonts w:hint="eastAsia" w:ascii="Times New Roman" w:hAnsi="Times New Roman" w:cs="Times New Roman"/>
                <w:color w:val="auto"/>
                <w:sz w:val="24"/>
                <w:lang w:val="en-US" w:eastAsia="zh-CN"/>
              </w:rPr>
              <w:t>1</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监测项目：</w:t>
            </w:r>
            <w:r>
              <w:rPr>
                <w:rFonts w:hint="default" w:ascii="Times New Roman" w:hAnsi="Times New Roman" w:cs="Times New Roman"/>
                <w:color w:val="auto"/>
                <w:sz w:val="24"/>
                <w:szCs w:val="22"/>
              </w:rPr>
              <w:t>pH、COD、BOD</w:t>
            </w:r>
            <w:r>
              <w:rPr>
                <w:rFonts w:hint="default" w:ascii="Times New Roman" w:hAnsi="Times New Roman" w:cs="Times New Roman"/>
                <w:color w:val="auto"/>
                <w:sz w:val="24"/>
                <w:szCs w:val="22"/>
                <w:vertAlign w:val="subscript"/>
              </w:rPr>
              <w:t>5</w:t>
            </w:r>
            <w:r>
              <w:rPr>
                <w:rFonts w:hint="default" w:ascii="Times New Roman" w:hAnsi="Times New Roman" w:cs="Times New Roman"/>
                <w:color w:val="auto"/>
                <w:sz w:val="24"/>
                <w:szCs w:val="22"/>
              </w:rPr>
              <w:t>、</w:t>
            </w:r>
            <w:r>
              <w:rPr>
                <w:rFonts w:hint="default" w:ascii="Times New Roman" w:hAnsi="Times New Roman" w:cs="Times New Roman"/>
                <w:color w:val="auto"/>
                <w:sz w:val="24"/>
                <w:szCs w:val="22"/>
                <w:lang w:val="en-US" w:eastAsia="zh-CN"/>
              </w:rPr>
              <w:t>SS、石油类、</w:t>
            </w:r>
            <w:r>
              <w:rPr>
                <w:rFonts w:hint="eastAsia" w:ascii="Times New Roman" w:hAnsi="Times New Roman" w:cs="Times New Roman"/>
                <w:color w:val="auto"/>
                <w:sz w:val="24"/>
                <w:szCs w:val="22"/>
                <w:lang w:val="en-US" w:eastAsia="zh-CN"/>
              </w:rPr>
              <w:t>动植物油</w:t>
            </w:r>
            <w:r>
              <w:rPr>
                <w:rFonts w:hint="default" w:ascii="Times New Roman" w:hAnsi="Times New Roman" w:cs="Times New Roman"/>
                <w:color w:val="auto"/>
                <w:sz w:val="24"/>
                <w:szCs w:val="22"/>
                <w:lang w:val="en-US" w:eastAsia="zh-CN"/>
              </w:rPr>
              <w:t>、总氮、</w:t>
            </w:r>
            <w:r>
              <w:rPr>
                <w:rFonts w:hint="default" w:ascii="Times New Roman" w:hAnsi="Times New Roman" w:cs="Times New Roman"/>
                <w:color w:val="auto"/>
                <w:sz w:val="24"/>
                <w:szCs w:val="22"/>
              </w:rPr>
              <w:t>氨氮、总磷、粪大肠菌群</w:t>
            </w:r>
            <w:r>
              <w:rPr>
                <w:rFonts w:hint="eastAsia" w:ascii="Times New Roman" w:hAnsi="Times New Roman" w:cs="Times New Roman"/>
                <w:color w:val="auto"/>
                <w:sz w:val="24"/>
                <w:szCs w:val="22"/>
                <w:lang w:eastAsia="zh-CN"/>
              </w:rPr>
              <w:t>、</w:t>
            </w:r>
            <w:r>
              <w:rPr>
                <w:rFonts w:hint="eastAsia" w:cs="Times New Roman"/>
                <w:color w:val="auto"/>
                <w:sz w:val="24"/>
                <w:szCs w:val="22"/>
                <w:lang w:eastAsia="zh-CN"/>
              </w:rPr>
              <w:t>水温</w:t>
            </w:r>
            <w:r>
              <w:rPr>
                <w:rFonts w:hint="default" w:ascii="Times New Roman" w:hAnsi="Times New Roman" w:cs="Times New Roman"/>
                <w:color w:val="auto"/>
                <w:sz w:val="24"/>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eastAsia="宋体" w:cs="Times New Roman"/>
                <w:color w:val="auto"/>
                <w:sz w:val="24"/>
                <w:lang w:val="en-US" w:eastAsia="zh-CN"/>
              </w:rPr>
            </w:pPr>
            <w:r>
              <w:rPr>
                <w:rFonts w:hint="eastAsia" w:ascii="Times New Roman" w:hAnsi="Times New Roman" w:cs="Times New Roman"/>
                <w:color w:val="auto"/>
                <w:sz w:val="24"/>
                <w:lang w:eastAsia="zh-CN"/>
              </w:rPr>
              <w:t>（</w:t>
            </w:r>
            <w:r>
              <w:rPr>
                <w:rFonts w:hint="eastAsia" w:ascii="Times New Roman" w:hAnsi="Times New Roman" w:cs="Times New Roman"/>
                <w:color w:val="auto"/>
                <w:sz w:val="24"/>
                <w:lang w:val="en-US" w:eastAsia="zh-CN"/>
              </w:rPr>
              <w:t>2</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监测布点：</w:t>
            </w:r>
            <w:r>
              <w:rPr>
                <w:rFonts w:hint="default" w:ascii="Times New Roman" w:hAnsi="Times New Roman" w:cs="Times New Roman"/>
                <w:color w:val="auto"/>
                <w:sz w:val="24"/>
                <w:lang w:eastAsia="zh-CN"/>
              </w:rPr>
              <w:t>设</w:t>
            </w:r>
            <w:r>
              <w:rPr>
                <w:rFonts w:hint="eastAsia" w:cs="Times New Roman"/>
                <w:color w:val="auto"/>
                <w:sz w:val="24"/>
                <w:lang w:val="en-US" w:eastAsia="zh-CN"/>
              </w:rPr>
              <w:t>4</w:t>
            </w:r>
            <w:r>
              <w:rPr>
                <w:rFonts w:hint="default" w:ascii="Times New Roman" w:hAnsi="Times New Roman" w:cs="Times New Roman"/>
                <w:color w:val="auto"/>
                <w:sz w:val="24"/>
                <w:lang w:val="en-US" w:eastAsia="zh-CN"/>
              </w:rPr>
              <w:t>个地表水监测点。</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W1：廖家巷湿塘</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W2：颐养院湿塘</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W3：奥敏游泳馆湿塘</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cs="Times New Roman"/>
                <w:color w:val="auto"/>
                <w:sz w:val="24"/>
                <w:lang w:val="en-US" w:eastAsia="zh-CN"/>
              </w:rPr>
            </w:pPr>
            <w:r>
              <w:rPr>
                <w:rFonts w:hint="default" w:ascii="Times New Roman" w:hAnsi="Times New Roman" w:cs="Times New Roman"/>
                <w:color w:val="auto"/>
                <w:sz w:val="24"/>
                <w:lang w:val="en-US" w:eastAsia="zh-CN"/>
              </w:rPr>
              <w:t>W4：奇家社区污水处理站排污口排入南港河上游500m处</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rFonts w:hint="default" w:ascii="Times New Roman" w:hAnsi="Times New Roman" w:cs="Times New Roman"/>
                <w:color w:val="auto"/>
                <w:sz w:val="24"/>
              </w:rPr>
            </w:pPr>
            <w:r>
              <w:rPr>
                <w:rFonts w:hint="eastAsia" w:ascii="Times New Roman" w:hAnsi="Times New Roman" w:cs="Times New Roman"/>
                <w:color w:val="auto"/>
                <w:sz w:val="24"/>
                <w:lang w:eastAsia="zh-CN"/>
              </w:rPr>
              <w:t>（</w:t>
            </w:r>
            <w:r>
              <w:rPr>
                <w:rFonts w:hint="eastAsia" w:ascii="Times New Roman" w:hAnsi="Times New Roman" w:cs="Times New Roman"/>
                <w:color w:val="auto"/>
                <w:sz w:val="24"/>
                <w:lang w:val="en-US" w:eastAsia="zh-CN"/>
              </w:rPr>
              <w:t>3</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监测时间及频次</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jc w:val="left"/>
              <w:textAlignment w:val="auto"/>
              <w:rPr>
                <w:b/>
                <w:color w:val="auto"/>
                <w:sz w:val="24"/>
                <w:szCs w:val="24"/>
              </w:rPr>
            </w:pPr>
            <w:r>
              <w:rPr>
                <w:rFonts w:hint="default" w:ascii="Times New Roman" w:hAnsi="Times New Roman" w:cs="Times New Roman"/>
                <w:color w:val="auto"/>
                <w:sz w:val="24"/>
              </w:rPr>
              <w:t>连续监测3天，每天1次。</w:t>
            </w:r>
          </w:p>
          <w:p>
            <w:pPr>
              <w:spacing w:line="360" w:lineRule="auto"/>
              <w:contextualSpacing/>
              <w:jc w:val="center"/>
              <w:rPr>
                <w:b/>
                <w:color w:val="auto"/>
                <w:sz w:val="24"/>
                <w:szCs w:val="24"/>
              </w:rPr>
            </w:pPr>
            <w:r>
              <w:rPr>
                <w:b/>
                <w:color w:val="auto"/>
                <w:sz w:val="24"/>
                <w:szCs w:val="24"/>
              </w:rPr>
              <w:t>表</w:t>
            </w:r>
            <w:r>
              <w:rPr>
                <w:rFonts w:hint="eastAsia"/>
                <w:b/>
                <w:color w:val="auto"/>
                <w:sz w:val="24"/>
                <w:szCs w:val="24"/>
                <w:lang w:val="en-US" w:eastAsia="zh-CN"/>
              </w:rPr>
              <w:t>3</w:t>
            </w:r>
            <w:r>
              <w:rPr>
                <w:b/>
                <w:color w:val="auto"/>
                <w:sz w:val="24"/>
                <w:szCs w:val="24"/>
              </w:rPr>
              <w:t>.</w:t>
            </w:r>
            <w:r>
              <w:rPr>
                <w:rFonts w:hint="eastAsia"/>
                <w:b/>
                <w:color w:val="auto"/>
                <w:sz w:val="24"/>
                <w:szCs w:val="24"/>
              </w:rPr>
              <w:t>2</w:t>
            </w:r>
            <w:r>
              <w:rPr>
                <w:b/>
                <w:color w:val="auto"/>
                <w:sz w:val="24"/>
                <w:szCs w:val="24"/>
              </w:rPr>
              <w:t>-</w:t>
            </w:r>
            <w:r>
              <w:rPr>
                <w:rFonts w:hint="eastAsia"/>
                <w:b/>
                <w:color w:val="auto"/>
                <w:sz w:val="24"/>
                <w:szCs w:val="24"/>
              </w:rPr>
              <w:t>1</w:t>
            </w:r>
            <w:r>
              <w:rPr>
                <w:b/>
                <w:color w:val="auto"/>
                <w:sz w:val="24"/>
                <w:szCs w:val="24"/>
              </w:rPr>
              <w:t xml:space="preserve">  水环境质量监测结果与评价结果  单位：mg/L，其中pH值无量纲</w:t>
            </w:r>
          </w:p>
          <w:tbl>
            <w:tblPr>
              <w:tblStyle w:val="26"/>
              <w:tblW w:w="4997" w:type="pct"/>
              <w:tblInd w:w="0" w:type="dxa"/>
              <w:tblLayout w:type="fixed"/>
              <w:tblCellMar>
                <w:top w:w="0" w:type="dxa"/>
                <w:left w:w="0" w:type="dxa"/>
                <w:bottom w:w="0" w:type="dxa"/>
                <w:right w:w="0" w:type="dxa"/>
              </w:tblCellMar>
            </w:tblPr>
            <w:tblGrid>
              <w:gridCol w:w="499"/>
              <w:gridCol w:w="1805"/>
              <w:gridCol w:w="1440"/>
              <w:gridCol w:w="1446"/>
              <w:gridCol w:w="1465"/>
              <w:gridCol w:w="1449"/>
              <w:gridCol w:w="1451"/>
            </w:tblGrid>
            <w:tr>
              <w:tblPrEx>
                <w:tblCellMar>
                  <w:top w:w="0" w:type="dxa"/>
                  <w:left w:w="0" w:type="dxa"/>
                  <w:bottom w:w="0" w:type="dxa"/>
                  <w:right w:w="0" w:type="dxa"/>
                </w:tblCellMar>
              </w:tblPrEx>
              <w:trPr>
                <w:trHeight w:val="654" w:hRule="atLeast"/>
              </w:trPr>
              <w:tc>
                <w:tcPr>
                  <w:tcW w:w="1205" w:type="pct"/>
                  <w:gridSpan w:val="2"/>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top"/>
                    <w:rPr>
                      <w:rFonts w:hint="default" w:ascii="Times New Roman" w:hAnsi="Times New Roman" w:eastAsia="宋体" w:cs="Times New Roman"/>
                      <w:i w:val="0"/>
                      <w:color w:val="auto"/>
                      <w:sz w:val="21"/>
                      <w:szCs w:val="21"/>
                      <w:u w:val="none"/>
                      <w:lang w:eastAsia="zh-CN"/>
                    </w:rPr>
                  </w:pPr>
                  <w:r>
                    <w:rPr>
                      <w:rFonts w:hint="default" w:ascii="Times New Roman" w:hAnsi="Times New Roman" w:eastAsia="宋体" w:cs="Times New Roman"/>
                      <w:i w:val="0"/>
                      <w:color w:val="auto"/>
                      <w:sz w:val="21"/>
                      <w:szCs w:val="21"/>
                      <w:u w:val="none"/>
                      <w:lang w:eastAsia="zh-CN"/>
                    </w:rPr>
                    <w:t>监测项目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highlight w:val="none"/>
                      <w:u w:val="none"/>
                      <w:lang w:val="en-US"/>
                    </w:rPr>
                  </w:pPr>
                  <w:r>
                    <w:rPr>
                      <w:rFonts w:hint="default" w:ascii="Times New Roman" w:hAnsi="Times New Roman" w:eastAsia="宋体" w:cs="Times New Roman"/>
                      <w:i w:val="0"/>
                      <w:color w:val="auto"/>
                      <w:spacing w:val="-2"/>
                      <w:kern w:val="0"/>
                      <w:sz w:val="21"/>
                      <w:szCs w:val="21"/>
                      <w:highlight w:val="none"/>
                      <w:u w:val="none"/>
                      <w:lang w:val="en-US" w:eastAsia="zh-CN" w:bidi="ar"/>
                    </w:rPr>
                    <w:t>2020.8.17</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highlight w:val="none"/>
                      <w:u w:val="none"/>
                      <w:lang w:val="en-US"/>
                    </w:rPr>
                  </w:pPr>
                  <w:r>
                    <w:rPr>
                      <w:rFonts w:hint="default" w:ascii="Times New Roman" w:hAnsi="Times New Roman" w:eastAsia="宋体" w:cs="Times New Roman"/>
                      <w:i w:val="0"/>
                      <w:color w:val="auto"/>
                      <w:spacing w:val="-2"/>
                      <w:kern w:val="0"/>
                      <w:sz w:val="21"/>
                      <w:szCs w:val="21"/>
                      <w:highlight w:val="none"/>
                      <w:u w:val="none"/>
                      <w:lang w:val="en-US" w:eastAsia="zh-CN" w:bidi="ar"/>
                    </w:rPr>
                    <w:t>2020.8.18</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highlight w:val="none"/>
                      <w:u w:val="none"/>
                      <w:lang w:val="en-US"/>
                    </w:rPr>
                  </w:pPr>
                  <w:r>
                    <w:rPr>
                      <w:rFonts w:hint="default" w:ascii="Times New Roman" w:hAnsi="Times New Roman" w:eastAsia="宋体" w:cs="Times New Roman"/>
                      <w:i w:val="0"/>
                      <w:color w:val="auto"/>
                      <w:spacing w:val="-2"/>
                      <w:kern w:val="0"/>
                      <w:sz w:val="21"/>
                      <w:szCs w:val="21"/>
                      <w:highlight w:val="none"/>
                      <w:u w:val="none"/>
                      <w:lang w:val="en-US" w:eastAsia="zh-CN" w:bidi="ar"/>
                    </w:rPr>
                    <w:t>2020.8.19</w:t>
                  </w:r>
                </w:p>
              </w:tc>
              <w:tc>
                <w:tcPr>
                  <w:tcW w:w="758" w:type="pct"/>
                  <w:tcBorders>
                    <w:top w:val="single" w:color="000000" w:sz="4" w:space="0"/>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标准值</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达标情况</w:t>
                  </w:r>
                </w:p>
              </w:tc>
            </w:tr>
            <w:tr>
              <w:tblPrEx>
                <w:tblCellMar>
                  <w:top w:w="0" w:type="dxa"/>
                  <w:left w:w="0" w:type="dxa"/>
                  <w:bottom w:w="0" w:type="dxa"/>
                  <w:right w:w="0" w:type="dxa"/>
                </w:tblCellMar>
              </w:tblPrEx>
              <w:trPr>
                <w:trHeight w:val="0" w:hRule="atLeast"/>
              </w:trPr>
              <w:tc>
                <w:tcPr>
                  <w:tcW w:w="261" w:type="pct"/>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W1</w:t>
                  </w: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rPr>
                  </w:pPr>
                  <w:r>
                    <w:rPr>
                      <w:rFonts w:hint="default" w:ascii="Times New Roman" w:hAnsi="Times New Roman" w:eastAsia="宋体" w:cs="Times New Roman"/>
                      <w:i w:val="0"/>
                      <w:color w:val="auto"/>
                      <w:spacing w:val="-2"/>
                      <w:kern w:val="0"/>
                      <w:sz w:val="21"/>
                      <w:szCs w:val="21"/>
                      <w:u w:val="none"/>
                      <w:lang w:val="en-US" w:eastAsia="zh-CN" w:bidi="ar"/>
                    </w:rPr>
                    <w:t>pH值（无量纲）</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6.76</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7.21（无量纲）</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7.67(无量纲)</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6~9</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rPr>
                  </w:pPr>
                  <w:r>
                    <w:rPr>
                      <w:rFonts w:hint="default" w:ascii="Times New Roman" w:hAnsi="Times New Roman" w:eastAsia="宋体" w:cs="Times New Roman"/>
                      <w:i w:val="0"/>
                      <w:color w:val="auto"/>
                      <w:spacing w:val="-2"/>
                      <w:kern w:val="0"/>
                      <w:sz w:val="21"/>
                      <w:szCs w:val="21"/>
                      <w:u w:val="none"/>
                      <w:lang w:val="en-US" w:eastAsia="zh-CN" w:bidi="ar"/>
                    </w:rPr>
                    <w:t>化学需氧量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25</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24</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24</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≤20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五日生化需氧量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kern w:val="2"/>
                      <w:sz w:val="21"/>
                      <w:szCs w:val="21"/>
                      <w:u w:val="none"/>
                      <w:lang w:val="en-US" w:eastAsia="zh-CN" w:bidi="ar-SA"/>
                    </w:rPr>
                    <w:t>10.2</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10.7</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10.0</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≤4</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悬浮物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kern w:val="2"/>
                      <w:sz w:val="21"/>
                      <w:szCs w:val="21"/>
                      <w:u w:val="none"/>
                      <w:lang w:val="en-US" w:eastAsia="zh-CN" w:bidi="ar-SA"/>
                    </w:rPr>
                    <w:t>12</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11</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16</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石油类</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0.05</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动植物油</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总氮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2.22</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2.67</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2.22</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rPr>
                  </w:pPr>
                  <w:r>
                    <w:rPr>
                      <w:rFonts w:hint="default" w:ascii="Times New Roman" w:hAnsi="Times New Roman" w:eastAsia="宋体" w:cs="Times New Roman"/>
                      <w:i w:val="0"/>
                      <w:color w:val="auto"/>
                      <w:spacing w:val="-2"/>
                      <w:kern w:val="0"/>
                      <w:sz w:val="21"/>
                      <w:szCs w:val="21"/>
                      <w:u w:val="none"/>
                      <w:lang w:val="en-US" w:eastAsia="zh-CN" w:bidi="ar"/>
                    </w:rPr>
                    <w:t>氨氮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0.777</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000000"/>
                      <w:sz w:val="21"/>
                      <w:szCs w:val="21"/>
                      <w:lang w:val="en-US" w:eastAsia="zh-CN"/>
                    </w:rPr>
                    <w:t>0.807</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000000"/>
                      <w:sz w:val="21"/>
                      <w:szCs w:val="21"/>
                      <w:lang w:val="en-US" w:eastAsia="zh-CN"/>
                    </w:rPr>
                    <w:t>0.853</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rPr>
                  </w:pPr>
                  <w:r>
                    <w:rPr>
                      <w:rFonts w:hint="default" w:ascii="Times New Roman" w:hAnsi="Times New Roman" w:eastAsia="宋体" w:cs="Times New Roman"/>
                      <w:i w:val="0"/>
                      <w:color w:val="auto"/>
                      <w:spacing w:val="-2"/>
                      <w:kern w:val="0"/>
                      <w:sz w:val="21"/>
                      <w:szCs w:val="21"/>
                      <w:u w:val="none"/>
                      <w:lang w:val="en-US" w:eastAsia="zh-CN" w:bidi="ar"/>
                    </w:rPr>
                    <w:t>总磷</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0.13</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0.14</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0.13</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eastAsia="zh-CN"/>
                    </w:rPr>
                  </w:pPr>
                  <w:r>
                    <w:rPr>
                      <w:rFonts w:hint="default" w:ascii="Times New Roman" w:hAnsi="Times New Roman" w:eastAsia="宋体" w:cs="Times New Roman"/>
                      <w:i w:val="0"/>
                      <w:color w:val="auto"/>
                      <w:sz w:val="21"/>
                      <w:szCs w:val="21"/>
                      <w:u w:val="none"/>
                      <w:lang w:eastAsia="zh-CN"/>
                    </w:rPr>
                    <w:t>粪大肠菌群</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230</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590</w:t>
                  </w:r>
                  <w:r>
                    <w:rPr>
                      <w:rFonts w:hint="default" w:ascii="Times New Roman" w:hAnsi="Times New Roman" w:eastAsia="宋体" w:cs="Times New Roman"/>
                      <w:b w:val="0"/>
                      <w:bCs w:val="0"/>
                      <w:color w:val="000000"/>
                      <w:sz w:val="21"/>
                      <w:szCs w:val="21"/>
                      <w:vertAlign w:val="baseline"/>
                      <w:lang w:val="en-US" w:eastAsia="zh-CN"/>
                    </w:rPr>
                    <w:t>（MPN/L）</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310</w:t>
                  </w:r>
                  <w:r>
                    <w:rPr>
                      <w:rFonts w:hint="default" w:ascii="Times New Roman" w:hAnsi="Times New Roman" w:eastAsia="宋体" w:cs="Times New Roman"/>
                      <w:b w:val="0"/>
                      <w:bCs w:val="0"/>
                      <w:color w:val="000000"/>
                      <w:sz w:val="21"/>
                      <w:szCs w:val="21"/>
                      <w:vertAlign w:val="baseline"/>
                      <w:lang w:val="en-US" w:eastAsia="zh-CN"/>
                    </w:rPr>
                    <w:t>（MPN/L）</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10000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eastAsia="zh-CN"/>
                    </w:rPr>
                  </w:pPr>
                  <w:r>
                    <w:rPr>
                      <w:rFonts w:hint="default" w:ascii="Times New Roman" w:hAnsi="Times New Roman" w:eastAsia="宋体" w:cs="Times New Roman"/>
                      <w:i w:val="0"/>
                      <w:color w:val="auto"/>
                      <w:sz w:val="21"/>
                      <w:szCs w:val="21"/>
                      <w:u w:val="none"/>
                      <w:lang w:eastAsia="zh-CN"/>
                    </w:rPr>
                    <w:t>水温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z w:val="21"/>
                      <w:szCs w:val="21"/>
                      <w:u w:val="none"/>
                      <w:lang w:val="en-US" w:eastAsia="zh-CN"/>
                    </w:rPr>
                  </w:pPr>
                  <w:r>
                    <w:rPr>
                      <w:rFonts w:hint="default" w:ascii="Times New Roman" w:hAnsi="Times New Roman" w:eastAsia="宋体" w:cs="Times New Roman"/>
                      <w:i w:val="0"/>
                      <w:color w:val="auto"/>
                      <w:sz w:val="21"/>
                      <w:szCs w:val="21"/>
                      <w:u w:val="none"/>
                      <w:lang w:val="en-US" w:eastAsia="zh-CN"/>
                    </w:rPr>
                    <w:t>24.5</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25.4℃</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25.5℃</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周平均最大温升</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1，周平均最大温降</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lang w:val="en-US"/>
                    </w:rPr>
                  </w:pPr>
                  <w:r>
                    <w:rPr>
                      <w:rFonts w:hint="default" w:ascii="Times New Roman" w:hAnsi="Times New Roman" w:eastAsia="宋体" w:cs="Times New Roman"/>
                      <w:i w:val="0"/>
                      <w:color w:val="auto"/>
                      <w:sz w:val="21"/>
                      <w:szCs w:val="21"/>
                      <w:u w:val="none"/>
                      <w:lang w:val="en-US" w:eastAsia="zh-CN"/>
                    </w:rPr>
                    <w:t>W2</w:t>
                  </w: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pH值（无量纲）</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vertAlign w:val="baseline"/>
                      <w:lang w:val="en-US" w:eastAsia="zh-CN"/>
                    </w:rPr>
                    <w:t>7.01</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7.26(无量纲)</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6.89(无量纲)</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6~9</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化学需氧量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75</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79</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72</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≤20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五日生化需氧量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30.6</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36.8</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34.0</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≤4</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悬浮物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14</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20</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24</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石油类</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0.05</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动植物油</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总氮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5.14</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5.19</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5.17</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氨氮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0.916</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0.906</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0.905</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总磷</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0.51</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0.52</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0.51</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eastAsia="zh-CN"/>
                    </w:rPr>
                    <w:t>粪大肠菌群</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310</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470</w:t>
                  </w:r>
                  <w:r>
                    <w:rPr>
                      <w:rFonts w:hint="default" w:ascii="Times New Roman" w:hAnsi="Times New Roman" w:eastAsia="宋体" w:cs="Times New Roman"/>
                      <w:b w:val="0"/>
                      <w:bCs w:val="0"/>
                      <w:color w:val="000000"/>
                      <w:sz w:val="21"/>
                      <w:szCs w:val="21"/>
                      <w:vertAlign w:val="baseline"/>
                      <w:lang w:val="en-US" w:eastAsia="zh-CN"/>
                    </w:rPr>
                    <w:t>（MPN/L）</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430</w:t>
                  </w:r>
                  <w:r>
                    <w:rPr>
                      <w:rFonts w:hint="default" w:ascii="Times New Roman" w:hAnsi="Times New Roman" w:eastAsia="宋体" w:cs="Times New Roman"/>
                      <w:b w:val="0"/>
                      <w:bCs w:val="0"/>
                      <w:color w:val="000000"/>
                      <w:sz w:val="21"/>
                      <w:szCs w:val="21"/>
                      <w:vertAlign w:val="baseline"/>
                      <w:lang w:val="en-US" w:eastAsia="zh-CN"/>
                    </w:rPr>
                    <w:t>（MPN/L）</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10000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eastAsia="zh-CN"/>
                    </w:rPr>
                    <w:t>水温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25.1℃</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25.8℃</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26.1℃</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周平均最大温升</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1，周平均最大温降</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restart"/>
                  <w:tcBorders>
                    <w:top w:val="single" w:color="000000" w:sz="4" w:space="0"/>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lang w:val="en-US"/>
                    </w:rPr>
                  </w:pPr>
                  <w:r>
                    <w:rPr>
                      <w:rFonts w:hint="default" w:ascii="Times New Roman" w:hAnsi="Times New Roman" w:eastAsia="宋体" w:cs="Times New Roman"/>
                      <w:i w:val="0"/>
                      <w:color w:val="auto"/>
                      <w:sz w:val="21"/>
                      <w:szCs w:val="21"/>
                      <w:u w:val="none"/>
                      <w:lang w:val="en-US" w:eastAsia="zh-CN"/>
                    </w:rPr>
                    <w:t>W3</w:t>
                  </w: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pH值（无量纲）</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6.89</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7.31（无量纲）</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vertAlign w:val="baseline"/>
                      <w:lang w:val="en-US" w:eastAsia="zh-CN" w:bidi="ar-SA"/>
                    </w:rPr>
                  </w:pPr>
                  <w:r>
                    <w:rPr>
                      <w:rFonts w:hint="default" w:ascii="Times New Roman" w:hAnsi="Times New Roman" w:eastAsia="宋体" w:cs="Times New Roman"/>
                      <w:color w:val="auto"/>
                      <w:sz w:val="21"/>
                      <w:szCs w:val="21"/>
                      <w:vertAlign w:val="baseline"/>
                      <w:lang w:val="en-US" w:eastAsia="zh-CN"/>
                    </w:rPr>
                    <w:t>6.76（无量纲）</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6~9</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化学需氧量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27</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29</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29</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≤20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五日生化需氧量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11.2</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10.5</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11.9</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≤4</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悬浮物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17</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22</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28</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石油类</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0.05</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动植物油</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总氮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1.32</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00"/>
                      <w:kern w:val="2"/>
                      <w:sz w:val="21"/>
                      <w:szCs w:val="21"/>
                      <w:lang w:val="en-US" w:eastAsia="zh-CN" w:bidi="ar-SA"/>
                    </w:rPr>
                  </w:pPr>
                  <w:r>
                    <w:rPr>
                      <w:rFonts w:hint="default" w:ascii="Times New Roman" w:hAnsi="Times New Roman" w:eastAsia="宋体" w:cs="Times New Roman"/>
                      <w:color w:val="000000"/>
                      <w:sz w:val="21"/>
                      <w:szCs w:val="21"/>
                      <w:lang w:val="en-US" w:eastAsia="zh-CN"/>
                    </w:rPr>
                    <w:t>1.31</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1.29</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氨氮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0.367</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0.420</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0.385</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总磷</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0.06</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0.07</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0.07</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eastAsia="zh-CN"/>
                    </w:rPr>
                    <w:t>粪大肠菌群</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340</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330</w:t>
                  </w:r>
                  <w:r>
                    <w:rPr>
                      <w:rFonts w:hint="default" w:ascii="Times New Roman" w:hAnsi="Times New Roman" w:eastAsia="宋体" w:cs="Times New Roman"/>
                      <w:b w:val="0"/>
                      <w:bCs w:val="0"/>
                      <w:color w:val="000000"/>
                      <w:sz w:val="21"/>
                      <w:szCs w:val="21"/>
                      <w:vertAlign w:val="baseline"/>
                      <w:lang w:val="en-US" w:eastAsia="zh-CN"/>
                    </w:rPr>
                    <w:t>（MPN/L）</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330</w:t>
                  </w:r>
                  <w:r>
                    <w:rPr>
                      <w:rFonts w:hint="default" w:ascii="Times New Roman" w:hAnsi="Times New Roman" w:eastAsia="宋体" w:cs="Times New Roman"/>
                      <w:b w:val="0"/>
                      <w:bCs w:val="0"/>
                      <w:color w:val="000000"/>
                      <w:sz w:val="21"/>
                      <w:szCs w:val="21"/>
                      <w:vertAlign w:val="baseline"/>
                      <w:lang w:val="en-US" w:eastAsia="zh-CN"/>
                    </w:rPr>
                    <w:t>（MPN/L）</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10000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eastAsia="zh-CN"/>
                    </w:rPr>
                    <w:t>水温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27.4℃</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26.7℃</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26.8℃</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周平均最大温升</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1，周平均最大温降</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restart"/>
                  <w:tcBorders>
                    <w:top w:val="single" w:color="000000" w:sz="4" w:space="0"/>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lang w:val="en-US"/>
                    </w:rPr>
                  </w:pPr>
                  <w:r>
                    <w:rPr>
                      <w:rFonts w:hint="default" w:ascii="Times New Roman" w:hAnsi="Times New Roman" w:eastAsia="宋体" w:cs="Times New Roman"/>
                      <w:i w:val="0"/>
                      <w:color w:val="auto"/>
                      <w:sz w:val="21"/>
                      <w:szCs w:val="21"/>
                      <w:u w:val="none"/>
                      <w:lang w:val="en-US" w:eastAsia="zh-CN"/>
                    </w:rPr>
                    <w:t>W4</w:t>
                  </w: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pH值（无量纲）</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vertAlign w:val="baseline"/>
                      <w:lang w:val="en-US" w:eastAsia="zh-CN"/>
                    </w:rPr>
                    <w:t>7.04</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7.45（无量纲）</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7.57（无量纲）</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6~9</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化学需氧量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19</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20</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21</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≤20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五日生化需氧量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7.8</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7.6</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6.7</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≤4</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悬浮物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15</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18</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19</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石油类</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0000FF"/>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0.05</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动植物油</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0.01ND</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总氮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2.94</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2.61</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2.97</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超标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氨氮</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0.375</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0.389</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0.378</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≤1.0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pacing w:val="-2"/>
                      <w:kern w:val="0"/>
                      <w:sz w:val="21"/>
                      <w:szCs w:val="21"/>
                      <w:u w:val="none"/>
                      <w:lang w:val="en-US" w:eastAsia="zh-CN" w:bidi="ar"/>
                    </w:rPr>
                    <w:t>总磷</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0.08</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0.09</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0.09</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0.2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eastAsia="zh-CN"/>
                    </w:rPr>
                    <w:t>粪大肠菌群</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330</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270</w:t>
                  </w:r>
                  <w:r>
                    <w:rPr>
                      <w:rFonts w:hint="default" w:ascii="Times New Roman" w:hAnsi="Times New Roman" w:eastAsia="宋体" w:cs="Times New Roman"/>
                      <w:b w:val="0"/>
                      <w:bCs w:val="0"/>
                      <w:color w:val="000000"/>
                      <w:sz w:val="21"/>
                      <w:szCs w:val="21"/>
                      <w:vertAlign w:val="baseline"/>
                      <w:lang w:val="en-US" w:eastAsia="zh-CN"/>
                    </w:rPr>
                    <w:t>（MPN/L）</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410</w:t>
                  </w:r>
                  <w:r>
                    <w:rPr>
                      <w:rFonts w:hint="default" w:ascii="Times New Roman" w:hAnsi="Times New Roman" w:eastAsia="宋体" w:cs="Times New Roman"/>
                      <w:b w:val="0"/>
                      <w:bCs w:val="0"/>
                      <w:color w:val="000000"/>
                      <w:sz w:val="21"/>
                      <w:szCs w:val="21"/>
                      <w:vertAlign w:val="baseline"/>
                      <w:lang w:val="en-US" w:eastAsia="zh-CN"/>
                    </w:rPr>
                    <w:t>（MPN/L）</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10000</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sz w:val="21"/>
                      <w:szCs w:val="21"/>
                      <w:u w:val="none"/>
                      <w:lang w:eastAsia="zh-CN"/>
                    </w:rPr>
                    <w:t>水温</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i w:val="0"/>
                      <w:color w:val="auto"/>
                      <w:kern w:val="2"/>
                      <w:sz w:val="21"/>
                      <w:szCs w:val="21"/>
                      <w:u w:val="none"/>
                      <w:lang w:val="en-US" w:eastAsia="zh-CN" w:bidi="ar-SA"/>
                    </w:rPr>
                    <w:t>27.8℃</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27.7℃</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27.5℃</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i w:val="0"/>
                      <w:color w:val="auto"/>
                      <w:spacing w:val="-2"/>
                      <w:kern w:val="0"/>
                      <w:sz w:val="21"/>
                      <w:szCs w:val="21"/>
                      <w:u w:val="none"/>
                      <w:lang w:val="en-US" w:eastAsia="zh-CN" w:bidi="ar"/>
                    </w:rPr>
                    <w:t>周平均最大温升</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1，周平均最大温降</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2</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eastAsia" w:ascii="Times New Roman" w:hAnsi="Times New Roman" w:eastAsia="宋体" w:cs="Times New Roman"/>
                      <w:i w:val="0"/>
                      <w:color w:val="auto"/>
                      <w:spacing w:val="-2"/>
                      <w:kern w:val="0"/>
                      <w:sz w:val="21"/>
                      <w:szCs w:val="21"/>
                      <w:u w:val="none"/>
                      <w:lang w:val="en-US" w:eastAsia="zh-CN" w:bidi="ar"/>
                    </w:rPr>
                    <w:t>达标</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adjustRightInd w:val="0"/>
                    <w:snapToGrid w:val="0"/>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流量</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0.70（m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val="en-US" w:eastAsia="zh-CN"/>
                    </w:rPr>
                    <w:t>/s）</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1.0（m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val="en-US" w:eastAsia="zh-CN"/>
                    </w:rPr>
                    <w:t>/s）</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val="en-US" w:eastAsia="zh-CN"/>
                    </w:rPr>
                    <w:t>/s）</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adjustRightInd w:val="0"/>
                    <w:snapToGrid w:val="0"/>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流速</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0.02（m/s）</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0.03（m/s）</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0.02（m/s）</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adjustRightInd w:val="0"/>
                    <w:snapToGrid w:val="0"/>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河宽</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47.2(m)</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47.2(m)</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47.2(m)</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adjustRightInd w:val="0"/>
                    <w:snapToGrid w:val="0"/>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水深</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0.74（m）</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0.73(m)</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0.74(m)</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r>
            <w:tr>
              <w:tblPrEx>
                <w:tblCellMar>
                  <w:top w:w="0" w:type="dxa"/>
                  <w:left w:w="0" w:type="dxa"/>
                  <w:bottom w:w="0" w:type="dxa"/>
                  <w:right w:w="0" w:type="dxa"/>
                </w:tblCellMar>
              </w:tblPrEx>
              <w:trPr>
                <w:trHeight w:val="0" w:hRule="atLeast"/>
              </w:trPr>
              <w:tc>
                <w:tcPr>
                  <w:tcW w:w="261" w:type="pct"/>
                  <w:vMerge w:val="continue"/>
                  <w:tcBorders>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kinsoku/>
                    <w:wordWrap/>
                    <w:overflowPunct/>
                    <w:topLinePunct w:val="0"/>
                    <w:autoSpaceDE/>
                    <w:autoSpaceDN/>
                    <w:bidi w:val="0"/>
                    <w:adjustRightInd/>
                    <w:snapToGrid/>
                    <w:jc w:val="center"/>
                    <w:rPr>
                      <w:rFonts w:hint="default" w:ascii="Times New Roman" w:hAnsi="Times New Roman" w:eastAsia="宋体" w:cs="Times New Roman"/>
                      <w:i w:val="0"/>
                      <w:color w:val="auto"/>
                      <w:sz w:val="21"/>
                      <w:szCs w:val="21"/>
                      <w:u w:val="none"/>
                    </w:rPr>
                  </w:pPr>
                </w:p>
              </w:tc>
              <w:tc>
                <w:tcPr>
                  <w:tcW w:w="944" w:type="pct"/>
                  <w:tcBorders>
                    <w:top w:val="single" w:color="000000" w:sz="4" w:space="0"/>
                    <w:left w:val="nil"/>
                    <w:bottom w:val="single" w:color="000000" w:sz="4" w:space="0"/>
                    <w:right w:val="single" w:color="000000" w:sz="4" w:space="0"/>
                  </w:tcBorders>
                  <w:noWrap/>
                  <w:tcMar>
                    <w:top w:w="15" w:type="dxa"/>
                    <w:left w:w="15" w:type="dxa"/>
                    <w:right w:w="15" w:type="dxa"/>
                  </w:tcMar>
                  <w:vAlign w:val="center"/>
                </w:tcPr>
                <w:p>
                  <w:pPr>
                    <w:adjustRightInd w:val="0"/>
                    <w:snapToGrid w:val="0"/>
                    <w:jc w:val="center"/>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eastAsia="宋体" w:cs="Times New Roman"/>
                      <w:b w:val="0"/>
                      <w:bCs w:val="0"/>
                      <w:color w:val="000000"/>
                      <w:sz w:val="21"/>
                      <w:szCs w:val="21"/>
                      <w:vertAlign w:val="baseline"/>
                      <w:lang w:val="en-US" w:eastAsia="zh-CN"/>
                    </w:rPr>
                    <w:t>水利坡降</w:t>
                  </w:r>
                </w:p>
              </w:tc>
              <w:tc>
                <w:tcPr>
                  <w:tcW w:w="753"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5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w:t>
                  </w:r>
                </w:p>
              </w:tc>
              <w:tc>
                <w:tcPr>
                  <w:tcW w:w="766"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w:t>
                  </w:r>
                </w:p>
              </w:tc>
              <w:tc>
                <w:tcPr>
                  <w:tcW w:w="758"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c>
                <w:tcPr>
                  <w:tcW w:w="759" w:type="pc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rPr>
                      <w:rFonts w:hint="default" w:ascii="Times New Roman" w:hAnsi="Times New Roman" w:eastAsia="宋体" w:cs="Times New Roman"/>
                      <w:i w:val="0"/>
                      <w:color w:val="auto"/>
                      <w:spacing w:val="-2"/>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w:t>
                  </w:r>
                </w:p>
              </w:tc>
            </w:tr>
          </w:tbl>
          <w:p>
            <w:pPr>
              <w:pStyle w:val="4"/>
              <w:keepNext/>
              <w:keepLines/>
              <w:pageBreakBefore w:val="0"/>
              <w:widowControl w:val="0"/>
              <w:numPr>
                <w:ilvl w:val="1"/>
                <w:numId w:val="0"/>
              </w:numPr>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pPr>
            <w:bookmarkStart w:id="56" w:name="_Toc27123"/>
            <w:bookmarkStart w:id="57" w:name="_Toc1476"/>
            <w:bookmarkStart w:id="58" w:name="_Toc24558"/>
            <w:r>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t>根据上表可知：</w:t>
            </w:r>
            <w:bookmarkEnd w:id="56"/>
            <w:r>
              <w:rPr>
                <w:rFonts w:hint="eastAsia" w:eastAsia="宋体" w:cs="Times New Roman"/>
                <w:b w:val="0"/>
                <w:bCs w:val="0"/>
                <w:color w:val="auto"/>
                <w:spacing w:val="0"/>
                <w:w w:val="100"/>
                <w:kern w:val="0"/>
                <w:position w:val="0"/>
                <w:sz w:val="24"/>
                <w:szCs w:val="24"/>
                <w:highlight w:val="none"/>
                <w:lang w:val="en-US" w:eastAsia="zh-CN" w:bidi="ar-SA"/>
              </w:rPr>
              <w:t>各监测断面主要超标监测因子为COD、BOD</w:t>
            </w:r>
            <w:r>
              <w:rPr>
                <w:rFonts w:hint="eastAsia" w:eastAsia="宋体" w:cs="Times New Roman"/>
                <w:b w:val="0"/>
                <w:bCs w:val="0"/>
                <w:color w:val="auto"/>
                <w:spacing w:val="0"/>
                <w:w w:val="100"/>
                <w:kern w:val="0"/>
                <w:position w:val="0"/>
                <w:sz w:val="24"/>
                <w:szCs w:val="24"/>
                <w:highlight w:val="none"/>
                <w:vertAlign w:val="subscript"/>
                <w:lang w:val="en-US" w:eastAsia="zh-CN" w:bidi="ar-SA"/>
              </w:rPr>
              <w:t>5</w:t>
            </w:r>
            <w:r>
              <w:rPr>
                <w:rFonts w:hint="eastAsia" w:eastAsia="宋体" w:cs="Times New Roman"/>
                <w:b w:val="0"/>
                <w:bCs w:val="0"/>
                <w:color w:val="auto"/>
                <w:spacing w:val="0"/>
                <w:w w:val="100"/>
                <w:kern w:val="0"/>
                <w:position w:val="0"/>
                <w:sz w:val="24"/>
                <w:szCs w:val="24"/>
                <w:highlight w:val="none"/>
                <w:vertAlign w:val="baseline"/>
                <w:lang w:val="en-US" w:eastAsia="zh-CN" w:bidi="ar-SA"/>
              </w:rPr>
              <w:t>和总氮，颐养院湿塘监测断面除上述监测因子超标外，总磷也超标；其他监测断面监测因子均可满足</w:t>
            </w:r>
            <w:r>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t>《地表水环境质量标准》（GB3838-2002）Ⅲ类水质标准。</w:t>
            </w:r>
            <w:bookmarkEnd w:id="57"/>
            <w:bookmarkEnd w:id="58"/>
            <w:r>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t>超标原因主要为区域污水管网未完全铺设、部分居民生活污水直接</w:t>
            </w:r>
            <w:r>
              <w:rPr>
                <w:rFonts w:hint="eastAsia" w:eastAsia="宋体" w:cs="Times New Roman"/>
                <w:b w:val="0"/>
                <w:bCs w:val="0"/>
                <w:color w:val="auto"/>
                <w:spacing w:val="0"/>
                <w:w w:val="100"/>
                <w:kern w:val="0"/>
                <w:position w:val="0"/>
                <w:sz w:val="24"/>
                <w:szCs w:val="24"/>
                <w:highlight w:val="none"/>
                <w:lang w:val="en-US" w:eastAsia="zh-CN" w:bidi="ar-SA"/>
              </w:rPr>
              <w:t>排放</w:t>
            </w:r>
            <w:r>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t>。</w:t>
            </w:r>
          </w:p>
          <w:p>
            <w:pPr>
              <w:pStyle w:val="4"/>
              <w:numPr>
                <w:ilvl w:val="1"/>
                <w:numId w:val="0"/>
              </w:numPr>
              <w:rPr>
                <w:rFonts w:eastAsia="宋体"/>
                <w:b/>
                <w:bCs w:val="0"/>
                <w:color w:val="auto"/>
              </w:rPr>
            </w:pPr>
            <w:r>
              <w:rPr>
                <w:rFonts w:hint="eastAsia" w:eastAsia="宋体"/>
                <w:b/>
                <w:bCs w:val="0"/>
                <w:color w:val="auto"/>
                <w:lang w:val="en-US" w:eastAsia="zh-CN"/>
              </w:rPr>
              <w:t>3.3</w:t>
            </w:r>
            <w:r>
              <w:rPr>
                <w:rFonts w:eastAsia="宋体"/>
                <w:b/>
                <w:bCs w:val="0"/>
                <w:color w:val="auto"/>
              </w:rPr>
              <w:t>声环境质量现状监测与评价</w:t>
            </w:r>
            <w:bookmarkEnd w:id="51"/>
            <w:bookmarkEnd w:id="52"/>
            <w:bookmarkEnd w:id="53"/>
            <w:bookmarkEnd w:id="54"/>
            <w:bookmarkEnd w:id="55"/>
          </w:p>
          <w:p>
            <w:pPr>
              <w:pStyle w:val="8"/>
              <w:keepNext w:val="0"/>
              <w:keepLines w:val="0"/>
              <w:pageBreakBefore w:val="0"/>
              <w:widowControl w:val="0"/>
              <w:kinsoku/>
              <w:wordWrap/>
              <w:overflowPunct w:val="0"/>
              <w:topLinePunct w:val="0"/>
              <w:autoSpaceDE w:val="0"/>
              <w:autoSpaceDN w:val="0"/>
              <w:bidi w:val="0"/>
              <w:adjustRightInd w:val="0"/>
              <w:snapToGrid/>
              <w:spacing w:line="360" w:lineRule="auto"/>
              <w:ind w:left="0" w:leftChars="0" w:right="0" w:rightChars="0" w:firstLine="480" w:firstLineChars="0"/>
              <w:jc w:val="both"/>
              <w:textAlignment w:val="auto"/>
              <w:outlineLvl w:val="9"/>
              <w:rPr>
                <w:rFonts w:hint="eastAsia" w:ascii="Times New Roman" w:hAnsi="Times New Roman" w:eastAsia="宋体" w:cs="Times New Roman"/>
                <w:b w:val="0"/>
                <w:bCs/>
                <w:color w:val="auto"/>
                <w:kern w:val="0"/>
                <w:sz w:val="24"/>
                <w:szCs w:val="32"/>
                <w:lang w:val="en-US" w:eastAsia="zh-CN" w:bidi="ar-SA"/>
              </w:rPr>
            </w:pPr>
            <w:r>
              <w:rPr>
                <w:rFonts w:hint="eastAsia" w:ascii="Times New Roman" w:hAnsi="Times New Roman"/>
                <w:color w:val="auto"/>
                <w:sz w:val="24"/>
                <w:szCs w:val="24"/>
                <w:lang w:val="en-US" w:eastAsia="zh-CN"/>
              </w:rPr>
              <w:t>项目位</w:t>
            </w:r>
            <w:r>
              <w:rPr>
                <w:rFonts w:hint="eastAsia" w:ascii="Times New Roman" w:hAnsi="Times New Roman"/>
                <w:color w:val="auto"/>
                <w:sz w:val="24"/>
                <w:szCs w:val="24"/>
                <w:highlight w:val="none"/>
                <w:lang w:val="en-US" w:eastAsia="zh-CN"/>
              </w:rPr>
              <w:t>于</w:t>
            </w:r>
            <w:r>
              <w:rPr>
                <w:rFonts w:ascii="Times New Roman" w:hAnsi="Times New Roman" w:cs="Times New Roman"/>
                <w:color w:val="000000"/>
                <w:sz w:val="24"/>
                <w:szCs w:val="24"/>
                <w:highlight w:val="none"/>
              </w:rPr>
              <w:t>湖南省</w:t>
            </w:r>
            <w:r>
              <w:rPr>
                <w:rFonts w:hint="eastAsia"/>
                <w:color w:val="auto"/>
                <w:sz w:val="24"/>
                <w:szCs w:val="24"/>
                <w:highlight w:val="none"/>
                <w:lang w:val="en-US" w:eastAsia="zh-CN"/>
              </w:rPr>
              <w:t>岳阳市经开区</w:t>
            </w:r>
            <w:r>
              <w:rPr>
                <w:rFonts w:hint="eastAsia"/>
                <w:color w:val="auto"/>
                <w:sz w:val="24"/>
                <w:szCs w:val="24"/>
                <w:lang w:val="en-US" w:eastAsia="zh-CN"/>
              </w:rPr>
              <w:t>、楼区</w:t>
            </w:r>
            <w:r>
              <w:rPr>
                <w:rFonts w:hint="eastAsia" w:ascii="Times New Roman" w:hAnsi="Times New Roman"/>
                <w:color w:val="auto"/>
                <w:sz w:val="24"/>
                <w:szCs w:val="24"/>
                <w:highlight w:val="none"/>
                <w:lang w:eastAsia="zh-CN"/>
              </w:rPr>
              <w:t>。</w:t>
            </w:r>
            <w:r>
              <w:rPr>
                <w:rFonts w:hint="eastAsia"/>
                <w:color w:val="auto"/>
                <w:sz w:val="24"/>
                <w:szCs w:val="24"/>
                <w:highlight w:val="none"/>
                <w:lang w:val="en-US" w:eastAsia="zh-CN"/>
              </w:rPr>
              <w:t>目前周边</w:t>
            </w:r>
            <w:r>
              <w:rPr>
                <w:rFonts w:hint="eastAsia"/>
                <w:color w:val="auto"/>
                <w:sz w:val="24"/>
                <w:szCs w:val="24"/>
                <w:lang w:val="en-US" w:eastAsia="zh-CN"/>
              </w:rPr>
              <w:t>多为居民住宅，声环境质量较好，</w:t>
            </w:r>
            <w:r>
              <w:rPr>
                <w:rFonts w:hint="default" w:ascii="Times New Roman" w:hAnsi="Times New Roman" w:cs="Times New Roman"/>
                <w:color w:val="000000" w:themeColor="text1"/>
                <w:sz w:val="24"/>
                <w:szCs w:val="24"/>
                <w14:textFill>
                  <w14:solidFill>
                    <w14:schemeClr w14:val="tx1"/>
                  </w14:solidFill>
                </w14:textFill>
              </w:rPr>
              <w:t>为了解项目周边的声环境质量现状，本次评价</w:t>
            </w:r>
            <w:r>
              <w:rPr>
                <w:rFonts w:hint="eastAsia" w:ascii="Times New Roman" w:hAnsi="Times New Roman" w:cs="Times New Roman"/>
                <w:color w:val="000000" w:themeColor="text1"/>
                <w:sz w:val="24"/>
                <w:szCs w:val="24"/>
                <w:lang w:eastAsia="zh-CN"/>
                <w14:textFill>
                  <w14:solidFill>
                    <w14:schemeClr w14:val="tx1"/>
                  </w14:solidFill>
                </w14:textFill>
              </w:rPr>
              <w:t>委托</w:t>
            </w:r>
            <w:r>
              <w:rPr>
                <w:rFonts w:hint="eastAsia" w:ascii="Times New Roman" w:hAnsi="Times New Roman" w:cs="Times New Roman"/>
                <w:color w:val="auto"/>
                <w:sz w:val="24"/>
                <w:szCs w:val="24"/>
                <w:highlight w:val="none"/>
                <w:lang w:eastAsia="zh-CN"/>
              </w:rPr>
              <w:t>湖南</w:t>
            </w:r>
            <w:r>
              <w:rPr>
                <w:rFonts w:hint="eastAsia" w:cs="Times New Roman"/>
                <w:color w:val="auto"/>
                <w:sz w:val="24"/>
                <w:szCs w:val="24"/>
                <w:highlight w:val="none"/>
                <w:lang w:eastAsia="zh-CN"/>
              </w:rPr>
              <w:t>亿科检测有限公司</w:t>
            </w:r>
            <w:r>
              <w:rPr>
                <w:rFonts w:hint="default" w:ascii="Times New Roman" w:hAnsi="Times New Roman" w:cs="Times New Roman"/>
                <w:color w:val="000000" w:themeColor="text1"/>
                <w:sz w:val="24"/>
                <w:szCs w:val="24"/>
                <w:highlight w:val="none"/>
                <w14:textFill>
                  <w14:solidFill>
                    <w14:schemeClr w14:val="tx1"/>
                  </w14:solidFill>
                </w14:textFill>
              </w:rPr>
              <w:t>于</w:t>
            </w:r>
            <w:r>
              <w:rPr>
                <w:rFonts w:hint="eastAsia" w:cs="Times New Roman"/>
                <w:color w:val="000000" w:themeColor="text1"/>
                <w:sz w:val="24"/>
                <w:szCs w:val="24"/>
                <w:highlight w:val="none"/>
                <w:lang w:val="en-US" w:eastAsia="zh-CN"/>
                <w14:textFill>
                  <w14:solidFill>
                    <w14:schemeClr w14:val="tx1"/>
                  </w14:solidFill>
                </w14:textFill>
              </w:rPr>
              <w:t>2020</w:t>
            </w:r>
            <w:r>
              <w:rPr>
                <w:rFonts w:hint="default" w:ascii="Times New Roman" w:hAnsi="Times New Roman" w:cs="Times New Roman"/>
                <w:color w:val="000000" w:themeColor="text1"/>
                <w:sz w:val="24"/>
                <w:szCs w:val="24"/>
                <w:highlight w:val="none"/>
                <w14:textFill>
                  <w14:solidFill>
                    <w14:schemeClr w14:val="tx1"/>
                  </w14:solidFill>
                </w14:textFill>
              </w:rPr>
              <w:t>年</w:t>
            </w:r>
            <w:r>
              <w:rPr>
                <w:rFonts w:hint="eastAsia" w:cs="Times New Roman"/>
                <w:color w:val="000000" w:themeColor="text1"/>
                <w:sz w:val="24"/>
                <w:szCs w:val="24"/>
                <w:highlight w:val="none"/>
                <w:lang w:val="en-US" w:eastAsia="zh-CN"/>
                <w14:textFill>
                  <w14:solidFill>
                    <w14:schemeClr w14:val="tx1"/>
                  </w14:solidFill>
                </w14:textFill>
              </w:rPr>
              <w:t>8</w:t>
            </w:r>
            <w:r>
              <w:rPr>
                <w:rFonts w:hint="default" w:ascii="Times New Roman" w:hAnsi="Times New Roman" w:cs="Times New Roman"/>
                <w:color w:val="000000" w:themeColor="text1"/>
                <w:sz w:val="24"/>
                <w:szCs w:val="24"/>
                <w:highlight w:val="none"/>
                <w14:textFill>
                  <w14:solidFill>
                    <w14:schemeClr w14:val="tx1"/>
                  </w14:solidFill>
                </w14:textFill>
              </w:rPr>
              <w:t>月</w:t>
            </w:r>
            <w:r>
              <w:rPr>
                <w:rFonts w:hint="eastAsia" w:cs="Times New Roman"/>
                <w:color w:val="000000" w:themeColor="text1"/>
                <w:sz w:val="24"/>
                <w:szCs w:val="24"/>
                <w:highlight w:val="none"/>
                <w:lang w:val="en-US" w:eastAsia="zh-CN"/>
                <w14:textFill>
                  <w14:solidFill>
                    <w14:schemeClr w14:val="tx1"/>
                  </w14:solidFill>
                </w14:textFill>
              </w:rPr>
              <w:t>17</w:t>
            </w:r>
            <w:r>
              <w:rPr>
                <w:rFonts w:hint="default" w:ascii="Times New Roman" w:hAnsi="Times New Roman" w:cs="Times New Roman"/>
                <w:color w:val="000000" w:themeColor="text1"/>
                <w:sz w:val="24"/>
                <w:szCs w:val="24"/>
                <w:highlight w:val="none"/>
                <w14:textFill>
                  <w14:solidFill>
                    <w14:schemeClr w14:val="tx1"/>
                  </w14:solidFill>
                </w14:textFill>
              </w:rPr>
              <w:t>日</w:t>
            </w:r>
            <w:r>
              <w:rPr>
                <w:rFonts w:hint="eastAsia" w:cs="Times New Roman"/>
                <w:color w:val="000000" w:themeColor="text1"/>
                <w:sz w:val="24"/>
                <w:szCs w:val="24"/>
                <w:highlight w:val="none"/>
                <w:lang w:val="en-US" w:eastAsia="zh-CN"/>
                <w14:textFill>
                  <w14:solidFill>
                    <w14:schemeClr w14:val="tx1"/>
                  </w14:solidFill>
                </w14:textFill>
              </w:rPr>
              <w:t>18</w:t>
            </w:r>
            <w:r>
              <w:rPr>
                <w:rFonts w:hint="default" w:ascii="Times New Roman" w:hAnsi="Times New Roman" w:cs="Times New Roman"/>
                <w:color w:val="000000" w:themeColor="text1"/>
                <w:sz w:val="24"/>
                <w:szCs w:val="24"/>
                <w:highlight w:val="none"/>
                <w14:textFill>
                  <w14:solidFill>
                    <w14:schemeClr w14:val="tx1"/>
                  </w14:solidFill>
                </w14:textFill>
              </w:rPr>
              <w:t>日对</w:t>
            </w:r>
            <w:r>
              <w:rPr>
                <w:rFonts w:hint="default" w:ascii="Times New Roman" w:hAnsi="Times New Roman" w:cs="Times New Roman"/>
                <w:color w:val="000000" w:themeColor="text1"/>
                <w:sz w:val="24"/>
                <w:szCs w:val="24"/>
                <w14:textFill>
                  <w14:solidFill>
                    <w14:schemeClr w14:val="tx1"/>
                  </w14:solidFill>
                </w14:textFill>
              </w:rPr>
              <w:t>项目建设场地声环境质量现状进行了监测</w:t>
            </w:r>
            <w:r>
              <w:rPr>
                <w:rFonts w:hint="default" w:ascii="Times New Roman" w:hAnsi="Times New Roman" w:cs="Times New Roman"/>
                <w:color w:val="000000" w:themeColor="text1"/>
                <w:sz w:val="24"/>
                <w:szCs w:val="24"/>
                <w:lang w:eastAsia="zh-CN"/>
                <w14:textFill>
                  <w14:solidFill>
                    <w14:schemeClr w14:val="tx1"/>
                  </w14:solidFill>
                </w14:textFill>
              </w:rPr>
              <w:t>。</w:t>
            </w:r>
            <w:r>
              <w:rPr>
                <w:rFonts w:hint="default" w:ascii="Times New Roman" w:hAnsi="Times New Roman" w:cs="Times New Roman"/>
                <w:color w:val="000000" w:themeColor="text1"/>
                <w:sz w:val="24"/>
                <w:szCs w:val="24"/>
                <w14:textFill>
                  <w14:solidFill>
                    <w14:schemeClr w14:val="tx1"/>
                  </w14:solidFill>
                </w14:textFill>
              </w:rPr>
              <w:t>设置监测点位</w:t>
            </w:r>
            <w:r>
              <w:rPr>
                <w:rFonts w:hint="eastAsia" w:cs="Times New Roman"/>
                <w:color w:val="000000" w:themeColor="text1"/>
                <w:sz w:val="24"/>
                <w:szCs w:val="24"/>
                <w:lang w:val="en-US" w:eastAsia="zh-CN"/>
                <w14:textFill>
                  <w14:solidFill>
                    <w14:schemeClr w14:val="tx1"/>
                  </w14:solidFill>
                </w14:textFill>
              </w:rPr>
              <w:t>7</w:t>
            </w:r>
            <w:r>
              <w:rPr>
                <w:rFonts w:hint="default" w:ascii="Times New Roman" w:hAnsi="Times New Roman" w:cs="Times New Roman"/>
                <w:color w:val="000000" w:themeColor="text1"/>
                <w:sz w:val="24"/>
                <w:szCs w:val="24"/>
                <w14:textFill>
                  <w14:solidFill>
                    <w14:schemeClr w14:val="tx1"/>
                  </w14:solidFill>
                </w14:textFill>
              </w:rPr>
              <w:t>个，</w:t>
            </w:r>
            <w:r>
              <w:rPr>
                <w:rFonts w:hint="eastAsia" w:ascii="Times New Roman" w:hAnsi="Times New Roman" w:cs="Times New Roman"/>
                <w:color w:val="000000" w:themeColor="text1"/>
                <w:sz w:val="24"/>
                <w:szCs w:val="24"/>
                <w:lang w:val="en-US" w:eastAsia="zh-CN"/>
                <w14:textFill>
                  <w14:solidFill>
                    <w14:schemeClr w14:val="tx1"/>
                  </w14:solidFill>
                </w14:textFill>
              </w:rPr>
              <w:t>详见表3.3-1</w:t>
            </w:r>
            <w:r>
              <w:rPr>
                <w:rFonts w:hint="default" w:ascii="Times New Roman" w:hAnsi="Times New Roman" w:cs="Times New Roman"/>
                <w:color w:val="000000" w:themeColor="text1"/>
                <w:sz w:val="24"/>
                <w:szCs w:val="24"/>
                <w14:textFill>
                  <w14:solidFill>
                    <w14:schemeClr w14:val="tx1"/>
                  </w14:solidFill>
                </w14:textFill>
              </w:rPr>
              <w:t>。监测项目为各测点处的等效连续</w:t>
            </w:r>
            <w:r>
              <w:rPr>
                <w:rFonts w:hint="eastAsia" w:ascii="Times New Roman" w:hAnsi="Times New Roman" w:cs="Times New Roman"/>
                <w:color w:val="000000" w:themeColor="text1"/>
                <w:sz w:val="24"/>
                <w:szCs w:val="24"/>
                <w:lang w:val="en-US" w:eastAsia="zh-CN"/>
                <w14:textFill>
                  <w14:solidFill>
                    <w14:schemeClr w14:val="tx1"/>
                  </w14:solidFill>
                </w14:textFill>
              </w:rPr>
              <w:t>A</w:t>
            </w:r>
            <w:r>
              <w:rPr>
                <w:rFonts w:hint="default" w:ascii="Times New Roman" w:hAnsi="Times New Roman" w:cs="Times New Roman"/>
                <w:color w:val="000000" w:themeColor="text1"/>
                <w:sz w:val="24"/>
                <w:szCs w:val="24"/>
                <w14:textFill>
                  <w14:solidFill>
                    <w14:schemeClr w14:val="tx1"/>
                  </w14:solidFill>
                </w14:textFill>
              </w:rPr>
              <w:t>声级，监测方法按有关标准和技术规范执行。统计结果分析见表3</w:t>
            </w:r>
            <w:r>
              <w:rPr>
                <w:rFonts w:hint="eastAsia" w:cs="Times New Roman"/>
                <w:color w:val="000000" w:themeColor="text1"/>
                <w:sz w:val="24"/>
                <w:szCs w:val="24"/>
                <w:lang w:val="en-US" w:eastAsia="zh-CN"/>
                <w14:textFill>
                  <w14:solidFill>
                    <w14:schemeClr w14:val="tx1"/>
                  </w14:solidFill>
                </w14:textFill>
              </w:rPr>
              <w:t>.3</w:t>
            </w:r>
            <w:r>
              <w:rPr>
                <w:rFonts w:hint="eastAsia" w:ascii="Times New Roman" w:hAnsi="Times New Roman" w:cs="Times New Roman"/>
                <w:color w:val="000000" w:themeColor="text1"/>
                <w:sz w:val="24"/>
                <w:szCs w:val="24"/>
                <w:lang w:val="en-US" w:eastAsia="zh-CN"/>
                <w14:textFill>
                  <w14:solidFill>
                    <w14:schemeClr w14:val="tx1"/>
                  </w14:solidFill>
                </w14:textFill>
              </w:rPr>
              <w:t>-</w:t>
            </w:r>
            <w:r>
              <w:rPr>
                <w:rFonts w:hint="eastAsia" w:cs="Times New Roman"/>
                <w:color w:val="000000" w:themeColor="text1"/>
                <w:sz w:val="24"/>
                <w:szCs w:val="24"/>
                <w:lang w:val="en-US" w:eastAsia="zh-CN"/>
                <w14:textFill>
                  <w14:solidFill>
                    <w14:schemeClr w14:val="tx1"/>
                  </w14:solidFill>
                </w14:textFill>
              </w:rPr>
              <w:t>2</w:t>
            </w:r>
            <w:r>
              <w:rPr>
                <w:rFonts w:hint="default" w:ascii="Times New Roman" w:hAnsi="Times New Roman" w:cs="Times New Roman"/>
                <w:color w:val="000000" w:themeColor="text1"/>
                <w:sz w:val="24"/>
                <w:szCs w:val="24"/>
                <w14:textFill>
                  <w14:solidFill>
                    <w14:schemeClr w14:val="tx1"/>
                  </w14:solidFill>
                </w14:textFill>
              </w:rPr>
              <w:t>。</w:t>
            </w:r>
          </w:p>
          <w:p>
            <w:pPr>
              <w:pStyle w:val="95"/>
              <w:keepNext w:val="0"/>
              <w:keepLines w:val="0"/>
              <w:pageBreakBefore w:val="0"/>
              <w:widowControl w:val="0"/>
              <w:kinsoku/>
              <w:wordWrap/>
              <w:overflowPunct/>
              <w:topLinePunct w:val="0"/>
              <w:autoSpaceDE/>
              <w:autoSpaceDN/>
              <w:bidi w:val="0"/>
              <w:adjustRightInd/>
              <w:snapToGrid/>
              <w:spacing w:line="360" w:lineRule="auto"/>
              <w:ind w:firstLine="480"/>
              <w:jc w:val="center"/>
              <w:textAlignment w:val="auto"/>
              <w:rPr>
                <w:rFonts w:ascii="Times New Roman" w:hAnsi="Times New Roman" w:eastAsia="宋体" w:cs="Times New Roman"/>
                <w:b/>
                <w:bCs/>
                <w:color w:val="auto"/>
                <w:kern w:val="2"/>
                <w:sz w:val="24"/>
                <w:szCs w:val="24"/>
                <w:lang w:val="en-US" w:eastAsia="zh-CN" w:bidi="ar-SA"/>
              </w:rPr>
            </w:pPr>
            <w:r>
              <w:rPr>
                <w:rFonts w:ascii="Times New Roman" w:hAnsi="Times New Roman" w:eastAsia="宋体" w:cs="Times New Roman"/>
                <w:b/>
                <w:bCs/>
                <w:color w:val="auto"/>
                <w:kern w:val="2"/>
                <w:sz w:val="24"/>
                <w:szCs w:val="24"/>
                <w:lang w:val="en-US" w:eastAsia="zh-CN" w:bidi="ar-SA"/>
              </w:rPr>
              <w:t>表</w:t>
            </w:r>
            <w:r>
              <w:rPr>
                <w:rFonts w:hint="eastAsia" w:ascii="Times New Roman" w:hAnsi="Times New Roman" w:eastAsia="宋体" w:cs="Times New Roman"/>
                <w:b/>
                <w:bCs/>
                <w:color w:val="auto"/>
                <w:kern w:val="2"/>
                <w:sz w:val="24"/>
                <w:szCs w:val="24"/>
                <w:lang w:val="en-US" w:eastAsia="zh-CN" w:bidi="ar-SA"/>
              </w:rPr>
              <w:t>3.1-</w:t>
            </w:r>
            <w:r>
              <w:rPr>
                <w:rFonts w:ascii="Times New Roman" w:hAnsi="Times New Roman" w:eastAsia="宋体" w:cs="Times New Roman"/>
                <w:b/>
                <w:bCs/>
                <w:color w:val="auto"/>
                <w:kern w:val="2"/>
                <w:sz w:val="24"/>
                <w:szCs w:val="24"/>
                <w:lang w:val="en-US" w:eastAsia="zh-CN" w:bidi="ar-SA"/>
              </w:rPr>
              <w:t>1   声环境监测布点一览表</w:t>
            </w:r>
          </w:p>
          <w:tbl>
            <w:tblPr>
              <w:tblStyle w:val="26"/>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5"/>
              <w:gridCol w:w="970"/>
              <w:gridCol w:w="3861"/>
              <w:gridCol w:w="38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956" w:type="pct"/>
                  <w:gridSpan w:val="2"/>
                  <w:tcMar>
                    <w:left w:w="0" w:type="dxa"/>
                    <w:right w:w="0" w:type="dxa"/>
                  </w:tcMar>
                  <w:vAlign w:val="center"/>
                </w:tcPr>
                <w:p>
                  <w:pPr>
                    <w:pStyle w:val="44"/>
                    <w:snapToGrid w:val="0"/>
                    <w:spacing w:line="240" w:lineRule="auto"/>
                    <w:rPr>
                      <w:color w:val="000000"/>
                      <w:sz w:val="21"/>
                      <w:szCs w:val="21"/>
                    </w:rPr>
                  </w:pPr>
                  <w:r>
                    <w:rPr>
                      <w:color w:val="000000"/>
                      <w:sz w:val="21"/>
                      <w:szCs w:val="21"/>
                    </w:rPr>
                    <w:t>监测点号</w:t>
                  </w:r>
                </w:p>
              </w:tc>
              <w:tc>
                <w:tcPr>
                  <w:tcW w:w="2021" w:type="pct"/>
                  <w:vAlign w:val="center"/>
                </w:tcPr>
                <w:p>
                  <w:pPr>
                    <w:pStyle w:val="44"/>
                    <w:snapToGrid w:val="0"/>
                    <w:spacing w:line="240" w:lineRule="auto"/>
                    <w:rPr>
                      <w:color w:val="000000"/>
                      <w:sz w:val="21"/>
                      <w:szCs w:val="21"/>
                    </w:rPr>
                  </w:pPr>
                  <w:r>
                    <w:rPr>
                      <w:color w:val="000000"/>
                      <w:sz w:val="21"/>
                      <w:szCs w:val="21"/>
                    </w:rPr>
                    <w:t>监测点名称</w:t>
                  </w:r>
                </w:p>
              </w:tc>
              <w:tc>
                <w:tcPr>
                  <w:tcW w:w="2021" w:type="pct"/>
                  <w:vAlign w:val="center"/>
                </w:tcPr>
                <w:p>
                  <w:pPr>
                    <w:pStyle w:val="44"/>
                    <w:snapToGrid w:val="0"/>
                    <w:spacing w:line="240" w:lineRule="auto"/>
                    <w:rPr>
                      <w:rFonts w:hint="default" w:eastAsia="宋体"/>
                      <w:color w:val="000000"/>
                      <w:sz w:val="21"/>
                      <w:szCs w:val="21"/>
                      <w:lang w:val="en-US" w:eastAsia="zh-CN"/>
                    </w:rPr>
                  </w:pPr>
                  <w:r>
                    <w:rPr>
                      <w:rFonts w:hint="eastAsia"/>
                      <w:color w:val="000000"/>
                      <w:sz w:val="21"/>
                      <w:szCs w:val="21"/>
                      <w:lang w:val="en-US"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restart"/>
                  <w:tcMar>
                    <w:left w:w="0" w:type="dxa"/>
                    <w:right w:w="0" w:type="dxa"/>
                  </w:tcMar>
                  <w:vAlign w:val="center"/>
                </w:tcPr>
                <w:p>
                  <w:pPr>
                    <w:jc w:val="center"/>
                    <w:rPr>
                      <w:rFonts w:hint="eastAsia" w:eastAsia="宋体"/>
                      <w:b/>
                      <w:color w:val="000000"/>
                      <w:sz w:val="21"/>
                      <w:szCs w:val="21"/>
                      <w:lang w:eastAsia="zh-CN"/>
                    </w:rPr>
                  </w:pPr>
                  <w:r>
                    <w:rPr>
                      <w:rFonts w:hint="eastAsia"/>
                      <w:b w:val="0"/>
                      <w:bCs/>
                      <w:color w:val="000000"/>
                      <w:sz w:val="21"/>
                      <w:szCs w:val="21"/>
                      <w:lang w:eastAsia="zh-CN"/>
                    </w:rPr>
                    <w:t>噪声监测点</w:t>
                  </w:r>
                </w:p>
              </w:tc>
              <w:tc>
                <w:tcPr>
                  <w:tcW w:w="507" w:type="pct"/>
                  <w:vAlign w:val="center"/>
                </w:tcPr>
                <w:p>
                  <w:pPr>
                    <w:pStyle w:val="44"/>
                    <w:snapToGrid w:val="0"/>
                    <w:spacing w:line="240" w:lineRule="auto"/>
                    <w:rPr>
                      <w:color w:val="000000"/>
                      <w:sz w:val="21"/>
                      <w:szCs w:val="21"/>
                    </w:rPr>
                  </w:pPr>
                  <w:r>
                    <w:rPr>
                      <w:color w:val="000000"/>
                      <w:sz w:val="21"/>
                      <w:szCs w:val="21"/>
                    </w:rPr>
                    <w:t>N1</w:t>
                  </w:r>
                </w:p>
              </w:tc>
              <w:tc>
                <w:tcPr>
                  <w:tcW w:w="2021" w:type="pct"/>
                  <w:vAlign w:val="center"/>
                </w:tcPr>
                <w:p>
                  <w:pPr>
                    <w:pStyle w:val="44"/>
                    <w:snapToGrid w:val="0"/>
                    <w:spacing w:line="240" w:lineRule="auto"/>
                    <w:jc w:val="center"/>
                    <w:rPr>
                      <w:rFonts w:hint="default" w:eastAsia="宋体"/>
                      <w:color w:val="000000"/>
                      <w:sz w:val="21"/>
                      <w:szCs w:val="21"/>
                      <w:lang w:val="en-US" w:eastAsia="zh-CN"/>
                    </w:rPr>
                  </w:pPr>
                  <w:r>
                    <w:rPr>
                      <w:rFonts w:hint="eastAsia"/>
                      <w:lang w:val="en-US" w:eastAsia="zh-CN"/>
                    </w:rPr>
                    <w:t>廖家巷湿塘附近居民点</w:t>
                  </w:r>
                </w:p>
              </w:tc>
              <w:tc>
                <w:tcPr>
                  <w:tcW w:w="2021" w:type="pct"/>
                  <w:vMerge w:val="restart"/>
                  <w:vAlign w:val="center"/>
                </w:tcPr>
                <w:p>
                  <w:pPr>
                    <w:pStyle w:val="44"/>
                    <w:snapToGrid w:val="0"/>
                    <w:spacing w:line="240" w:lineRule="auto"/>
                    <w:jc w:val="center"/>
                    <w:rPr>
                      <w:rFonts w:hint="eastAsia"/>
                      <w:color w:val="000000"/>
                      <w:sz w:val="21"/>
                      <w:szCs w:val="21"/>
                      <w:lang w:val="en-US" w:eastAsia="zh-CN"/>
                    </w:rPr>
                  </w:pPr>
                  <w:r>
                    <w:rPr>
                      <w:rFonts w:ascii="Times New Roman" w:hAnsi="Times New Roman" w:cs="Times New Roman"/>
                      <w:sz w:val="21"/>
                      <w:szCs w:val="21"/>
                    </w:rPr>
                    <w:t>《声环境质量标准》（GB3096-2008）中的2类标准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continue"/>
                  <w:tcMar>
                    <w:left w:w="0" w:type="dxa"/>
                    <w:right w:w="0" w:type="dxa"/>
                  </w:tcMar>
                  <w:vAlign w:val="center"/>
                </w:tcPr>
                <w:p>
                  <w:pPr>
                    <w:jc w:val="center"/>
                    <w:rPr>
                      <w:sz w:val="21"/>
                      <w:szCs w:val="21"/>
                    </w:rPr>
                  </w:pPr>
                </w:p>
              </w:tc>
              <w:tc>
                <w:tcPr>
                  <w:tcW w:w="507" w:type="pct"/>
                  <w:vAlign w:val="center"/>
                </w:tcPr>
                <w:p>
                  <w:pPr>
                    <w:pStyle w:val="44"/>
                    <w:snapToGrid w:val="0"/>
                    <w:spacing w:line="240" w:lineRule="auto"/>
                    <w:rPr>
                      <w:color w:val="000000"/>
                      <w:sz w:val="21"/>
                      <w:szCs w:val="21"/>
                    </w:rPr>
                  </w:pPr>
                  <w:r>
                    <w:rPr>
                      <w:color w:val="000000"/>
                      <w:sz w:val="21"/>
                      <w:szCs w:val="21"/>
                    </w:rPr>
                    <w:t>N2</w:t>
                  </w:r>
                </w:p>
              </w:tc>
              <w:tc>
                <w:tcPr>
                  <w:tcW w:w="2021" w:type="pct"/>
                </w:tcPr>
                <w:p>
                  <w:pPr>
                    <w:jc w:val="center"/>
                    <w:rPr>
                      <w:rFonts w:hint="eastAsia" w:eastAsia="宋体"/>
                      <w:sz w:val="21"/>
                      <w:szCs w:val="21"/>
                      <w:lang w:val="en-US" w:eastAsia="zh-CN"/>
                    </w:rPr>
                  </w:pPr>
                  <w:r>
                    <w:rPr>
                      <w:rFonts w:hint="eastAsia"/>
                      <w:lang w:val="en-US" w:eastAsia="zh-CN"/>
                    </w:rPr>
                    <w:t>颐养院湿塘附近居民点</w:t>
                  </w:r>
                </w:p>
              </w:tc>
              <w:tc>
                <w:tcPr>
                  <w:tcW w:w="2021" w:type="pct"/>
                  <w:vMerge w:val="continue"/>
                </w:tcPr>
                <w:p>
                  <w:pPr>
                    <w:jc w:val="center"/>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continue"/>
                  <w:tcMar>
                    <w:left w:w="0" w:type="dxa"/>
                    <w:right w:w="0" w:type="dxa"/>
                  </w:tcMar>
                  <w:vAlign w:val="center"/>
                </w:tcPr>
                <w:p>
                  <w:pPr>
                    <w:jc w:val="center"/>
                    <w:rPr>
                      <w:sz w:val="21"/>
                      <w:szCs w:val="21"/>
                    </w:rPr>
                  </w:pPr>
                </w:p>
              </w:tc>
              <w:tc>
                <w:tcPr>
                  <w:tcW w:w="507" w:type="pct"/>
                  <w:vAlign w:val="center"/>
                </w:tcPr>
                <w:p>
                  <w:pPr>
                    <w:pStyle w:val="44"/>
                    <w:snapToGrid w:val="0"/>
                    <w:spacing w:line="240" w:lineRule="auto"/>
                    <w:rPr>
                      <w:color w:val="000000"/>
                      <w:sz w:val="21"/>
                      <w:szCs w:val="21"/>
                    </w:rPr>
                  </w:pPr>
                  <w:r>
                    <w:rPr>
                      <w:color w:val="000000"/>
                      <w:sz w:val="21"/>
                      <w:szCs w:val="21"/>
                    </w:rPr>
                    <w:t>N3</w:t>
                  </w:r>
                </w:p>
              </w:tc>
              <w:tc>
                <w:tcPr>
                  <w:tcW w:w="2021" w:type="pct"/>
                </w:tcPr>
                <w:p>
                  <w:pPr>
                    <w:jc w:val="center"/>
                    <w:rPr>
                      <w:rFonts w:hint="default" w:eastAsia="宋体"/>
                      <w:sz w:val="21"/>
                      <w:szCs w:val="21"/>
                      <w:lang w:val="en-US" w:eastAsia="zh-CN"/>
                    </w:rPr>
                  </w:pPr>
                  <w:r>
                    <w:rPr>
                      <w:rFonts w:hint="eastAsia"/>
                      <w:lang w:val="en-US" w:eastAsia="zh-CN"/>
                    </w:rPr>
                    <w:t>奥敏游泳馆湿塘附近居民点</w:t>
                  </w:r>
                </w:p>
              </w:tc>
              <w:tc>
                <w:tcPr>
                  <w:tcW w:w="2021" w:type="pct"/>
                  <w:vMerge w:val="continue"/>
                </w:tcPr>
                <w:p>
                  <w:pPr>
                    <w:jc w:val="center"/>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continue"/>
                  <w:tcMar>
                    <w:left w:w="0" w:type="dxa"/>
                    <w:right w:w="0" w:type="dxa"/>
                  </w:tcMar>
                  <w:vAlign w:val="center"/>
                </w:tcPr>
                <w:p>
                  <w:pPr>
                    <w:jc w:val="center"/>
                    <w:rPr>
                      <w:b/>
                      <w:color w:val="000000"/>
                      <w:sz w:val="21"/>
                      <w:szCs w:val="21"/>
                    </w:rPr>
                  </w:pPr>
                </w:p>
              </w:tc>
              <w:tc>
                <w:tcPr>
                  <w:tcW w:w="507" w:type="pct"/>
                  <w:vAlign w:val="center"/>
                </w:tcPr>
                <w:p>
                  <w:pPr>
                    <w:jc w:val="center"/>
                    <w:rPr>
                      <w:sz w:val="21"/>
                      <w:szCs w:val="21"/>
                    </w:rPr>
                  </w:pPr>
                  <w:r>
                    <w:rPr>
                      <w:sz w:val="21"/>
                      <w:szCs w:val="21"/>
                    </w:rPr>
                    <w:t>N4</w:t>
                  </w:r>
                </w:p>
              </w:tc>
              <w:tc>
                <w:tcPr>
                  <w:tcW w:w="2021" w:type="pct"/>
                </w:tcPr>
                <w:p>
                  <w:pPr>
                    <w:jc w:val="center"/>
                    <w:rPr>
                      <w:sz w:val="21"/>
                      <w:szCs w:val="21"/>
                    </w:rPr>
                  </w:pPr>
                  <w:r>
                    <w:rPr>
                      <w:rFonts w:hint="eastAsia"/>
                      <w:sz w:val="21"/>
                      <w:szCs w:val="21"/>
                      <w:lang w:val="en-US" w:eastAsia="zh-CN"/>
                    </w:rPr>
                    <w:t>牛栏坡调蓄池附近居民点</w:t>
                  </w:r>
                </w:p>
              </w:tc>
              <w:tc>
                <w:tcPr>
                  <w:tcW w:w="2021" w:type="pct"/>
                  <w:vMerge w:val="continue"/>
                </w:tcPr>
                <w:p>
                  <w:pPr>
                    <w:jc w:val="center"/>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continue"/>
                  <w:tcMar>
                    <w:left w:w="0" w:type="dxa"/>
                    <w:right w:w="0" w:type="dxa"/>
                  </w:tcMar>
                  <w:vAlign w:val="center"/>
                </w:tcPr>
                <w:p>
                  <w:pPr>
                    <w:jc w:val="center"/>
                    <w:rPr>
                      <w:b/>
                      <w:color w:val="000000"/>
                      <w:sz w:val="21"/>
                      <w:szCs w:val="21"/>
                    </w:rPr>
                  </w:pPr>
                </w:p>
              </w:tc>
              <w:tc>
                <w:tcPr>
                  <w:tcW w:w="507" w:type="pct"/>
                  <w:vAlign w:val="center"/>
                </w:tcPr>
                <w:p>
                  <w:pPr>
                    <w:jc w:val="center"/>
                    <w:rPr>
                      <w:rFonts w:hint="default" w:eastAsia="宋体"/>
                      <w:sz w:val="21"/>
                      <w:szCs w:val="21"/>
                      <w:lang w:val="en-US" w:eastAsia="zh-CN"/>
                    </w:rPr>
                  </w:pPr>
                  <w:r>
                    <w:rPr>
                      <w:rFonts w:hint="eastAsia"/>
                      <w:sz w:val="21"/>
                      <w:szCs w:val="21"/>
                      <w:lang w:val="en-US" w:eastAsia="zh-CN"/>
                    </w:rPr>
                    <w:t>N5</w:t>
                  </w:r>
                </w:p>
              </w:tc>
              <w:tc>
                <w:tcPr>
                  <w:tcW w:w="2021" w:type="pct"/>
                </w:tcPr>
                <w:p>
                  <w:pPr>
                    <w:jc w:val="center"/>
                    <w:rPr>
                      <w:rFonts w:hint="default" w:eastAsia="宋体"/>
                      <w:sz w:val="21"/>
                      <w:szCs w:val="21"/>
                      <w:lang w:val="en-US" w:eastAsia="zh-CN"/>
                    </w:rPr>
                  </w:pPr>
                  <w:r>
                    <w:rPr>
                      <w:rFonts w:hint="eastAsia"/>
                      <w:sz w:val="21"/>
                      <w:szCs w:val="21"/>
                      <w:lang w:val="en-US" w:eastAsia="zh-CN"/>
                    </w:rPr>
                    <w:t>枣子山路泵站附近居民</w:t>
                  </w:r>
                  <w:r>
                    <w:rPr>
                      <w:rFonts w:hint="eastAsia"/>
                      <w:lang w:val="en-US" w:eastAsia="zh-CN"/>
                    </w:rPr>
                    <w:t>点</w:t>
                  </w:r>
                </w:p>
              </w:tc>
              <w:tc>
                <w:tcPr>
                  <w:tcW w:w="2021" w:type="pct"/>
                  <w:vMerge w:val="continue"/>
                </w:tcPr>
                <w:p>
                  <w:pPr>
                    <w:jc w:val="center"/>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continue"/>
                  <w:tcMar>
                    <w:left w:w="0" w:type="dxa"/>
                    <w:right w:w="0" w:type="dxa"/>
                  </w:tcMar>
                  <w:vAlign w:val="center"/>
                </w:tcPr>
                <w:p>
                  <w:pPr>
                    <w:jc w:val="center"/>
                    <w:rPr>
                      <w:b/>
                      <w:color w:val="000000"/>
                      <w:sz w:val="21"/>
                      <w:szCs w:val="21"/>
                    </w:rPr>
                  </w:pPr>
                </w:p>
              </w:tc>
              <w:tc>
                <w:tcPr>
                  <w:tcW w:w="507" w:type="pct"/>
                  <w:vAlign w:val="center"/>
                </w:tcPr>
                <w:p>
                  <w:pPr>
                    <w:jc w:val="center"/>
                    <w:rPr>
                      <w:rFonts w:hint="default"/>
                      <w:sz w:val="21"/>
                      <w:szCs w:val="21"/>
                      <w:lang w:val="en-US" w:eastAsia="zh-CN"/>
                    </w:rPr>
                  </w:pPr>
                  <w:r>
                    <w:rPr>
                      <w:rFonts w:hint="eastAsia"/>
                      <w:sz w:val="21"/>
                      <w:szCs w:val="21"/>
                      <w:lang w:val="en-US" w:eastAsia="zh-CN"/>
                    </w:rPr>
                    <w:t>N6</w:t>
                  </w:r>
                </w:p>
              </w:tc>
              <w:tc>
                <w:tcPr>
                  <w:tcW w:w="2021" w:type="pct"/>
                </w:tcPr>
                <w:p>
                  <w:pPr>
                    <w:jc w:val="center"/>
                    <w:rPr>
                      <w:rFonts w:hint="eastAsia"/>
                      <w:sz w:val="21"/>
                      <w:szCs w:val="21"/>
                      <w:lang w:val="en-US" w:eastAsia="zh-CN"/>
                    </w:rPr>
                  </w:pPr>
                  <w:r>
                    <w:rPr>
                      <w:rFonts w:hint="eastAsia"/>
                      <w:sz w:val="21"/>
                      <w:szCs w:val="21"/>
                      <w:lang w:val="en-US" w:eastAsia="zh-CN"/>
                    </w:rPr>
                    <w:t>弘毅新华中学</w:t>
                  </w:r>
                </w:p>
              </w:tc>
              <w:tc>
                <w:tcPr>
                  <w:tcW w:w="2021" w:type="pct"/>
                  <w:vMerge w:val="continue"/>
                </w:tcPr>
                <w:p>
                  <w:pPr>
                    <w:jc w:val="center"/>
                    <w:rPr>
                      <w:rFonts w:hint="eastAsia"/>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23" w:hRule="atLeast"/>
                <w:jc w:val="center"/>
              </w:trPr>
              <w:tc>
                <w:tcPr>
                  <w:tcW w:w="448" w:type="pct"/>
                  <w:vMerge w:val="continue"/>
                  <w:tcMar>
                    <w:left w:w="0" w:type="dxa"/>
                    <w:right w:w="0" w:type="dxa"/>
                  </w:tcMar>
                  <w:vAlign w:val="center"/>
                </w:tcPr>
                <w:p>
                  <w:pPr>
                    <w:jc w:val="center"/>
                    <w:rPr>
                      <w:b/>
                      <w:color w:val="000000"/>
                      <w:sz w:val="21"/>
                      <w:szCs w:val="21"/>
                    </w:rPr>
                  </w:pPr>
                </w:p>
              </w:tc>
              <w:tc>
                <w:tcPr>
                  <w:tcW w:w="507" w:type="pct"/>
                  <w:vAlign w:val="center"/>
                </w:tcPr>
                <w:p>
                  <w:pPr>
                    <w:jc w:val="center"/>
                    <w:rPr>
                      <w:rFonts w:hint="default"/>
                      <w:sz w:val="21"/>
                      <w:szCs w:val="21"/>
                      <w:lang w:val="en-US" w:eastAsia="zh-CN"/>
                    </w:rPr>
                  </w:pPr>
                  <w:r>
                    <w:rPr>
                      <w:rFonts w:hint="eastAsia"/>
                      <w:sz w:val="21"/>
                      <w:szCs w:val="21"/>
                      <w:lang w:val="en-US" w:eastAsia="zh-CN"/>
                    </w:rPr>
                    <w:t>N7</w:t>
                  </w:r>
                </w:p>
              </w:tc>
              <w:tc>
                <w:tcPr>
                  <w:tcW w:w="2021" w:type="pct"/>
                </w:tcPr>
                <w:p>
                  <w:pPr>
                    <w:jc w:val="center"/>
                    <w:rPr>
                      <w:rFonts w:hint="eastAsia"/>
                      <w:sz w:val="21"/>
                      <w:szCs w:val="21"/>
                      <w:lang w:val="en-US" w:eastAsia="zh-CN"/>
                    </w:rPr>
                  </w:pPr>
                  <w:r>
                    <w:rPr>
                      <w:rFonts w:hint="eastAsia"/>
                      <w:sz w:val="21"/>
                      <w:szCs w:val="21"/>
                      <w:lang w:val="en-US" w:eastAsia="zh-CN"/>
                    </w:rPr>
                    <w:t>通海南路八字门小学</w:t>
                  </w:r>
                </w:p>
              </w:tc>
              <w:tc>
                <w:tcPr>
                  <w:tcW w:w="2021" w:type="pct"/>
                  <w:vMerge w:val="continue"/>
                </w:tcPr>
                <w:p>
                  <w:pPr>
                    <w:jc w:val="center"/>
                    <w:rPr>
                      <w:rFonts w:hint="eastAsia"/>
                      <w:sz w:val="21"/>
                      <w:szCs w:val="21"/>
                      <w:lang w:val="en-US" w:eastAsia="zh-CN"/>
                    </w:rPr>
                  </w:pPr>
                </w:p>
              </w:tc>
            </w:tr>
          </w:tbl>
          <w:p>
            <w:pPr>
              <w:snapToGrid w:val="0"/>
              <w:jc w:val="center"/>
              <w:rPr>
                <w:b/>
                <w:bCs/>
                <w:color w:val="auto"/>
                <w:sz w:val="24"/>
                <w:szCs w:val="24"/>
              </w:rPr>
            </w:pPr>
          </w:p>
          <w:p>
            <w:pPr>
              <w:snapToGrid w:val="0"/>
              <w:jc w:val="center"/>
              <w:rPr>
                <w:b/>
                <w:bCs/>
                <w:color w:val="auto"/>
                <w:sz w:val="24"/>
                <w:szCs w:val="24"/>
              </w:rPr>
            </w:pPr>
            <w:r>
              <w:rPr>
                <w:b/>
                <w:bCs/>
                <w:color w:val="auto"/>
                <w:sz w:val="24"/>
                <w:szCs w:val="24"/>
              </w:rPr>
              <w:t>表</w:t>
            </w:r>
            <w:r>
              <w:rPr>
                <w:rFonts w:hint="eastAsia"/>
                <w:b/>
                <w:bCs/>
                <w:color w:val="auto"/>
                <w:sz w:val="24"/>
                <w:szCs w:val="24"/>
                <w:lang w:val="en-US" w:eastAsia="zh-CN"/>
              </w:rPr>
              <w:t xml:space="preserve">3.3-2 </w:t>
            </w:r>
            <w:r>
              <w:rPr>
                <w:b/>
                <w:bCs/>
                <w:color w:val="auto"/>
                <w:sz w:val="24"/>
                <w:szCs w:val="24"/>
              </w:rPr>
              <w:t xml:space="preserve">  项目区声环境现状监测结果   单位：Leq（A）</w:t>
            </w:r>
          </w:p>
          <w:tbl>
            <w:tblPr>
              <w:tblStyle w:val="26"/>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1"/>
              <w:gridCol w:w="1291"/>
              <w:gridCol w:w="1295"/>
              <w:gridCol w:w="1152"/>
              <w:gridCol w:w="1140"/>
              <w:gridCol w:w="1627"/>
              <w:gridCol w:w="10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Merge w:val="restar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序号</w:t>
                  </w:r>
                </w:p>
              </w:tc>
              <w:tc>
                <w:tcPr>
                  <w:tcW w:w="1354" w:type="pct"/>
                  <w:gridSpan w:val="2"/>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highlight w:val="none"/>
                      <w:lang w:val="en-US" w:eastAsia="zh-CN"/>
                    </w:rPr>
                  </w:pPr>
                  <w:r>
                    <w:rPr>
                      <w:rFonts w:hint="default" w:ascii="Times New Roman" w:hAnsi="Times New Roman" w:cs="Times New Roman"/>
                      <w:color w:val="auto"/>
                      <w:kern w:val="2"/>
                      <w:sz w:val="21"/>
                      <w:szCs w:val="21"/>
                      <w:highlight w:val="none"/>
                      <w:lang w:val="en-US" w:eastAsia="zh-CN"/>
                    </w:rPr>
                    <w:t>8月17日</w:t>
                  </w:r>
                </w:p>
              </w:tc>
              <w:tc>
                <w:tcPr>
                  <w:tcW w:w="1200" w:type="pct"/>
                  <w:gridSpan w:val="2"/>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highlight w:val="none"/>
                      <w:lang w:val="en-US" w:eastAsia="zh-CN"/>
                    </w:rPr>
                  </w:pPr>
                  <w:r>
                    <w:rPr>
                      <w:rFonts w:hint="default" w:ascii="Times New Roman" w:hAnsi="Times New Roman" w:cs="Times New Roman"/>
                      <w:color w:val="auto"/>
                      <w:kern w:val="2"/>
                      <w:sz w:val="21"/>
                      <w:szCs w:val="21"/>
                      <w:highlight w:val="none"/>
                      <w:lang w:val="en-US" w:eastAsia="zh-CN"/>
                    </w:rPr>
                    <w:t>8月18日</w:t>
                  </w:r>
                </w:p>
              </w:tc>
              <w:tc>
                <w:tcPr>
                  <w:tcW w:w="852" w:type="pct"/>
                  <w:vMerge w:val="restar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评价标准</w:t>
                  </w:r>
                </w:p>
              </w:tc>
              <w:tc>
                <w:tcPr>
                  <w:tcW w:w="548" w:type="pct"/>
                  <w:vMerge w:val="restar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p>
              </w:tc>
              <w:tc>
                <w:tcPr>
                  <w:tcW w:w="676"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昼间</w:t>
                  </w:r>
                </w:p>
              </w:tc>
              <w:tc>
                <w:tcPr>
                  <w:tcW w:w="67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夜间</w:t>
                  </w:r>
                </w:p>
              </w:tc>
              <w:tc>
                <w:tcPr>
                  <w:tcW w:w="603"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昼间</w:t>
                  </w:r>
                </w:p>
              </w:tc>
              <w:tc>
                <w:tcPr>
                  <w:tcW w:w="597"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r>
                    <w:rPr>
                      <w:rFonts w:hint="default" w:ascii="Times New Roman" w:hAnsi="Times New Roman" w:cs="Times New Roman"/>
                      <w:color w:val="auto"/>
                      <w:kern w:val="2"/>
                      <w:sz w:val="21"/>
                      <w:szCs w:val="21"/>
                      <w:lang w:val="en-US" w:eastAsia="zh-CN"/>
                    </w:rPr>
                    <w:t>夜间</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p>
              </w:tc>
              <w:tc>
                <w:tcPr>
                  <w:tcW w:w="548"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cs="Times New Roman"/>
                      <w:color w:val="auto"/>
                      <w:kern w:val="2"/>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pStyle w:val="44"/>
                    <w:snapToGrid w:val="0"/>
                    <w:spacing w:line="240" w:lineRule="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000000"/>
                      <w:sz w:val="21"/>
                      <w:szCs w:val="21"/>
                    </w:rPr>
                    <w:t>N1</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51.2</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40.4</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52.0</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40.5</w:t>
                  </w:r>
                </w:p>
              </w:tc>
              <w:tc>
                <w:tcPr>
                  <w:tcW w:w="852" w:type="pct"/>
                  <w:vMerge w:val="restar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昼间6</w:t>
                  </w:r>
                  <w:r>
                    <w:rPr>
                      <w:rFonts w:hint="default" w:ascii="Times New Roman" w:hAnsi="Times New Roman" w:cs="Times New Roman"/>
                      <w:color w:val="auto"/>
                      <w:kern w:val="2"/>
                      <w:sz w:val="21"/>
                      <w:szCs w:val="21"/>
                      <w:lang w:val="en-US" w:eastAsia="zh-CN" w:bidi="ar-SA"/>
                    </w:rPr>
                    <w:t>0</w:t>
                  </w:r>
                  <w:r>
                    <w:rPr>
                      <w:rFonts w:hint="default" w:ascii="Times New Roman" w:hAnsi="Times New Roman" w:eastAsia="宋体" w:cs="Times New Roman"/>
                      <w:color w:val="auto"/>
                      <w:kern w:val="2"/>
                      <w:sz w:val="21"/>
                      <w:szCs w:val="21"/>
                      <w:lang w:val="en-US" w:eastAsia="zh-CN" w:bidi="ar-SA"/>
                    </w:rPr>
                    <w:t>、夜间5</w:t>
                  </w:r>
                  <w:r>
                    <w:rPr>
                      <w:rFonts w:hint="default" w:ascii="Times New Roman" w:hAnsi="Times New Roman" w:cs="Times New Roman"/>
                      <w:color w:val="auto"/>
                      <w:kern w:val="2"/>
                      <w:sz w:val="21"/>
                      <w:szCs w:val="21"/>
                      <w:lang w:val="en-US" w:eastAsia="zh-CN" w:bidi="ar-SA"/>
                    </w:rPr>
                    <w:t>0</w:t>
                  </w: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pStyle w:val="44"/>
                    <w:snapToGrid w:val="0"/>
                    <w:spacing w:line="240" w:lineRule="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000000"/>
                      <w:sz w:val="21"/>
                      <w:szCs w:val="21"/>
                    </w:rPr>
                    <w:t>N2</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50.7</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39.0</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50.5</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39.4</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pStyle w:val="44"/>
                    <w:snapToGrid w:val="0"/>
                    <w:spacing w:line="240" w:lineRule="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000000"/>
                      <w:sz w:val="21"/>
                      <w:szCs w:val="21"/>
                    </w:rPr>
                    <w:t>N3</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53.3</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44.5</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53.3</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45.5</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sz w:val="21"/>
                      <w:szCs w:val="21"/>
                    </w:rPr>
                    <w:t>N4</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54.1</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45.3</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53.8</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44.8</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sz w:val="21"/>
                      <w:szCs w:val="21"/>
                      <w:lang w:val="en-US" w:eastAsia="zh-CN"/>
                    </w:rPr>
                    <w:t>N5</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52.3</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41.4</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52.6</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41.4</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sz w:val="21"/>
                      <w:szCs w:val="21"/>
                      <w:lang w:val="en-US" w:eastAsia="zh-CN"/>
                    </w:rPr>
                    <w:t>N6</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52.1</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41.4</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52.3</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41.8</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043" w:type="pct"/>
                  <w:vAlign w:val="center"/>
                </w:tcPr>
                <w:p>
                  <w:pPr>
                    <w:jc w:val="center"/>
                    <w:rPr>
                      <w:rFonts w:hint="default" w:ascii="Times New Roman" w:hAnsi="Times New Roman" w:cs="Times New Roman"/>
                      <w:color w:val="auto"/>
                      <w:kern w:val="2"/>
                      <w:sz w:val="21"/>
                      <w:szCs w:val="21"/>
                      <w:lang w:val="en-US" w:eastAsia="zh-CN" w:bidi="ar-SA"/>
                    </w:rPr>
                  </w:pPr>
                  <w:r>
                    <w:rPr>
                      <w:rFonts w:hint="default" w:ascii="Times New Roman" w:hAnsi="Times New Roman" w:cs="Times New Roman"/>
                      <w:sz w:val="21"/>
                      <w:szCs w:val="21"/>
                      <w:lang w:val="en-US" w:eastAsia="zh-CN"/>
                    </w:rPr>
                    <w:t>N7</w:t>
                  </w:r>
                </w:p>
              </w:tc>
              <w:tc>
                <w:tcPr>
                  <w:tcW w:w="676"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57.9</w:t>
                  </w:r>
                </w:p>
              </w:tc>
              <w:tc>
                <w:tcPr>
                  <w:tcW w:w="678"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45.5</w:t>
                  </w:r>
                </w:p>
              </w:tc>
              <w:tc>
                <w:tcPr>
                  <w:tcW w:w="603"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58.0</w:t>
                  </w:r>
                </w:p>
              </w:tc>
              <w:tc>
                <w:tcPr>
                  <w:tcW w:w="597" w:type="pct"/>
                  <w:vAlign w:val="center"/>
                </w:tcPr>
                <w:p>
                  <w:pPr>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sz w:val="21"/>
                      <w:szCs w:val="21"/>
                      <w:lang w:val="en-US" w:eastAsia="zh-CN"/>
                    </w:rPr>
                    <w:t>45.6</w:t>
                  </w:r>
                </w:p>
              </w:tc>
              <w:tc>
                <w:tcPr>
                  <w:tcW w:w="852" w:type="pct"/>
                  <w:vMerge w:val="continue"/>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c>
                <w:tcPr>
                  <w:tcW w:w="548" w:type="pct"/>
                  <w:vAlign w:val="center"/>
                </w:tcPr>
                <w:p>
                  <w:pPr>
                    <w:pStyle w:val="38"/>
                    <w:keepNext w:val="0"/>
                    <w:keepLines w:val="0"/>
                    <w:pageBreakBefore w:val="0"/>
                    <w:widowControl w:val="0"/>
                    <w:kinsoku/>
                    <w:wordWrap/>
                    <w:topLinePunct w:val="0"/>
                    <w:bidi w:val="0"/>
                    <w:adjustRightInd/>
                    <w:snapToGrid/>
                    <w:spacing w:line="240" w:lineRule="auto"/>
                    <w:ind w:left="0" w:leftChars="0" w:firstLine="0" w:firstLineChars="0"/>
                    <w:jc w:val="center"/>
                    <w:textAlignment w:val="auto"/>
                    <w:outlineLvl w:val="9"/>
                    <w:rPr>
                      <w:rFonts w:hint="default" w:ascii="Times New Roman" w:hAnsi="Times New Roman" w:eastAsia="宋体" w:cs="Times New Roman"/>
                      <w:color w:val="auto"/>
                      <w:kern w:val="2"/>
                      <w:sz w:val="21"/>
                      <w:szCs w:val="21"/>
                      <w:lang w:val="en-US" w:eastAsia="zh-CN" w:bidi="ar-SA"/>
                    </w:rPr>
                  </w:pPr>
                </w:p>
              </w:tc>
            </w:tr>
          </w:tbl>
          <w:p>
            <w:pPr>
              <w:pStyle w:val="8"/>
              <w:keepNext w:val="0"/>
              <w:keepLines w:val="0"/>
              <w:pageBreakBefore w:val="0"/>
              <w:widowControl w:val="0"/>
              <w:kinsoku/>
              <w:wordWrap/>
              <w:overflowPunct w:val="0"/>
              <w:topLinePunct w:val="0"/>
              <w:autoSpaceDE w:val="0"/>
              <w:autoSpaceDN w:val="0"/>
              <w:bidi w:val="0"/>
              <w:adjustRightInd w:val="0"/>
              <w:snapToGrid/>
              <w:spacing w:after="0"/>
              <w:ind w:firstLine="482"/>
              <w:textAlignment w:val="auto"/>
              <w:outlineLvl w:val="9"/>
              <w:rPr>
                <w:color w:val="auto"/>
                <w:sz w:val="24"/>
                <w:szCs w:val="24"/>
              </w:rPr>
            </w:pPr>
            <w:r>
              <w:rPr>
                <w:color w:val="auto"/>
                <w:sz w:val="24"/>
                <w:szCs w:val="24"/>
              </w:rPr>
              <w:t>根据以上监测结果，监测点满足《声环境质量标准》（GB3096-2008）中</w:t>
            </w:r>
            <w:r>
              <w:rPr>
                <w:rFonts w:hint="eastAsia"/>
                <w:color w:val="auto"/>
                <w:sz w:val="24"/>
                <w:szCs w:val="24"/>
                <w:lang w:val="en-US" w:eastAsia="zh-CN"/>
              </w:rPr>
              <w:t>2</w:t>
            </w:r>
            <w:r>
              <w:rPr>
                <w:color w:val="auto"/>
                <w:sz w:val="24"/>
                <w:szCs w:val="24"/>
              </w:rPr>
              <w:t>类标准要求，</w:t>
            </w:r>
            <w:r>
              <w:rPr>
                <w:rFonts w:ascii="Times New Roman" w:hAnsi="Times New Roman" w:cs="Times New Roman"/>
                <w:color w:val="auto"/>
                <w:kern w:val="2"/>
                <w:sz w:val="24"/>
              </w:rPr>
              <w:t>表明项目所在地声环境质量状况良好。</w:t>
            </w:r>
          </w:p>
          <w:p>
            <w:pPr>
              <w:spacing w:line="360" w:lineRule="auto"/>
              <w:rPr>
                <w:sz w:val="24"/>
              </w:rPr>
            </w:pPr>
            <w:bookmarkStart w:id="59" w:name="_Toc11617"/>
            <w:r>
              <w:rPr>
                <w:rFonts w:hint="eastAsia" w:eastAsia="宋体"/>
                <w:b/>
                <w:bCs w:val="0"/>
                <w:color w:val="auto"/>
                <w:lang w:val="en-US" w:eastAsia="zh-CN"/>
              </w:rPr>
              <w:t>3.4</w:t>
            </w:r>
            <w:r>
              <w:rPr>
                <w:b/>
                <w:sz w:val="24"/>
              </w:rPr>
              <w:t>底泥现状调查与评价</w:t>
            </w:r>
          </w:p>
          <w:p>
            <w:pPr>
              <w:spacing w:line="360" w:lineRule="auto"/>
              <w:ind w:firstLine="480" w:firstLineChars="200"/>
              <w:rPr>
                <w:rFonts w:hint="default" w:ascii="Times New Roman" w:hAnsi="Times New Roman" w:cs="Times New Roman"/>
                <w:sz w:val="24"/>
                <w:lang w:val="en-US" w:eastAsia="zh-CN"/>
              </w:rPr>
            </w:pPr>
            <w:r>
              <w:rPr>
                <w:rFonts w:hint="default" w:ascii="Times New Roman" w:hAnsi="Times New Roman" w:cs="Times New Roman"/>
                <w:sz w:val="24"/>
                <w:lang w:val="en-US" w:eastAsia="zh-CN"/>
              </w:rPr>
              <w:t>为了解项目区</w:t>
            </w:r>
            <w:r>
              <w:rPr>
                <w:rFonts w:hint="eastAsia" w:cs="Times New Roman"/>
                <w:sz w:val="24"/>
                <w:lang w:val="en-US" w:eastAsia="zh-CN"/>
              </w:rPr>
              <w:t>面源污染控制工程中三个湿塘</w:t>
            </w:r>
            <w:r>
              <w:rPr>
                <w:rFonts w:hint="default" w:ascii="Times New Roman" w:hAnsi="Times New Roman" w:cs="Times New Roman"/>
                <w:sz w:val="24"/>
                <w:lang w:val="en-US" w:eastAsia="zh-CN"/>
              </w:rPr>
              <w:t>底泥现状，本次评价委托</w:t>
            </w:r>
            <w:r>
              <w:rPr>
                <w:rFonts w:hint="eastAsia" w:ascii="Times New Roman" w:hAnsi="Times New Roman" w:cs="Times New Roman"/>
                <w:color w:val="auto"/>
                <w:sz w:val="24"/>
                <w:szCs w:val="24"/>
                <w:highlight w:val="none"/>
                <w:lang w:eastAsia="zh-CN"/>
              </w:rPr>
              <w:t>湖南</w:t>
            </w:r>
            <w:r>
              <w:rPr>
                <w:rFonts w:hint="eastAsia" w:cs="Times New Roman"/>
                <w:color w:val="auto"/>
                <w:sz w:val="24"/>
                <w:szCs w:val="24"/>
                <w:highlight w:val="none"/>
                <w:lang w:eastAsia="zh-CN"/>
              </w:rPr>
              <w:t>亿科检测有限公司</w:t>
            </w:r>
            <w:r>
              <w:rPr>
                <w:rFonts w:hint="default" w:ascii="Times New Roman" w:hAnsi="Times New Roman" w:cs="Times New Roman"/>
                <w:sz w:val="24"/>
                <w:highlight w:val="none"/>
                <w:lang w:val="en-US" w:eastAsia="zh-CN"/>
              </w:rPr>
              <w:t>对项目区底泥进行了监测，监测方案如下：</w:t>
            </w:r>
          </w:p>
          <w:p>
            <w:pPr>
              <w:spacing w:line="360" w:lineRule="auto"/>
              <w:ind w:firstLine="480" w:firstLineChars="200"/>
              <w:rPr>
                <w:rFonts w:hint="default" w:ascii="Times New Roman" w:hAnsi="Times New Roman" w:cs="Times New Roman"/>
                <w:sz w:val="24"/>
                <w:lang w:val="en-US" w:eastAsia="zh-CN"/>
              </w:rPr>
            </w:pPr>
            <w:r>
              <w:rPr>
                <w:rFonts w:hint="default" w:ascii="Times New Roman" w:hAnsi="Times New Roman" w:cs="Times New Roman"/>
                <w:sz w:val="24"/>
                <w:lang w:val="en-US" w:eastAsia="zh-CN"/>
              </w:rPr>
              <w:t>（1）监测项目：镉、汞、砷、铅、铬（六价）、铜、镍、锌、pH</w:t>
            </w:r>
          </w:p>
          <w:p>
            <w:pPr>
              <w:spacing w:line="360" w:lineRule="auto"/>
              <w:ind w:firstLine="480" w:firstLineChars="200"/>
              <w:rPr>
                <w:rFonts w:hint="default" w:ascii="Times New Roman" w:hAnsi="Times New Roman" w:cs="Times New Roman"/>
                <w:sz w:val="24"/>
                <w:lang w:val="en-US" w:eastAsia="zh-CN"/>
              </w:rPr>
            </w:pPr>
            <w:r>
              <w:rPr>
                <w:rFonts w:hint="default" w:ascii="Times New Roman" w:hAnsi="Times New Roman" w:cs="Times New Roman"/>
                <w:sz w:val="24"/>
                <w:lang w:val="en-US" w:eastAsia="zh-CN"/>
              </w:rPr>
              <w:t>（2）监测布点：</w:t>
            </w:r>
            <w:r>
              <w:rPr>
                <w:rFonts w:hint="eastAsia" w:cs="Times New Roman"/>
                <w:sz w:val="24"/>
                <w:lang w:val="en-US" w:eastAsia="zh-CN"/>
              </w:rPr>
              <w:t>3</w:t>
            </w:r>
            <w:r>
              <w:rPr>
                <w:rFonts w:hint="default" w:ascii="Times New Roman" w:hAnsi="Times New Roman" w:cs="Times New Roman"/>
                <w:sz w:val="24"/>
                <w:lang w:val="en-US" w:eastAsia="zh-CN"/>
              </w:rPr>
              <w:t>个，</w:t>
            </w:r>
          </w:p>
          <w:p>
            <w:pPr>
              <w:spacing w:line="360" w:lineRule="auto"/>
              <w:ind w:firstLine="480" w:firstLineChars="200"/>
              <w:rPr>
                <w:rFonts w:hint="default" w:ascii="Times New Roman" w:hAnsi="Times New Roman" w:cs="Times New Roman"/>
                <w:sz w:val="24"/>
                <w:lang w:val="en-US" w:eastAsia="zh-CN"/>
              </w:rPr>
            </w:pPr>
            <w:r>
              <w:rPr>
                <w:rFonts w:hint="default" w:ascii="Times New Roman" w:hAnsi="Times New Roman" w:cs="Times New Roman"/>
                <w:sz w:val="24"/>
                <w:lang w:val="en-US" w:eastAsia="zh-CN"/>
              </w:rPr>
              <w:t>T1：廖家巷湿塘底泥</w:t>
            </w:r>
          </w:p>
          <w:p>
            <w:pPr>
              <w:spacing w:line="360" w:lineRule="auto"/>
              <w:ind w:firstLine="480" w:firstLineChars="200"/>
              <w:rPr>
                <w:rFonts w:hint="default" w:ascii="Times New Roman" w:hAnsi="Times New Roman" w:cs="Times New Roman"/>
                <w:sz w:val="24"/>
                <w:lang w:val="en-US" w:eastAsia="zh-CN"/>
              </w:rPr>
            </w:pPr>
            <w:r>
              <w:rPr>
                <w:rFonts w:hint="default" w:ascii="Times New Roman" w:hAnsi="Times New Roman" w:cs="Times New Roman"/>
                <w:sz w:val="24"/>
                <w:lang w:val="en-US" w:eastAsia="zh-CN"/>
              </w:rPr>
              <w:t>T2：颐养院湿塘底泥</w:t>
            </w:r>
          </w:p>
          <w:p>
            <w:pPr>
              <w:spacing w:line="360" w:lineRule="auto"/>
              <w:ind w:firstLine="480" w:firstLineChars="200"/>
              <w:rPr>
                <w:rFonts w:hint="default" w:ascii="Times New Roman" w:hAnsi="Times New Roman" w:cs="Times New Roman"/>
                <w:sz w:val="24"/>
                <w:lang w:val="en-US" w:eastAsia="zh-CN"/>
              </w:rPr>
            </w:pPr>
            <w:r>
              <w:rPr>
                <w:rFonts w:hint="default" w:ascii="Times New Roman" w:hAnsi="Times New Roman" w:cs="Times New Roman"/>
                <w:sz w:val="24"/>
                <w:lang w:val="en-US" w:eastAsia="zh-CN"/>
              </w:rPr>
              <w:t>T3：奥敏游泳馆湿塘底泥</w:t>
            </w:r>
          </w:p>
          <w:p>
            <w:pPr>
              <w:spacing w:line="360" w:lineRule="auto"/>
              <w:ind w:firstLine="480" w:firstLineChars="200"/>
              <w:rPr>
                <w:sz w:val="24"/>
              </w:rPr>
            </w:pPr>
            <w:r>
              <w:rPr>
                <w:rFonts w:hint="default" w:ascii="Times New Roman" w:hAnsi="Times New Roman" w:cs="Times New Roman"/>
                <w:sz w:val="24"/>
                <w:lang w:val="en-US" w:eastAsia="zh-CN"/>
              </w:rPr>
              <w:t>（3）监测时间及频次：1天1次。</w:t>
            </w:r>
            <w:r>
              <w:rPr>
                <w:sz w:val="24"/>
              </w:rPr>
              <w:t>监测结果如下表所示：</w:t>
            </w:r>
          </w:p>
          <w:p>
            <w:pPr>
              <w:adjustRightInd w:val="0"/>
              <w:snapToGrid w:val="0"/>
              <w:jc w:val="center"/>
              <w:rPr>
                <w:rFonts w:ascii="Times New Roman" w:hAnsi="Times New Roman" w:eastAsia="宋体" w:cs="Times New Roman"/>
                <w:b/>
                <w:bCs/>
                <w:sz w:val="24"/>
                <w:szCs w:val="24"/>
              </w:rPr>
            </w:pPr>
            <w:r>
              <w:rPr>
                <w:rFonts w:ascii="Times New Roman" w:hAnsi="Times New Roman" w:eastAsia="宋体" w:cs="Times New Roman"/>
                <w:b/>
                <w:bCs/>
                <w:sz w:val="24"/>
                <w:szCs w:val="24"/>
              </w:rPr>
              <w:t>表</w:t>
            </w:r>
            <w:r>
              <w:rPr>
                <w:rFonts w:hint="eastAsia" w:ascii="Times New Roman" w:hAnsi="Times New Roman" w:eastAsia="宋体" w:cs="Times New Roman"/>
                <w:b/>
                <w:bCs/>
                <w:sz w:val="24"/>
                <w:szCs w:val="24"/>
                <w:lang w:val="en-US" w:eastAsia="zh-CN"/>
              </w:rPr>
              <w:t xml:space="preserve">3.4-1   </w:t>
            </w:r>
            <w:r>
              <w:rPr>
                <w:rFonts w:ascii="Times New Roman" w:hAnsi="Times New Roman" w:eastAsia="宋体" w:cs="Times New Roman"/>
                <w:b/>
                <w:bCs/>
                <w:sz w:val="24"/>
                <w:szCs w:val="24"/>
                <w:lang w:val="zh-CN"/>
              </w:rPr>
              <w:t>底泥监测数据表  [单位：mg/</w:t>
            </w:r>
            <w:r>
              <w:rPr>
                <w:rFonts w:hint="eastAsia" w:cs="Times New Roman"/>
                <w:b/>
                <w:bCs/>
                <w:sz w:val="24"/>
                <w:szCs w:val="24"/>
                <w:lang w:val="en-US" w:eastAsia="zh-CN"/>
              </w:rPr>
              <w:t>kg</w:t>
            </w:r>
            <w:r>
              <w:rPr>
                <w:rFonts w:ascii="Times New Roman" w:hAnsi="Times New Roman" w:eastAsia="宋体" w:cs="Times New Roman"/>
                <w:b/>
                <w:bCs/>
                <w:sz w:val="24"/>
                <w:szCs w:val="24"/>
                <w:lang w:val="zh-CN"/>
              </w:rPr>
              <w:t xml:space="preserve">  pH无量纲]</w:t>
            </w:r>
          </w:p>
          <w:tbl>
            <w:tblPr>
              <w:tblStyle w:val="26"/>
              <w:tblW w:w="4993" w:type="pct"/>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648"/>
              <w:gridCol w:w="1264"/>
              <w:gridCol w:w="1661"/>
              <w:gridCol w:w="1231"/>
              <w:gridCol w:w="584"/>
              <w:gridCol w:w="689"/>
              <w:gridCol w:w="607"/>
              <w:gridCol w:w="513"/>
              <w:gridCol w:w="534"/>
              <w:gridCol w:w="748"/>
              <w:gridCol w:w="559"/>
              <w:gridCol w:w="494"/>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tcBorders>
                    <w:tl2br w:val="nil"/>
                    <w:tr2bl w:val="nil"/>
                  </w:tcBorders>
                  <w:vAlign w:val="center"/>
                </w:tcPr>
                <w:p>
                  <w:pPr>
                    <w:widowControl/>
                    <w:jc w:val="center"/>
                    <w:rPr>
                      <w:rFonts w:hint="default" w:eastAsia="宋体"/>
                      <w:szCs w:val="21"/>
                      <w:lang w:val="en-US" w:eastAsia="zh-CN"/>
                    </w:rPr>
                  </w:pPr>
                  <w:r>
                    <w:rPr>
                      <w:rFonts w:hint="eastAsia"/>
                      <w:szCs w:val="21"/>
                      <w:highlight w:val="none"/>
                      <w:lang w:val="en-US" w:eastAsia="zh-CN"/>
                    </w:rPr>
                    <w:t>监测时间</w:t>
                  </w:r>
                </w:p>
              </w:tc>
              <w:tc>
                <w:tcPr>
                  <w:tcW w:w="663" w:type="pct"/>
                  <w:tcBorders>
                    <w:tl2br w:val="nil"/>
                    <w:tr2bl w:val="nil"/>
                  </w:tcBorders>
                  <w:vAlign w:val="center"/>
                </w:tcPr>
                <w:p>
                  <w:pPr>
                    <w:widowControl/>
                    <w:jc w:val="center"/>
                    <w:rPr>
                      <w:rFonts w:hint="eastAsia" w:ascii="宋体" w:eastAsia="宋体"/>
                      <w:szCs w:val="21"/>
                      <w:lang w:eastAsia="zh-CN"/>
                    </w:rPr>
                  </w:pPr>
                  <w:r>
                    <w:rPr>
                      <w:rFonts w:hint="eastAsia" w:ascii="宋体"/>
                      <w:szCs w:val="21"/>
                      <w:lang w:eastAsia="zh-CN"/>
                    </w:rPr>
                    <w:t>监测点位</w:t>
                  </w:r>
                </w:p>
              </w:tc>
              <w:tc>
                <w:tcPr>
                  <w:tcW w:w="871" w:type="pct"/>
                  <w:tcBorders>
                    <w:tl2br w:val="nil"/>
                    <w:tr2bl w:val="nil"/>
                  </w:tcBorders>
                  <w:vAlign w:val="center"/>
                </w:tcPr>
                <w:p>
                  <w:pPr>
                    <w:widowControl/>
                    <w:jc w:val="center"/>
                    <w:rPr>
                      <w:rFonts w:eastAsia="Times New Roman"/>
                      <w:szCs w:val="21"/>
                    </w:rPr>
                  </w:pPr>
                  <w:r>
                    <w:rPr>
                      <w:rFonts w:ascii="宋体"/>
                      <w:szCs w:val="21"/>
                    </w:rPr>
                    <w:t>监测项目</w:t>
                  </w:r>
                </w:p>
              </w:tc>
              <w:tc>
                <w:tcPr>
                  <w:tcW w:w="645" w:type="pct"/>
                  <w:tcBorders>
                    <w:tl2br w:val="nil"/>
                    <w:tr2bl w:val="nil"/>
                  </w:tcBorders>
                  <w:vAlign w:val="center"/>
                </w:tcPr>
                <w:p>
                  <w:pPr>
                    <w:widowControl/>
                    <w:jc w:val="center"/>
                    <w:rPr>
                      <w:rFonts w:eastAsia="Times New Roman"/>
                      <w:szCs w:val="21"/>
                    </w:rPr>
                  </w:pPr>
                  <w:r>
                    <w:rPr>
                      <w:rFonts w:eastAsia="Times New Roman"/>
                      <w:szCs w:val="21"/>
                    </w:rPr>
                    <w:t>pH</w:t>
                  </w:r>
                </w:p>
              </w:tc>
              <w:tc>
                <w:tcPr>
                  <w:tcW w:w="306" w:type="pct"/>
                  <w:tcBorders>
                    <w:tl2br w:val="nil"/>
                    <w:tr2bl w:val="nil"/>
                  </w:tcBorders>
                  <w:vAlign w:val="center"/>
                </w:tcPr>
                <w:p>
                  <w:pPr>
                    <w:widowControl/>
                    <w:jc w:val="center"/>
                    <w:rPr>
                      <w:szCs w:val="21"/>
                    </w:rPr>
                  </w:pPr>
                  <w:r>
                    <w:rPr>
                      <w:szCs w:val="21"/>
                    </w:rPr>
                    <w:t>镉</w:t>
                  </w:r>
                </w:p>
              </w:tc>
              <w:tc>
                <w:tcPr>
                  <w:tcW w:w="361" w:type="pct"/>
                  <w:tcBorders>
                    <w:tl2br w:val="nil"/>
                    <w:tr2bl w:val="nil"/>
                  </w:tcBorders>
                  <w:vAlign w:val="center"/>
                </w:tcPr>
                <w:p>
                  <w:pPr>
                    <w:jc w:val="center"/>
                    <w:rPr>
                      <w:szCs w:val="21"/>
                    </w:rPr>
                  </w:pPr>
                  <w:r>
                    <w:rPr>
                      <w:szCs w:val="21"/>
                    </w:rPr>
                    <w:t>汞</w:t>
                  </w:r>
                </w:p>
              </w:tc>
              <w:tc>
                <w:tcPr>
                  <w:tcW w:w="318" w:type="pct"/>
                  <w:tcBorders>
                    <w:tl2br w:val="nil"/>
                    <w:tr2bl w:val="nil"/>
                  </w:tcBorders>
                  <w:vAlign w:val="center"/>
                </w:tcPr>
                <w:p>
                  <w:pPr>
                    <w:widowControl/>
                    <w:jc w:val="center"/>
                    <w:rPr>
                      <w:szCs w:val="21"/>
                    </w:rPr>
                  </w:pPr>
                  <w:r>
                    <w:rPr>
                      <w:szCs w:val="21"/>
                    </w:rPr>
                    <w:t>砷</w:t>
                  </w:r>
                </w:p>
              </w:tc>
              <w:tc>
                <w:tcPr>
                  <w:tcW w:w="269" w:type="pct"/>
                  <w:tcBorders>
                    <w:tl2br w:val="nil"/>
                    <w:tr2bl w:val="nil"/>
                  </w:tcBorders>
                  <w:vAlign w:val="center"/>
                </w:tcPr>
                <w:p>
                  <w:pPr>
                    <w:widowControl/>
                    <w:jc w:val="center"/>
                    <w:rPr>
                      <w:rFonts w:hint="eastAsia" w:eastAsia="宋体"/>
                      <w:szCs w:val="21"/>
                      <w:lang w:val="en-US" w:eastAsia="zh-CN"/>
                    </w:rPr>
                  </w:pPr>
                  <w:r>
                    <w:rPr>
                      <w:rFonts w:hint="eastAsia"/>
                      <w:szCs w:val="21"/>
                      <w:lang w:val="en-US" w:eastAsia="zh-CN"/>
                    </w:rPr>
                    <w:t>铜</w:t>
                  </w:r>
                </w:p>
              </w:tc>
              <w:tc>
                <w:tcPr>
                  <w:tcW w:w="280" w:type="pct"/>
                  <w:tcBorders>
                    <w:tl2br w:val="nil"/>
                    <w:tr2bl w:val="nil"/>
                  </w:tcBorders>
                  <w:vAlign w:val="center"/>
                </w:tcPr>
                <w:p>
                  <w:pPr>
                    <w:widowControl/>
                    <w:jc w:val="center"/>
                    <w:rPr>
                      <w:szCs w:val="21"/>
                    </w:rPr>
                  </w:pPr>
                  <w:r>
                    <w:rPr>
                      <w:szCs w:val="21"/>
                    </w:rPr>
                    <w:t>铅</w:t>
                  </w:r>
                </w:p>
              </w:tc>
              <w:tc>
                <w:tcPr>
                  <w:tcW w:w="392" w:type="pct"/>
                  <w:tcBorders>
                    <w:tl2br w:val="nil"/>
                    <w:tr2bl w:val="nil"/>
                  </w:tcBorders>
                  <w:vAlign w:val="center"/>
                </w:tcPr>
                <w:p>
                  <w:pPr>
                    <w:widowControl/>
                    <w:jc w:val="center"/>
                    <w:rPr>
                      <w:rFonts w:hint="eastAsia" w:eastAsia="宋体"/>
                      <w:szCs w:val="21"/>
                      <w:lang w:eastAsia="zh-CN"/>
                    </w:rPr>
                  </w:pPr>
                  <w:r>
                    <w:rPr>
                      <w:szCs w:val="21"/>
                    </w:rPr>
                    <w:t>铬</w:t>
                  </w:r>
                  <w:r>
                    <w:rPr>
                      <w:rFonts w:hint="eastAsia"/>
                      <w:szCs w:val="21"/>
                      <w:lang w:eastAsia="zh-CN"/>
                    </w:rPr>
                    <w:t>（六价）</w:t>
                  </w:r>
                </w:p>
              </w:tc>
              <w:tc>
                <w:tcPr>
                  <w:tcW w:w="293" w:type="pct"/>
                  <w:tcBorders>
                    <w:tl2br w:val="nil"/>
                    <w:tr2bl w:val="nil"/>
                  </w:tcBorders>
                  <w:vAlign w:val="center"/>
                </w:tcPr>
                <w:p>
                  <w:pPr>
                    <w:widowControl/>
                    <w:jc w:val="center"/>
                    <w:rPr>
                      <w:szCs w:val="21"/>
                    </w:rPr>
                  </w:pPr>
                  <w:r>
                    <w:rPr>
                      <w:szCs w:val="21"/>
                    </w:rPr>
                    <w:t>锌</w:t>
                  </w:r>
                </w:p>
              </w:tc>
              <w:tc>
                <w:tcPr>
                  <w:tcW w:w="259" w:type="pct"/>
                  <w:tcBorders>
                    <w:tl2br w:val="nil"/>
                    <w:tr2bl w:val="nil"/>
                  </w:tcBorders>
                  <w:vAlign w:val="center"/>
                </w:tcPr>
                <w:p>
                  <w:pPr>
                    <w:widowControl/>
                    <w:jc w:val="center"/>
                    <w:rPr>
                      <w:szCs w:val="21"/>
                    </w:rPr>
                  </w:pPr>
                  <w:r>
                    <w:rPr>
                      <w:szCs w:val="21"/>
                    </w:rPr>
                    <w:t>镍</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restar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2020.8.17</w:t>
                  </w:r>
                </w:p>
              </w:tc>
              <w:tc>
                <w:tcPr>
                  <w:tcW w:w="663"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T1</w:t>
                  </w:r>
                </w:p>
              </w:tc>
              <w:tc>
                <w:tcPr>
                  <w:tcW w:w="871" w:type="pct"/>
                  <w:tcBorders>
                    <w:tl2br w:val="nil"/>
                    <w:tr2bl w:val="nil"/>
                  </w:tcBorders>
                  <w:vAlign w:val="center"/>
                </w:tcPr>
                <w:p>
                  <w:pPr>
                    <w:widowControl/>
                    <w:jc w:val="center"/>
                    <w:rPr>
                      <w:szCs w:val="21"/>
                      <w:highlight w:val="none"/>
                    </w:rPr>
                  </w:pPr>
                  <w:r>
                    <w:rPr>
                      <w:szCs w:val="21"/>
                      <w:highlight w:val="none"/>
                    </w:rPr>
                    <w:t>监测值</w:t>
                  </w:r>
                </w:p>
              </w:tc>
              <w:tc>
                <w:tcPr>
                  <w:tcW w:w="645"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6.47</w:t>
                  </w:r>
                </w:p>
              </w:tc>
              <w:tc>
                <w:tcPr>
                  <w:tcW w:w="306"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0.13</w:t>
                  </w:r>
                </w:p>
              </w:tc>
              <w:tc>
                <w:tcPr>
                  <w:tcW w:w="361"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0.041</w:t>
                  </w:r>
                </w:p>
              </w:tc>
              <w:tc>
                <w:tcPr>
                  <w:tcW w:w="318"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15.4</w:t>
                  </w:r>
                </w:p>
              </w:tc>
              <w:tc>
                <w:tcPr>
                  <w:tcW w:w="269"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24.1</w:t>
                  </w:r>
                </w:p>
              </w:tc>
              <w:tc>
                <w:tcPr>
                  <w:tcW w:w="280"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21.1</w:t>
                  </w:r>
                </w:p>
              </w:tc>
              <w:tc>
                <w:tcPr>
                  <w:tcW w:w="392"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3.5</w:t>
                  </w:r>
                </w:p>
              </w:tc>
              <w:tc>
                <w:tcPr>
                  <w:tcW w:w="293"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82.1</w:t>
                  </w:r>
                </w:p>
              </w:tc>
              <w:tc>
                <w:tcPr>
                  <w:tcW w:w="259"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18.6</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continue"/>
                  <w:tcBorders>
                    <w:tl2br w:val="nil"/>
                    <w:tr2bl w:val="nil"/>
                  </w:tcBorders>
                  <w:vAlign w:val="center"/>
                </w:tcPr>
                <w:p>
                  <w:pPr>
                    <w:widowControl/>
                    <w:jc w:val="center"/>
                    <w:rPr>
                      <w:rFonts w:hint="eastAsia"/>
                      <w:szCs w:val="21"/>
                      <w:highlight w:val="none"/>
                      <w:lang w:val="en-US" w:eastAsia="zh-CN"/>
                    </w:rPr>
                  </w:pPr>
                </w:p>
              </w:tc>
              <w:tc>
                <w:tcPr>
                  <w:tcW w:w="1534" w:type="pct"/>
                  <w:gridSpan w:val="2"/>
                  <w:tcBorders>
                    <w:tl2br w:val="nil"/>
                    <w:tr2bl w:val="nil"/>
                  </w:tcBorders>
                  <w:vAlign w:val="center"/>
                </w:tcPr>
                <w:p>
                  <w:pPr>
                    <w:widowControl/>
                    <w:jc w:val="center"/>
                    <w:rPr>
                      <w:szCs w:val="21"/>
                      <w:highlight w:val="none"/>
                    </w:rPr>
                  </w:pPr>
                  <w:r>
                    <w:rPr>
                      <w:rFonts w:eastAsia="Times New Roman"/>
                      <w:szCs w:val="21"/>
                      <w:highlight w:val="none"/>
                    </w:rPr>
                    <w:t>GB15618-</w:t>
                  </w:r>
                  <w:r>
                    <w:rPr>
                      <w:rFonts w:hint="eastAsia" w:eastAsia="宋体"/>
                      <w:szCs w:val="21"/>
                      <w:highlight w:val="none"/>
                      <w:lang w:val="en-US" w:eastAsia="zh-CN"/>
                    </w:rPr>
                    <w:t>2018</w:t>
                  </w:r>
                </w:p>
              </w:tc>
              <w:tc>
                <w:tcPr>
                  <w:tcW w:w="645" w:type="pct"/>
                  <w:tcBorders>
                    <w:tl2br w:val="nil"/>
                    <w:tr2bl w:val="nil"/>
                  </w:tcBorders>
                  <w:vAlign w:val="center"/>
                </w:tcPr>
                <w:p>
                  <w:pPr>
                    <w:widowControl/>
                    <w:jc w:val="center"/>
                    <w:rPr>
                      <w:rFonts w:hint="eastAsia" w:ascii="Times New Roman" w:hAnsi="Times New Roman" w:eastAsia="Times New Roman" w:cs="Times New Roman"/>
                      <w:kern w:val="2"/>
                      <w:sz w:val="21"/>
                      <w:szCs w:val="21"/>
                      <w:highlight w:val="none"/>
                      <w:lang w:val="en-US" w:eastAsia="zh-CN" w:bidi="ar-SA"/>
                    </w:rPr>
                  </w:pPr>
                  <w:r>
                    <w:rPr>
                      <w:rFonts w:hint="default" w:ascii="Times New Roman" w:hAnsi="Times New Roman" w:cs="Times New Roman"/>
                      <w:sz w:val="21"/>
                      <w:szCs w:val="21"/>
                      <w:highlight w:val="none"/>
                      <w:lang w:val="en-US" w:eastAsia="zh-CN"/>
                    </w:rPr>
                    <w:t>5.5&lt;pH≤6.5</w:t>
                  </w:r>
                </w:p>
              </w:tc>
              <w:tc>
                <w:tcPr>
                  <w:tcW w:w="306"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0.4</w:t>
                  </w:r>
                </w:p>
              </w:tc>
              <w:tc>
                <w:tcPr>
                  <w:tcW w:w="361"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0.5</w:t>
                  </w:r>
                </w:p>
              </w:tc>
              <w:tc>
                <w:tcPr>
                  <w:tcW w:w="318"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30</w:t>
                  </w:r>
                </w:p>
              </w:tc>
              <w:tc>
                <w:tcPr>
                  <w:tcW w:w="269"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50</w:t>
                  </w:r>
                </w:p>
              </w:tc>
              <w:tc>
                <w:tcPr>
                  <w:tcW w:w="280"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100</w:t>
                  </w:r>
                </w:p>
              </w:tc>
              <w:tc>
                <w:tcPr>
                  <w:tcW w:w="392" w:type="pct"/>
                  <w:tcBorders>
                    <w:tl2br w:val="nil"/>
                    <w:tr2bl w:val="nil"/>
                  </w:tcBorders>
                  <w:vAlign w:val="center"/>
                </w:tcPr>
                <w:p>
                  <w:pPr>
                    <w:widowControl/>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250</w:t>
                  </w:r>
                </w:p>
              </w:tc>
              <w:tc>
                <w:tcPr>
                  <w:tcW w:w="293"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cs="Times New Roman"/>
                      <w:sz w:val="21"/>
                      <w:szCs w:val="21"/>
                      <w:highlight w:val="none"/>
                      <w:lang w:val="en-US" w:eastAsia="zh-CN"/>
                    </w:rPr>
                    <w:t>200</w:t>
                  </w:r>
                </w:p>
              </w:tc>
              <w:tc>
                <w:tcPr>
                  <w:tcW w:w="259" w:type="pct"/>
                  <w:tcBorders>
                    <w:tl2br w:val="nil"/>
                    <w:tr2bl w:val="nil"/>
                  </w:tcBorders>
                  <w:vAlign w:val="center"/>
                </w:tcPr>
                <w:p>
                  <w:pPr>
                    <w:widowControl/>
                    <w:jc w:val="center"/>
                    <w:rPr>
                      <w:rFonts w:hint="eastAsia" w:ascii="Times New Roman" w:hAnsi="Times New Roman" w:eastAsia="宋体" w:cs="Times New Roman"/>
                      <w:kern w:val="2"/>
                      <w:sz w:val="21"/>
                      <w:szCs w:val="21"/>
                      <w:highlight w:val="none"/>
                      <w:lang w:val="en-US" w:eastAsia="zh-CN" w:bidi="ar-SA"/>
                    </w:rPr>
                  </w:pPr>
                  <w:r>
                    <w:rPr>
                      <w:rFonts w:hint="eastAsia" w:cs="Times New Roman"/>
                      <w:sz w:val="21"/>
                      <w:szCs w:val="21"/>
                      <w:highlight w:val="none"/>
                      <w:lang w:val="en-US" w:eastAsia="zh-CN"/>
                    </w:rPr>
                    <w:t>70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continue"/>
                  <w:tcBorders>
                    <w:tl2br w:val="nil"/>
                    <w:tr2bl w:val="nil"/>
                  </w:tcBorders>
                  <w:vAlign w:val="center"/>
                </w:tcPr>
                <w:p>
                  <w:pPr>
                    <w:widowControl/>
                    <w:jc w:val="center"/>
                    <w:rPr>
                      <w:rFonts w:hint="eastAsia"/>
                      <w:szCs w:val="21"/>
                      <w:lang w:val="en-US" w:eastAsia="zh-CN"/>
                    </w:rPr>
                  </w:pPr>
                </w:p>
              </w:tc>
              <w:tc>
                <w:tcPr>
                  <w:tcW w:w="663" w:type="pct"/>
                  <w:tcBorders>
                    <w:tl2br w:val="nil"/>
                    <w:tr2bl w:val="nil"/>
                  </w:tcBorders>
                  <w:vAlign w:val="center"/>
                </w:tcPr>
                <w:p>
                  <w:pPr>
                    <w:widowControl/>
                    <w:jc w:val="center"/>
                    <w:rPr>
                      <w:rFonts w:hint="default" w:eastAsia="宋体"/>
                      <w:szCs w:val="21"/>
                      <w:lang w:val="en-US" w:eastAsia="zh-CN"/>
                    </w:rPr>
                  </w:pPr>
                  <w:r>
                    <w:rPr>
                      <w:rFonts w:hint="eastAsia"/>
                      <w:szCs w:val="21"/>
                      <w:lang w:val="en-US" w:eastAsia="zh-CN"/>
                    </w:rPr>
                    <w:t>T2</w:t>
                  </w:r>
                </w:p>
              </w:tc>
              <w:tc>
                <w:tcPr>
                  <w:tcW w:w="871" w:type="pct"/>
                  <w:tcBorders>
                    <w:tl2br w:val="nil"/>
                    <w:tr2bl w:val="nil"/>
                  </w:tcBorders>
                  <w:vAlign w:val="center"/>
                </w:tcPr>
                <w:p>
                  <w:pPr>
                    <w:widowControl/>
                    <w:jc w:val="center"/>
                    <w:rPr>
                      <w:szCs w:val="21"/>
                    </w:rPr>
                  </w:pPr>
                  <w:r>
                    <w:rPr>
                      <w:szCs w:val="21"/>
                    </w:rPr>
                    <w:t>监测值</w:t>
                  </w:r>
                </w:p>
              </w:tc>
              <w:tc>
                <w:tcPr>
                  <w:tcW w:w="645"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6.8</w:t>
                  </w:r>
                </w:p>
              </w:tc>
              <w:tc>
                <w:tcPr>
                  <w:tcW w:w="306"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0.12</w:t>
                  </w:r>
                </w:p>
              </w:tc>
              <w:tc>
                <w:tcPr>
                  <w:tcW w:w="361"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0.207</w:t>
                  </w:r>
                </w:p>
              </w:tc>
              <w:tc>
                <w:tcPr>
                  <w:tcW w:w="318"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24.2</w:t>
                  </w:r>
                </w:p>
              </w:tc>
              <w:tc>
                <w:tcPr>
                  <w:tcW w:w="269"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37.9</w:t>
                  </w:r>
                </w:p>
              </w:tc>
              <w:tc>
                <w:tcPr>
                  <w:tcW w:w="280"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26.2</w:t>
                  </w:r>
                </w:p>
              </w:tc>
              <w:tc>
                <w:tcPr>
                  <w:tcW w:w="392"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0.5ND</w:t>
                  </w:r>
                </w:p>
              </w:tc>
              <w:tc>
                <w:tcPr>
                  <w:tcW w:w="293"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126.9</w:t>
                  </w:r>
                </w:p>
              </w:tc>
              <w:tc>
                <w:tcPr>
                  <w:tcW w:w="259"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19.7</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continue"/>
                  <w:tcBorders>
                    <w:tl2br w:val="nil"/>
                    <w:tr2bl w:val="nil"/>
                  </w:tcBorders>
                  <w:vAlign w:val="center"/>
                </w:tcPr>
                <w:p>
                  <w:pPr>
                    <w:widowControl/>
                    <w:jc w:val="center"/>
                    <w:rPr>
                      <w:rFonts w:hint="eastAsia"/>
                      <w:szCs w:val="21"/>
                      <w:highlight w:val="none"/>
                      <w:lang w:val="en-US" w:eastAsia="zh-CN"/>
                    </w:rPr>
                  </w:pPr>
                </w:p>
              </w:tc>
              <w:tc>
                <w:tcPr>
                  <w:tcW w:w="1534" w:type="pct"/>
                  <w:gridSpan w:val="2"/>
                  <w:tcBorders>
                    <w:tl2br w:val="nil"/>
                    <w:tr2bl w:val="nil"/>
                  </w:tcBorders>
                  <w:vAlign w:val="center"/>
                </w:tcPr>
                <w:p>
                  <w:pPr>
                    <w:widowControl/>
                    <w:jc w:val="center"/>
                    <w:rPr>
                      <w:szCs w:val="21"/>
                      <w:highlight w:val="none"/>
                    </w:rPr>
                  </w:pPr>
                  <w:r>
                    <w:rPr>
                      <w:rFonts w:eastAsia="Times New Roman"/>
                      <w:szCs w:val="21"/>
                      <w:highlight w:val="none"/>
                    </w:rPr>
                    <w:t>GB15618-</w:t>
                  </w:r>
                  <w:r>
                    <w:rPr>
                      <w:rFonts w:hint="eastAsia" w:eastAsia="宋体"/>
                      <w:szCs w:val="21"/>
                      <w:highlight w:val="none"/>
                      <w:lang w:val="en-US" w:eastAsia="zh-CN"/>
                    </w:rPr>
                    <w:t>2018</w:t>
                  </w:r>
                </w:p>
              </w:tc>
              <w:tc>
                <w:tcPr>
                  <w:tcW w:w="645" w:type="pct"/>
                  <w:tcBorders>
                    <w:tl2br w:val="nil"/>
                    <w:tr2bl w:val="nil"/>
                  </w:tcBorders>
                  <w:vAlign w:val="center"/>
                </w:tcPr>
                <w:p>
                  <w:pPr>
                    <w:widowControl/>
                    <w:jc w:val="center"/>
                    <w:rPr>
                      <w:rFonts w:hint="eastAsia" w:ascii="Times New Roman" w:hAnsi="Times New Roman" w:eastAsia="Times New Roman"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6</w:t>
                  </w:r>
                  <w:r>
                    <w:rPr>
                      <w:rFonts w:hint="default" w:ascii="Times New Roman" w:hAnsi="Times New Roman" w:cs="Times New Roman"/>
                      <w:sz w:val="21"/>
                      <w:szCs w:val="21"/>
                      <w:highlight w:val="none"/>
                      <w:lang w:val="en-US" w:eastAsia="zh-CN"/>
                    </w:rPr>
                    <w:t>.5&lt;pH≤</w:t>
                  </w:r>
                  <w:r>
                    <w:rPr>
                      <w:rFonts w:hint="eastAsia" w:ascii="Times New Roman" w:hAnsi="Times New Roman" w:cs="Times New Roman"/>
                      <w:sz w:val="21"/>
                      <w:szCs w:val="21"/>
                      <w:highlight w:val="none"/>
                      <w:lang w:val="en-US" w:eastAsia="zh-CN"/>
                    </w:rPr>
                    <w:t>7</w:t>
                  </w:r>
                  <w:r>
                    <w:rPr>
                      <w:rFonts w:hint="default" w:ascii="Times New Roman" w:hAnsi="Times New Roman" w:cs="Times New Roman"/>
                      <w:sz w:val="21"/>
                      <w:szCs w:val="21"/>
                      <w:highlight w:val="none"/>
                      <w:lang w:val="en-US" w:eastAsia="zh-CN"/>
                    </w:rPr>
                    <w:t>.5</w:t>
                  </w:r>
                </w:p>
              </w:tc>
              <w:tc>
                <w:tcPr>
                  <w:tcW w:w="306"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0.6</w:t>
                  </w:r>
                </w:p>
              </w:tc>
              <w:tc>
                <w:tcPr>
                  <w:tcW w:w="361"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0.6</w:t>
                  </w:r>
                </w:p>
              </w:tc>
              <w:tc>
                <w:tcPr>
                  <w:tcW w:w="318"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25</w:t>
                  </w:r>
                </w:p>
              </w:tc>
              <w:tc>
                <w:tcPr>
                  <w:tcW w:w="269"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100</w:t>
                  </w:r>
                </w:p>
              </w:tc>
              <w:tc>
                <w:tcPr>
                  <w:tcW w:w="280"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140</w:t>
                  </w:r>
                </w:p>
              </w:tc>
              <w:tc>
                <w:tcPr>
                  <w:tcW w:w="392"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300</w:t>
                  </w:r>
                </w:p>
              </w:tc>
              <w:tc>
                <w:tcPr>
                  <w:tcW w:w="293"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250</w:t>
                  </w:r>
                </w:p>
              </w:tc>
              <w:tc>
                <w:tcPr>
                  <w:tcW w:w="259"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continue"/>
                  <w:tcBorders>
                    <w:tl2br w:val="nil"/>
                    <w:tr2bl w:val="nil"/>
                  </w:tcBorders>
                  <w:vAlign w:val="center"/>
                </w:tcPr>
                <w:p>
                  <w:pPr>
                    <w:widowControl/>
                    <w:jc w:val="center"/>
                    <w:rPr>
                      <w:rFonts w:hint="eastAsia"/>
                      <w:szCs w:val="21"/>
                      <w:highlight w:val="none"/>
                      <w:lang w:val="en-US" w:eastAsia="zh-CN"/>
                    </w:rPr>
                  </w:pPr>
                </w:p>
              </w:tc>
              <w:tc>
                <w:tcPr>
                  <w:tcW w:w="663" w:type="pct"/>
                  <w:tcBorders>
                    <w:tl2br w:val="nil"/>
                    <w:tr2bl w:val="nil"/>
                  </w:tcBorders>
                  <w:vAlign w:val="center"/>
                </w:tcPr>
                <w:p>
                  <w:pPr>
                    <w:widowControl/>
                    <w:jc w:val="center"/>
                    <w:rPr>
                      <w:rFonts w:hint="default" w:eastAsia="宋体"/>
                      <w:szCs w:val="21"/>
                      <w:highlight w:val="none"/>
                      <w:lang w:val="en-US" w:eastAsia="zh-CN"/>
                    </w:rPr>
                  </w:pPr>
                  <w:r>
                    <w:rPr>
                      <w:rFonts w:hint="eastAsia"/>
                      <w:szCs w:val="21"/>
                      <w:highlight w:val="none"/>
                      <w:lang w:val="en-US" w:eastAsia="zh-CN"/>
                    </w:rPr>
                    <w:t>T3</w:t>
                  </w:r>
                </w:p>
              </w:tc>
              <w:tc>
                <w:tcPr>
                  <w:tcW w:w="871" w:type="pct"/>
                  <w:tcBorders>
                    <w:tl2br w:val="nil"/>
                    <w:tr2bl w:val="nil"/>
                  </w:tcBorders>
                  <w:vAlign w:val="center"/>
                </w:tcPr>
                <w:p>
                  <w:pPr>
                    <w:widowControl/>
                    <w:jc w:val="center"/>
                    <w:rPr>
                      <w:szCs w:val="21"/>
                      <w:highlight w:val="none"/>
                    </w:rPr>
                  </w:pPr>
                  <w:r>
                    <w:rPr>
                      <w:szCs w:val="21"/>
                      <w:highlight w:val="none"/>
                    </w:rPr>
                    <w:t>监测值</w:t>
                  </w:r>
                </w:p>
              </w:tc>
              <w:tc>
                <w:tcPr>
                  <w:tcW w:w="645"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7.11</w:t>
                  </w:r>
                </w:p>
              </w:tc>
              <w:tc>
                <w:tcPr>
                  <w:tcW w:w="306"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0.82</w:t>
                  </w:r>
                </w:p>
              </w:tc>
              <w:tc>
                <w:tcPr>
                  <w:tcW w:w="361"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0.154</w:t>
                  </w:r>
                </w:p>
              </w:tc>
              <w:tc>
                <w:tcPr>
                  <w:tcW w:w="318" w:type="pct"/>
                  <w:tcBorders>
                    <w:tl2br w:val="nil"/>
                    <w:tr2bl w:val="nil"/>
                  </w:tcBorders>
                  <w:vAlign w:val="center"/>
                </w:tcPr>
                <w:p>
                  <w:pPr>
                    <w:widowControl/>
                    <w:jc w:val="center"/>
                    <w:rPr>
                      <w:rFonts w:hint="default"/>
                      <w:szCs w:val="21"/>
                      <w:highlight w:val="none"/>
                      <w:lang w:val="en-US" w:eastAsia="zh-CN"/>
                    </w:rPr>
                  </w:pPr>
                  <w:r>
                    <w:rPr>
                      <w:rFonts w:hint="eastAsia"/>
                      <w:szCs w:val="21"/>
                      <w:highlight w:val="none"/>
                      <w:lang w:val="en-US" w:eastAsia="zh-CN"/>
                    </w:rPr>
                    <w:t>26.1</w:t>
                  </w:r>
                </w:p>
              </w:tc>
              <w:tc>
                <w:tcPr>
                  <w:tcW w:w="269"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43.2</w:t>
                  </w:r>
                </w:p>
              </w:tc>
              <w:tc>
                <w:tcPr>
                  <w:tcW w:w="280"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30.1</w:t>
                  </w:r>
                </w:p>
              </w:tc>
              <w:tc>
                <w:tcPr>
                  <w:tcW w:w="392"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0.5ND</w:t>
                  </w:r>
                </w:p>
              </w:tc>
              <w:tc>
                <w:tcPr>
                  <w:tcW w:w="293"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153.7</w:t>
                  </w:r>
                </w:p>
              </w:tc>
              <w:tc>
                <w:tcPr>
                  <w:tcW w:w="259" w:type="pct"/>
                  <w:tcBorders>
                    <w:tl2br w:val="nil"/>
                    <w:tr2bl w:val="nil"/>
                  </w:tcBorders>
                  <w:vAlign w:val="center"/>
                </w:tcPr>
                <w:p>
                  <w:pPr>
                    <w:widowControl/>
                    <w:jc w:val="center"/>
                    <w:rPr>
                      <w:rFonts w:hint="default"/>
                      <w:szCs w:val="21"/>
                      <w:lang w:val="en-US" w:eastAsia="zh-CN"/>
                    </w:rPr>
                  </w:pPr>
                  <w:r>
                    <w:rPr>
                      <w:rFonts w:hint="eastAsia"/>
                      <w:szCs w:val="21"/>
                      <w:lang w:val="en-US" w:eastAsia="zh-CN"/>
                    </w:rPr>
                    <w:t>21.8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continue"/>
                  <w:tcBorders>
                    <w:tl2br w:val="nil"/>
                    <w:tr2bl w:val="nil"/>
                  </w:tcBorders>
                  <w:vAlign w:val="center"/>
                </w:tcPr>
                <w:p>
                  <w:pPr>
                    <w:widowControl/>
                    <w:jc w:val="center"/>
                    <w:rPr>
                      <w:rFonts w:eastAsia="Times New Roman"/>
                      <w:szCs w:val="21"/>
                    </w:rPr>
                  </w:pPr>
                </w:p>
              </w:tc>
              <w:tc>
                <w:tcPr>
                  <w:tcW w:w="1534" w:type="pct"/>
                  <w:gridSpan w:val="2"/>
                  <w:tcBorders>
                    <w:tl2br w:val="nil"/>
                    <w:tr2bl w:val="nil"/>
                  </w:tcBorders>
                  <w:vAlign w:val="center"/>
                </w:tcPr>
                <w:p>
                  <w:pPr>
                    <w:widowControl/>
                    <w:jc w:val="center"/>
                    <w:rPr>
                      <w:rFonts w:hint="default" w:eastAsia="宋体"/>
                      <w:szCs w:val="21"/>
                      <w:lang w:val="en-US" w:eastAsia="zh-CN"/>
                    </w:rPr>
                  </w:pPr>
                  <w:r>
                    <w:rPr>
                      <w:rFonts w:eastAsia="Times New Roman"/>
                      <w:szCs w:val="21"/>
                    </w:rPr>
                    <w:t>GB15618-</w:t>
                  </w:r>
                  <w:r>
                    <w:rPr>
                      <w:rFonts w:hint="eastAsia" w:eastAsia="宋体"/>
                      <w:szCs w:val="21"/>
                      <w:lang w:val="en-US" w:eastAsia="zh-CN"/>
                    </w:rPr>
                    <w:t>2018</w:t>
                  </w:r>
                </w:p>
              </w:tc>
              <w:tc>
                <w:tcPr>
                  <w:tcW w:w="645" w:type="pct"/>
                  <w:tcBorders>
                    <w:tl2br w:val="nil"/>
                    <w:tr2bl w:val="nil"/>
                  </w:tcBorders>
                  <w:vAlign w:val="center"/>
                </w:tcPr>
                <w:p>
                  <w:pPr>
                    <w:widowControl/>
                    <w:jc w:val="center"/>
                    <w:rPr>
                      <w:rFonts w:hint="default" w:ascii="Times New Roman" w:hAnsi="Times New Roman" w:eastAsia="Times New Roman" w:cs="Times New Roman"/>
                      <w:kern w:val="2"/>
                      <w:sz w:val="21"/>
                      <w:szCs w:val="21"/>
                      <w:highlight w:val="none"/>
                      <w:lang w:val="en-US" w:eastAsia="zh-CN" w:bidi="ar-SA"/>
                    </w:rPr>
                  </w:pPr>
                  <w:r>
                    <w:rPr>
                      <w:rFonts w:hint="eastAsia" w:ascii="Times New Roman" w:hAnsi="Times New Roman" w:cs="Times New Roman"/>
                      <w:sz w:val="21"/>
                      <w:szCs w:val="21"/>
                      <w:highlight w:val="none"/>
                      <w:lang w:val="en-US" w:eastAsia="zh-CN"/>
                    </w:rPr>
                    <w:t>6</w:t>
                  </w:r>
                  <w:r>
                    <w:rPr>
                      <w:rFonts w:hint="default" w:ascii="Times New Roman" w:hAnsi="Times New Roman" w:cs="Times New Roman"/>
                      <w:sz w:val="21"/>
                      <w:szCs w:val="21"/>
                      <w:highlight w:val="none"/>
                      <w:lang w:val="en-US" w:eastAsia="zh-CN"/>
                    </w:rPr>
                    <w:t>.5&lt;pH≤</w:t>
                  </w:r>
                  <w:r>
                    <w:rPr>
                      <w:rFonts w:hint="eastAsia" w:ascii="Times New Roman" w:hAnsi="Times New Roman" w:cs="Times New Roman"/>
                      <w:sz w:val="21"/>
                      <w:szCs w:val="21"/>
                      <w:highlight w:val="none"/>
                      <w:lang w:val="en-US" w:eastAsia="zh-CN"/>
                    </w:rPr>
                    <w:t>7</w:t>
                  </w:r>
                  <w:r>
                    <w:rPr>
                      <w:rFonts w:hint="default" w:ascii="Times New Roman" w:hAnsi="Times New Roman" w:cs="Times New Roman"/>
                      <w:sz w:val="21"/>
                      <w:szCs w:val="21"/>
                      <w:highlight w:val="none"/>
                      <w:lang w:val="en-US" w:eastAsia="zh-CN"/>
                    </w:rPr>
                    <w:t>.5</w:t>
                  </w:r>
                </w:p>
              </w:tc>
              <w:tc>
                <w:tcPr>
                  <w:tcW w:w="306"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0.6</w:t>
                  </w:r>
                </w:p>
              </w:tc>
              <w:tc>
                <w:tcPr>
                  <w:tcW w:w="361"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0.6</w:t>
                  </w:r>
                </w:p>
              </w:tc>
              <w:tc>
                <w:tcPr>
                  <w:tcW w:w="318"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25</w:t>
                  </w:r>
                </w:p>
              </w:tc>
              <w:tc>
                <w:tcPr>
                  <w:tcW w:w="269"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100</w:t>
                  </w:r>
                </w:p>
              </w:tc>
              <w:tc>
                <w:tcPr>
                  <w:tcW w:w="280"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140</w:t>
                  </w:r>
                </w:p>
              </w:tc>
              <w:tc>
                <w:tcPr>
                  <w:tcW w:w="392" w:type="pct"/>
                  <w:tcBorders>
                    <w:tl2br w:val="nil"/>
                    <w:tr2bl w:val="nil"/>
                  </w:tcBorders>
                  <w:vAlign w:val="center"/>
                </w:tcPr>
                <w:p>
                  <w:pPr>
                    <w:widowControl/>
                    <w:jc w:val="center"/>
                    <w:rPr>
                      <w:rFonts w:hint="eastAsia" w:ascii="Times New Roman" w:hAnsi="Times New Roman" w:eastAsia="宋体" w:cs="Times New Roman"/>
                      <w:kern w:val="2"/>
                      <w:sz w:val="21"/>
                      <w:szCs w:val="21"/>
                      <w:lang w:val="en-US" w:eastAsia="zh-CN" w:bidi="ar-SA"/>
                    </w:rPr>
                  </w:pPr>
                  <w:r>
                    <w:rPr>
                      <w:rFonts w:hint="eastAsia"/>
                      <w:szCs w:val="21"/>
                      <w:lang w:val="en-US" w:eastAsia="zh-CN"/>
                    </w:rPr>
                    <w:t>300</w:t>
                  </w:r>
                </w:p>
              </w:tc>
              <w:tc>
                <w:tcPr>
                  <w:tcW w:w="293"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250</w:t>
                  </w:r>
                </w:p>
              </w:tc>
              <w:tc>
                <w:tcPr>
                  <w:tcW w:w="259"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eastAsia"/>
                      <w:szCs w:val="21"/>
                      <w:lang w:val="en-US" w:eastAsia="zh-CN"/>
                    </w:rPr>
                    <w:t>100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jc w:val="center"/>
              </w:trPr>
              <w:tc>
                <w:tcPr>
                  <w:tcW w:w="339" w:type="pct"/>
                  <w:vMerge w:val="continue"/>
                  <w:tcBorders>
                    <w:tl2br w:val="nil"/>
                    <w:tr2bl w:val="nil"/>
                  </w:tcBorders>
                  <w:vAlign w:val="center"/>
                </w:tcPr>
                <w:p>
                  <w:pPr>
                    <w:widowControl/>
                    <w:jc w:val="center"/>
                    <w:rPr>
                      <w:rFonts w:eastAsia="Times New Roman"/>
                      <w:szCs w:val="21"/>
                    </w:rPr>
                  </w:pPr>
                </w:p>
              </w:tc>
              <w:tc>
                <w:tcPr>
                  <w:tcW w:w="1534" w:type="pct"/>
                  <w:gridSpan w:val="2"/>
                  <w:tcBorders>
                    <w:tl2br w:val="nil"/>
                    <w:tr2bl w:val="nil"/>
                  </w:tcBorders>
                  <w:vAlign w:val="center"/>
                </w:tcPr>
                <w:p>
                  <w:pPr>
                    <w:widowControl/>
                    <w:jc w:val="center"/>
                    <w:rPr>
                      <w:rFonts w:hint="eastAsia" w:eastAsia="宋体"/>
                      <w:szCs w:val="21"/>
                      <w:lang w:val="en-US" w:eastAsia="zh-CN"/>
                    </w:rPr>
                  </w:pPr>
                  <w:r>
                    <w:rPr>
                      <w:rFonts w:hint="eastAsia" w:eastAsia="宋体"/>
                      <w:szCs w:val="21"/>
                      <w:lang w:val="en-US" w:eastAsia="zh-CN"/>
                    </w:rPr>
                    <w:t>达标情况</w:t>
                  </w:r>
                </w:p>
              </w:tc>
              <w:tc>
                <w:tcPr>
                  <w:tcW w:w="645"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306"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361"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318"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269" w:type="pct"/>
                  <w:tcBorders>
                    <w:tl2br w:val="nil"/>
                    <w:tr2bl w:val="nil"/>
                  </w:tcBorders>
                  <w:vAlign w:val="center"/>
                </w:tcPr>
                <w:p>
                  <w:pPr>
                    <w:widowControl/>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280"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392"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293"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c>
                <w:tcPr>
                  <w:tcW w:w="259" w:type="pct"/>
                  <w:tcBorders>
                    <w:tl2br w:val="nil"/>
                    <w:tr2bl w:val="nil"/>
                  </w:tcBorders>
                  <w:vAlign w:val="center"/>
                </w:tcPr>
                <w:p>
                  <w:pPr>
                    <w:widowControl/>
                    <w:jc w:val="center"/>
                    <w:rPr>
                      <w:rFonts w:hint="default" w:ascii="Times New Roman" w:hAnsi="Times New Roman" w:eastAsia="Times New Roman" w:cs="Times New Roman"/>
                      <w:kern w:val="2"/>
                      <w:sz w:val="21"/>
                      <w:szCs w:val="21"/>
                      <w:lang w:val="en-US" w:eastAsia="zh-CN" w:bidi="ar-SA"/>
                    </w:rPr>
                  </w:pPr>
                  <w:r>
                    <w:rPr>
                      <w:rFonts w:hint="default" w:ascii="Times New Roman" w:hAnsi="Times New Roman" w:eastAsia="宋体" w:cs="Times New Roman"/>
                      <w:sz w:val="21"/>
                      <w:szCs w:val="21"/>
                      <w:lang w:eastAsia="zh-CN"/>
                    </w:rPr>
                    <w:t>达标</w:t>
                  </w:r>
                </w:p>
              </w:tc>
            </w:tr>
          </w:tbl>
          <w:p>
            <w:pPr>
              <w:adjustRightInd w:val="0"/>
              <w:snapToGrid w:val="0"/>
              <w:spacing w:line="360" w:lineRule="auto"/>
              <w:ind w:firstLine="480" w:firstLineChars="200"/>
              <w:rPr>
                <w:rFonts w:hint="eastAsia" w:eastAsia="宋体"/>
                <w:color w:val="auto"/>
                <w:sz w:val="24"/>
                <w:highlight w:val="none"/>
                <w:u w:val="single"/>
                <w:lang w:val="en-US" w:eastAsia="zh-CN"/>
              </w:rPr>
            </w:pPr>
            <w:r>
              <w:rPr>
                <w:sz w:val="24"/>
                <w:highlight w:val="none"/>
                <w:u w:val="single"/>
              </w:rPr>
              <w:t>监测结果表明：</w:t>
            </w:r>
            <w:r>
              <w:rPr>
                <w:rFonts w:hint="eastAsia"/>
                <w:sz w:val="24"/>
                <w:highlight w:val="none"/>
                <w:u w:val="single"/>
                <w:lang w:eastAsia="zh-CN"/>
              </w:rPr>
              <w:t>底泥</w:t>
            </w:r>
            <w:r>
              <w:rPr>
                <w:sz w:val="24"/>
                <w:highlight w:val="none"/>
                <w:u w:val="single"/>
              </w:rPr>
              <w:t>现状监测因子</w:t>
            </w:r>
            <w:r>
              <w:rPr>
                <w:rFonts w:hint="eastAsia"/>
                <w:sz w:val="24"/>
                <w:highlight w:val="none"/>
                <w:u w:val="single"/>
                <w:lang w:eastAsia="zh-CN"/>
              </w:rPr>
              <w:t>除奥敏游泳馆湿塘底泥中砷超标外，其他监测点位监测因子</w:t>
            </w:r>
            <w:r>
              <w:rPr>
                <w:sz w:val="24"/>
                <w:highlight w:val="none"/>
                <w:u w:val="single"/>
              </w:rPr>
              <w:t>的监测值均能达到</w:t>
            </w:r>
            <w:r>
              <w:rPr>
                <w:rFonts w:hint="default" w:ascii="Times New Roman" w:hAnsi="Times New Roman" w:cs="Times New Roman"/>
                <w:color w:val="auto"/>
                <w:spacing w:val="0"/>
                <w:w w:val="100"/>
                <w:kern w:val="0"/>
                <w:position w:val="0"/>
                <w:sz w:val="24"/>
                <w:highlight w:val="none"/>
                <w:u w:val="single"/>
                <w:lang w:val="en-US" w:eastAsia="zh-CN"/>
              </w:rPr>
              <w:t xml:space="preserve">《土壤环境质量 </w:t>
            </w:r>
            <w:r>
              <w:rPr>
                <w:rFonts w:hint="eastAsia" w:cs="Times New Roman"/>
                <w:color w:val="auto"/>
                <w:spacing w:val="0"/>
                <w:w w:val="100"/>
                <w:kern w:val="0"/>
                <w:position w:val="0"/>
                <w:sz w:val="24"/>
                <w:highlight w:val="none"/>
                <w:u w:val="single"/>
                <w:lang w:val="en-US" w:eastAsia="zh-CN"/>
              </w:rPr>
              <w:t>农</w:t>
            </w:r>
            <w:r>
              <w:rPr>
                <w:rFonts w:hint="default" w:ascii="Times New Roman" w:hAnsi="Times New Roman" w:cs="Times New Roman"/>
                <w:color w:val="auto"/>
                <w:spacing w:val="0"/>
                <w:w w:val="100"/>
                <w:kern w:val="0"/>
                <w:position w:val="0"/>
                <w:sz w:val="24"/>
                <w:highlight w:val="none"/>
                <w:u w:val="single"/>
                <w:lang w:val="en-US" w:eastAsia="zh-CN"/>
              </w:rPr>
              <w:t>用地土壤污染风险管控标准</w:t>
            </w:r>
            <w:r>
              <w:rPr>
                <w:rFonts w:hint="default" w:ascii="Times New Roman" w:hAnsi="Times New Roman" w:cs="Times New Roman"/>
                <w:color w:val="auto"/>
                <w:sz w:val="24"/>
                <w:highlight w:val="none"/>
                <w:u w:val="single"/>
              </w:rPr>
              <w:t>（试行）</w:t>
            </w:r>
            <w:r>
              <w:rPr>
                <w:rFonts w:hint="default" w:ascii="Times New Roman" w:hAnsi="Times New Roman" w:cs="Times New Roman"/>
                <w:color w:val="auto"/>
                <w:spacing w:val="0"/>
                <w:w w:val="100"/>
                <w:kern w:val="0"/>
                <w:position w:val="0"/>
                <w:sz w:val="24"/>
                <w:highlight w:val="none"/>
                <w:u w:val="single"/>
                <w:lang w:val="en-US" w:eastAsia="zh-CN"/>
              </w:rPr>
              <w:t>》（CB</w:t>
            </w:r>
            <w:r>
              <w:rPr>
                <w:rFonts w:hint="eastAsia" w:cs="Times New Roman"/>
                <w:color w:val="auto"/>
                <w:spacing w:val="0"/>
                <w:w w:val="100"/>
                <w:kern w:val="0"/>
                <w:position w:val="0"/>
                <w:sz w:val="24"/>
                <w:highlight w:val="none"/>
                <w:u w:val="single"/>
                <w:lang w:val="en-US" w:eastAsia="zh-CN"/>
              </w:rPr>
              <w:t>15618</w:t>
            </w:r>
            <w:r>
              <w:rPr>
                <w:rFonts w:hint="default" w:ascii="Times New Roman" w:hAnsi="Times New Roman" w:cs="Times New Roman"/>
                <w:color w:val="auto"/>
                <w:spacing w:val="0"/>
                <w:w w:val="100"/>
                <w:kern w:val="0"/>
                <w:position w:val="0"/>
                <w:sz w:val="24"/>
                <w:highlight w:val="none"/>
                <w:u w:val="single"/>
                <w:lang w:val="en-US" w:eastAsia="zh-CN"/>
              </w:rPr>
              <w:t>-2018）</w:t>
            </w:r>
            <w:r>
              <w:rPr>
                <w:rFonts w:hint="eastAsia" w:cs="Times New Roman"/>
                <w:color w:val="auto"/>
                <w:spacing w:val="0"/>
                <w:w w:val="100"/>
                <w:kern w:val="0"/>
                <w:position w:val="0"/>
                <w:sz w:val="24"/>
                <w:highlight w:val="none"/>
                <w:u w:val="single"/>
                <w:lang w:val="en-US" w:eastAsia="zh-CN"/>
              </w:rPr>
              <w:t>标准表1标准值。奥敏游泳馆周边农田较多，有机砷农药通过地表径流进入湿塘，砷主要富集于土壤表层，且主要以稳定矿物形式存在向下迁移困难，造成奥敏游泳馆湿塘底泥砷超标。</w:t>
            </w:r>
          </w:p>
          <w:bookmarkEnd w:id="59"/>
          <w:p>
            <w:pPr>
              <w:pStyle w:val="4"/>
              <w:pageBreakBefore w:val="0"/>
              <w:numPr>
                <w:ilvl w:val="1"/>
                <w:numId w:val="0"/>
              </w:numPr>
              <w:kinsoku/>
              <w:wordWrap/>
              <w:topLinePunct w:val="0"/>
              <w:bidi w:val="0"/>
              <w:adjustRightInd/>
              <w:snapToGrid/>
              <w:spacing w:line="360" w:lineRule="auto"/>
              <w:ind w:leftChars="0"/>
              <w:rPr>
                <w:rFonts w:hint="default" w:ascii="Times New Roman" w:hAnsi="Times New Roman" w:eastAsia="宋体" w:cs="Times New Roman"/>
                <w:b/>
                <w:bCs w:val="0"/>
                <w:color w:val="auto"/>
                <w:kern w:val="2"/>
                <w:sz w:val="24"/>
                <w:szCs w:val="24"/>
                <w:lang w:val="en-US" w:eastAsia="zh-CN" w:bidi="ar-SA"/>
              </w:rPr>
            </w:pPr>
            <w:bookmarkStart w:id="60" w:name="_Toc41838324"/>
            <w:bookmarkStart w:id="61" w:name="_Toc21866"/>
            <w:bookmarkStart w:id="62" w:name="_Toc24293"/>
            <w:bookmarkStart w:id="63" w:name="_Toc26418"/>
            <w:r>
              <w:rPr>
                <w:rFonts w:hint="eastAsia" w:ascii="Times New Roman" w:hAnsi="Times New Roman" w:eastAsia="宋体" w:cs="Times New Roman"/>
                <w:b/>
                <w:bCs w:val="0"/>
                <w:color w:val="auto"/>
                <w:kern w:val="2"/>
                <w:sz w:val="24"/>
                <w:szCs w:val="24"/>
                <w:lang w:val="en-US" w:eastAsia="zh-CN" w:bidi="ar-SA"/>
              </w:rPr>
              <w:t>3.5</w:t>
            </w:r>
            <w:r>
              <w:rPr>
                <w:rFonts w:hint="default" w:ascii="Times New Roman" w:hAnsi="Times New Roman" w:eastAsia="宋体" w:cs="Times New Roman"/>
                <w:b/>
                <w:bCs w:val="0"/>
                <w:color w:val="auto"/>
                <w:kern w:val="2"/>
                <w:sz w:val="24"/>
                <w:szCs w:val="24"/>
                <w:lang w:val="en-US" w:eastAsia="zh-CN" w:bidi="ar-SA"/>
              </w:rPr>
              <w:t>土壤环境质量现状</w:t>
            </w:r>
            <w:bookmarkEnd w:id="60"/>
          </w:p>
          <w:p>
            <w:pPr>
              <w:pStyle w:val="7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本评价委托</w:t>
            </w:r>
            <w:r>
              <w:rPr>
                <w:rFonts w:hint="eastAsia" w:ascii="Times New Roman" w:hAnsi="Times New Roman" w:cs="Times New Roman"/>
                <w:color w:val="auto"/>
                <w:sz w:val="24"/>
                <w:szCs w:val="24"/>
                <w:highlight w:val="none"/>
                <w:lang w:eastAsia="zh-CN"/>
              </w:rPr>
              <w:t>湖南</w:t>
            </w:r>
            <w:r>
              <w:rPr>
                <w:rFonts w:hint="eastAsia" w:cs="Times New Roman"/>
                <w:color w:val="auto"/>
                <w:sz w:val="24"/>
                <w:szCs w:val="24"/>
                <w:highlight w:val="none"/>
                <w:lang w:eastAsia="zh-CN"/>
              </w:rPr>
              <w:t>亿科检测有限公司</w:t>
            </w:r>
            <w:r>
              <w:rPr>
                <w:rFonts w:hint="default" w:ascii="Times New Roman" w:hAnsi="Times New Roman" w:eastAsia="宋体" w:cs="Times New Roman"/>
                <w:color w:val="000000" w:themeColor="text1"/>
                <w:sz w:val="24"/>
                <w:szCs w:val="24"/>
                <w:highlight w:val="none"/>
                <w:u w:val="none"/>
                <w14:textFill>
                  <w14:solidFill>
                    <w14:schemeClr w14:val="tx1"/>
                  </w14:solidFill>
                </w14:textFill>
              </w:rPr>
              <w:t>于2020年</w:t>
            </w:r>
            <w:r>
              <w:rPr>
                <w:rFonts w:hint="eastAsia" w:cs="Times New Roman"/>
                <w:color w:val="000000" w:themeColor="text1"/>
                <w:sz w:val="24"/>
                <w:szCs w:val="24"/>
                <w:highlight w:val="none"/>
                <w:u w:val="none"/>
                <w:lang w:val="en-US" w:eastAsia="zh-CN"/>
                <w14:textFill>
                  <w14:solidFill>
                    <w14:schemeClr w14:val="tx1"/>
                  </w14:solidFill>
                </w14:textFill>
              </w:rPr>
              <w:t>8</w:t>
            </w:r>
            <w:r>
              <w:rPr>
                <w:rFonts w:hint="default" w:ascii="Times New Roman" w:hAnsi="Times New Roman" w:eastAsia="宋体" w:cs="Times New Roman"/>
                <w:color w:val="000000" w:themeColor="text1"/>
                <w:sz w:val="24"/>
                <w:szCs w:val="24"/>
                <w:highlight w:val="none"/>
                <w:u w:val="none"/>
                <w14:textFill>
                  <w14:solidFill>
                    <w14:schemeClr w14:val="tx1"/>
                  </w14:solidFill>
                </w14:textFill>
              </w:rPr>
              <w:t>月1</w:t>
            </w:r>
            <w:r>
              <w:rPr>
                <w:rFonts w:hint="eastAsia" w:cs="Times New Roman"/>
                <w:color w:val="000000" w:themeColor="text1"/>
                <w:sz w:val="24"/>
                <w:szCs w:val="24"/>
                <w:highlight w:val="none"/>
                <w:u w:val="none"/>
                <w:lang w:val="en-US" w:eastAsia="zh-CN"/>
                <w14:textFill>
                  <w14:solidFill>
                    <w14:schemeClr w14:val="tx1"/>
                  </w14:solidFill>
                </w14:textFill>
              </w:rPr>
              <w:t>7</w:t>
            </w:r>
            <w:r>
              <w:rPr>
                <w:rFonts w:hint="default" w:ascii="Times New Roman" w:hAnsi="Times New Roman" w:eastAsia="宋体" w:cs="Times New Roman"/>
                <w:color w:val="000000" w:themeColor="text1"/>
                <w:sz w:val="24"/>
                <w:szCs w:val="24"/>
                <w:highlight w:val="none"/>
                <w:u w:val="none"/>
                <w14:textFill>
                  <w14:solidFill>
                    <w14:schemeClr w14:val="tx1"/>
                  </w14:solidFill>
                </w14:textFill>
              </w:rPr>
              <w:t>日对项目区</w:t>
            </w:r>
            <w:r>
              <w:rPr>
                <w:rFonts w:hint="default" w:ascii="Times New Roman" w:hAnsi="Times New Roman" w:eastAsia="宋体" w:cs="Times New Roman"/>
                <w:color w:val="000000" w:themeColor="text1"/>
                <w:sz w:val="24"/>
                <w:szCs w:val="24"/>
                <w:u w:val="none"/>
                <w14:textFill>
                  <w14:solidFill>
                    <w14:schemeClr w14:val="tx1"/>
                  </w14:solidFill>
                </w14:textFill>
              </w:rPr>
              <w:t>土壤进行了监测。</w:t>
            </w:r>
          </w:p>
          <w:p>
            <w:pPr>
              <w:pStyle w:val="74"/>
              <w:keepNext w:val="0"/>
              <w:keepLines w:val="0"/>
              <w:pageBreakBefore w:val="0"/>
              <w:widowControl w:val="0"/>
              <w:numPr>
                <w:ilvl w:val="0"/>
                <w:numId w:val="8"/>
              </w:numPr>
              <w:kinsoku/>
              <w:wordWrap/>
              <w:overflowPunct/>
              <w:topLinePunct w:val="0"/>
              <w:autoSpaceDE/>
              <w:autoSpaceDN/>
              <w:bidi w:val="0"/>
              <w:adjustRightInd/>
              <w:snapToGrid/>
              <w:spacing w:line="360" w:lineRule="auto"/>
              <w:textAlignment w:val="auto"/>
              <w:rPr>
                <w:rFonts w:hint="eastAsia" w:ascii="Times New Roman" w:hAnsi="Times New Roman" w:eastAsia="宋体" w:cs="Times New Roman"/>
                <w:color w:val="000000" w:themeColor="text1"/>
                <w:sz w:val="24"/>
                <w:szCs w:val="24"/>
                <w:u w:val="none"/>
                <w:lang w:eastAsia="zh-CN"/>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监测点位：</w:t>
            </w:r>
            <w:r>
              <w:rPr>
                <w:rFonts w:hint="eastAsia" w:ascii="Times New Roman" w:hAnsi="Times New Roman" w:eastAsia="宋体" w:cs="Times New Roman"/>
                <w:color w:val="000000" w:themeColor="text1"/>
                <w:sz w:val="24"/>
                <w:szCs w:val="24"/>
                <w:u w:val="none"/>
                <w:lang w:eastAsia="zh-CN"/>
                <w14:textFill>
                  <w14:solidFill>
                    <w14:schemeClr w14:val="tx1"/>
                  </w14:solidFill>
                </w14:textFill>
              </w:rPr>
              <w:t>项目</w:t>
            </w:r>
            <w:r>
              <w:rPr>
                <w:rFonts w:hint="default" w:ascii="Times New Roman" w:hAnsi="Times New Roman" w:eastAsia="宋体" w:cs="Times New Roman"/>
                <w:color w:val="000000" w:themeColor="text1"/>
                <w:sz w:val="24"/>
                <w:szCs w:val="24"/>
                <w:u w:val="none"/>
                <w14:textFill>
                  <w14:solidFill>
                    <w14:schemeClr w14:val="tx1"/>
                  </w14:solidFill>
                </w14:textFill>
              </w:rPr>
              <w:t>内共设</w:t>
            </w:r>
            <w:r>
              <w:rPr>
                <w:rFonts w:hint="default" w:ascii="Times New Roman" w:hAnsi="Times New Roman" w:eastAsia="宋体" w:cs="Times New Roman"/>
                <w:color w:val="000000" w:themeColor="text1"/>
                <w:spacing w:val="-60"/>
                <w:sz w:val="24"/>
                <w:szCs w:val="24"/>
                <w:u w:val="none"/>
                <w14:textFill>
                  <w14:solidFill>
                    <w14:schemeClr w14:val="tx1"/>
                  </w14:solidFill>
                </w14:textFill>
              </w:rPr>
              <w:t xml:space="preserve"> </w:t>
            </w:r>
            <w:r>
              <w:rPr>
                <w:rFonts w:hint="eastAsia" w:ascii="Times New Roman" w:hAnsi="Times New Roman" w:eastAsia="宋体" w:cs="Times New Roman"/>
                <w:color w:val="000000" w:themeColor="text1"/>
                <w:sz w:val="24"/>
                <w:szCs w:val="24"/>
                <w:u w:val="none"/>
                <w:lang w:val="en-US" w:eastAsia="zh-CN"/>
                <w14:textFill>
                  <w14:solidFill>
                    <w14:schemeClr w14:val="tx1"/>
                  </w14:solidFill>
                </w14:textFill>
              </w:rPr>
              <w:t>3</w:t>
            </w:r>
            <w:r>
              <w:rPr>
                <w:rFonts w:hint="default" w:ascii="Times New Roman" w:hAnsi="Times New Roman" w:eastAsia="宋体" w:cs="Times New Roman"/>
                <w:color w:val="000000" w:themeColor="text1"/>
                <w:sz w:val="24"/>
                <w:szCs w:val="24"/>
                <w:u w:val="none"/>
                <w14:textFill>
                  <w14:solidFill>
                    <w14:schemeClr w14:val="tx1"/>
                  </w14:solidFill>
                </w14:textFill>
              </w:rPr>
              <w:t>个土壤环境现状监测点（</w:t>
            </w:r>
            <w:r>
              <w:rPr>
                <w:rFonts w:hint="eastAsia" w:ascii="Times New Roman" w:hAnsi="Times New Roman" w:eastAsia="宋体" w:cs="Times New Roman"/>
                <w:color w:val="000000" w:themeColor="text1"/>
                <w:sz w:val="24"/>
                <w:szCs w:val="24"/>
                <w:u w:val="none"/>
                <w:lang w:eastAsia="zh-CN"/>
                <w14:textFill>
                  <w14:solidFill>
                    <w14:schemeClr w14:val="tx1"/>
                  </w14:solidFill>
                </w14:textFill>
              </w:rPr>
              <w:t>均为</w:t>
            </w:r>
            <w:r>
              <w:rPr>
                <w:rFonts w:hint="default" w:ascii="Times New Roman" w:hAnsi="Times New Roman" w:eastAsia="宋体" w:cs="Times New Roman"/>
                <w:color w:val="000000" w:themeColor="text1"/>
                <w:sz w:val="24"/>
                <w:szCs w:val="24"/>
                <w:u w:val="none"/>
                <w14:textFill>
                  <w14:solidFill>
                    <w14:schemeClr w14:val="tx1"/>
                  </w14:solidFill>
                </w14:textFill>
              </w:rPr>
              <w:t>表层样）</w:t>
            </w:r>
            <w:r>
              <w:rPr>
                <w:rFonts w:hint="eastAsia" w:ascii="Times New Roman" w:hAnsi="Times New Roman" w:eastAsia="宋体" w:cs="Times New Roman"/>
                <w:color w:val="000000" w:themeColor="text1"/>
                <w:sz w:val="24"/>
                <w:szCs w:val="24"/>
                <w:u w:val="none"/>
                <w:lang w:eastAsia="zh-CN"/>
                <w14:textFill>
                  <w14:solidFill>
                    <w14:schemeClr w14:val="tx1"/>
                  </w14:solidFill>
                </w14:textFill>
              </w:rPr>
              <w:t>监测点位详见下表：</w:t>
            </w:r>
          </w:p>
          <w:p>
            <w:pPr>
              <w:pStyle w:val="8"/>
              <w:pageBreakBefore w:val="0"/>
              <w:kinsoku/>
              <w:wordWrap/>
              <w:topLinePunct w:val="0"/>
              <w:bidi w:val="0"/>
              <w:adjustRightInd/>
              <w:snapToGrid/>
              <w:spacing w:after="0" w:line="360" w:lineRule="auto"/>
              <w:ind w:firstLine="0" w:firstLineChars="0"/>
              <w:jc w:val="center"/>
              <w:rPr>
                <w:rFonts w:hint="default" w:ascii="Times New Roman" w:hAnsi="Times New Roman" w:eastAsia="宋体" w:cs="Times New Roman"/>
                <w:b/>
                <w:color w:val="000000" w:themeColor="text1"/>
                <w:sz w:val="24"/>
                <w:szCs w:val="24"/>
                <w:u w:val="none"/>
                <w14:textFill>
                  <w14:solidFill>
                    <w14:schemeClr w14:val="tx1"/>
                  </w14:solidFill>
                </w14:textFill>
              </w:rPr>
            </w:pPr>
            <w:r>
              <w:rPr>
                <w:rFonts w:hint="default" w:ascii="Times New Roman" w:hAnsi="Times New Roman" w:eastAsia="宋体" w:cs="Times New Roman"/>
                <w:b/>
                <w:color w:val="000000" w:themeColor="text1"/>
                <w:sz w:val="24"/>
                <w:szCs w:val="24"/>
                <w:u w:val="none"/>
                <w14:textFill>
                  <w14:solidFill>
                    <w14:schemeClr w14:val="tx1"/>
                  </w14:solidFill>
                </w14:textFill>
              </w:rPr>
              <w:t>表</w:t>
            </w:r>
            <w:r>
              <w:rPr>
                <w:rFonts w:hint="eastAsia" w:ascii="Times New Roman" w:hAnsi="Times New Roman" w:eastAsia="宋体" w:cs="Times New Roman"/>
                <w:b/>
                <w:color w:val="000000" w:themeColor="text1"/>
                <w:sz w:val="24"/>
                <w:szCs w:val="24"/>
                <w:u w:val="none"/>
                <w:lang w:val="en-US" w:eastAsia="zh-CN"/>
                <w14:textFill>
                  <w14:solidFill>
                    <w14:schemeClr w14:val="tx1"/>
                  </w14:solidFill>
                </w14:textFill>
              </w:rPr>
              <w:t>3.5</w:t>
            </w:r>
            <w:r>
              <w:rPr>
                <w:rFonts w:hint="default" w:ascii="Times New Roman" w:hAnsi="Times New Roman" w:eastAsia="宋体" w:cs="Times New Roman"/>
                <w:b/>
                <w:color w:val="000000" w:themeColor="text1"/>
                <w:sz w:val="24"/>
                <w:szCs w:val="24"/>
                <w:u w:val="none"/>
                <w14:textFill>
                  <w14:solidFill>
                    <w14:schemeClr w14:val="tx1"/>
                  </w14:solidFill>
                </w14:textFill>
              </w:rPr>
              <w:t>-1  厂区内土壤环境质量现状监测统计结果（单位：mg/kg）</w:t>
            </w:r>
          </w:p>
          <w:tbl>
            <w:tblPr>
              <w:tblStyle w:val="2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0"/>
              <w:gridCol w:w="76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4"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vertAlign w:val="baseline"/>
                      <w:lang w:val="en-US" w:eastAsia="zh-CN"/>
                    </w:rPr>
                  </w:pPr>
                  <w:r>
                    <w:rPr>
                      <w:rFonts w:hint="eastAsia" w:ascii="Times New Roman" w:hAnsi="Times New Roman" w:eastAsia="宋体" w:cs="Times New Roman"/>
                      <w:color w:val="000000"/>
                      <w:sz w:val="21"/>
                      <w:szCs w:val="21"/>
                      <w:vertAlign w:val="baseline"/>
                      <w:lang w:val="en-US" w:eastAsia="zh-CN"/>
                    </w:rPr>
                    <w:t>监测点位</w:t>
                  </w:r>
                </w:p>
              </w:tc>
              <w:tc>
                <w:tcPr>
                  <w:tcW w:w="4025"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vertAlign w:val="baseline"/>
                      <w:lang w:val="en-US" w:eastAsia="zh-CN"/>
                    </w:rPr>
                  </w:pPr>
                  <w:r>
                    <w:rPr>
                      <w:rFonts w:hint="eastAsia" w:ascii="Times New Roman" w:hAnsi="Times New Roman" w:eastAsia="宋体" w:cs="Times New Roman"/>
                      <w:color w:val="000000"/>
                      <w:sz w:val="21"/>
                      <w:szCs w:val="21"/>
                      <w:vertAlign w:val="baseline"/>
                      <w:lang w:val="en-US" w:eastAsia="zh-CN"/>
                    </w:rPr>
                    <w:t>监测项目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4"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vertAlign w:val="baseline"/>
                      <w:lang w:val="en-US" w:eastAsia="zh-CN"/>
                    </w:rPr>
                  </w:pPr>
                  <w:r>
                    <w:rPr>
                      <w:rFonts w:hint="default" w:ascii="Times New Roman" w:hAnsi="Times New Roman" w:eastAsia="宋体" w:cs="Times New Roman"/>
                      <w:color w:val="000000"/>
                      <w:sz w:val="21"/>
                      <w:szCs w:val="21"/>
                      <w:vertAlign w:val="baseline"/>
                      <w:lang w:val="en-US" w:eastAsia="zh-CN"/>
                    </w:rPr>
                    <w:t>S1</w:t>
                  </w:r>
                </w:p>
              </w:tc>
              <w:tc>
                <w:tcPr>
                  <w:tcW w:w="4025"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highlight w:val="none"/>
                      <w:vertAlign w:val="baseline"/>
                      <w:lang w:val="en-US" w:eastAsia="zh-CN"/>
                    </w:rPr>
                  </w:pPr>
                  <w:r>
                    <w:rPr>
                      <w:rFonts w:hint="default" w:ascii="Times New Roman" w:hAnsi="Times New Roman" w:eastAsia="宋体" w:cs="Times New Roman"/>
                      <w:color w:val="000000"/>
                      <w:sz w:val="21"/>
                      <w:szCs w:val="21"/>
                      <w:highlight w:val="none"/>
                      <w:lang w:val="en-US" w:eastAsia="zh-CN"/>
                    </w:rPr>
                    <w:t>砷、镉、铬（六价）、铜、铅、汞、镍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4"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vertAlign w:val="baseline"/>
                      <w:lang w:val="en-US" w:eastAsia="zh-CN"/>
                    </w:rPr>
                  </w:pPr>
                  <w:r>
                    <w:rPr>
                      <w:rFonts w:hint="default" w:ascii="Times New Roman" w:hAnsi="Times New Roman" w:eastAsia="宋体" w:cs="Times New Roman"/>
                      <w:color w:val="000000"/>
                      <w:sz w:val="21"/>
                      <w:szCs w:val="21"/>
                      <w:vertAlign w:val="baseline"/>
                      <w:lang w:val="en-US" w:eastAsia="zh-CN"/>
                    </w:rPr>
                    <w:t>S2</w:t>
                  </w:r>
                </w:p>
              </w:tc>
              <w:tc>
                <w:tcPr>
                  <w:tcW w:w="4025"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highlight w:val="none"/>
                      <w:vertAlign w:val="baseline"/>
                      <w:lang w:val="en-US" w:eastAsia="zh-CN"/>
                    </w:rPr>
                  </w:pPr>
                  <w:r>
                    <w:rPr>
                      <w:rFonts w:hint="default" w:ascii="Times New Roman" w:hAnsi="Times New Roman" w:eastAsia="宋体" w:cs="Times New Roman"/>
                      <w:color w:val="000000"/>
                      <w:sz w:val="21"/>
                      <w:szCs w:val="21"/>
                      <w:highlight w:val="none"/>
                      <w:lang w:val="en-US" w:eastAsia="zh-CN"/>
                    </w:rPr>
                    <w:t>砷、镉、铬（六价）、铜、铅、汞、镍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74"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vertAlign w:val="baseline"/>
                      <w:lang w:val="en-US" w:eastAsia="zh-CN"/>
                    </w:rPr>
                  </w:pPr>
                  <w:r>
                    <w:rPr>
                      <w:rFonts w:hint="default" w:ascii="Times New Roman" w:hAnsi="Times New Roman" w:eastAsia="宋体" w:cs="Times New Roman"/>
                      <w:color w:val="000000"/>
                      <w:sz w:val="21"/>
                      <w:szCs w:val="21"/>
                      <w:vertAlign w:val="baseline"/>
                      <w:lang w:val="en-US" w:eastAsia="zh-CN"/>
                    </w:rPr>
                    <w:t>S3</w:t>
                  </w:r>
                </w:p>
              </w:tc>
              <w:tc>
                <w:tcPr>
                  <w:tcW w:w="4025" w:type="pct"/>
                  <w:noWrap w:val="0"/>
                  <w:vAlign w:val="center"/>
                </w:tcPr>
                <w:p>
                  <w:pPr>
                    <w:numPr>
                      <w:ilvl w:val="0"/>
                      <w:numId w:val="0"/>
                    </w:numPr>
                    <w:spacing w:line="240" w:lineRule="auto"/>
                    <w:jc w:val="center"/>
                    <w:outlineLvl w:val="1"/>
                    <w:rPr>
                      <w:rFonts w:hint="default" w:ascii="Times New Roman" w:hAnsi="Times New Roman" w:eastAsia="宋体" w:cs="Times New Roman"/>
                      <w:color w:val="000000"/>
                      <w:sz w:val="21"/>
                      <w:szCs w:val="21"/>
                      <w:highlight w:val="none"/>
                      <w:vertAlign w:val="baseline"/>
                      <w:lang w:val="en-US" w:eastAsia="zh-CN"/>
                    </w:rPr>
                  </w:pPr>
                  <w:r>
                    <w:rPr>
                      <w:rFonts w:hint="default" w:ascii="Times New Roman" w:hAnsi="Times New Roman" w:eastAsia="宋体" w:cs="Times New Roman"/>
                      <w:color w:val="000000"/>
                      <w:sz w:val="21"/>
                      <w:szCs w:val="21"/>
                      <w:highlight w:val="none"/>
                      <w:lang w:val="en-US" w:eastAsia="zh-CN"/>
                    </w:rPr>
                    <w:t>砷、镉、铬（六价）、铜、铅、汞、镍</w:t>
                  </w:r>
                </w:p>
              </w:tc>
            </w:tr>
          </w:tbl>
          <w:p>
            <w:pPr>
              <w:pStyle w:val="7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（2）监测因子：</w:t>
            </w:r>
          </w:p>
          <w:p>
            <w:pPr>
              <w:pStyle w:val="74"/>
              <w:keepNext w:val="0"/>
              <w:keepLines w:val="0"/>
              <w:pageBreakBefore w:val="0"/>
              <w:widowControl w:val="0"/>
              <w:kinsoku/>
              <w:wordWrap/>
              <w:overflowPunct/>
              <w:topLinePunct w:val="0"/>
              <w:autoSpaceDE/>
              <w:autoSpaceDN/>
              <w:bidi w:val="0"/>
              <w:adjustRightInd/>
              <w:snapToGrid/>
              <w:spacing w:line="360" w:lineRule="auto"/>
              <w:ind w:left="0" w:leftChars="0" w:firstLine="452" w:firstLineChars="200"/>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pacing w:val="-7"/>
                <w:sz w:val="24"/>
                <w:szCs w:val="24"/>
                <w:u w:val="none"/>
                <w:lang w:val="en-US" w:eastAsia="zh-CN"/>
                <w14:textFill>
                  <w14:solidFill>
                    <w14:schemeClr w14:val="tx1"/>
                  </w14:solidFill>
                </w14:textFill>
              </w:rPr>
              <w:t>砷、镉、铬（六价）、铜、铅、汞、镍</w:t>
            </w:r>
            <w:r>
              <w:rPr>
                <w:rFonts w:hint="default" w:ascii="Times New Roman" w:hAnsi="Times New Roman" w:eastAsia="宋体" w:cs="Times New Roman"/>
                <w:color w:val="000000" w:themeColor="text1"/>
                <w:spacing w:val="-7"/>
                <w:sz w:val="24"/>
                <w:szCs w:val="24"/>
                <w:u w:val="none"/>
                <w14:textFill>
                  <w14:solidFill>
                    <w14:schemeClr w14:val="tx1"/>
                  </w14:solidFill>
                </w14:textFill>
              </w:rPr>
              <w:t>。</w:t>
            </w:r>
          </w:p>
          <w:p>
            <w:pPr>
              <w:pStyle w:val="7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（3）监测频次</w:t>
            </w:r>
          </w:p>
          <w:p>
            <w:pPr>
              <w:pStyle w:val="7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采样监测1次。</w:t>
            </w:r>
          </w:p>
          <w:p>
            <w:pPr>
              <w:pStyle w:val="7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（4）评价标准</w:t>
            </w:r>
          </w:p>
          <w:p>
            <w:pPr>
              <w:pStyle w:val="74"/>
              <w:pageBreakBefore w:val="0"/>
              <w:kinsoku/>
              <w:wordWrap/>
              <w:topLinePunct w:val="0"/>
              <w:bidi w:val="0"/>
              <w:adjustRightInd/>
              <w:snapToGrid/>
              <w:spacing w:line="360" w:lineRule="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监测点执行《土壤环境质量标准 建设用地土壤污染风险管控标准(试行)》(GB36600-2018)表1第二类用地土壤污染风险筛选值。</w:t>
            </w:r>
          </w:p>
          <w:p>
            <w:pPr>
              <w:pStyle w:val="74"/>
              <w:pageBreakBefore w:val="0"/>
              <w:kinsoku/>
              <w:wordWrap/>
              <w:topLinePunct w:val="0"/>
              <w:bidi w:val="0"/>
              <w:adjustRightInd/>
              <w:snapToGrid/>
              <w:spacing w:line="360" w:lineRule="auto"/>
              <w:rPr>
                <w:rFonts w:hint="default" w:ascii="Times New Roman" w:hAnsi="Times New Roman" w:eastAsia="宋体" w:cs="Times New Roman"/>
                <w:color w:val="000000" w:themeColor="text1"/>
                <w:sz w:val="24"/>
                <w:szCs w:val="24"/>
                <w:u w:val="none"/>
                <w14:textFill>
                  <w14:solidFill>
                    <w14:schemeClr w14:val="tx1"/>
                  </w14:solidFill>
                </w14:textFill>
              </w:rPr>
            </w:pPr>
            <w:r>
              <w:rPr>
                <w:rFonts w:hint="default" w:ascii="Times New Roman" w:hAnsi="Times New Roman" w:eastAsia="宋体" w:cs="Times New Roman"/>
                <w:color w:val="000000" w:themeColor="text1"/>
                <w:sz w:val="24"/>
                <w:szCs w:val="24"/>
                <w:u w:val="none"/>
                <w14:textFill>
                  <w14:solidFill>
                    <w14:schemeClr w14:val="tx1"/>
                  </w14:solidFill>
                </w14:textFill>
              </w:rPr>
              <w:t>（5）监测结果及评价</w:t>
            </w:r>
          </w:p>
          <w:p>
            <w:pPr>
              <w:pStyle w:val="8"/>
              <w:pageBreakBefore w:val="0"/>
              <w:kinsoku/>
              <w:wordWrap/>
              <w:topLinePunct w:val="0"/>
              <w:bidi w:val="0"/>
              <w:adjustRightInd/>
              <w:snapToGrid/>
              <w:spacing w:after="0" w:line="360" w:lineRule="auto"/>
              <w:ind w:firstLine="0" w:firstLineChars="0"/>
              <w:jc w:val="center"/>
              <w:rPr>
                <w:rFonts w:hint="default" w:ascii="Times New Roman" w:hAnsi="Times New Roman" w:eastAsia="宋体" w:cs="Times New Roman"/>
                <w:b/>
                <w:color w:val="000000" w:themeColor="text1"/>
                <w:sz w:val="24"/>
                <w:szCs w:val="24"/>
                <w:u w:val="none"/>
                <w14:textFill>
                  <w14:solidFill>
                    <w14:schemeClr w14:val="tx1"/>
                  </w14:solidFill>
                </w14:textFill>
              </w:rPr>
            </w:pPr>
            <w:r>
              <w:rPr>
                <w:rFonts w:hint="default" w:ascii="Times New Roman" w:hAnsi="Times New Roman" w:eastAsia="宋体" w:cs="Times New Roman"/>
                <w:b/>
                <w:color w:val="000000" w:themeColor="text1"/>
                <w:sz w:val="24"/>
                <w:szCs w:val="24"/>
                <w:u w:val="none"/>
                <w14:textFill>
                  <w14:solidFill>
                    <w14:schemeClr w14:val="tx1"/>
                  </w14:solidFill>
                </w14:textFill>
              </w:rPr>
              <w:t>表</w:t>
            </w:r>
            <w:r>
              <w:rPr>
                <w:rFonts w:hint="eastAsia" w:ascii="Times New Roman" w:hAnsi="Times New Roman" w:eastAsia="宋体" w:cs="Times New Roman"/>
                <w:b/>
                <w:color w:val="000000" w:themeColor="text1"/>
                <w:sz w:val="24"/>
                <w:szCs w:val="24"/>
                <w:u w:val="none"/>
                <w:lang w:val="en-US" w:eastAsia="zh-CN"/>
                <w14:textFill>
                  <w14:solidFill>
                    <w14:schemeClr w14:val="tx1"/>
                  </w14:solidFill>
                </w14:textFill>
              </w:rPr>
              <w:t>3.5</w:t>
            </w:r>
            <w:r>
              <w:rPr>
                <w:rFonts w:hint="default" w:ascii="Times New Roman" w:hAnsi="Times New Roman" w:eastAsia="宋体" w:cs="Times New Roman"/>
                <w:b/>
                <w:color w:val="000000" w:themeColor="text1"/>
                <w:sz w:val="24"/>
                <w:szCs w:val="24"/>
                <w:u w:val="none"/>
                <w14:textFill>
                  <w14:solidFill>
                    <w14:schemeClr w14:val="tx1"/>
                  </w14:solidFill>
                </w14:textFill>
              </w:rPr>
              <w:t>-</w:t>
            </w:r>
            <w:r>
              <w:rPr>
                <w:rFonts w:hint="eastAsia" w:ascii="Times New Roman" w:hAnsi="Times New Roman" w:eastAsia="宋体" w:cs="Times New Roman"/>
                <w:b/>
                <w:color w:val="000000" w:themeColor="text1"/>
                <w:sz w:val="24"/>
                <w:szCs w:val="24"/>
                <w:u w:val="none"/>
                <w:lang w:val="en-US" w:eastAsia="zh-CN"/>
                <w14:textFill>
                  <w14:solidFill>
                    <w14:schemeClr w14:val="tx1"/>
                  </w14:solidFill>
                </w14:textFill>
              </w:rPr>
              <w:t>2</w:t>
            </w:r>
            <w:r>
              <w:rPr>
                <w:rFonts w:hint="default" w:ascii="Times New Roman" w:hAnsi="Times New Roman" w:eastAsia="宋体" w:cs="Times New Roman"/>
                <w:b/>
                <w:color w:val="000000" w:themeColor="text1"/>
                <w:sz w:val="24"/>
                <w:szCs w:val="24"/>
                <w:u w:val="none"/>
                <w14:textFill>
                  <w14:solidFill>
                    <w14:schemeClr w14:val="tx1"/>
                  </w14:solidFill>
                </w14:textFill>
              </w:rPr>
              <w:t xml:space="preserve">  厂区内土壤环境质量现状监测统计结果（单位：mg/kg）</w:t>
            </w:r>
          </w:p>
          <w:tbl>
            <w:tblPr>
              <w:tblStyle w:val="26"/>
              <w:tblW w:w="4996"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108" w:type="dxa"/>
                <w:bottom w:w="0" w:type="dxa"/>
                <w:right w:w="108" w:type="dxa"/>
              </w:tblCellMar>
            </w:tblPr>
            <w:tblGrid>
              <w:gridCol w:w="1587"/>
              <w:gridCol w:w="2324"/>
              <w:gridCol w:w="1161"/>
              <w:gridCol w:w="1492"/>
              <w:gridCol w:w="1490"/>
              <w:gridCol w:w="149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tblHeader/>
                <w:jc w:val="center"/>
              </w:trPr>
              <w:tc>
                <w:tcPr>
                  <w:tcW w:w="831"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采样点位</w:t>
                  </w:r>
                </w:p>
              </w:tc>
              <w:tc>
                <w:tcPr>
                  <w:tcW w:w="1217"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检测项目</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单位</w:t>
                  </w:r>
                </w:p>
              </w:tc>
              <w:tc>
                <w:tcPr>
                  <w:tcW w:w="781"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检测结果</w:t>
                  </w:r>
                </w:p>
              </w:tc>
              <w:tc>
                <w:tcPr>
                  <w:tcW w:w="780"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参考限值</w:t>
                  </w:r>
                </w:p>
              </w:tc>
              <w:tc>
                <w:tcPr>
                  <w:tcW w:w="781"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是否达标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restar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S1表层土（0~0.2m处）</w:t>
                  </w: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砷</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lang w:val="en-US" w:eastAsia="zh-CN"/>
                      <w14:textFill>
                        <w14:solidFill>
                          <w14:schemeClr w14:val="tx1"/>
                        </w14:solidFill>
                      </w14:textFill>
                    </w:rPr>
                  </w:pPr>
                  <w:r>
                    <w:rPr>
                      <w:rFonts w:hint="eastAsia" w:cs="Times New Roman"/>
                      <w:b w:val="0"/>
                      <w:bCs w:val="0"/>
                      <w:color w:val="000000" w:themeColor="text1"/>
                      <w:sz w:val="21"/>
                      <w:szCs w:val="21"/>
                      <w:u w:val="none"/>
                      <w:lang w:val="en-US" w:eastAsia="zh-CN"/>
                      <w14:textFill>
                        <w14:solidFill>
                          <w14:schemeClr w14:val="tx1"/>
                        </w14:solidFill>
                      </w14:textFill>
                    </w:rPr>
                    <w:t>20.3</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60</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eastAsia" w:ascii="Times New Roman" w:hAnsi="Times New Roman" w:eastAsia="宋体" w:cs="Times New Roman"/>
                      <w:b w:val="0"/>
                      <w:bCs w:val="0"/>
                      <w:color w:val="000000" w:themeColor="text1"/>
                      <w:sz w:val="21"/>
                      <w:szCs w:val="21"/>
                      <w:u w:val="none"/>
                      <w:lang w:eastAsia="zh-CN"/>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镉</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lang w:val="en-US" w:eastAsia="zh-CN"/>
                      <w14:textFill>
                        <w14:solidFill>
                          <w14:schemeClr w14:val="tx1"/>
                        </w14:solidFill>
                      </w14:textFill>
                    </w:rPr>
                  </w:pPr>
                  <w:r>
                    <w:rPr>
                      <w:rFonts w:hint="eastAsia" w:cs="Times New Roman"/>
                      <w:b w:val="0"/>
                      <w:bCs w:val="0"/>
                      <w:color w:val="000000" w:themeColor="text1"/>
                      <w:sz w:val="21"/>
                      <w:szCs w:val="21"/>
                      <w:u w:val="none"/>
                      <w:lang w:val="en-US" w:eastAsia="zh-CN"/>
                      <w14:textFill>
                        <w14:solidFill>
                          <w14:schemeClr w14:val="tx1"/>
                        </w14:solidFill>
                      </w14:textFill>
                    </w:rPr>
                    <w:t>0.66</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65</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六价铬</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lang w:val="en-US" w:eastAsia="zh-CN"/>
                      <w14:textFill>
                        <w14:solidFill>
                          <w14:schemeClr w14:val="tx1"/>
                        </w14:solidFill>
                      </w14:textFill>
                    </w:rPr>
                  </w:pPr>
                  <w:r>
                    <w:rPr>
                      <w:rFonts w:hint="eastAsia" w:cs="Times New Roman"/>
                      <w:b w:val="0"/>
                      <w:bCs w:val="0"/>
                      <w:color w:val="000000" w:themeColor="text1"/>
                      <w:sz w:val="21"/>
                      <w:szCs w:val="21"/>
                      <w:u w:val="none"/>
                      <w:lang w:val="en-US" w:eastAsia="zh-CN"/>
                      <w14:textFill>
                        <w14:solidFill>
                          <w14:schemeClr w14:val="tx1"/>
                        </w14:solidFill>
                      </w14:textFill>
                    </w:rPr>
                    <w:t>0.5ND</w:t>
                  </w:r>
                </w:p>
              </w:tc>
              <w:tc>
                <w:tcPr>
                  <w:tcW w:w="780"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5.7</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cente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lang w:bidi="ar"/>
                      <w14:textFill>
                        <w14:solidFill>
                          <w14:schemeClr w14:val="tx1"/>
                        </w14:solidFill>
                      </w14:textFill>
                    </w:rPr>
                    <w:t>铜</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71.5</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18000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铅</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39.5</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800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汞</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0.173</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38</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镍</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21.1</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900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restar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S</w:t>
                  </w:r>
                  <w:r>
                    <w:rPr>
                      <w:rFonts w:hint="eastAsia" w:ascii="Times New Roman" w:hAnsi="Times New Roman" w:cs="Times New Roman"/>
                      <w:b w:val="0"/>
                      <w:bCs w:val="0"/>
                      <w:color w:val="000000" w:themeColor="text1"/>
                      <w:kern w:val="0"/>
                      <w:sz w:val="21"/>
                      <w:szCs w:val="21"/>
                      <w:u w:val="none"/>
                      <w:lang w:val="en-US" w:eastAsia="zh-CN"/>
                      <w14:textFill>
                        <w14:solidFill>
                          <w14:schemeClr w14:val="tx1"/>
                        </w14:solidFill>
                      </w14:textFill>
                    </w:rPr>
                    <w:t>2</w:t>
                  </w: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表层土（0~0.2m处）</w:t>
                  </w: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砷</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26.3</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60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镉</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0.26</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65</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六价铬</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0.9</w:t>
                  </w:r>
                </w:p>
              </w:tc>
              <w:tc>
                <w:tcPr>
                  <w:tcW w:w="780"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5.7</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center"/>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lang w:bidi="ar"/>
                      <w14:textFill>
                        <w14:solidFill>
                          <w14:schemeClr w14:val="tx1"/>
                        </w14:solidFill>
                      </w14:textFill>
                    </w:rPr>
                    <w:t>铜</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32.4</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18000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铅</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27.4</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800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汞</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0.223</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38</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镍</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19.7</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900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restar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S</w:t>
                  </w:r>
                  <w:r>
                    <w:rPr>
                      <w:rFonts w:hint="eastAsia" w:ascii="Times New Roman" w:hAnsi="Times New Roman" w:cs="Times New Roman"/>
                      <w:b w:val="0"/>
                      <w:bCs w:val="0"/>
                      <w:color w:val="000000" w:themeColor="text1"/>
                      <w:kern w:val="0"/>
                      <w:sz w:val="21"/>
                      <w:szCs w:val="21"/>
                      <w:u w:val="none"/>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表层土（0~0.2m处）</w:t>
                  </w: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砷</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28.7</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60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镉</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0.2</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65</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六价铬</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0.5ND</w:t>
                  </w:r>
                </w:p>
              </w:tc>
              <w:tc>
                <w:tcPr>
                  <w:tcW w:w="780" w:type="pct"/>
                  <w:tcBorders>
                    <w:tl2br w:val="nil"/>
                    <w:tr2bl w:val="nil"/>
                  </w:tcBorders>
                  <w:vAlign w:val="center"/>
                </w:tcPr>
                <w:p>
                  <w:pPr>
                    <w:keepNext w:val="0"/>
                    <w:keepLines w:val="0"/>
                    <w:pageBreakBefore w:val="0"/>
                    <w:kinsoku/>
                    <w:wordWrap/>
                    <w:overflowPunct/>
                    <w:topLinePunct w:val="0"/>
                    <w:autoSpaceDE w:val="0"/>
                    <w:autoSpaceDN w:val="0"/>
                    <w:bidi w:val="0"/>
                    <w:adjustRightInd/>
                    <w:snapToGrid/>
                    <w:spacing w:line="240" w:lineRule="auto"/>
                    <w:jc w:val="center"/>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5.7</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center"/>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lang w:bidi="ar"/>
                      <w14:textFill>
                        <w14:solidFill>
                          <w14:schemeClr w14:val="tx1"/>
                        </w14:solidFill>
                      </w14:textFill>
                    </w:rPr>
                    <w:t>铜</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24.3</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18000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铅</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28.3</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800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汞</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0.09</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38</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exact"/>
                <w:jc w:val="center"/>
              </w:trPr>
              <w:tc>
                <w:tcPr>
                  <w:tcW w:w="831" w:type="pct"/>
                  <w:vMerge w:val="continue"/>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pPr>
                </w:p>
              </w:tc>
              <w:tc>
                <w:tcPr>
                  <w:tcW w:w="1217"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2"/>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镍</w:t>
                  </w:r>
                </w:p>
              </w:tc>
              <w:tc>
                <w:tcPr>
                  <w:tcW w:w="608" w:type="pct"/>
                  <w:tcBorders>
                    <w:tl2br w:val="nil"/>
                    <w:tr2bl w:val="nil"/>
                  </w:tcBorders>
                  <w:vAlign w:val="center"/>
                </w:tcPr>
                <w:p>
                  <w:pPr>
                    <w:keepNext w:val="0"/>
                    <w:keepLines w:val="0"/>
                    <w:pageBreakBefore w:val="0"/>
                    <w:widowControl/>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sz w:val="21"/>
                      <w:szCs w:val="21"/>
                      <w:u w:val="none"/>
                      <w14:textFill>
                        <w14:solidFill>
                          <w14:schemeClr w14:val="tx1"/>
                        </w14:solidFill>
                      </w14:textFill>
                    </w:rPr>
                    <w:t>mg/kg</w:t>
                  </w:r>
                </w:p>
              </w:tc>
              <w:tc>
                <w:tcPr>
                  <w:tcW w:w="781"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14:textFill>
                        <w14:solidFill>
                          <w14:schemeClr w14:val="tx1"/>
                        </w14:solidFill>
                      </w14:textFill>
                    </w:rPr>
                  </w:pPr>
                  <w:r>
                    <w:rPr>
                      <w:rFonts w:hint="eastAsia" w:cs="Times New Roman"/>
                      <w:b w:val="0"/>
                      <w:bCs w:val="0"/>
                      <w:color w:val="000000" w:themeColor="text1"/>
                      <w:kern w:val="0"/>
                      <w:sz w:val="21"/>
                      <w:szCs w:val="21"/>
                      <w:u w:val="none"/>
                      <w:lang w:val="en-US" w:eastAsia="zh-CN"/>
                      <w14:textFill>
                        <w14:solidFill>
                          <w14:schemeClr w14:val="tx1"/>
                        </w14:solidFill>
                      </w14:textFill>
                    </w:rPr>
                    <w:t>20.7</w:t>
                  </w:r>
                </w:p>
              </w:tc>
              <w:tc>
                <w:tcPr>
                  <w:tcW w:w="780" w:type="pct"/>
                  <w:tcBorders>
                    <w:tl2br w:val="nil"/>
                    <w:tr2bl w:val="nil"/>
                  </w:tcBorders>
                  <w:vAlign w:val="center"/>
                </w:tcPr>
                <w:p>
                  <w:pPr>
                    <w:keepNext w:val="0"/>
                    <w:keepLines w:val="0"/>
                    <w:pageBreakBefore w:val="0"/>
                    <w:kinsoku/>
                    <w:wordWrap/>
                    <w:overflowPunct/>
                    <w:topLinePunct w:val="0"/>
                    <w:bidi w:val="0"/>
                    <w:adjustRightInd/>
                    <w:snapToGrid/>
                    <w:spacing w:line="240" w:lineRule="auto"/>
                    <w:jc w:val="center"/>
                    <w:textAlignment w:val="baseline"/>
                    <w:rPr>
                      <w:rFonts w:hint="default" w:ascii="Times New Roman" w:hAnsi="Times New Roman" w:eastAsia="宋体" w:cs="Times New Roman"/>
                      <w:b w:val="0"/>
                      <w:bCs w:val="0"/>
                      <w:color w:val="000000" w:themeColor="text1"/>
                      <w:kern w:val="0"/>
                      <w:sz w:val="21"/>
                      <w:szCs w:val="21"/>
                      <w:u w:val="none"/>
                      <w:lang w:val="en-US" w:eastAsia="zh-CN" w:bidi="ar-SA"/>
                      <w14:textFill>
                        <w14:solidFill>
                          <w14:schemeClr w14:val="tx1"/>
                        </w14:solidFill>
                      </w14:textFill>
                    </w:rPr>
                  </w:pPr>
                  <w:r>
                    <w:rPr>
                      <w:rFonts w:hint="default" w:ascii="Times New Roman" w:hAnsi="Times New Roman" w:eastAsia="宋体" w:cs="Times New Roman"/>
                      <w:b w:val="0"/>
                      <w:bCs w:val="0"/>
                      <w:color w:val="000000" w:themeColor="text1"/>
                      <w:kern w:val="0"/>
                      <w:sz w:val="21"/>
                      <w:szCs w:val="21"/>
                      <w:u w:val="none"/>
                      <w14:textFill>
                        <w14:solidFill>
                          <w14:schemeClr w14:val="tx1"/>
                        </w14:solidFill>
                      </w14:textFill>
                    </w:rPr>
                    <w:t>900</w:t>
                  </w:r>
                </w:p>
              </w:tc>
              <w:tc>
                <w:tcPr>
                  <w:tcW w:w="781" w:type="pct"/>
                  <w:tcBorders>
                    <w:tl2br w:val="nil"/>
                    <w:tr2bl w:val="nil"/>
                  </w:tcBorders>
                </w:tcPr>
                <w:p>
                  <w:pPr>
                    <w:keepNext w:val="0"/>
                    <w:keepLines w:val="0"/>
                    <w:pageBreakBefore w:val="0"/>
                    <w:kinsoku/>
                    <w:wordWrap/>
                    <w:overflowPunct/>
                    <w:topLinePunct w:val="0"/>
                    <w:bidi w:val="0"/>
                    <w:adjustRightInd/>
                    <w:snapToGrid/>
                    <w:spacing w:line="240" w:lineRule="auto"/>
                    <w:jc w:val="center"/>
                    <w:rPr>
                      <w:rFonts w:hint="default" w:ascii="Times New Roman" w:hAnsi="Times New Roman" w:eastAsia="宋体" w:cs="Times New Roman"/>
                      <w:b w:val="0"/>
                      <w:bCs w:val="0"/>
                      <w:color w:val="000000" w:themeColor="text1"/>
                      <w:sz w:val="21"/>
                      <w:szCs w:val="21"/>
                      <w:u w:val="none"/>
                      <w14:textFill>
                        <w14:solidFill>
                          <w14:schemeClr w14:val="tx1"/>
                        </w14:solidFill>
                      </w14:textFill>
                    </w:rPr>
                  </w:pPr>
                  <w:r>
                    <w:rPr>
                      <w:rFonts w:hint="eastAsia" w:cs="Times New Roman"/>
                      <w:b w:val="0"/>
                      <w:bCs w:val="0"/>
                      <w:color w:val="000000" w:themeColor="text1"/>
                      <w:sz w:val="21"/>
                      <w:szCs w:val="21"/>
                      <w:u w:val="none"/>
                      <w:lang w:eastAsia="zh-CN"/>
                      <w14:textFill>
                        <w14:solidFill>
                          <w14:schemeClr w14:val="tx1"/>
                        </w14:solidFill>
                      </w14:textFill>
                    </w:rPr>
                    <w:t>达标</w:t>
                  </w:r>
                </w:p>
              </w:tc>
            </w:tr>
          </w:tbl>
          <w:p>
            <w:pPr>
              <w:spacing w:line="360" w:lineRule="auto"/>
              <w:ind w:firstLine="480" w:firstLineChars="200"/>
              <w:rPr>
                <w:rFonts w:hint="eastAsia" w:eastAsia="宋体"/>
                <w:b/>
                <w:bCs w:val="0"/>
                <w:color w:val="auto"/>
                <w:lang w:val="en-US" w:eastAsia="zh-CN"/>
              </w:rPr>
            </w:pPr>
            <w:r>
              <w:rPr>
                <w:rFonts w:hint="eastAsia"/>
                <w:sz w:val="24"/>
                <w:szCs w:val="24"/>
              </w:rPr>
              <w:t>根据表3.5-1可知，本项目占地范围内土壤环境各监测因子无超标，监测因子监测值均满足《土壤环境质量建设用地土壤污染风险管控标准》（GB3600-2018）表1中筛选值第二类用地，土壤环境质量良好。</w:t>
            </w:r>
          </w:p>
          <w:p>
            <w:pPr>
              <w:pStyle w:val="4"/>
              <w:numPr>
                <w:ilvl w:val="1"/>
                <w:numId w:val="0"/>
              </w:numPr>
              <w:rPr>
                <w:rFonts w:eastAsia="宋体"/>
                <w:b/>
                <w:bCs w:val="0"/>
                <w:color w:val="auto"/>
              </w:rPr>
            </w:pPr>
            <w:r>
              <w:rPr>
                <w:rFonts w:hint="eastAsia" w:eastAsia="宋体"/>
                <w:b/>
                <w:bCs w:val="0"/>
                <w:color w:val="auto"/>
                <w:lang w:val="en-US" w:eastAsia="zh-CN"/>
              </w:rPr>
              <w:t>3.6</w:t>
            </w:r>
            <w:r>
              <w:rPr>
                <w:rFonts w:eastAsia="宋体"/>
                <w:b/>
                <w:bCs w:val="0"/>
                <w:color w:val="auto"/>
              </w:rPr>
              <w:t>主要环境保护目标</w:t>
            </w:r>
            <w:bookmarkEnd w:id="61"/>
            <w:bookmarkEnd w:id="62"/>
            <w:bookmarkEnd w:id="63"/>
          </w:p>
          <w:p>
            <w:pPr>
              <w:adjustRightInd w:val="0"/>
              <w:snapToGrid w:val="0"/>
              <w:spacing w:line="460" w:lineRule="exact"/>
              <w:ind w:firstLine="480" w:firstLineChars="200"/>
              <w:rPr>
                <w:rFonts w:ascii="Times New Roman" w:hAnsi="Times New Roman" w:cs="Times New Roman"/>
                <w:sz w:val="24"/>
                <w:szCs w:val="24"/>
              </w:rPr>
            </w:pPr>
            <w:r>
              <w:rPr>
                <w:rFonts w:ascii="Times New Roman" w:hAnsi="Times New Roman" w:cs="Times New Roman"/>
                <w:sz w:val="24"/>
                <w:szCs w:val="24"/>
              </w:rPr>
              <w:t>本项目位于</w:t>
            </w:r>
            <w:r>
              <w:rPr>
                <w:rFonts w:hint="eastAsia"/>
                <w:color w:val="auto"/>
                <w:sz w:val="24"/>
                <w:szCs w:val="24"/>
                <w:lang w:eastAsia="zh-CN"/>
              </w:rPr>
              <w:t>岳阳市经开区</w:t>
            </w:r>
            <w:r>
              <w:rPr>
                <w:rFonts w:hint="eastAsia"/>
                <w:color w:val="auto"/>
                <w:sz w:val="24"/>
                <w:szCs w:val="24"/>
                <w:lang w:val="en-US" w:eastAsia="zh-CN"/>
              </w:rPr>
              <w:t>、楼区</w:t>
            </w:r>
            <w:r>
              <w:rPr>
                <w:rFonts w:ascii="Times New Roman" w:hAnsi="Times New Roman" w:cs="Times New Roman"/>
                <w:sz w:val="24"/>
                <w:szCs w:val="24"/>
              </w:rPr>
              <w:t>，</w:t>
            </w:r>
            <w:r>
              <w:rPr>
                <w:rFonts w:hint="eastAsia" w:cs="Times New Roman"/>
                <w:sz w:val="24"/>
                <w:szCs w:val="24"/>
                <w:lang w:val="en-US" w:eastAsia="zh-CN"/>
              </w:rPr>
              <w:t>项目周边主要为居民住宅、学校等。</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sz w:val="24"/>
                <w:szCs w:val="20"/>
              </w:rPr>
            </w:pPr>
            <w:r>
              <w:rPr>
                <w:rFonts w:ascii="Times New Roman" w:hAnsi="Times New Roman" w:cs="Times New Roman"/>
                <w:sz w:val="24"/>
                <w:szCs w:val="24"/>
              </w:rPr>
              <w:t>本项目主要环境保护目标见表</w:t>
            </w:r>
            <w:r>
              <w:rPr>
                <w:rFonts w:hint="eastAsia" w:ascii="Times New Roman" w:hAnsi="Times New Roman" w:cs="Times New Roman"/>
                <w:sz w:val="24"/>
                <w:szCs w:val="24"/>
                <w:lang w:val="en-US" w:eastAsia="zh-CN"/>
              </w:rPr>
              <w:t>3.</w:t>
            </w:r>
            <w:r>
              <w:rPr>
                <w:rFonts w:hint="eastAsia" w:cs="Times New Roman"/>
                <w:sz w:val="24"/>
                <w:szCs w:val="24"/>
                <w:lang w:val="en-US" w:eastAsia="zh-CN"/>
              </w:rPr>
              <w:t>6</w:t>
            </w:r>
            <w:r>
              <w:rPr>
                <w:rFonts w:hint="eastAsia" w:ascii="Times New Roman" w:hAnsi="Times New Roman" w:cs="Times New Roman"/>
                <w:sz w:val="24"/>
                <w:szCs w:val="24"/>
                <w:lang w:val="en-US" w:eastAsia="zh-CN"/>
              </w:rPr>
              <w:t>-1、3.</w:t>
            </w:r>
            <w:r>
              <w:rPr>
                <w:rFonts w:hint="eastAsia" w:cs="Times New Roman"/>
                <w:sz w:val="24"/>
                <w:szCs w:val="24"/>
                <w:lang w:val="en-US" w:eastAsia="zh-CN"/>
              </w:rPr>
              <w:t>6</w:t>
            </w:r>
            <w:r>
              <w:rPr>
                <w:rFonts w:hint="eastAsia" w:ascii="Times New Roman" w:hAnsi="Times New Roman" w:cs="Times New Roman"/>
                <w:sz w:val="24"/>
                <w:szCs w:val="24"/>
                <w:lang w:val="en-US" w:eastAsia="zh-CN"/>
              </w:rPr>
              <w:t>-2</w:t>
            </w:r>
            <w:r>
              <w:rPr>
                <w:rFonts w:hint="eastAsia" w:ascii="Times New Roman" w:hAnsi="Times New Roman" w:cs="Times New Roman"/>
                <w:sz w:val="24"/>
                <w:szCs w:val="20"/>
              </w:rPr>
              <w:t>。</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Times New Roman" w:hAnsi="Times New Roman" w:cs="Times New Roman"/>
                <w:b/>
                <w:bCs/>
                <w:sz w:val="24"/>
                <w:szCs w:val="24"/>
              </w:rPr>
            </w:pPr>
            <w:r>
              <w:rPr>
                <w:rFonts w:ascii="Times New Roman" w:hAnsi="Times New Roman" w:cs="Times New Roman"/>
                <w:b/>
                <w:bCs/>
                <w:sz w:val="24"/>
                <w:szCs w:val="24"/>
              </w:rPr>
              <w:t>表</w:t>
            </w:r>
            <w:r>
              <w:rPr>
                <w:rFonts w:hint="eastAsia" w:ascii="Times New Roman" w:hAnsi="Times New Roman" w:cs="Times New Roman"/>
                <w:b/>
                <w:bCs/>
                <w:sz w:val="24"/>
                <w:szCs w:val="24"/>
                <w:lang w:val="en-US" w:eastAsia="zh-CN"/>
              </w:rPr>
              <w:t>3.</w:t>
            </w:r>
            <w:r>
              <w:rPr>
                <w:rFonts w:hint="eastAsia" w:cs="Times New Roman"/>
                <w:b/>
                <w:bCs/>
                <w:sz w:val="24"/>
                <w:szCs w:val="24"/>
                <w:lang w:val="en-US" w:eastAsia="zh-CN"/>
              </w:rPr>
              <w:t>6</w:t>
            </w:r>
            <w:r>
              <w:rPr>
                <w:rFonts w:hint="eastAsia" w:ascii="Times New Roman" w:hAnsi="Times New Roman" w:cs="Times New Roman"/>
                <w:b/>
                <w:bCs/>
                <w:sz w:val="24"/>
                <w:szCs w:val="24"/>
                <w:lang w:val="en-US" w:eastAsia="zh-CN"/>
              </w:rPr>
              <w:t>-1</w:t>
            </w:r>
            <w:r>
              <w:rPr>
                <w:rFonts w:ascii="Times New Roman" w:hAnsi="Times New Roman" w:cs="Times New Roman"/>
                <w:b/>
                <w:bCs/>
                <w:sz w:val="24"/>
                <w:szCs w:val="24"/>
              </w:rPr>
              <w:t xml:space="preserve">   项目主要大气环境保护目标一览表</w:t>
            </w:r>
          </w:p>
          <w:tbl>
            <w:tblPr>
              <w:tblStyle w:val="26"/>
              <w:tblW w:w="4993"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559"/>
              <w:gridCol w:w="1377"/>
              <w:gridCol w:w="1739"/>
              <w:gridCol w:w="1644"/>
              <w:gridCol w:w="1058"/>
              <w:gridCol w:w="1201"/>
              <w:gridCol w:w="882"/>
              <w:gridCol w:w="1081"/>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13" w:hRule="atLeast"/>
                <w:jc w:val="center"/>
              </w:trPr>
              <w:tc>
                <w:tcPr>
                  <w:tcW w:w="293"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环节要素</w:t>
                  </w:r>
                </w:p>
              </w:tc>
              <w:tc>
                <w:tcPr>
                  <w:tcW w:w="721"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名称</w:t>
                  </w:r>
                </w:p>
              </w:tc>
              <w:tc>
                <w:tcPr>
                  <w:tcW w:w="1772" w:type="pct"/>
                  <w:gridSpan w:val="2"/>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highlight w:val="none"/>
                      <w:u w:val="single"/>
                    </w:rPr>
                  </w:pPr>
                  <w:r>
                    <w:rPr>
                      <w:rFonts w:hint="default" w:ascii="Times New Roman" w:hAnsi="Times New Roman" w:cs="Times New Roman"/>
                      <w:b w:val="0"/>
                      <w:bCs w:val="0"/>
                      <w:sz w:val="21"/>
                      <w:szCs w:val="21"/>
                      <w:highlight w:val="none"/>
                      <w:u w:val="single"/>
                    </w:rPr>
                    <w:t>坐标</w:t>
                  </w:r>
                </w:p>
              </w:tc>
              <w:tc>
                <w:tcPr>
                  <w:tcW w:w="554"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Times New Roman" w:hAnsi="Times New Roman" w:eastAsia="宋体" w:cs="Times New Roman"/>
                      <w:b w:val="0"/>
                      <w:bCs w:val="0"/>
                      <w:sz w:val="21"/>
                      <w:szCs w:val="21"/>
                      <w:u w:val="single"/>
                      <w:lang w:eastAsia="zh-CN"/>
                    </w:rPr>
                  </w:pPr>
                  <w:r>
                    <w:rPr>
                      <w:rFonts w:hint="eastAsia" w:ascii="Times New Roman" w:hAnsi="Times New Roman" w:cs="Times New Roman"/>
                      <w:b w:val="0"/>
                      <w:bCs w:val="0"/>
                      <w:sz w:val="21"/>
                      <w:szCs w:val="21"/>
                      <w:highlight w:val="none"/>
                      <w:u w:val="single"/>
                      <w:lang w:val="en-US" w:eastAsia="zh-CN"/>
                    </w:rPr>
                    <w:t>功能</w:t>
                  </w:r>
                </w:p>
              </w:tc>
              <w:tc>
                <w:tcPr>
                  <w:tcW w:w="629"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r>
                    <w:rPr>
                      <w:rFonts w:hint="default" w:ascii="Times New Roman" w:hAnsi="Times New Roman" w:cs="Times New Roman"/>
                      <w:b w:val="0"/>
                      <w:bCs w:val="0"/>
                      <w:sz w:val="21"/>
                      <w:szCs w:val="21"/>
                      <w:u w:val="single"/>
                    </w:rPr>
                    <w:t>环境功能区</w:t>
                  </w:r>
                </w:p>
              </w:tc>
              <w:tc>
                <w:tcPr>
                  <w:tcW w:w="462"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r>
                    <w:rPr>
                      <w:rFonts w:hint="default" w:ascii="Times New Roman" w:hAnsi="Times New Roman" w:cs="Times New Roman"/>
                      <w:b w:val="0"/>
                      <w:bCs w:val="0"/>
                      <w:sz w:val="21"/>
                      <w:szCs w:val="21"/>
                      <w:u w:val="single"/>
                    </w:rPr>
                    <w:t>相对</w:t>
                  </w:r>
                  <w:r>
                    <w:rPr>
                      <w:rFonts w:hint="default" w:ascii="Times New Roman" w:hAnsi="Times New Roman" w:cs="Times New Roman"/>
                      <w:b w:val="0"/>
                      <w:bCs w:val="0"/>
                      <w:sz w:val="21"/>
                      <w:szCs w:val="21"/>
                      <w:u w:val="single"/>
                      <w:lang w:val="en-US" w:eastAsia="zh-CN"/>
                    </w:rPr>
                    <w:t>项目</w:t>
                  </w:r>
                  <w:r>
                    <w:rPr>
                      <w:rFonts w:hint="default" w:ascii="Times New Roman" w:hAnsi="Times New Roman" w:cs="Times New Roman"/>
                      <w:b w:val="0"/>
                      <w:bCs w:val="0"/>
                      <w:sz w:val="21"/>
                      <w:szCs w:val="21"/>
                      <w:u w:val="single"/>
                    </w:rPr>
                    <w:t>方位</w:t>
                  </w:r>
                </w:p>
              </w:tc>
              <w:tc>
                <w:tcPr>
                  <w:tcW w:w="566"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r>
                    <w:rPr>
                      <w:rFonts w:hint="default" w:ascii="Times New Roman" w:hAnsi="Times New Roman" w:cs="Times New Roman"/>
                      <w:b w:val="0"/>
                      <w:bCs w:val="0"/>
                      <w:sz w:val="21"/>
                      <w:szCs w:val="21"/>
                      <w:u w:val="single"/>
                    </w:rPr>
                    <w:t>相对</w:t>
                  </w:r>
                  <w:r>
                    <w:rPr>
                      <w:rFonts w:hint="default" w:ascii="Times New Roman" w:hAnsi="Times New Roman" w:cs="Times New Roman"/>
                      <w:b w:val="0"/>
                      <w:bCs w:val="0"/>
                      <w:sz w:val="21"/>
                      <w:szCs w:val="21"/>
                      <w:u w:val="single"/>
                      <w:lang w:val="en-US" w:eastAsia="zh-CN"/>
                    </w:rPr>
                    <w:t>项目</w:t>
                  </w:r>
                  <w:r>
                    <w:rPr>
                      <w:rFonts w:hint="default" w:ascii="Times New Roman" w:hAnsi="Times New Roman" w:cs="Times New Roman"/>
                      <w:b w:val="0"/>
                      <w:bCs w:val="0"/>
                      <w:sz w:val="21"/>
                      <w:szCs w:val="21"/>
                      <w:u w:val="single"/>
                    </w:rPr>
                    <w:t>距离</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09" w:hRule="atLeast"/>
                <w:jc w:val="center"/>
              </w:trPr>
              <w:tc>
                <w:tcPr>
                  <w:tcW w:w="2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721"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911"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cs="Times New Roman"/>
                      <w:b w:val="0"/>
                      <w:bCs w:val="0"/>
                      <w:sz w:val="21"/>
                      <w:szCs w:val="21"/>
                      <w:highlight w:val="none"/>
                      <w:u w:val="single"/>
                      <w:lang w:val="en-US" w:eastAsia="zh-CN"/>
                    </w:rPr>
                    <w:t>经度</w:t>
                  </w:r>
                </w:p>
              </w:tc>
              <w:tc>
                <w:tcPr>
                  <w:tcW w:w="86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cs="Times New Roman"/>
                      <w:b w:val="0"/>
                      <w:bCs w:val="0"/>
                      <w:sz w:val="21"/>
                      <w:szCs w:val="21"/>
                      <w:highlight w:val="none"/>
                      <w:u w:val="single"/>
                      <w:lang w:val="en-US" w:eastAsia="zh-CN"/>
                    </w:rPr>
                    <w:t>纬度</w:t>
                  </w:r>
                </w:p>
              </w:tc>
              <w:tc>
                <w:tcPr>
                  <w:tcW w:w="554"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629"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p>
              </w:tc>
              <w:tc>
                <w:tcPr>
                  <w:tcW w:w="462"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p>
              </w:tc>
              <w:tc>
                <w:tcPr>
                  <w:tcW w:w="566"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94" w:hRule="atLeast"/>
                <w:jc w:val="center"/>
              </w:trPr>
              <w:tc>
                <w:tcPr>
                  <w:tcW w:w="293" w:type="pct"/>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r>
                    <w:rPr>
                      <w:rFonts w:hint="default" w:ascii="Times New Roman" w:hAnsi="Times New Roman" w:cs="Times New Roman"/>
                      <w:b w:val="0"/>
                      <w:bCs w:val="0"/>
                      <w:sz w:val="21"/>
                      <w:szCs w:val="21"/>
                      <w:u w:val="single"/>
                    </w:rPr>
                    <w:t>大气环境</w:t>
                  </w:r>
                </w:p>
              </w:tc>
              <w:tc>
                <w:tcPr>
                  <w:tcW w:w="721" w:type="pct"/>
                  <w:tcBorders>
                    <w:bottom w:val="single" w:color="auto" w:sz="4" w:space="0"/>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u w:val="single"/>
                      <w:lang w:val="en-US" w:eastAsia="zh-CN"/>
                    </w:rPr>
                  </w:pPr>
                  <w:r>
                    <w:rPr>
                      <w:rFonts w:hint="eastAsia" w:cs="Times New Roman"/>
                      <w:b w:val="0"/>
                      <w:bCs w:val="0"/>
                      <w:sz w:val="21"/>
                      <w:szCs w:val="21"/>
                      <w:u w:val="single"/>
                      <w:lang w:val="en-US" w:eastAsia="zh-CN"/>
                    </w:rPr>
                    <w:t>岳阳经开区城区居民住宅、学校、医院</w:t>
                  </w:r>
                </w:p>
              </w:tc>
              <w:tc>
                <w:tcPr>
                  <w:tcW w:w="911" w:type="pct"/>
                  <w:tcBorders>
                    <w:bottom w:val="single" w:color="auto" w:sz="4" w:space="0"/>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113°10′14.22022″</w:t>
                  </w:r>
                </w:p>
              </w:tc>
              <w:tc>
                <w:tcPr>
                  <w:tcW w:w="86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highlight w:val="none"/>
                      <w:u w:val="single"/>
                    </w:rPr>
                  </w:pPr>
                  <w:r>
                    <w:rPr>
                      <w:rFonts w:hint="default" w:ascii="Times New Roman" w:hAnsi="Times New Roman" w:eastAsia="宋体" w:cs="Times New Roman"/>
                      <w:b w:val="0"/>
                      <w:bCs w:val="0"/>
                      <w:sz w:val="21"/>
                      <w:szCs w:val="21"/>
                      <w:highlight w:val="none"/>
                      <w:u w:val="single"/>
                      <w:lang w:val="en-US" w:eastAsia="zh-CN"/>
                    </w:rPr>
                    <w:t>29°21′54.27734″</w:t>
                  </w:r>
                </w:p>
              </w:tc>
              <w:tc>
                <w:tcPr>
                  <w:tcW w:w="554" w:type="pct"/>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、学校、医院</w:t>
                  </w:r>
                </w:p>
              </w:tc>
              <w:tc>
                <w:tcPr>
                  <w:tcW w:w="62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r>
                    <w:rPr>
                      <w:rFonts w:hint="default" w:ascii="Times New Roman" w:hAnsi="Times New Roman" w:cs="Times New Roman"/>
                      <w:b w:val="0"/>
                      <w:bCs w:val="0"/>
                      <w:sz w:val="21"/>
                      <w:szCs w:val="21"/>
                      <w:u w:val="single"/>
                    </w:rPr>
                    <w:t>二类功能区</w:t>
                  </w:r>
                </w:p>
              </w:tc>
              <w:tc>
                <w:tcPr>
                  <w:tcW w:w="1028" w:type="pct"/>
                  <w:gridSpan w:val="2"/>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rPr>
                  </w:pPr>
                  <w:r>
                    <w:rPr>
                      <w:rFonts w:hint="eastAsia" w:cs="Times New Roman"/>
                      <w:b w:val="0"/>
                      <w:bCs w:val="0"/>
                      <w:sz w:val="21"/>
                      <w:szCs w:val="21"/>
                      <w:u w:val="single"/>
                      <w:lang w:val="en-US" w:eastAsia="zh-CN"/>
                    </w:rPr>
                    <w:t>科美达路以南、通海路以东、107国道以东、对门山路以北</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18" w:hRule="atLeast"/>
                <w:jc w:val="center"/>
              </w:trPr>
              <w:tc>
                <w:tcPr>
                  <w:tcW w:w="2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721" w:type="pct"/>
                  <w:tcBorders>
                    <w:top w:val="single" w:color="auto" w:sz="4" w:space="0"/>
                    <w:bottom w:val="single" w:color="auto" w:sz="4" w:space="0"/>
                    <w:tl2br w:val="nil"/>
                    <w:tr2bl w:val="nil"/>
                  </w:tcBorders>
                  <w:noWrap w:val="0"/>
                  <w:vAlign w:val="center"/>
                </w:tcPr>
                <w:p>
                  <w:pPr>
                    <w:jc w:val="center"/>
                    <w:rPr>
                      <w:rFonts w:hint="eastAsia" w:ascii="Times New Roman" w:hAnsi="Times New Roman" w:eastAsia="宋体" w:cs="Times New Roman"/>
                      <w:b w:val="0"/>
                      <w:bCs w:val="0"/>
                      <w:sz w:val="21"/>
                      <w:szCs w:val="21"/>
                      <w:u w:val="single"/>
                      <w:lang w:eastAsia="zh-CN"/>
                    </w:rPr>
                  </w:pPr>
                  <w:r>
                    <w:rPr>
                      <w:rFonts w:hint="eastAsia" w:cs="Times New Roman"/>
                      <w:b w:val="0"/>
                      <w:bCs w:val="0"/>
                      <w:sz w:val="21"/>
                      <w:szCs w:val="21"/>
                      <w:u w:val="single"/>
                      <w:lang w:eastAsia="zh-CN"/>
                    </w:rPr>
                    <w:t>弘毅新华中学</w:t>
                  </w:r>
                </w:p>
              </w:tc>
              <w:tc>
                <w:tcPr>
                  <w:tcW w:w="911" w:type="pct"/>
                  <w:tcBorders>
                    <w:top w:val="single" w:color="auto" w:sz="4" w:space="0"/>
                    <w:bottom w:val="single" w:color="auto" w:sz="4" w:space="0"/>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113°11′51.32047″</w:t>
                  </w:r>
                </w:p>
              </w:tc>
              <w:tc>
                <w:tcPr>
                  <w:tcW w:w="86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29°20′48.15338″</w:t>
                  </w:r>
                </w:p>
              </w:tc>
              <w:tc>
                <w:tcPr>
                  <w:tcW w:w="554" w:type="pct"/>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u w:val="single"/>
                      <w:lang w:val="en-US" w:eastAsia="zh-CN"/>
                    </w:rPr>
                  </w:pPr>
                  <w:r>
                    <w:rPr>
                      <w:rFonts w:hint="eastAsia" w:cs="Times New Roman"/>
                      <w:b w:val="0"/>
                      <w:bCs w:val="0"/>
                      <w:sz w:val="21"/>
                      <w:szCs w:val="21"/>
                      <w:u w:val="single"/>
                      <w:lang w:val="en-US" w:eastAsia="zh-CN"/>
                    </w:rPr>
                    <w:t>学校</w:t>
                  </w:r>
                  <w:r>
                    <w:rPr>
                      <w:rFonts w:hint="default" w:ascii="Times New Roman" w:hAnsi="Times New Roman" w:cs="Times New Roman"/>
                      <w:b w:val="0"/>
                      <w:bCs w:val="0"/>
                      <w:sz w:val="21"/>
                      <w:szCs w:val="21"/>
                      <w:u w:val="single"/>
                      <w:lang w:val="en-US" w:eastAsia="zh-CN"/>
                    </w:rPr>
                    <w:t>，</w:t>
                  </w:r>
                  <w:r>
                    <w:rPr>
                      <w:rFonts w:hint="eastAsia" w:cs="Times New Roman"/>
                      <w:b w:val="0"/>
                      <w:bCs w:val="0"/>
                      <w:sz w:val="21"/>
                      <w:szCs w:val="21"/>
                      <w:u w:val="single"/>
                      <w:lang w:val="en-US" w:eastAsia="zh-CN"/>
                    </w:rPr>
                    <w:t>师生约3700多人</w:t>
                  </w:r>
                </w:p>
              </w:tc>
              <w:tc>
                <w:tcPr>
                  <w:tcW w:w="62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r>
                    <w:rPr>
                      <w:rFonts w:hint="default" w:ascii="Times New Roman" w:hAnsi="Times New Roman" w:cs="Times New Roman"/>
                      <w:b w:val="0"/>
                      <w:bCs w:val="0"/>
                      <w:sz w:val="21"/>
                      <w:szCs w:val="21"/>
                      <w:u w:val="single"/>
                    </w:rPr>
                    <w:t>二类功能区</w:t>
                  </w:r>
                </w:p>
              </w:tc>
              <w:tc>
                <w:tcPr>
                  <w:tcW w:w="462" w:type="pct"/>
                  <w:tcBorders>
                    <w:tl2br w:val="nil"/>
                    <w:tr2bl w:val="nil"/>
                  </w:tcBorders>
                  <w:noWrap w:val="0"/>
                  <w:vAlign w:val="center"/>
                </w:tcPr>
                <w:p>
                  <w:pPr>
                    <w:adjustRightInd w:val="0"/>
                    <w:snapToGrid w:val="0"/>
                    <w:jc w:val="center"/>
                    <w:rPr>
                      <w:rFonts w:hint="default" w:ascii="Times New Roman" w:hAnsi="Times New Roman" w:cs="Times New Roman"/>
                      <w:sz w:val="21"/>
                      <w:szCs w:val="21"/>
                      <w:u w:val="single"/>
                    </w:rPr>
                  </w:pPr>
                  <w:r>
                    <w:rPr>
                      <w:rFonts w:hint="eastAsia" w:cs="Times New Roman"/>
                      <w:sz w:val="21"/>
                      <w:szCs w:val="21"/>
                      <w:u w:val="single"/>
                      <w:lang w:val="en-US" w:eastAsia="zh-CN"/>
                    </w:rPr>
                    <w:t>枣子山路</w:t>
                  </w:r>
                  <w:r>
                    <w:rPr>
                      <w:rFonts w:hint="eastAsia" w:ascii="Times New Roman" w:hAnsi="Times New Roman" w:cs="Times New Roman"/>
                      <w:sz w:val="21"/>
                      <w:szCs w:val="21"/>
                      <w:u w:val="single"/>
                      <w:lang w:val="en-US" w:eastAsia="zh-CN"/>
                    </w:rPr>
                    <w:t>西侧</w:t>
                  </w:r>
                </w:p>
              </w:tc>
              <w:tc>
                <w:tcPr>
                  <w:tcW w:w="566" w:type="pct"/>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rPr>
                  </w:pPr>
                  <w:r>
                    <w:rPr>
                      <w:rFonts w:hint="eastAsia" w:ascii="Times New Roman" w:hAnsi="Times New Roman" w:cs="Times New Roman"/>
                      <w:color w:val="000000"/>
                      <w:sz w:val="21"/>
                      <w:szCs w:val="21"/>
                      <w:u w:val="single"/>
                      <w:lang w:val="en-US" w:eastAsia="zh-CN"/>
                    </w:rPr>
                    <w:t>1</w:t>
                  </w:r>
                  <w:r>
                    <w:rPr>
                      <w:rFonts w:hint="eastAsia" w:cs="Times New Roman"/>
                      <w:color w:val="000000"/>
                      <w:sz w:val="21"/>
                      <w:szCs w:val="21"/>
                      <w:u w:val="single"/>
                      <w:lang w:val="en-US" w:eastAsia="zh-CN"/>
                    </w:rPr>
                    <w:t>30-430</w:t>
                  </w:r>
                  <w:r>
                    <w:rPr>
                      <w:rFonts w:hint="eastAsia" w:ascii="Times New Roman" w:hAnsi="Times New Roman" w:cs="Times New Roman"/>
                      <w:color w:val="000000"/>
                      <w:sz w:val="21"/>
                      <w:szCs w:val="21"/>
                      <w:u w:val="single"/>
                      <w:lang w:val="en-US" w:eastAsia="zh-CN"/>
                    </w:rPr>
                    <w:t>m</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48" w:hRule="atLeast"/>
                <w:jc w:val="center"/>
              </w:trPr>
              <w:tc>
                <w:tcPr>
                  <w:tcW w:w="2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721" w:type="pct"/>
                  <w:tcBorders>
                    <w:top w:val="single" w:color="auto" w:sz="4" w:space="0"/>
                    <w:bottom w:val="single" w:color="auto" w:sz="4" w:space="0"/>
                    <w:tl2br w:val="nil"/>
                    <w:tr2bl w:val="nil"/>
                  </w:tcBorders>
                  <w:noWrap w:val="0"/>
                  <w:vAlign w:val="center"/>
                </w:tcPr>
                <w:p>
                  <w:pPr>
                    <w:jc w:val="center"/>
                    <w:rPr>
                      <w:rFonts w:hint="eastAsia" w:ascii="Times New Roman" w:hAnsi="Times New Roman" w:eastAsia="宋体" w:cs="Times New Roman"/>
                      <w:b w:val="0"/>
                      <w:bCs w:val="0"/>
                      <w:sz w:val="21"/>
                      <w:szCs w:val="21"/>
                      <w:u w:val="single"/>
                      <w:lang w:eastAsia="zh-CN"/>
                    </w:rPr>
                  </w:pPr>
                  <w:r>
                    <w:rPr>
                      <w:rFonts w:hint="eastAsia" w:cs="Times New Roman"/>
                      <w:b w:val="0"/>
                      <w:bCs w:val="0"/>
                      <w:sz w:val="21"/>
                      <w:szCs w:val="21"/>
                      <w:u w:val="single"/>
                      <w:lang w:eastAsia="zh-CN"/>
                    </w:rPr>
                    <w:t>廖家巷湿塘居民点</w:t>
                  </w:r>
                </w:p>
              </w:tc>
              <w:tc>
                <w:tcPr>
                  <w:tcW w:w="911" w:type="pct"/>
                  <w:tcBorders>
                    <w:top w:val="single" w:color="auto" w:sz="4" w:space="0"/>
                    <w:bottom w:val="single" w:color="auto" w:sz="4" w:space="0"/>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113°9′10.98338″</w:t>
                  </w:r>
                </w:p>
              </w:tc>
              <w:tc>
                <w:tcPr>
                  <w:tcW w:w="86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29°20′40.59277″</w:t>
                  </w:r>
                </w:p>
              </w:tc>
              <w:tc>
                <w:tcPr>
                  <w:tcW w:w="554" w:type="pct"/>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约4</w:t>
                  </w:r>
                  <w:r>
                    <w:rPr>
                      <w:rFonts w:hint="default" w:ascii="Times New Roman" w:hAnsi="Times New Roman" w:cs="Times New Roman"/>
                      <w:b w:val="0"/>
                      <w:bCs w:val="0"/>
                      <w:sz w:val="21"/>
                      <w:szCs w:val="21"/>
                      <w:u w:val="single"/>
                      <w:lang w:val="en-US" w:eastAsia="zh-CN"/>
                    </w:rPr>
                    <w:t>0户</w:t>
                  </w:r>
                </w:p>
              </w:tc>
              <w:tc>
                <w:tcPr>
                  <w:tcW w:w="62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sz w:val="21"/>
                      <w:szCs w:val="21"/>
                      <w:u w:val="single"/>
                    </w:rPr>
                  </w:pPr>
                  <w:r>
                    <w:rPr>
                      <w:rFonts w:hint="default" w:ascii="Times New Roman" w:hAnsi="Times New Roman" w:cs="Times New Roman"/>
                      <w:b w:val="0"/>
                      <w:bCs w:val="0"/>
                      <w:sz w:val="21"/>
                      <w:szCs w:val="21"/>
                      <w:u w:val="single"/>
                    </w:rPr>
                    <w:t>二类功能区</w:t>
                  </w:r>
                </w:p>
              </w:tc>
              <w:tc>
                <w:tcPr>
                  <w:tcW w:w="462" w:type="pct"/>
                  <w:tcBorders>
                    <w:tl2br w:val="nil"/>
                    <w:tr2bl w:val="nil"/>
                  </w:tcBorders>
                  <w:noWrap w:val="0"/>
                  <w:vAlign w:val="center"/>
                </w:tcPr>
                <w:p>
                  <w:pPr>
                    <w:adjustRightInd w:val="0"/>
                    <w:snapToGrid w:val="0"/>
                    <w:jc w:val="center"/>
                    <w:rPr>
                      <w:rFonts w:hint="eastAsia" w:ascii="Times New Roman" w:hAnsi="Times New Roman" w:eastAsia="宋体" w:cs="Times New Roman"/>
                      <w:sz w:val="21"/>
                      <w:szCs w:val="21"/>
                      <w:u w:val="single"/>
                      <w:lang w:eastAsia="zh-CN"/>
                    </w:rPr>
                  </w:pPr>
                  <w:r>
                    <w:rPr>
                      <w:rFonts w:hint="eastAsia" w:cs="Times New Roman"/>
                      <w:sz w:val="21"/>
                      <w:szCs w:val="21"/>
                      <w:u w:val="single"/>
                      <w:lang w:eastAsia="zh-CN"/>
                    </w:rPr>
                    <w:t>湿塘周边</w:t>
                  </w:r>
                </w:p>
              </w:tc>
              <w:tc>
                <w:tcPr>
                  <w:tcW w:w="566" w:type="pct"/>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u w:val="single"/>
                      <w:lang w:val="en-US" w:eastAsia="zh-CN"/>
                    </w:rPr>
                  </w:pPr>
                  <w:r>
                    <w:rPr>
                      <w:rFonts w:hint="eastAsia" w:cs="Times New Roman"/>
                      <w:b w:val="0"/>
                      <w:bCs w:val="0"/>
                      <w:sz w:val="21"/>
                      <w:szCs w:val="21"/>
                      <w:u w:val="single"/>
                      <w:lang w:val="en-US" w:eastAsia="zh-CN"/>
                    </w:rPr>
                    <w:t>10-200m</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2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721" w:type="pct"/>
                  <w:tcBorders>
                    <w:top w:val="single" w:color="auto" w:sz="4" w:space="0"/>
                    <w:bottom w:val="single" w:color="auto" w:sz="4" w:space="0"/>
                    <w:tl2br w:val="nil"/>
                    <w:tr2bl w:val="nil"/>
                  </w:tcBorders>
                  <w:noWrap w:val="0"/>
                  <w:vAlign w:val="center"/>
                </w:tcPr>
                <w:p>
                  <w:pPr>
                    <w:jc w:val="center"/>
                    <w:rPr>
                      <w:rFonts w:hint="eastAsia" w:ascii="Times New Roman" w:hAnsi="Times New Roman" w:eastAsia="宋体" w:cs="Times New Roman"/>
                      <w:b w:val="0"/>
                      <w:bCs w:val="0"/>
                      <w:sz w:val="21"/>
                      <w:szCs w:val="21"/>
                      <w:u w:val="single"/>
                      <w:lang w:eastAsia="zh-CN"/>
                    </w:rPr>
                  </w:pPr>
                  <w:r>
                    <w:rPr>
                      <w:rFonts w:hint="eastAsia" w:cs="Times New Roman"/>
                      <w:b w:val="0"/>
                      <w:bCs w:val="0"/>
                      <w:sz w:val="21"/>
                      <w:szCs w:val="21"/>
                      <w:u w:val="single"/>
                      <w:lang w:eastAsia="zh-CN"/>
                    </w:rPr>
                    <w:t>颐养院湿塘居民点</w:t>
                  </w:r>
                </w:p>
              </w:tc>
              <w:tc>
                <w:tcPr>
                  <w:tcW w:w="911" w:type="pct"/>
                  <w:tcBorders>
                    <w:top w:val="single" w:color="auto" w:sz="4" w:space="0"/>
                    <w:bottom w:val="single" w:color="auto" w:sz="4" w:space="0"/>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113°9′25.02314″</w:t>
                  </w:r>
                </w:p>
              </w:tc>
              <w:tc>
                <w:tcPr>
                  <w:tcW w:w="86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29°20′1.98827″</w:t>
                  </w:r>
                </w:p>
              </w:tc>
              <w:tc>
                <w:tcPr>
                  <w:tcW w:w="554" w:type="pct"/>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约</w:t>
                  </w:r>
                  <w:r>
                    <w:rPr>
                      <w:rFonts w:hint="eastAsia" w:ascii="Times New Roman" w:hAnsi="Times New Roman" w:cs="Times New Roman"/>
                      <w:b w:val="0"/>
                      <w:bCs w:val="0"/>
                      <w:sz w:val="21"/>
                      <w:szCs w:val="21"/>
                      <w:u w:val="single"/>
                      <w:lang w:val="en-US" w:eastAsia="zh-CN"/>
                    </w:rPr>
                    <w:t>5</w:t>
                  </w:r>
                  <w:r>
                    <w:rPr>
                      <w:rFonts w:hint="default" w:ascii="Times New Roman" w:hAnsi="Times New Roman" w:cs="Times New Roman"/>
                      <w:b w:val="0"/>
                      <w:bCs w:val="0"/>
                      <w:sz w:val="21"/>
                      <w:szCs w:val="21"/>
                      <w:u w:val="single"/>
                      <w:lang w:val="en-US" w:eastAsia="zh-CN"/>
                    </w:rPr>
                    <w:t>0户</w:t>
                  </w:r>
                </w:p>
              </w:tc>
              <w:tc>
                <w:tcPr>
                  <w:tcW w:w="62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kern w:val="2"/>
                      <w:sz w:val="21"/>
                      <w:szCs w:val="21"/>
                      <w:u w:val="single"/>
                      <w:lang w:val="en-US" w:eastAsia="zh-CN" w:bidi="ar-SA"/>
                    </w:rPr>
                  </w:pPr>
                  <w:r>
                    <w:rPr>
                      <w:rFonts w:hint="default" w:ascii="Times New Roman" w:hAnsi="Times New Roman" w:cs="Times New Roman"/>
                      <w:b w:val="0"/>
                      <w:bCs w:val="0"/>
                      <w:sz w:val="21"/>
                      <w:szCs w:val="21"/>
                      <w:u w:val="single"/>
                    </w:rPr>
                    <w:t>二类功能区</w:t>
                  </w:r>
                </w:p>
              </w:tc>
              <w:tc>
                <w:tcPr>
                  <w:tcW w:w="462" w:type="pct"/>
                  <w:tcBorders>
                    <w:tl2br w:val="nil"/>
                    <w:tr2bl w:val="nil"/>
                  </w:tcBorders>
                  <w:noWrap w:val="0"/>
                  <w:vAlign w:val="center"/>
                </w:tcPr>
                <w:p>
                  <w:pPr>
                    <w:adjustRightInd w:val="0"/>
                    <w:snapToGrid w:val="0"/>
                    <w:jc w:val="center"/>
                    <w:rPr>
                      <w:rFonts w:hint="default" w:ascii="Times New Roman" w:hAnsi="Times New Roman" w:eastAsia="宋体" w:cs="Times New Roman"/>
                      <w:kern w:val="2"/>
                      <w:sz w:val="21"/>
                      <w:szCs w:val="21"/>
                      <w:u w:val="single"/>
                      <w:lang w:val="en-US" w:eastAsia="zh-CN" w:bidi="ar-SA"/>
                    </w:rPr>
                  </w:pPr>
                  <w:r>
                    <w:rPr>
                      <w:rFonts w:hint="eastAsia" w:cs="Times New Roman"/>
                      <w:sz w:val="21"/>
                      <w:szCs w:val="21"/>
                      <w:u w:val="single"/>
                      <w:lang w:eastAsia="zh-CN"/>
                    </w:rPr>
                    <w:t>湿塘周边</w:t>
                  </w:r>
                </w:p>
              </w:tc>
              <w:tc>
                <w:tcPr>
                  <w:tcW w:w="566" w:type="pct"/>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rPr>
                  </w:pPr>
                  <w:r>
                    <w:rPr>
                      <w:rFonts w:hint="eastAsia" w:cs="Times New Roman"/>
                      <w:b w:val="0"/>
                      <w:bCs w:val="0"/>
                      <w:sz w:val="21"/>
                      <w:szCs w:val="21"/>
                      <w:u w:val="single"/>
                      <w:lang w:val="en-US" w:eastAsia="zh-CN"/>
                    </w:rPr>
                    <w:t>10-200m</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293" w:type="pct"/>
                  <w:vMerge w:val="continue"/>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cs="Times New Roman"/>
                      <w:b w:val="0"/>
                      <w:bCs w:val="0"/>
                      <w:sz w:val="21"/>
                      <w:szCs w:val="21"/>
                      <w:u w:val="single"/>
                    </w:rPr>
                  </w:pPr>
                </w:p>
              </w:tc>
              <w:tc>
                <w:tcPr>
                  <w:tcW w:w="721" w:type="pct"/>
                  <w:tcBorders>
                    <w:top w:val="single" w:color="auto" w:sz="4" w:space="0"/>
                    <w:bottom w:val="single" w:color="auto" w:sz="4" w:space="0"/>
                    <w:tl2br w:val="nil"/>
                    <w:tr2bl w:val="nil"/>
                  </w:tcBorders>
                  <w:noWrap w:val="0"/>
                  <w:vAlign w:val="center"/>
                </w:tcPr>
                <w:p>
                  <w:pPr>
                    <w:jc w:val="center"/>
                    <w:rPr>
                      <w:rFonts w:hint="eastAsia" w:ascii="Times New Roman" w:hAnsi="Times New Roman" w:eastAsia="宋体" w:cs="Times New Roman"/>
                      <w:b w:val="0"/>
                      <w:bCs w:val="0"/>
                      <w:sz w:val="21"/>
                      <w:szCs w:val="21"/>
                      <w:u w:val="single"/>
                      <w:lang w:eastAsia="zh-CN"/>
                    </w:rPr>
                  </w:pPr>
                  <w:r>
                    <w:rPr>
                      <w:rFonts w:hint="eastAsia" w:cs="Times New Roman"/>
                      <w:b w:val="0"/>
                      <w:bCs w:val="0"/>
                      <w:sz w:val="21"/>
                      <w:szCs w:val="21"/>
                      <w:u w:val="single"/>
                      <w:lang w:eastAsia="zh-CN"/>
                    </w:rPr>
                    <w:t>奥敏游泳馆湿塘居民点</w:t>
                  </w:r>
                </w:p>
              </w:tc>
              <w:tc>
                <w:tcPr>
                  <w:tcW w:w="911" w:type="pct"/>
                  <w:tcBorders>
                    <w:top w:val="single" w:color="auto" w:sz="4" w:space="0"/>
                    <w:bottom w:val="single" w:color="auto" w:sz="4" w:space="0"/>
                    <w:tl2br w:val="nil"/>
                    <w:tr2bl w:val="nil"/>
                  </w:tcBorders>
                  <w:noWrap w:val="0"/>
                  <w:vAlign w:val="center"/>
                </w:tcPr>
                <w:p>
                  <w:pPr>
                    <w:adjustRightInd w:val="0"/>
                    <w:snapToGrid w:val="0"/>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113°9′41.67000″</w:t>
                  </w:r>
                </w:p>
              </w:tc>
              <w:tc>
                <w:tcPr>
                  <w:tcW w:w="860"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eastAsia="宋体" w:cs="Times New Roman"/>
                      <w:b w:val="0"/>
                      <w:bCs w:val="0"/>
                      <w:sz w:val="21"/>
                      <w:szCs w:val="21"/>
                      <w:highlight w:val="none"/>
                      <w:u w:val="single"/>
                      <w:lang w:val="en-US" w:eastAsia="zh-CN"/>
                    </w:rPr>
                    <w:t>29°19′23.40308″</w:t>
                  </w:r>
                </w:p>
              </w:tc>
              <w:tc>
                <w:tcPr>
                  <w:tcW w:w="554" w:type="pct"/>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约</w:t>
                  </w:r>
                  <w:r>
                    <w:rPr>
                      <w:rFonts w:hint="eastAsia" w:ascii="Times New Roman" w:hAnsi="Times New Roman" w:cs="Times New Roman"/>
                      <w:b w:val="0"/>
                      <w:bCs w:val="0"/>
                      <w:sz w:val="21"/>
                      <w:szCs w:val="21"/>
                      <w:u w:val="single"/>
                      <w:lang w:val="en-US" w:eastAsia="zh-CN"/>
                    </w:rPr>
                    <w:t>5</w:t>
                  </w:r>
                  <w:r>
                    <w:rPr>
                      <w:rFonts w:hint="default" w:ascii="Times New Roman" w:hAnsi="Times New Roman" w:cs="Times New Roman"/>
                      <w:b w:val="0"/>
                      <w:bCs w:val="0"/>
                      <w:sz w:val="21"/>
                      <w:szCs w:val="21"/>
                      <w:u w:val="single"/>
                      <w:lang w:val="en-US" w:eastAsia="zh-CN"/>
                    </w:rPr>
                    <w:t>00户</w:t>
                  </w:r>
                </w:p>
              </w:tc>
              <w:tc>
                <w:tcPr>
                  <w:tcW w:w="629" w:type="pc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kern w:val="2"/>
                      <w:sz w:val="21"/>
                      <w:szCs w:val="21"/>
                      <w:u w:val="single"/>
                      <w:lang w:val="en-US" w:eastAsia="zh-CN" w:bidi="ar-SA"/>
                    </w:rPr>
                  </w:pPr>
                  <w:r>
                    <w:rPr>
                      <w:rFonts w:hint="default" w:ascii="Times New Roman" w:hAnsi="Times New Roman" w:cs="Times New Roman"/>
                      <w:b w:val="0"/>
                      <w:bCs w:val="0"/>
                      <w:sz w:val="21"/>
                      <w:szCs w:val="21"/>
                      <w:u w:val="single"/>
                    </w:rPr>
                    <w:t>二类功能区</w:t>
                  </w:r>
                </w:p>
              </w:tc>
              <w:tc>
                <w:tcPr>
                  <w:tcW w:w="462" w:type="pct"/>
                  <w:tcBorders>
                    <w:tl2br w:val="nil"/>
                    <w:tr2bl w:val="nil"/>
                  </w:tcBorders>
                  <w:noWrap w:val="0"/>
                  <w:vAlign w:val="center"/>
                </w:tcPr>
                <w:p>
                  <w:pPr>
                    <w:adjustRightInd w:val="0"/>
                    <w:snapToGrid w:val="0"/>
                    <w:jc w:val="center"/>
                    <w:rPr>
                      <w:rFonts w:hint="eastAsia" w:ascii="Times New Roman" w:hAnsi="Times New Roman" w:eastAsia="宋体" w:cs="Times New Roman"/>
                      <w:kern w:val="2"/>
                      <w:sz w:val="21"/>
                      <w:szCs w:val="21"/>
                      <w:u w:val="single"/>
                      <w:lang w:val="en-US" w:eastAsia="zh-CN" w:bidi="ar-SA"/>
                    </w:rPr>
                  </w:pPr>
                  <w:r>
                    <w:rPr>
                      <w:rFonts w:hint="eastAsia" w:cs="Times New Roman"/>
                      <w:sz w:val="21"/>
                      <w:szCs w:val="21"/>
                      <w:u w:val="single"/>
                      <w:lang w:eastAsia="zh-CN"/>
                    </w:rPr>
                    <w:t>奇家社区及湿塘周边</w:t>
                  </w:r>
                </w:p>
              </w:tc>
              <w:tc>
                <w:tcPr>
                  <w:tcW w:w="566" w:type="pct"/>
                  <w:tcBorders>
                    <w:tl2br w:val="nil"/>
                    <w:tr2bl w:val="nil"/>
                  </w:tcBorders>
                  <w:noWrap w:val="0"/>
                  <w:vAlign w:val="center"/>
                </w:tcPr>
                <w:p>
                  <w:pPr>
                    <w:adjustRightInd w:val="0"/>
                    <w:snapToGrid w:val="0"/>
                    <w:jc w:val="center"/>
                    <w:rPr>
                      <w:rFonts w:hint="eastAsia" w:ascii="Times New Roman" w:hAnsi="Times New Roman" w:cs="Times New Roman"/>
                      <w:color w:val="000000"/>
                      <w:sz w:val="21"/>
                      <w:szCs w:val="21"/>
                      <w:u w:val="single"/>
                      <w:lang w:val="en-US" w:eastAsia="zh-CN"/>
                    </w:rPr>
                  </w:pPr>
                  <w:r>
                    <w:rPr>
                      <w:rFonts w:hint="eastAsia" w:cs="Times New Roman"/>
                      <w:b w:val="0"/>
                      <w:bCs w:val="0"/>
                      <w:sz w:val="21"/>
                      <w:szCs w:val="21"/>
                      <w:u w:val="single"/>
                      <w:lang w:val="en-US" w:eastAsia="zh-CN"/>
                    </w:rPr>
                    <w:t>10-500m</w:t>
                  </w:r>
                </w:p>
              </w:tc>
            </w:tr>
          </w:tbl>
          <w:p>
            <w:pPr>
              <w:adjustRightInd w:val="0"/>
              <w:snapToGrid w:val="0"/>
              <w:spacing w:before="120" w:beforeLines="50" w:line="360" w:lineRule="auto"/>
              <w:jc w:val="center"/>
              <w:rPr>
                <w:rFonts w:ascii="宋体" w:hAnsi="宋体"/>
                <w:b/>
                <w:bCs/>
                <w:sz w:val="24"/>
                <w:szCs w:val="24"/>
              </w:rPr>
            </w:pPr>
            <w:r>
              <w:rPr>
                <w:rFonts w:ascii="Times New Roman" w:hAnsi="Times New Roman" w:cs="Times New Roman"/>
                <w:b/>
                <w:bCs/>
                <w:sz w:val="24"/>
                <w:szCs w:val="24"/>
              </w:rPr>
              <w:t>表</w:t>
            </w:r>
            <w:r>
              <w:rPr>
                <w:rFonts w:hint="eastAsia" w:ascii="Times New Roman" w:hAnsi="Times New Roman" w:cs="Times New Roman"/>
                <w:b/>
                <w:bCs/>
                <w:sz w:val="24"/>
                <w:szCs w:val="24"/>
                <w:lang w:val="en-US" w:eastAsia="zh-CN"/>
              </w:rPr>
              <w:t>3.</w:t>
            </w:r>
            <w:r>
              <w:rPr>
                <w:rFonts w:hint="eastAsia" w:cs="Times New Roman"/>
                <w:b/>
                <w:bCs/>
                <w:sz w:val="24"/>
                <w:szCs w:val="24"/>
                <w:lang w:val="en-US" w:eastAsia="zh-CN"/>
              </w:rPr>
              <w:t>6</w:t>
            </w:r>
            <w:r>
              <w:rPr>
                <w:rFonts w:hint="eastAsia" w:ascii="Times New Roman" w:hAnsi="Times New Roman" w:cs="Times New Roman"/>
                <w:b/>
                <w:bCs/>
                <w:sz w:val="24"/>
                <w:szCs w:val="24"/>
                <w:lang w:val="en-US" w:eastAsia="zh-CN"/>
              </w:rPr>
              <w:t>-2</w:t>
            </w:r>
            <w:r>
              <w:rPr>
                <w:rFonts w:ascii="Times New Roman" w:hAnsi="Times New Roman" w:cs="Times New Roman"/>
                <w:b/>
                <w:bCs/>
                <w:sz w:val="24"/>
                <w:szCs w:val="24"/>
              </w:rPr>
              <w:t xml:space="preserve">   </w:t>
            </w:r>
            <w:r>
              <w:rPr>
                <w:rFonts w:hint="eastAsia" w:ascii="宋体" w:hAnsi="宋体"/>
                <w:b/>
                <w:bCs/>
                <w:sz w:val="24"/>
                <w:szCs w:val="24"/>
              </w:rPr>
              <w:t>项目主要地表水环境、声环境</w:t>
            </w:r>
            <w:r>
              <w:rPr>
                <w:rFonts w:hint="eastAsia" w:ascii="宋体" w:hAnsi="宋体"/>
                <w:b/>
                <w:bCs/>
                <w:sz w:val="24"/>
                <w:szCs w:val="24"/>
                <w:lang w:eastAsia="zh-CN"/>
              </w:rPr>
              <w:t>、土壤环境</w:t>
            </w:r>
            <w:r>
              <w:rPr>
                <w:rFonts w:hint="eastAsia" w:ascii="宋体" w:hAnsi="宋体"/>
                <w:b/>
                <w:bCs/>
                <w:sz w:val="24"/>
                <w:szCs w:val="24"/>
              </w:rPr>
              <w:t>和生态环境保护目标一览表</w:t>
            </w:r>
          </w:p>
          <w:tbl>
            <w:tblPr>
              <w:tblStyle w:val="26"/>
              <w:tblW w:w="9555"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108" w:type="dxa"/>
                <w:bottom w:w="0" w:type="dxa"/>
                <w:right w:w="108" w:type="dxa"/>
              </w:tblCellMar>
            </w:tblPr>
            <w:tblGrid>
              <w:gridCol w:w="1340"/>
              <w:gridCol w:w="2120"/>
              <w:gridCol w:w="2398"/>
              <w:gridCol w:w="1866"/>
              <w:gridCol w:w="183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default" w:ascii="Times New Roman" w:hAnsi="Times New Roman" w:eastAsia="宋体" w:cs="Times New Roman"/>
                      <w:b w:val="0"/>
                      <w:bCs w:val="0"/>
                      <w:sz w:val="21"/>
                      <w:szCs w:val="21"/>
                      <w:highlight w:val="none"/>
                      <w:u w:val="single"/>
                    </w:rPr>
                  </w:pPr>
                  <w:r>
                    <w:rPr>
                      <w:rFonts w:hint="default" w:ascii="Times New Roman" w:hAnsi="Times New Roman" w:eastAsia="宋体" w:cs="Times New Roman"/>
                      <w:b w:val="0"/>
                      <w:bCs w:val="0"/>
                      <w:sz w:val="21"/>
                      <w:szCs w:val="21"/>
                      <w:highlight w:val="none"/>
                      <w:u w:val="single"/>
                    </w:rPr>
                    <w:t>环境要素</w:t>
                  </w:r>
                </w:p>
              </w:tc>
              <w:tc>
                <w:tcPr>
                  <w:tcW w:w="2120" w:type="dxa"/>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default" w:ascii="Times New Roman" w:hAnsi="Times New Roman" w:eastAsia="宋体" w:cs="Times New Roman"/>
                      <w:b w:val="0"/>
                      <w:bCs w:val="0"/>
                      <w:sz w:val="21"/>
                      <w:szCs w:val="21"/>
                      <w:highlight w:val="none"/>
                      <w:u w:val="single"/>
                    </w:rPr>
                  </w:pPr>
                  <w:r>
                    <w:rPr>
                      <w:rFonts w:hint="default" w:ascii="Times New Roman" w:hAnsi="Times New Roman" w:eastAsia="宋体" w:cs="Times New Roman"/>
                      <w:b w:val="0"/>
                      <w:bCs w:val="0"/>
                      <w:sz w:val="21"/>
                      <w:szCs w:val="21"/>
                      <w:highlight w:val="none"/>
                      <w:u w:val="single"/>
                    </w:rPr>
                    <w:t>敏感点</w:t>
                  </w:r>
                </w:p>
              </w:tc>
              <w:tc>
                <w:tcPr>
                  <w:tcW w:w="2398" w:type="dxa"/>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default" w:ascii="Times New Roman" w:hAnsi="Times New Roman" w:eastAsia="宋体" w:cs="Times New Roman"/>
                      <w:b w:val="0"/>
                      <w:bCs w:val="0"/>
                      <w:sz w:val="21"/>
                      <w:szCs w:val="21"/>
                      <w:highlight w:val="none"/>
                      <w:u w:val="single"/>
                    </w:rPr>
                  </w:pPr>
                  <w:r>
                    <w:rPr>
                      <w:rFonts w:hint="default" w:ascii="Times New Roman" w:hAnsi="Times New Roman" w:eastAsia="宋体" w:cs="Times New Roman"/>
                      <w:b w:val="0"/>
                      <w:bCs w:val="0"/>
                      <w:sz w:val="21"/>
                      <w:szCs w:val="21"/>
                      <w:highlight w:val="none"/>
                      <w:u w:val="single"/>
                    </w:rPr>
                    <w:t>方位、距离</w:t>
                  </w:r>
                </w:p>
              </w:tc>
              <w:tc>
                <w:tcPr>
                  <w:tcW w:w="1866" w:type="dxa"/>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default" w:ascii="Times New Roman" w:hAnsi="Times New Roman" w:eastAsia="宋体" w:cs="Times New Roman"/>
                      <w:b w:val="0"/>
                      <w:bCs w:val="0"/>
                      <w:sz w:val="21"/>
                      <w:szCs w:val="21"/>
                      <w:highlight w:val="none"/>
                      <w:u w:val="single"/>
                    </w:rPr>
                  </w:pPr>
                  <w:r>
                    <w:rPr>
                      <w:rFonts w:hint="default" w:ascii="Times New Roman" w:hAnsi="Times New Roman" w:eastAsia="宋体" w:cs="Times New Roman"/>
                      <w:b w:val="0"/>
                      <w:bCs w:val="0"/>
                      <w:sz w:val="21"/>
                      <w:szCs w:val="21"/>
                      <w:highlight w:val="none"/>
                      <w:u w:val="single"/>
                    </w:rPr>
                    <w:t>功能及规模</w:t>
                  </w:r>
                </w:p>
              </w:tc>
              <w:tc>
                <w:tcPr>
                  <w:tcW w:w="1831" w:type="dxa"/>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default" w:ascii="Times New Roman" w:hAnsi="Times New Roman" w:eastAsia="宋体" w:cs="Times New Roman"/>
                      <w:b w:val="0"/>
                      <w:bCs w:val="0"/>
                      <w:sz w:val="21"/>
                      <w:szCs w:val="21"/>
                      <w:highlight w:val="none"/>
                      <w:u w:val="single"/>
                    </w:rPr>
                  </w:pPr>
                  <w:r>
                    <w:rPr>
                      <w:rFonts w:hint="default" w:ascii="Times New Roman" w:hAnsi="Times New Roman" w:eastAsia="宋体" w:cs="Times New Roman"/>
                      <w:b w:val="0"/>
                      <w:bCs w:val="0"/>
                      <w:sz w:val="21"/>
                      <w:szCs w:val="21"/>
                      <w:highlight w:val="none"/>
                      <w:u w:val="single"/>
                    </w:rPr>
                    <w:t>保护目标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restart"/>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eastAsia" w:ascii="Times New Roman" w:hAnsi="Times New Roman" w:eastAsia="宋体" w:cs="Times New Roman"/>
                      <w:b w:val="0"/>
                      <w:bCs w:val="0"/>
                      <w:sz w:val="21"/>
                      <w:szCs w:val="21"/>
                      <w:highlight w:val="none"/>
                      <w:u w:val="single"/>
                      <w:lang w:val="en-US" w:eastAsia="zh-CN"/>
                    </w:rPr>
                  </w:pPr>
                  <w:r>
                    <w:rPr>
                      <w:rFonts w:hint="eastAsia" w:ascii="Times New Roman" w:hAnsi="Times New Roman" w:cs="Times New Roman"/>
                      <w:b w:val="0"/>
                      <w:bCs w:val="0"/>
                      <w:sz w:val="21"/>
                      <w:szCs w:val="21"/>
                      <w:highlight w:val="none"/>
                      <w:u w:val="single"/>
                      <w:lang w:val="en-US" w:eastAsia="zh-CN"/>
                    </w:rPr>
                    <w:t>水环境</w:t>
                  </w:r>
                </w:p>
              </w:tc>
              <w:tc>
                <w:tcPr>
                  <w:tcW w:w="2120" w:type="dxa"/>
                  <w:tcBorders>
                    <w:tl2br w:val="nil"/>
                    <w:tr2bl w:val="nil"/>
                  </w:tcBorders>
                  <w:noWrap w:val="0"/>
                  <w:vAlign w:val="center"/>
                </w:tcPr>
                <w:p>
                  <w:pPr>
                    <w:pStyle w:val="84"/>
                    <w:jc w:val="center"/>
                    <w:rPr>
                      <w:rFonts w:hint="default"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廖家巷湿塘</w:t>
                  </w:r>
                </w:p>
              </w:tc>
              <w:tc>
                <w:tcPr>
                  <w:tcW w:w="2398" w:type="dxa"/>
                  <w:tcBorders>
                    <w:tl2br w:val="nil"/>
                    <w:tr2bl w:val="nil"/>
                  </w:tcBorders>
                  <w:noWrap w:val="0"/>
                  <w:vAlign w:val="center"/>
                </w:tcPr>
                <w:p>
                  <w:pPr>
                    <w:pStyle w:val="84"/>
                    <w:jc w:val="center"/>
                    <w:rPr>
                      <w:rFonts w:hint="default"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项目区</w:t>
                  </w:r>
                </w:p>
              </w:tc>
              <w:tc>
                <w:tcPr>
                  <w:tcW w:w="1866" w:type="dxa"/>
                  <w:tcBorders>
                    <w:tl2br w:val="nil"/>
                    <w:tr2bl w:val="nil"/>
                  </w:tcBorders>
                  <w:noWrap w:val="0"/>
                  <w:vAlign w:val="center"/>
                </w:tcPr>
                <w:p>
                  <w:pPr>
                    <w:adjustRightInd w:val="0"/>
                    <w:jc w:val="center"/>
                    <w:rPr>
                      <w:rFonts w:hint="eastAsia"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湿塘，渔业用水</w:t>
                  </w:r>
                </w:p>
              </w:tc>
              <w:tc>
                <w:tcPr>
                  <w:tcW w:w="1831" w:type="dxa"/>
                  <w:vMerge w:val="restart"/>
                  <w:tcBorders>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r>
                    <w:rPr>
                      <w:rFonts w:hint="default" w:ascii="Times New Roman" w:hAnsi="Times New Roman" w:cs="Times New Roman"/>
                      <w:color w:val="000000"/>
                      <w:sz w:val="21"/>
                      <w:szCs w:val="21"/>
                      <w:highlight w:val="none"/>
                      <w:u w:val="single"/>
                    </w:rPr>
                    <w:t>《地表水环境质量标准》GB3838-2002)中Ⅲ类标准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eastAsia" w:ascii="Times New Roman" w:hAnsi="Times New Roman" w:cs="Times New Roman"/>
                      <w:b w:val="0"/>
                      <w:bCs w:val="0"/>
                      <w:sz w:val="21"/>
                      <w:szCs w:val="21"/>
                      <w:highlight w:val="none"/>
                      <w:u w:val="single"/>
                      <w:lang w:val="en-US" w:eastAsia="zh-CN"/>
                    </w:rPr>
                  </w:pPr>
                </w:p>
              </w:tc>
              <w:tc>
                <w:tcPr>
                  <w:tcW w:w="2120" w:type="dxa"/>
                  <w:tcBorders>
                    <w:tl2br w:val="nil"/>
                    <w:tr2bl w:val="nil"/>
                  </w:tcBorders>
                  <w:noWrap w:val="0"/>
                  <w:vAlign w:val="center"/>
                </w:tcPr>
                <w:p>
                  <w:pPr>
                    <w:pStyle w:val="84"/>
                    <w:jc w:val="center"/>
                    <w:rPr>
                      <w:rFonts w:hint="eastAsia"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颐养院湿塘</w:t>
                  </w:r>
                </w:p>
              </w:tc>
              <w:tc>
                <w:tcPr>
                  <w:tcW w:w="2398" w:type="dxa"/>
                  <w:tcBorders>
                    <w:tl2br w:val="nil"/>
                    <w:tr2bl w:val="nil"/>
                  </w:tcBorders>
                  <w:noWrap w:val="0"/>
                  <w:vAlign w:val="center"/>
                </w:tcPr>
                <w:p>
                  <w:pPr>
                    <w:pStyle w:val="84"/>
                    <w:jc w:val="center"/>
                    <w:rPr>
                      <w:rFonts w:hint="eastAsia"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项目区</w:t>
                  </w:r>
                </w:p>
              </w:tc>
              <w:tc>
                <w:tcPr>
                  <w:tcW w:w="1866" w:type="dxa"/>
                  <w:tcBorders>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r>
                    <w:rPr>
                      <w:rFonts w:hint="eastAsia" w:cs="Times New Roman"/>
                      <w:b w:val="0"/>
                      <w:bCs w:val="0"/>
                      <w:kern w:val="2"/>
                      <w:sz w:val="21"/>
                      <w:szCs w:val="21"/>
                      <w:highlight w:val="none"/>
                      <w:u w:val="single"/>
                      <w:lang w:val="en-US" w:eastAsia="zh-CN" w:bidi="ar-SA"/>
                    </w:rPr>
                    <w:t>湿塘，渔业用水</w:t>
                  </w:r>
                </w:p>
              </w:tc>
              <w:tc>
                <w:tcPr>
                  <w:tcW w:w="1831" w:type="dxa"/>
                  <w:vMerge w:val="continue"/>
                  <w:tcBorders>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eastAsia" w:ascii="Times New Roman" w:hAnsi="Times New Roman" w:cs="Times New Roman"/>
                      <w:b w:val="0"/>
                      <w:bCs w:val="0"/>
                      <w:sz w:val="21"/>
                      <w:szCs w:val="21"/>
                      <w:highlight w:val="none"/>
                      <w:u w:val="single"/>
                      <w:lang w:val="en-US" w:eastAsia="zh-CN"/>
                    </w:rPr>
                  </w:pPr>
                </w:p>
              </w:tc>
              <w:tc>
                <w:tcPr>
                  <w:tcW w:w="2120" w:type="dxa"/>
                  <w:tcBorders>
                    <w:tl2br w:val="nil"/>
                    <w:tr2bl w:val="nil"/>
                  </w:tcBorders>
                  <w:noWrap w:val="0"/>
                  <w:vAlign w:val="center"/>
                </w:tcPr>
                <w:p>
                  <w:pPr>
                    <w:pStyle w:val="84"/>
                    <w:jc w:val="center"/>
                    <w:rPr>
                      <w:rFonts w:hint="eastAsia"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奥敏游泳馆湿塘</w:t>
                  </w:r>
                </w:p>
              </w:tc>
              <w:tc>
                <w:tcPr>
                  <w:tcW w:w="2398" w:type="dxa"/>
                  <w:tcBorders>
                    <w:tl2br w:val="nil"/>
                    <w:tr2bl w:val="nil"/>
                  </w:tcBorders>
                  <w:noWrap w:val="0"/>
                  <w:vAlign w:val="center"/>
                </w:tcPr>
                <w:p>
                  <w:pPr>
                    <w:pStyle w:val="84"/>
                    <w:jc w:val="center"/>
                    <w:rPr>
                      <w:rFonts w:hint="eastAsia"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项目区</w:t>
                  </w:r>
                </w:p>
              </w:tc>
              <w:tc>
                <w:tcPr>
                  <w:tcW w:w="1866" w:type="dxa"/>
                  <w:tcBorders>
                    <w:bottom w:val="single" w:color="auto" w:sz="4" w:space="0"/>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r>
                    <w:rPr>
                      <w:rFonts w:hint="eastAsia" w:cs="Times New Roman"/>
                      <w:b w:val="0"/>
                      <w:bCs w:val="0"/>
                      <w:kern w:val="2"/>
                      <w:sz w:val="21"/>
                      <w:szCs w:val="21"/>
                      <w:highlight w:val="none"/>
                      <w:u w:val="single"/>
                      <w:lang w:val="en-US" w:eastAsia="zh-CN" w:bidi="ar-SA"/>
                    </w:rPr>
                    <w:t>湿塘，渔业用水</w:t>
                  </w:r>
                </w:p>
              </w:tc>
              <w:tc>
                <w:tcPr>
                  <w:tcW w:w="1831" w:type="dxa"/>
                  <w:vMerge w:val="continue"/>
                  <w:tcBorders>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eastAsia" w:ascii="Times New Roman" w:hAnsi="Times New Roman" w:cs="Times New Roman"/>
                      <w:b w:val="0"/>
                      <w:bCs w:val="0"/>
                      <w:sz w:val="21"/>
                      <w:szCs w:val="21"/>
                      <w:highlight w:val="none"/>
                      <w:u w:val="single"/>
                      <w:lang w:val="en-US" w:eastAsia="zh-CN"/>
                    </w:rPr>
                  </w:pPr>
                </w:p>
              </w:tc>
              <w:tc>
                <w:tcPr>
                  <w:tcW w:w="2120" w:type="dxa"/>
                  <w:tcBorders>
                    <w:tl2br w:val="nil"/>
                    <w:tr2bl w:val="nil"/>
                  </w:tcBorders>
                  <w:noWrap w:val="0"/>
                  <w:vAlign w:val="center"/>
                </w:tcPr>
                <w:p>
                  <w:pPr>
                    <w:pStyle w:val="84"/>
                    <w:jc w:val="center"/>
                    <w:rPr>
                      <w:rFonts w:hint="eastAsia"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南港河</w:t>
                  </w:r>
                </w:p>
              </w:tc>
              <w:tc>
                <w:tcPr>
                  <w:tcW w:w="2398" w:type="dxa"/>
                  <w:tcBorders>
                    <w:tl2br w:val="nil"/>
                    <w:tr2bl w:val="nil"/>
                  </w:tcBorders>
                  <w:noWrap w:val="0"/>
                  <w:vAlign w:val="center"/>
                </w:tcPr>
                <w:p>
                  <w:pPr>
                    <w:pStyle w:val="84"/>
                    <w:jc w:val="center"/>
                    <w:rPr>
                      <w:rFonts w:hint="default"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湿塘东侧，100m</w:t>
                  </w:r>
                </w:p>
              </w:tc>
              <w:tc>
                <w:tcPr>
                  <w:tcW w:w="1866" w:type="dxa"/>
                  <w:tcBorders>
                    <w:top w:val="single" w:color="auto" w:sz="4" w:space="0"/>
                    <w:tl2br w:val="nil"/>
                    <w:tr2bl w:val="nil"/>
                  </w:tcBorders>
                  <w:noWrap w:val="0"/>
                  <w:vAlign w:val="center"/>
                </w:tcPr>
                <w:p>
                  <w:pPr>
                    <w:adjustRightInd w:val="0"/>
                    <w:jc w:val="center"/>
                    <w:rPr>
                      <w:rFonts w:hint="eastAsia" w:ascii="Times New Roman" w:hAnsi="Times New Roman" w:eastAsia="宋体" w:cs="Times New Roman"/>
                      <w:color w:val="000000"/>
                      <w:sz w:val="21"/>
                      <w:szCs w:val="21"/>
                      <w:highlight w:val="none"/>
                      <w:u w:val="single"/>
                      <w:lang w:eastAsia="zh-CN"/>
                    </w:rPr>
                  </w:pPr>
                  <w:r>
                    <w:rPr>
                      <w:rFonts w:hint="eastAsia" w:cs="Times New Roman"/>
                      <w:color w:val="000000"/>
                      <w:sz w:val="21"/>
                      <w:szCs w:val="21"/>
                      <w:highlight w:val="none"/>
                      <w:u w:val="single"/>
                      <w:lang w:eastAsia="zh-CN"/>
                    </w:rPr>
                    <w:t>中河</w:t>
                  </w:r>
                </w:p>
              </w:tc>
              <w:tc>
                <w:tcPr>
                  <w:tcW w:w="1831" w:type="dxa"/>
                  <w:vMerge w:val="continue"/>
                  <w:tcBorders>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eastAsia" w:ascii="Times New Roman" w:hAnsi="Times New Roman" w:cs="Times New Roman"/>
                      <w:b w:val="0"/>
                      <w:bCs w:val="0"/>
                      <w:sz w:val="21"/>
                      <w:szCs w:val="21"/>
                      <w:highlight w:val="none"/>
                      <w:u w:val="single"/>
                      <w:lang w:val="en-US" w:eastAsia="zh-CN"/>
                    </w:rPr>
                  </w:pPr>
                </w:p>
              </w:tc>
              <w:tc>
                <w:tcPr>
                  <w:tcW w:w="2120" w:type="dxa"/>
                  <w:tcBorders>
                    <w:tl2br w:val="nil"/>
                    <w:tr2bl w:val="nil"/>
                  </w:tcBorders>
                  <w:noWrap w:val="0"/>
                  <w:vAlign w:val="center"/>
                </w:tcPr>
                <w:p>
                  <w:pPr>
                    <w:pStyle w:val="84"/>
                    <w:jc w:val="center"/>
                    <w:rPr>
                      <w:rFonts w:hint="eastAsia"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三眼桥河</w:t>
                  </w:r>
                </w:p>
              </w:tc>
              <w:tc>
                <w:tcPr>
                  <w:tcW w:w="2398" w:type="dxa"/>
                  <w:tcBorders>
                    <w:tl2br w:val="nil"/>
                    <w:tr2bl w:val="nil"/>
                  </w:tcBorders>
                  <w:noWrap w:val="0"/>
                  <w:vAlign w:val="center"/>
                </w:tcPr>
                <w:p>
                  <w:pPr>
                    <w:pStyle w:val="84"/>
                    <w:jc w:val="center"/>
                    <w:rPr>
                      <w:rFonts w:hint="default" w:ascii="Times New Roman" w:hAnsi="Times New Roman" w:eastAsia="宋体" w:cs="Times New Roman"/>
                      <w:b w:val="0"/>
                      <w:bCs w:val="0"/>
                      <w:kern w:val="2"/>
                      <w:sz w:val="21"/>
                      <w:szCs w:val="21"/>
                      <w:highlight w:val="none"/>
                      <w:u w:val="single"/>
                      <w:lang w:val="en-US" w:eastAsia="zh-CN" w:bidi="ar-SA"/>
                    </w:rPr>
                  </w:pPr>
                  <w:r>
                    <w:rPr>
                      <w:rFonts w:hint="eastAsia" w:cs="Times New Roman"/>
                      <w:b w:val="0"/>
                      <w:bCs w:val="0"/>
                      <w:kern w:val="2"/>
                      <w:sz w:val="21"/>
                      <w:szCs w:val="21"/>
                      <w:highlight w:val="none"/>
                      <w:u w:val="single"/>
                      <w:lang w:val="en-US" w:eastAsia="zh-CN" w:bidi="ar-SA"/>
                    </w:rPr>
                    <w:t>湿塘北侧，50m</w:t>
                  </w:r>
                </w:p>
              </w:tc>
              <w:tc>
                <w:tcPr>
                  <w:tcW w:w="1866" w:type="dxa"/>
                  <w:tcBorders>
                    <w:tl2br w:val="nil"/>
                    <w:tr2bl w:val="nil"/>
                  </w:tcBorders>
                  <w:noWrap w:val="0"/>
                  <w:vAlign w:val="center"/>
                </w:tcPr>
                <w:p>
                  <w:pPr>
                    <w:adjustRightInd w:val="0"/>
                    <w:jc w:val="center"/>
                    <w:rPr>
                      <w:rFonts w:hint="eastAsia" w:ascii="Times New Roman" w:hAnsi="Times New Roman" w:eastAsia="宋体" w:cs="Times New Roman"/>
                      <w:color w:val="000000"/>
                      <w:sz w:val="21"/>
                      <w:szCs w:val="21"/>
                      <w:highlight w:val="none"/>
                      <w:u w:val="single"/>
                      <w:lang w:eastAsia="zh-CN"/>
                    </w:rPr>
                  </w:pPr>
                  <w:r>
                    <w:rPr>
                      <w:rFonts w:hint="eastAsia" w:cs="Times New Roman"/>
                      <w:color w:val="000000"/>
                      <w:sz w:val="21"/>
                      <w:szCs w:val="21"/>
                      <w:highlight w:val="none"/>
                      <w:u w:val="single"/>
                      <w:lang w:eastAsia="zh-CN"/>
                    </w:rPr>
                    <w:t>中河</w:t>
                  </w:r>
                </w:p>
              </w:tc>
              <w:tc>
                <w:tcPr>
                  <w:tcW w:w="1831" w:type="dxa"/>
                  <w:vMerge w:val="continue"/>
                  <w:tcBorders>
                    <w:tl2br w:val="nil"/>
                    <w:tr2bl w:val="nil"/>
                  </w:tcBorders>
                  <w:noWrap w:val="0"/>
                  <w:vAlign w:val="center"/>
                </w:tcPr>
                <w:p>
                  <w:pPr>
                    <w:adjustRightInd w:val="0"/>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pStyle w:val="38"/>
                    <w:keepNext w:val="0"/>
                    <w:keepLines w:val="0"/>
                    <w:pageBreakBefore w:val="0"/>
                    <w:widowControl w:val="0"/>
                    <w:kinsoku/>
                    <w:wordWrap/>
                    <w:topLinePunct w:val="0"/>
                    <w:bidi w:val="0"/>
                    <w:adjustRightInd/>
                    <w:snapToGrid/>
                    <w:spacing w:before="120" w:line="240" w:lineRule="auto"/>
                    <w:ind w:firstLine="0" w:firstLineChars="0"/>
                    <w:jc w:val="center"/>
                    <w:textAlignment w:val="auto"/>
                    <w:outlineLvl w:val="9"/>
                    <w:rPr>
                      <w:rFonts w:hint="default" w:ascii="Times New Roman" w:hAnsi="Times New Roman" w:eastAsia="宋体" w:cs="Times New Roman"/>
                      <w:b w:val="0"/>
                      <w:bCs w:val="0"/>
                      <w:sz w:val="21"/>
                      <w:szCs w:val="21"/>
                      <w:highlight w:val="none"/>
                      <w:u w:val="single"/>
                    </w:rPr>
                  </w:pPr>
                </w:p>
              </w:tc>
              <w:tc>
                <w:tcPr>
                  <w:tcW w:w="2120" w:type="dxa"/>
                  <w:tcBorders>
                    <w:tl2br w:val="nil"/>
                    <w:tr2bl w:val="nil"/>
                  </w:tcBorders>
                  <w:noWrap w:val="0"/>
                  <w:vAlign w:val="center"/>
                </w:tcPr>
                <w:p>
                  <w:pPr>
                    <w:pStyle w:val="84"/>
                    <w:jc w:val="center"/>
                    <w:rPr>
                      <w:rFonts w:hint="eastAsia" w:ascii="Times New Roman" w:hAnsi="Times New Roman" w:eastAsia="宋体"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南湖</w:t>
                  </w:r>
                </w:p>
              </w:tc>
              <w:tc>
                <w:tcPr>
                  <w:tcW w:w="2398" w:type="dxa"/>
                  <w:tcBorders>
                    <w:tl2br w:val="nil"/>
                    <w:tr2bl w:val="nil"/>
                  </w:tcBorders>
                  <w:noWrap w:val="0"/>
                  <w:vAlign w:val="center"/>
                </w:tcPr>
                <w:p>
                  <w:pPr>
                    <w:pStyle w:val="84"/>
                    <w:jc w:val="center"/>
                    <w:rPr>
                      <w:rFonts w:hint="default" w:ascii="Times New Roman" w:hAnsi="Times New Roman" w:eastAsia="宋体"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湿塘西侧，1.5km</w:t>
                  </w:r>
                </w:p>
              </w:tc>
              <w:tc>
                <w:tcPr>
                  <w:tcW w:w="1866" w:type="dxa"/>
                  <w:tcBorders>
                    <w:tl2br w:val="nil"/>
                    <w:tr2bl w:val="nil"/>
                  </w:tcBorders>
                  <w:noWrap w:val="0"/>
                  <w:vAlign w:val="center"/>
                </w:tcPr>
                <w:p>
                  <w:pPr>
                    <w:adjustRightInd w:val="0"/>
                    <w:jc w:val="center"/>
                    <w:rPr>
                      <w:rFonts w:hint="eastAsia" w:ascii="Times New Roman" w:hAnsi="Times New Roman" w:eastAsia="宋体" w:cs="Times New Roman"/>
                      <w:b w:val="0"/>
                      <w:bCs w:val="0"/>
                      <w:sz w:val="21"/>
                      <w:szCs w:val="21"/>
                      <w:highlight w:val="none"/>
                      <w:u w:val="single"/>
                      <w:lang w:val="en-US" w:eastAsia="zh-CN"/>
                    </w:rPr>
                  </w:pPr>
                  <w:r>
                    <w:rPr>
                      <w:rFonts w:hint="eastAsia" w:cs="Times New Roman"/>
                      <w:b w:val="0"/>
                      <w:bCs w:val="0"/>
                      <w:sz w:val="21"/>
                      <w:szCs w:val="21"/>
                      <w:highlight w:val="none"/>
                      <w:u w:val="single"/>
                      <w:lang w:val="en-US" w:eastAsia="zh-CN"/>
                    </w:rPr>
                    <w:t>南湖景区</w:t>
                  </w:r>
                </w:p>
              </w:tc>
              <w:tc>
                <w:tcPr>
                  <w:tcW w:w="1831" w:type="dxa"/>
                  <w:vMerge w:val="continue"/>
                  <w:tcBorders>
                    <w:tl2br w:val="nil"/>
                    <w:tr2bl w:val="nil"/>
                  </w:tcBorders>
                  <w:noWrap w:val="0"/>
                  <w:vAlign w:val="center"/>
                </w:tcPr>
                <w:p>
                  <w:pPr>
                    <w:adjustRightInd w:val="0"/>
                    <w:jc w:val="center"/>
                    <w:rPr>
                      <w:rFonts w:hint="default" w:ascii="Times New Roman" w:hAnsi="Times New Roman" w:eastAsia="宋体" w:cs="Times New Roman"/>
                      <w:b w:val="0"/>
                      <w:bCs w:val="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tcBorders>
                    <w:tl2br w:val="nil"/>
                    <w:tr2bl w:val="nil"/>
                  </w:tcBorders>
                  <w:noWrap w:val="0"/>
                  <w:vAlign w:val="center"/>
                </w:tcPr>
                <w:p>
                  <w:pPr>
                    <w:adjustRightInd w:val="0"/>
                    <w:jc w:val="center"/>
                    <w:rPr>
                      <w:rFonts w:hint="default" w:ascii="Times New Roman" w:hAnsi="Times New Roman" w:cs="Times New Roman"/>
                      <w:bCs/>
                      <w:color w:val="000000"/>
                      <w:spacing w:val="4"/>
                      <w:sz w:val="21"/>
                      <w:szCs w:val="21"/>
                      <w:highlight w:val="none"/>
                      <w:u w:val="single"/>
                    </w:rPr>
                  </w:pPr>
                  <w:r>
                    <w:rPr>
                      <w:rFonts w:hint="default" w:ascii="Times New Roman" w:hAnsi="Times New Roman" w:cs="Times New Roman"/>
                      <w:bCs/>
                      <w:color w:val="000000"/>
                      <w:spacing w:val="4"/>
                      <w:sz w:val="21"/>
                      <w:szCs w:val="21"/>
                      <w:highlight w:val="none"/>
                      <w:u w:val="single"/>
                    </w:rPr>
                    <w:t>生态</w:t>
                  </w:r>
                </w:p>
                <w:p>
                  <w:pPr>
                    <w:adjustRightInd w:val="0"/>
                    <w:jc w:val="center"/>
                    <w:rPr>
                      <w:rFonts w:hint="default" w:ascii="Times New Roman" w:hAnsi="Times New Roman" w:eastAsia="宋体" w:cs="Times New Roman"/>
                      <w:b w:val="0"/>
                      <w:bCs w:val="0"/>
                      <w:sz w:val="21"/>
                      <w:szCs w:val="21"/>
                      <w:highlight w:val="none"/>
                      <w:u w:val="single"/>
                    </w:rPr>
                  </w:pPr>
                  <w:r>
                    <w:rPr>
                      <w:rFonts w:hint="default" w:ascii="Times New Roman" w:hAnsi="Times New Roman" w:cs="Times New Roman"/>
                      <w:bCs/>
                      <w:color w:val="000000"/>
                      <w:spacing w:val="4"/>
                      <w:sz w:val="21"/>
                      <w:szCs w:val="21"/>
                      <w:highlight w:val="none"/>
                      <w:u w:val="single"/>
                    </w:rPr>
                    <w:t>环境</w:t>
                  </w:r>
                </w:p>
              </w:tc>
              <w:tc>
                <w:tcPr>
                  <w:tcW w:w="2120" w:type="dxa"/>
                  <w:tcBorders>
                    <w:tl2br w:val="nil"/>
                    <w:tr2bl w:val="nil"/>
                  </w:tcBorders>
                  <w:noWrap w:val="0"/>
                  <w:vAlign w:val="center"/>
                </w:tcPr>
                <w:p>
                  <w:pPr>
                    <w:pStyle w:val="84"/>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cs="Times New Roman"/>
                      <w:color w:val="000000"/>
                      <w:sz w:val="21"/>
                      <w:szCs w:val="21"/>
                      <w:highlight w:val="none"/>
                      <w:u w:val="single"/>
                    </w:rPr>
                    <w:t>农田、山体、植被</w:t>
                  </w:r>
                </w:p>
              </w:tc>
              <w:tc>
                <w:tcPr>
                  <w:tcW w:w="2398" w:type="dxa"/>
                  <w:tcBorders>
                    <w:tl2br w:val="nil"/>
                    <w:tr2bl w:val="nil"/>
                  </w:tcBorders>
                  <w:noWrap w:val="0"/>
                  <w:vAlign w:val="center"/>
                </w:tcPr>
                <w:p>
                  <w:pPr>
                    <w:pStyle w:val="84"/>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cs="Times New Roman"/>
                      <w:color w:val="000000"/>
                      <w:sz w:val="21"/>
                      <w:szCs w:val="21"/>
                      <w:highlight w:val="none"/>
                      <w:u w:val="single"/>
                    </w:rPr>
                    <w:t>周边500m</w:t>
                  </w:r>
                </w:p>
              </w:tc>
              <w:tc>
                <w:tcPr>
                  <w:tcW w:w="1866" w:type="dxa"/>
                  <w:tcBorders>
                    <w:tl2br w:val="nil"/>
                    <w:tr2bl w:val="nil"/>
                  </w:tcBorders>
                  <w:noWrap w:val="0"/>
                  <w:vAlign w:val="center"/>
                </w:tcPr>
                <w:p>
                  <w:pPr>
                    <w:pStyle w:val="84"/>
                    <w:jc w:val="center"/>
                    <w:rPr>
                      <w:rFonts w:hint="default" w:ascii="Times New Roman" w:hAnsi="Times New Roman" w:eastAsia="宋体" w:cs="Times New Roman"/>
                      <w:b w:val="0"/>
                      <w:bCs w:val="0"/>
                      <w:sz w:val="21"/>
                      <w:szCs w:val="21"/>
                      <w:highlight w:val="none"/>
                      <w:u w:val="single"/>
                      <w:lang w:val="en-US" w:eastAsia="zh-CN"/>
                    </w:rPr>
                  </w:pPr>
                  <w:r>
                    <w:rPr>
                      <w:rFonts w:hint="default" w:ascii="Times New Roman" w:hAnsi="Times New Roman" w:cs="Times New Roman"/>
                      <w:color w:val="000000"/>
                      <w:sz w:val="21"/>
                      <w:szCs w:val="21"/>
                      <w:highlight w:val="none"/>
                      <w:u w:val="single"/>
                    </w:rPr>
                    <w:t>种植、水土保持等</w:t>
                  </w:r>
                </w:p>
              </w:tc>
              <w:tc>
                <w:tcPr>
                  <w:tcW w:w="1831" w:type="dxa"/>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r>
                    <w:rPr>
                      <w:rFonts w:hint="default" w:ascii="Times New Roman" w:hAnsi="Times New Roman" w:cs="Times New Roman"/>
                      <w:color w:val="000000"/>
                      <w:sz w:val="21"/>
                      <w:szCs w:val="21"/>
                      <w:highlight w:val="none"/>
                      <w:u w:val="single"/>
                    </w:rPr>
                    <w:t>保持生态系统完整性</w:t>
                  </w:r>
                </w:p>
                <w:p>
                  <w:pPr>
                    <w:pStyle w:val="84"/>
                    <w:jc w:val="center"/>
                    <w:rPr>
                      <w:rFonts w:hint="default" w:ascii="Times New Roman" w:hAnsi="Times New Roman" w:eastAsia="宋体" w:cs="Times New Roman"/>
                      <w:b w:val="0"/>
                      <w:bCs w:val="0"/>
                      <w:sz w:val="21"/>
                      <w:szCs w:val="21"/>
                      <w:highlight w:val="none"/>
                      <w:u w:val="single"/>
                    </w:rPr>
                  </w:pPr>
                  <w:r>
                    <w:rPr>
                      <w:rFonts w:hint="default" w:ascii="Times New Roman" w:hAnsi="Times New Roman" w:cs="Times New Roman"/>
                      <w:color w:val="000000"/>
                      <w:sz w:val="21"/>
                      <w:szCs w:val="21"/>
                      <w:highlight w:val="none"/>
                      <w:u w:val="single"/>
                    </w:rPr>
                    <w:t>保护自然</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restart"/>
                  <w:tcBorders>
                    <w:tl2br w:val="nil"/>
                    <w:tr2bl w:val="nil"/>
                  </w:tcBorders>
                  <w:noWrap w:val="0"/>
                  <w:vAlign w:val="center"/>
                </w:tcPr>
                <w:p>
                  <w:pPr>
                    <w:adjustRightInd w:val="0"/>
                    <w:jc w:val="center"/>
                    <w:rPr>
                      <w:rFonts w:hint="eastAsia" w:ascii="Times New Roman" w:hAnsi="Times New Roman" w:eastAsia="宋体" w:cs="Times New Roman"/>
                      <w:bCs/>
                      <w:color w:val="000000"/>
                      <w:spacing w:val="4"/>
                      <w:sz w:val="21"/>
                      <w:szCs w:val="21"/>
                      <w:highlight w:val="none"/>
                      <w:u w:val="single"/>
                      <w:lang w:val="en-US" w:eastAsia="zh-CN"/>
                    </w:rPr>
                  </w:pPr>
                  <w:r>
                    <w:rPr>
                      <w:rFonts w:hint="eastAsia" w:cs="Times New Roman"/>
                      <w:bCs/>
                      <w:color w:val="000000"/>
                      <w:spacing w:val="4"/>
                      <w:sz w:val="21"/>
                      <w:szCs w:val="21"/>
                      <w:highlight w:val="none"/>
                      <w:u w:val="single"/>
                      <w:lang w:val="en-US" w:eastAsia="zh-CN"/>
                    </w:rPr>
                    <w:t>声环境</w:t>
                  </w:r>
                </w:p>
              </w:tc>
              <w:tc>
                <w:tcPr>
                  <w:tcW w:w="2120" w:type="dxa"/>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kern w:val="2"/>
                      <w:sz w:val="21"/>
                      <w:szCs w:val="21"/>
                      <w:u w:val="single"/>
                      <w:lang w:val="en-US" w:eastAsia="zh-CN" w:bidi="ar-SA"/>
                    </w:rPr>
                  </w:pPr>
                  <w:r>
                    <w:rPr>
                      <w:rFonts w:hint="eastAsia" w:cs="Times New Roman"/>
                      <w:b w:val="0"/>
                      <w:bCs w:val="0"/>
                      <w:sz w:val="21"/>
                      <w:szCs w:val="21"/>
                      <w:u w:val="single"/>
                      <w:lang w:val="en-US" w:eastAsia="zh-CN"/>
                    </w:rPr>
                    <w:t>岳阳经开区城区居民住宅、学校、医院</w:t>
                  </w:r>
                </w:p>
              </w:tc>
              <w:tc>
                <w:tcPr>
                  <w:tcW w:w="2398" w:type="dxa"/>
                  <w:tcBorders>
                    <w:tl2br w:val="nil"/>
                    <w:tr2bl w:val="nil"/>
                  </w:tcBorders>
                  <w:noWrap w:val="0"/>
                  <w:vAlign w:val="center"/>
                </w:tcPr>
                <w:p>
                  <w:pPr>
                    <w:adjustRightInd w:val="0"/>
                    <w:snapToGrid w:val="0"/>
                    <w:jc w:val="center"/>
                    <w:rPr>
                      <w:rFonts w:hint="default" w:ascii="Times New Roman" w:hAnsi="Times New Roman" w:eastAsia="宋体" w:cs="Times New Roman"/>
                      <w:kern w:val="2"/>
                      <w:sz w:val="21"/>
                      <w:szCs w:val="21"/>
                      <w:u w:val="single"/>
                      <w:lang w:val="en-US" w:eastAsia="zh-CN" w:bidi="ar-SA"/>
                    </w:rPr>
                  </w:pPr>
                  <w:r>
                    <w:rPr>
                      <w:rFonts w:hint="eastAsia" w:cs="Times New Roman"/>
                      <w:b w:val="0"/>
                      <w:bCs w:val="0"/>
                      <w:sz w:val="21"/>
                      <w:szCs w:val="21"/>
                      <w:u w:val="single"/>
                      <w:lang w:val="en-US" w:eastAsia="zh-CN"/>
                    </w:rPr>
                    <w:t>科美达路以南、通海路以东、107国道以东、对门山路以北</w:t>
                  </w:r>
                  <w:r>
                    <w:rPr>
                      <w:rFonts w:hint="eastAsia" w:ascii="Times New Roman" w:hAnsi="Times New Roman" w:cs="Times New Roman"/>
                      <w:color w:val="000000"/>
                      <w:sz w:val="21"/>
                      <w:szCs w:val="21"/>
                      <w:u w:val="single"/>
                      <w:lang w:val="en-US" w:eastAsia="zh-CN"/>
                    </w:rPr>
                    <w:t>1</w:t>
                  </w:r>
                  <w:r>
                    <w:rPr>
                      <w:rFonts w:hint="eastAsia" w:cs="Times New Roman"/>
                      <w:color w:val="000000"/>
                      <w:sz w:val="21"/>
                      <w:szCs w:val="21"/>
                      <w:u w:val="single"/>
                      <w:lang w:val="en-US" w:eastAsia="zh-CN"/>
                    </w:rPr>
                    <w:t>30-430</w:t>
                  </w:r>
                  <w:r>
                    <w:rPr>
                      <w:rFonts w:hint="eastAsia" w:ascii="Times New Roman" w:hAnsi="Times New Roman" w:cs="Times New Roman"/>
                      <w:color w:val="000000"/>
                      <w:sz w:val="21"/>
                      <w:szCs w:val="21"/>
                      <w:u w:val="single"/>
                      <w:lang w:val="en-US" w:eastAsia="zh-CN"/>
                    </w:rPr>
                    <w:t>m</w:t>
                  </w:r>
                </w:p>
              </w:tc>
              <w:tc>
                <w:tcPr>
                  <w:tcW w:w="1866" w:type="dxa"/>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、学校、医院</w:t>
                  </w:r>
                </w:p>
              </w:tc>
              <w:tc>
                <w:tcPr>
                  <w:tcW w:w="1831" w:type="dxa"/>
                  <w:vMerge w:val="restart"/>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r>
                    <w:rPr>
                      <w:rFonts w:hint="default" w:ascii="Times New Roman" w:hAnsi="Times New Roman" w:cs="Times New Roman"/>
                      <w:color w:val="000000"/>
                      <w:sz w:val="21"/>
                      <w:szCs w:val="21"/>
                      <w:highlight w:val="none"/>
                      <w:u w:val="single"/>
                    </w:rPr>
                    <w:t>《声环境质量标准》（GB3096-2008）中</w:t>
                  </w:r>
                  <w:r>
                    <w:rPr>
                      <w:rFonts w:hint="default" w:ascii="Times New Roman" w:hAnsi="Times New Roman" w:cs="Times New Roman"/>
                      <w:color w:val="000000"/>
                      <w:sz w:val="21"/>
                      <w:szCs w:val="21"/>
                      <w:highlight w:val="none"/>
                      <w:u w:val="single"/>
                      <w:lang w:val="en-US" w:eastAsia="zh-CN"/>
                    </w:rPr>
                    <w:t>2</w:t>
                  </w:r>
                  <w:r>
                    <w:rPr>
                      <w:rFonts w:hint="default" w:ascii="Times New Roman" w:hAnsi="Times New Roman" w:cs="Times New Roman"/>
                      <w:color w:val="000000"/>
                      <w:sz w:val="21"/>
                      <w:szCs w:val="21"/>
                      <w:highlight w:val="none"/>
                      <w:u w:val="single"/>
                    </w:rPr>
                    <w:t>类标准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adjustRightInd w:val="0"/>
                    <w:jc w:val="center"/>
                    <w:rPr>
                      <w:rFonts w:hint="default" w:ascii="Times New Roman" w:hAnsi="Times New Roman" w:cs="Times New Roman"/>
                      <w:bCs/>
                      <w:color w:val="000000"/>
                      <w:spacing w:val="4"/>
                      <w:sz w:val="21"/>
                      <w:szCs w:val="21"/>
                      <w:highlight w:val="none"/>
                      <w:u w:val="single"/>
                    </w:rPr>
                  </w:pPr>
                </w:p>
              </w:tc>
              <w:tc>
                <w:tcPr>
                  <w:tcW w:w="2120" w:type="dxa"/>
                  <w:tcBorders>
                    <w:tl2br w:val="nil"/>
                    <w:tr2bl w:val="nil"/>
                  </w:tcBorders>
                  <w:noWrap w:val="0"/>
                  <w:vAlign w:val="center"/>
                </w:tcPr>
                <w:p>
                  <w:pPr>
                    <w:jc w:val="center"/>
                    <w:rPr>
                      <w:rFonts w:hint="default" w:ascii="Times New Roman" w:hAnsi="Times New Roman" w:eastAsia="宋体" w:cs="Times New Roman"/>
                      <w:b w:val="0"/>
                      <w:bCs w:val="0"/>
                      <w:kern w:val="2"/>
                      <w:sz w:val="21"/>
                      <w:szCs w:val="21"/>
                      <w:u w:val="single"/>
                      <w:lang w:val="en-US" w:eastAsia="zh-CN" w:bidi="ar-SA"/>
                    </w:rPr>
                  </w:pPr>
                  <w:r>
                    <w:rPr>
                      <w:rFonts w:hint="eastAsia" w:cs="Times New Roman"/>
                      <w:b w:val="0"/>
                      <w:bCs w:val="0"/>
                      <w:sz w:val="21"/>
                      <w:szCs w:val="21"/>
                      <w:u w:val="single"/>
                      <w:lang w:eastAsia="zh-CN"/>
                    </w:rPr>
                    <w:t>弘毅新华中学</w:t>
                  </w:r>
                </w:p>
              </w:tc>
              <w:tc>
                <w:tcPr>
                  <w:tcW w:w="2398" w:type="dxa"/>
                  <w:tcBorders>
                    <w:tl2br w:val="nil"/>
                    <w:tr2bl w:val="nil"/>
                  </w:tcBorders>
                  <w:noWrap w:val="0"/>
                  <w:vAlign w:val="center"/>
                </w:tcPr>
                <w:p>
                  <w:pPr>
                    <w:adjustRightInd w:val="0"/>
                    <w:snapToGrid w:val="0"/>
                    <w:jc w:val="center"/>
                    <w:rPr>
                      <w:rFonts w:hint="default" w:ascii="Times New Roman" w:hAnsi="Times New Roman" w:eastAsia="宋体" w:cs="Times New Roman"/>
                      <w:kern w:val="2"/>
                      <w:sz w:val="21"/>
                      <w:szCs w:val="21"/>
                      <w:u w:val="single"/>
                      <w:lang w:val="en-US" w:eastAsia="zh-CN" w:bidi="ar-SA"/>
                    </w:rPr>
                  </w:pPr>
                  <w:r>
                    <w:rPr>
                      <w:rFonts w:hint="eastAsia" w:cs="Times New Roman"/>
                      <w:sz w:val="21"/>
                      <w:szCs w:val="21"/>
                      <w:u w:val="single"/>
                      <w:lang w:val="en-US" w:eastAsia="zh-CN"/>
                    </w:rPr>
                    <w:t>枣子山路</w:t>
                  </w:r>
                  <w:r>
                    <w:rPr>
                      <w:rFonts w:hint="eastAsia" w:ascii="Times New Roman" w:hAnsi="Times New Roman" w:cs="Times New Roman"/>
                      <w:sz w:val="21"/>
                      <w:szCs w:val="21"/>
                      <w:u w:val="single"/>
                      <w:lang w:val="en-US" w:eastAsia="zh-CN"/>
                    </w:rPr>
                    <w:t>西侧</w:t>
                  </w:r>
                  <w:r>
                    <w:rPr>
                      <w:rFonts w:hint="eastAsia" w:cs="Times New Roman"/>
                      <w:b w:val="0"/>
                      <w:bCs w:val="0"/>
                      <w:sz w:val="21"/>
                      <w:szCs w:val="21"/>
                      <w:u w:val="single"/>
                      <w:lang w:val="en-US" w:eastAsia="zh-CN"/>
                    </w:rPr>
                    <w:t>10-200m</w:t>
                  </w:r>
                </w:p>
              </w:tc>
              <w:tc>
                <w:tcPr>
                  <w:tcW w:w="1866" w:type="dxa"/>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kern w:val="2"/>
                      <w:sz w:val="21"/>
                      <w:szCs w:val="21"/>
                      <w:u w:val="single"/>
                      <w:lang w:val="en-US" w:eastAsia="zh-CN" w:bidi="ar-SA"/>
                    </w:rPr>
                  </w:pPr>
                  <w:r>
                    <w:rPr>
                      <w:rFonts w:hint="eastAsia" w:cs="Times New Roman"/>
                      <w:b w:val="0"/>
                      <w:bCs w:val="0"/>
                      <w:sz w:val="21"/>
                      <w:szCs w:val="21"/>
                      <w:u w:val="single"/>
                      <w:lang w:val="en-US" w:eastAsia="zh-CN"/>
                    </w:rPr>
                    <w:t>学校</w:t>
                  </w:r>
                  <w:r>
                    <w:rPr>
                      <w:rFonts w:hint="default" w:ascii="Times New Roman" w:hAnsi="Times New Roman" w:cs="Times New Roman"/>
                      <w:b w:val="0"/>
                      <w:bCs w:val="0"/>
                      <w:sz w:val="21"/>
                      <w:szCs w:val="21"/>
                      <w:u w:val="single"/>
                      <w:lang w:val="en-US" w:eastAsia="zh-CN"/>
                    </w:rPr>
                    <w:t>，</w:t>
                  </w:r>
                  <w:r>
                    <w:rPr>
                      <w:rFonts w:hint="eastAsia" w:cs="Times New Roman"/>
                      <w:b w:val="0"/>
                      <w:bCs w:val="0"/>
                      <w:sz w:val="21"/>
                      <w:szCs w:val="21"/>
                      <w:u w:val="single"/>
                      <w:lang w:val="en-US" w:eastAsia="zh-CN"/>
                    </w:rPr>
                    <w:t>师生约3700多人</w:t>
                  </w:r>
                </w:p>
              </w:tc>
              <w:tc>
                <w:tcPr>
                  <w:tcW w:w="1831" w:type="dxa"/>
                  <w:vMerge w:val="continue"/>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adjustRightInd w:val="0"/>
                    <w:jc w:val="center"/>
                    <w:rPr>
                      <w:rFonts w:hint="default" w:ascii="Times New Roman" w:hAnsi="Times New Roman" w:cs="Times New Roman"/>
                      <w:bCs/>
                      <w:color w:val="000000"/>
                      <w:spacing w:val="4"/>
                      <w:sz w:val="21"/>
                      <w:szCs w:val="21"/>
                      <w:highlight w:val="none"/>
                      <w:u w:val="single"/>
                    </w:rPr>
                  </w:pPr>
                </w:p>
              </w:tc>
              <w:tc>
                <w:tcPr>
                  <w:tcW w:w="2120" w:type="dxa"/>
                  <w:tcBorders>
                    <w:tl2br w:val="nil"/>
                    <w:tr2bl w:val="nil"/>
                  </w:tcBorders>
                  <w:noWrap w:val="0"/>
                  <w:vAlign w:val="center"/>
                </w:tcPr>
                <w:p>
                  <w:pPr>
                    <w:jc w:val="center"/>
                    <w:rPr>
                      <w:rFonts w:hint="default" w:ascii="Times New Roman" w:hAnsi="Times New Roman" w:eastAsia="宋体" w:cs="Times New Roman"/>
                      <w:b w:val="0"/>
                      <w:bCs w:val="0"/>
                      <w:kern w:val="2"/>
                      <w:sz w:val="21"/>
                      <w:szCs w:val="21"/>
                      <w:u w:val="single"/>
                      <w:lang w:val="en-US" w:eastAsia="zh-CN" w:bidi="ar-SA"/>
                    </w:rPr>
                  </w:pPr>
                  <w:r>
                    <w:rPr>
                      <w:rFonts w:hint="eastAsia" w:cs="Times New Roman"/>
                      <w:b w:val="0"/>
                      <w:bCs w:val="0"/>
                      <w:sz w:val="21"/>
                      <w:szCs w:val="21"/>
                      <w:u w:val="single"/>
                      <w:lang w:eastAsia="zh-CN"/>
                    </w:rPr>
                    <w:t>廖家巷湿塘居民点</w:t>
                  </w:r>
                </w:p>
              </w:tc>
              <w:tc>
                <w:tcPr>
                  <w:tcW w:w="2398" w:type="dxa"/>
                  <w:tcBorders>
                    <w:tl2br w:val="nil"/>
                    <w:tr2bl w:val="nil"/>
                  </w:tcBorders>
                  <w:noWrap w:val="0"/>
                  <w:vAlign w:val="center"/>
                </w:tcPr>
                <w:p>
                  <w:pPr>
                    <w:adjustRightInd w:val="0"/>
                    <w:snapToGrid w:val="0"/>
                    <w:jc w:val="center"/>
                    <w:rPr>
                      <w:rFonts w:hint="default" w:ascii="Times New Roman" w:hAnsi="Times New Roman" w:eastAsia="宋体" w:cs="Times New Roman"/>
                      <w:kern w:val="2"/>
                      <w:sz w:val="21"/>
                      <w:szCs w:val="21"/>
                      <w:u w:val="single"/>
                      <w:lang w:val="en-US" w:eastAsia="zh-CN" w:bidi="ar-SA"/>
                    </w:rPr>
                  </w:pPr>
                  <w:r>
                    <w:rPr>
                      <w:rFonts w:hint="eastAsia" w:cs="Times New Roman"/>
                      <w:sz w:val="21"/>
                      <w:szCs w:val="21"/>
                      <w:u w:val="single"/>
                      <w:lang w:eastAsia="zh-CN"/>
                    </w:rPr>
                    <w:t>湿塘周边</w:t>
                  </w:r>
                  <w:r>
                    <w:rPr>
                      <w:rFonts w:hint="eastAsia" w:cs="Times New Roman"/>
                      <w:b w:val="0"/>
                      <w:bCs w:val="0"/>
                      <w:sz w:val="21"/>
                      <w:szCs w:val="21"/>
                      <w:u w:val="single"/>
                      <w:lang w:val="en-US" w:eastAsia="zh-CN"/>
                    </w:rPr>
                    <w:t>10-200m</w:t>
                  </w:r>
                </w:p>
              </w:tc>
              <w:tc>
                <w:tcPr>
                  <w:tcW w:w="1866" w:type="dxa"/>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约4</w:t>
                  </w:r>
                  <w:r>
                    <w:rPr>
                      <w:rFonts w:hint="default" w:ascii="Times New Roman" w:hAnsi="Times New Roman" w:cs="Times New Roman"/>
                      <w:b w:val="0"/>
                      <w:bCs w:val="0"/>
                      <w:sz w:val="21"/>
                      <w:szCs w:val="21"/>
                      <w:u w:val="single"/>
                      <w:lang w:val="en-US" w:eastAsia="zh-CN"/>
                    </w:rPr>
                    <w:t>0户</w:t>
                  </w:r>
                </w:p>
              </w:tc>
              <w:tc>
                <w:tcPr>
                  <w:tcW w:w="1831" w:type="dxa"/>
                  <w:vMerge w:val="continue"/>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adjustRightInd w:val="0"/>
                    <w:jc w:val="center"/>
                    <w:rPr>
                      <w:rFonts w:hint="default" w:ascii="Times New Roman" w:hAnsi="Times New Roman" w:cs="Times New Roman"/>
                      <w:bCs/>
                      <w:color w:val="000000"/>
                      <w:spacing w:val="4"/>
                      <w:sz w:val="21"/>
                      <w:szCs w:val="21"/>
                      <w:highlight w:val="none"/>
                      <w:u w:val="single"/>
                    </w:rPr>
                  </w:pPr>
                </w:p>
              </w:tc>
              <w:tc>
                <w:tcPr>
                  <w:tcW w:w="2120" w:type="dxa"/>
                  <w:tcBorders>
                    <w:tl2br w:val="nil"/>
                    <w:tr2bl w:val="nil"/>
                  </w:tcBorders>
                  <w:noWrap w:val="0"/>
                  <w:vAlign w:val="center"/>
                </w:tcPr>
                <w:p>
                  <w:pPr>
                    <w:jc w:val="center"/>
                    <w:rPr>
                      <w:rFonts w:hint="eastAsia"/>
                      <w:sz w:val="21"/>
                      <w:szCs w:val="21"/>
                      <w:u w:val="single"/>
                      <w:lang w:val="en-US" w:eastAsia="zh-CN"/>
                    </w:rPr>
                  </w:pPr>
                  <w:r>
                    <w:rPr>
                      <w:rFonts w:hint="eastAsia" w:cs="Times New Roman"/>
                      <w:b w:val="0"/>
                      <w:bCs w:val="0"/>
                      <w:sz w:val="21"/>
                      <w:szCs w:val="21"/>
                      <w:u w:val="single"/>
                      <w:lang w:eastAsia="zh-CN"/>
                    </w:rPr>
                    <w:t>颐养院湿塘居民点</w:t>
                  </w:r>
                </w:p>
              </w:tc>
              <w:tc>
                <w:tcPr>
                  <w:tcW w:w="2398" w:type="dxa"/>
                  <w:tcBorders>
                    <w:tl2br w:val="nil"/>
                    <w:tr2bl w:val="nil"/>
                  </w:tcBorders>
                  <w:noWrap w:val="0"/>
                  <w:vAlign w:val="center"/>
                </w:tcPr>
                <w:p>
                  <w:pPr>
                    <w:adjustRightInd w:val="0"/>
                    <w:snapToGrid w:val="0"/>
                    <w:jc w:val="center"/>
                    <w:rPr>
                      <w:rFonts w:hint="eastAsia" w:ascii="Times New Roman" w:hAnsi="Times New Roman" w:cs="Times New Roman"/>
                      <w:sz w:val="21"/>
                      <w:szCs w:val="21"/>
                      <w:u w:val="single"/>
                      <w:lang w:val="en-US" w:eastAsia="zh-CN"/>
                    </w:rPr>
                  </w:pPr>
                  <w:r>
                    <w:rPr>
                      <w:rFonts w:hint="eastAsia" w:cs="Times New Roman"/>
                      <w:sz w:val="21"/>
                      <w:szCs w:val="21"/>
                      <w:u w:val="single"/>
                      <w:lang w:eastAsia="zh-CN"/>
                    </w:rPr>
                    <w:t>湿塘周边</w:t>
                  </w:r>
                  <w:r>
                    <w:rPr>
                      <w:rFonts w:hint="eastAsia" w:cs="Times New Roman"/>
                      <w:b w:val="0"/>
                      <w:bCs w:val="0"/>
                      <w:sz w:val="21"/>
                      <w:szCs w:val="21"/>
                      <w:u w:val="single"/>
                      <w:lang w:val="en-US" w:eastAsia="zh-CN"/>
                    </w:rPr>
                    <w:t>10-500m</w:t>
                  </w:r>
                </w:p>
              </w:tc>
              <w:tc>
                <w:tcPr>
                  <w:tcW w:w="1866" w:type="dxa"/>
                  <w:tcBorders>
                    <w:tl2br w:val="nil"/>
                    <w:tr2bl w:val="nil"/>
                  </w:tcBorders>
                  <w:noWrap w:val="0"/>
                  <w:vAlign w:val="center"/>
                </w:tcPr>
                <w:p>
                  <w:pPr>
                    <w:adjustRightInd w:val="0"/>
                    <w:snapToGrid w:val="0"/>
                    <w:jc w:val="center"/>
                    <w:rPr>
                      <w:rFonts w:hint="default" w:ascii="Times New Roman" w:hAnsi="Times New Roman" w:cs="Times New Roman"/>
                      <w:b w:val="0"/>
                      <w:bCs w:val="0"/>
                      <w:sz w:val="21"/>
                      <w:szCs w:val="21"/>
                      <w:u w:val="single"/>
                      <w:lang w:val="en-US" w:eastAsia="zh-CN"/>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约</w:t>
                  </w:r>
                  <w:r>
                    <w:rPr>
                      <w:rFonts w:hint="eastAsia" w:ascii="Times New Roman" w:hAnsi="Times New Roman" w:cs="Times New Roman"/>
                      <w:b w:val="0"/>
                      <w:bCs w:val="0"/>
                      <w:sz w:val="21"/>
                      <w:szCs w:val="21"/>
                      <w:u w:val="single"/>
                      <w:lang w:val="en-US" w:eastAsia="zh-CN"/>
                    </w:rPr>
                    <w:t>5</w:t>
                  </w:r>
                  <w:r>
                    <w:rPr>
                      <w:rFonts w:hint="default" w:ascii="Times New Roman" w:hAnsi="Times New Roman" w:cs="Times New Roman"/>
                      <w:b w:val="0"/>
                      <w:bCs w:val="0"/>
                      <w:sz w:val="21"/>
                      <w:szCs w:val="21"/>
                      <w:u w:val="single"/>
                      <w:lang w:val="en-US" w:eastAsia="zh-CN"/>
                    </w:rPr>
                    <w:t>0户</w:t>
                  </w:r>
                </w:p>
              </w:tc>
              <w:tc>
                <w:tcPr>
                  <w:tcW w:w="1831" w:type="dxa"/>
                  <w:vMerge w:val="continue"/>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vMerge w:val="continue"/>
                  <w:tcBorders>
                    <w:tl2br w:val="nil"/>
                    <w:tr2bl w:val="nil"/>
                  </w:tcBorders>
                  <w:noWrap w:val="0"/>
                  <w:vAlign w:val="center"/>
                </w:tcPr>
                <w:p>
                  <w:pPr>
                    <w:adjustRightInd w:val="0"/>
                    <w:jc w:val="center"/>
                    <w:rPr>
                      <w:rFonts w:hint="default" w:ascii="Times New Roman" w:hAnsi="Times New Roman" w:cs="Times New Roman"/>
                      <w:bCs/>
                      <w:color w:val="000000"/>
                      <w:spacing w:val="4"/>
                      <w:sz w:val="21"/>
                      <w:szCs w:val="21"/>
                      <w:highlight w:val="none"/>
                      <w:u w:val="single"/>
                    </w:rPr>
                  </w:pPr>
                </w:p>
              </w:tc>
              <w:tc>
                <w:tcPr>
                  <w:tcW w:w="2120" w:type="dxa"/>
                  <w:tcBorders>
                    <w:tl2br w:val="nil"/>
                    <w:tr2bl w:val="nil"/>
                  </w:tcBorders>
                  <w:noWrap w:val="0"/>
                  <w:vAlign w:val="center"/>
                </w:tcPr>
                <w:p>
                  <w:pPr>
                    <w:jc w:val="center"/>
                    <w:rPr>
                      <w:rFonts w:hint="default" w:ascii="Times New Roman" w:hAnsi="Times New Roman" w:eastAsia="宋体" w:cs="Times New Roman"/>
                      <w:kern w:val="2"/>
                      <w:sz w:val="21"/>
                      <w:szCs w:val="21"/>
                      <w:u w:val="single"/>
                      <w:lang w:val="en-US" w:eastAsia="zh-CN" w:bidi="ar-SA"/>
                    </w:rPr>
                  </w:pPr>
                  <w:r>
                    <w:rPr>
                      <w:rFonts w:hint="eastAsia" w:cs="Times New Roman"/>
                      <w:b w:val="0"/>
                      <w:bCs w:val="0"/>
                      <w:sz w:val="21"/>
                      <w:szCs w:val="21"/>
                      <w:u w:val="single"/>
                      <w:lang w:eastAsia="zh-CN"/>
                    </w:rPr>
                    <w:t>奥敏游泳馆湿塘居民点</w:t>
                  </w:r>
                </w:p>
              </w:tc>
              <w:tc>
                <w:tcPr>
                  <w:tcW w:w="2398" w:type="dxa"/>
                  <w:tcBorders>
                    <w:tl2br w:val="nil"/>
                    <w:tr2bl w:val="nil"/>
                  </w:tcBorders>
                  <w:noWrap w:val="0"/>
                  <w:vAlign w:val="center"/>
                </w:tcPr>
                <w:p>
                  <w:pPr>
                    <w:adjustRightInd w:val="0"/>
                    <w:snapToGrid w:val="0"/>
                    <w:jc w:val="center"/>
                    <w:rPr>
                      <w:rFonts w:hint="default" w:ascii="Times New Roman" w:hAnsi="Times New Roman" w:eastAsia="宋体" w:cs="Times New Roman"/>
                      <w:color w:val="000000"/>
                      <w:kern w:val="2"/>
                      <w:sz w:val="21"/>
                      <w:szCs w:val="21"/>
                      <w:u w:val="single"/>
                      <w:lang w:val="en-US" w:eastAsia="zh-CN" w:bidi="ar-SA"/>
                    </w:rPr>
                  </w:pPr>
                  <w:r>
                    <w:rPr>
                      <w:rFonts w:hint="eastAsia" w:cs="Times New Roman"/>
                      <w:sz w:val="21"/>
                      <w:szCs w:val="21"/>
                      <w:u w:val="single"/>
                      <w:lang w:eastAsia="zh-CN"/>
                    </w:rPr>
                    <w:t>奇家社区及湿塘周边</w:t>
                  </w:r>
                  <w:r>
                    <w:rPr>
                      <w:rFonts w:hint="eastAsia" w:ascii="Times New Roman" w:hAnsi="Times New Roman" w:cs="Times New Roman"/>
                      <w:color w:val="000000"/>
                      <w:sz w:val="21"/>
                      <w:szCs w:val="21"/>
                      <w:u w:val="single"/>
                      <w:lang w:val="en-US" w:eastAsia="zh-CN"/>
                    </w:rPr>
                    <w:t>1</w:t>
                  </w:r>
                  <w:r>
                    <w:rPr>
                      <w:rFonts w:hint="eastAsia" w:cs="Times New Roman"/>
                      <w:color w:val="000000"/>
                      <w:sz w:val="21"/>
                      <w:szCs w:val="21"/>
                      <w:u w:val="single"/>
                      <w:lang w:val="en-US" w:eastAsia="zh-CN"/>
                    </w:rPr>
                    <w:t>0-500</w:t>
                  </w:r>
                  <w:r>
                    <w:rPr>
                      <w:rFonts w:hint="eastAsia" w:ascii="Times New Roman" w:hAnsi="Times New Roman" w:cs="Times New Roman"/>
                      <w:color w:val="000000"/>
                      <w:sz w:val="21"/>
                      <w:szCs w:val="21"/>
                      <w:u w:val="single"/>
                      <w:lang w:val="en-US" w:eastAsia="zh-CN"/>
                    </w:rPr>
                    <w:t>m</w:t>
                  </w:r>
                </w:p>
              </w:tc>
              <w:tc>
                <w:tcPr>
                  <w:tcW w:w="1866" w:type="dxa"/>
                  <w:tcBorders>
                    <w:tl2br w:val="nil"/>
                    <w:tr2bl w:val="nil"/>
                  </w:tcBorders>
                  <w:noWrap w:val="0"/>
                  <w:vAlign w:val="center"/>
                </w:tcPr>
                <w:p>
                  <w:pPr>
                    <w:adjustRightInd w:val="0"/>
                    <w:snapToGrid w:val="0"/>
                    <w:jc w:val="center"/>
                    <w:rPr>
                      <w:rFonts w:hint="default" w:ascii="Times New Roman" w:hAnsi="Times New Roman" w:eastAsia="宋体" w:cs="Times New Roman"/>
                      <w:b w:val="0"/>
                      <w:bCs w:val="0"/>
                      <w:kern w:val="2"/>
                      <w:sz w:val="21"/>
                      <w:szCs w:val="21"/>
                      <w:u w:val="single"/>
                      <w:lang w:val="en-US" w:eastAsia="zh-CN" w:bidi="ar-SA"/>
                    </w:rPr>
                  </w:pPr>
                  <w:r>
                    <w:rPr>
                      <w:rFonts w:hint="default" w:ascii="Times New Roman" w:hAnsi="Times New Roman" w:cs="Times New Roman"/>
                      <w:b w:val="0"/>
                      <w:bCs w:val="0"/>
                      <w:sz w:val="21"/>
                      <w:szCs w:val="21"/>
                      <w:u w:val="single"/>
                      <w:lang w:val="en-US" w:eastAsia="zh-CN"/>
                    </w:rPr>
                    <w:t>居住，</w:t>
                  </w:r>
                  <w:r>
                    <w:rPr>
                      <w:rFonts w:hint="eastAsia" w:cs="Times New Roman"/>
                      <w:b w:val="0"/>
                      <w:bCs w:val="0"/>
                      <w:sz w:val="21"/>
                      <w:szCs w:val="21"/>
                      <w:u w:val="single"/>
                      <w:lang w:val="en-US" w:eastAsia="zh-CN"/>
                    </w:rPr>
                    <w:t>约2</w:t>
                  </w:r>
                  <w:r>
                    <w:rPr>
                      <w:rFonts w:hint="default" w:ascii="Times New Roman" w:hAnsi="Times New Roman" w:cs="Times New Roman"/>
                      <w:b w:val="0"/>
                      <w:bCs w:val="0"/>
                      <w:sz w:val="21"/>
                      <w:szCs w:val="21"/>
                      <w:u w:val="single"/>
                      <w:lang w:val="en-US" w:eastAsia="zh-CN"/>
                    </w:rPr>
                    <w:t>00户</w:t>
                  </w:r>
                </w:p>
              </w:tc>
              <w:tc>
                <w:tcPr>
                  <w:tcW w:w="1831" w:type="dxa"/>
                  <w:vMerge w:val="continue"/>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0" w:hRule="atLeast"/>
                <w:jc w:val="center"/>
              </w:trPr>
              <w:tc>
                <w:tcPr>
                  <w:tcW w:w="1340" w:type="dxa"/>
                  <w:tcBorders>
                    <w:tl2br w:val="nil"/>
                    <w:tr2bl w:val="nil"/>
                  </w:tcBorders>
                  <w:noWrap w:val="0"/>
                  <w:vAlign w:val="center"/>
                </w:tcPr>
                <w:p>
                  <w:pPr>
                    <w:adjustRightInd w:val="0"/>
                    <w:jc w:val="center"/>
                    <w:rPr>
                      <w:rFonts w:hint="eastAsia" w:ascii="Times New Roman" w:hAnsi="Times New Roman" w:eastAsia="宋体" w:cs="Times New Roman"/>
                      <w:bCs/>
                      <w:color w:val="000000"/>
                      <w:spacing w:val="4"/>
                      <w:sz w:val="21"/>
                      <w:szCs w:val="21"/>
                      <w:highlight w:val="none"/>
                      <w:u w:val="single"/>
                      <w:lang w:eastAsia="zh-CN"/>
                    </w:rPr>
                  </w:pPr>
                  <w:r>
                    <w:rPr>
                      <w:rFonts w:hint="eastAsia" w:cs="Times New Roman"/>
                      <w:bCs/>
                      <w:color w:val="000000"/>
                      <w:spacing w:val="4"/>
                      <w:sz w:val="21"/>
                      <w:szCs w:val="21"/>
                      <w:highlight w:val="none"/>
                      <w:u w:val="single"/>
                      <w:lang w:eastAsia="zh-CN"/>
                    </w:rPr>
                    <w:t>土壤环境</w:t>
                  </w:r>
                </w:p>
              </w:tc>
              <w:tc>
                <w:tcPr>
                  <w:tcW w:w="8215" w:type="dxa"/>
                  <w:gridSpan w:val="4"/>
                  <w:tcBorders>
                    <w:tl2br w:val="nil"/>
                    <w:tr2bl w:val="nil"/>
                  </w:tcBorders>
                  <w:noWrap w:val="0"/>
                  <w:vAlign w:val="center"/>
                </w:tcPr>
                <w:p>
                  <w:pPr>
                    <w:pStyle w:val="84"/>
                    <w:jc w:val="center"/>
                    <w:rPr>
                      <w:rFonts w:hint="default" w:ascii="Times New Roman" w:hAnsi="Times New Roman" w:cs="Times New Roman"/>
                      <w:color w:val="000000"/>
                      <w:sz w:val="21"/>
                      <w:szCs w:val="21"/>
                      <w:highlight w:val="none"/>
                      <w:u w:val="single"/>
                    </w:rPr>
                  </w:pPr>
                  <w:r>
                    <w:rPr>
                      <w:rFonts w:hint="eastAsia"/>
                      <w:color w:val="auto"/>
                      <w:u w:val="single"/>
                    </w:rPr>
                    <w:t>土壤环境评价范围内（项目占地范围外</w:t>
                  </w:r>
                  <w:r>
                    <w:rPr>
                      <w:rFonts w:hint="eastAsia"/>
                      <w:color w:val="auto"/>
                      <w:u w:val="single"/>
                      <w:lang w:val="en-US" w:eastAsia="zh-CN"/>
                    </w:rPr>
                    <w:t>50</w:t>
                  </w:r>
                  <w:r>
                    <w:rPr>
                      <w:rFonts w:hint="eastAsia"/>
                      <w:color w:val="auto"/>
                      <w:u w:val="single"/>
                    </w:rPr>
                    <w:t>m）耕地（农田、旱地等）</w:t>
                  </w:r>
                </w:p>
              </w:tc>
            </w:tr>
          </w:tbl>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color w:val="auto"/>
                <w:kern w:val="24"/>
              </w:rPr>
            </w:pPr>
          </w:p>
          <w:p>
            <w:pPr>
              <w:pStyle w:val="8"/>
              <w:ind w:firstLine="0"/>
              <w:rPr>
                <w:bCs/>
                <w:color w:val="auto"/>
                <w:sz w:val="24"/>
                <w:szCs w:val="24"/>
              </w:rPr>
            </w:pPr>
            <w:r>
              <w:rPr>
                <w:color w:val="auto"/>
                <w:kern w:val="24"/>
              </w:rPr>
              <w:br w:type="page"/>
            </w:r>
          </w:p>
        </w:tc>
      </w:tr>
    </w:tbl>
    <w:p>
      <w:pPr>
        <w:pStyle w:val="37"/>
        <w:tabs>
          <w:tab w:val="clear" w:pos="1800"/>
        </w:tabs>
        <w:rPr>
          <w:rFonts w:eastAsia="宋体"/>
          <w:color w:val="auto"/>
        </w:rPr>
      </w:pPr>
      <w:bookmarkStart w:id="64" w:name="_Toc28212"/>
      <w:bookmarkStart w:id="65" w:name="_Toc32658"/>
      <w:bookmarkStart w:id="66" w:name="_Toc297732140"/>
      <w:r>
        <w:rPr>
          <w:rFonts w:eastAsia="宋体"/>
          <w:color w:val="auto"/>
        </w:rPr>
        <w:t>四、评价适用标准</w:t>
      </w:r>
      <w:bookmarkEnd w:id="64"/>
      <w:bookmarkEnd w:id="65"/>
      <w:bookmarkEnd w:id="66"/>
    </w:p>
    <w:tbl>
      <w:tblPr>
        <w:tblStyle w:val="26"/>
        <w:tblW w:w="97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21"/>
        <w:gridCol w:w="8744"/>
        <w:gridCol w:w="1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900" w:hRule="atLeast"/>
          <w:jc w:val="center"/>
        </w:trPr>
        <w:tc>
          <w:tcPr>
            <w:tcW w:w="1260" w:type="dxa"/>
            <w:vAlign w:val="center"/>
          </w:tcPr>
          <w:p>
            <w:pPr>
              <w:spacing w:line="400" w:lineRule="exact"/>
              <w:jc w:val="center"/>
              <w:rPr>
                <w:color w:val="auto"/>
              </w:rPr>
            </w:pPr>
            <w:bookmarkStart w:id="67" w:name="_Toc297732141"/>
            <w:r>
              <w:rPr>
                <w:bCs/>
                <w:color w:val="auto"/>
                <w:sz w:val="24"/>
                <w:szCs w:val="24"/>
              </w:rPr>
              <w:t>环</w:t>
            </w:r>
          </w:p>
          <w:p>
            <w:pPr>
              <w:spacing w:line="400" w:lineRule="exact"/>
              <w:jc w:val="center"/>
              <w:rPr>
                <w:color w:val="auto"/>
              </w:rPr>
            </w:pPr>
            <w:r>
              <w:rPr>
                <w:bCs/>
                <w:color w:val="auto"/>
                <w:sz w:val="24"/>
                <w:szCs w:val="24"/>
              </w:rPr>
              <w:t>境</w:t>
            </w:r>
          </w:p>
          <w:p>
            <w:pPr>
              <w:spacing w:line="400" w:lineRule="exact"/>
              <w:jc w:val="center"/>
              <w:rPr>
                <w:color w:val="auto"/>
              </w:rPr>
            </w:pPr>
            <w:r>
              <w:rPr>
                <w:bCs/>
                <w:color w:val="auto"/>
                <w:sz w:val="24"/>
                <w:szCs w:val="24"/>
              </w:rPr>
              <w:t>质</w:t>
            </w:r>
          </w:p>
          <w:p>
            <w:pPr>
              <w:spacing w:line="400" w:lineRule="exact"/>
              <w:jc w:val="center"/>
              <w:rPr>
                <w:bCs/>
                <w:color w:val="auto"/>
                <w:sz w:val="24"/>
                <w:szCs w:val="24"/>
              </w:rPr>
            </w:pPr>
            <w:r>
              <w:rPr>
                <w:bCs/>
                <w:color w:val="auto"/>
                <w:sz w:val="24"/>
                <w:szCs w:val="24"/>
              </w:rPr>
              <w:t>量</w:t>
            </w:r>
          </w:p>
          <w:p>
            <w:pPr>
              <w:spacing w:line="400" w:lineRule="exact"/>
              <w:jc w:val="center"/>
              <w:rPr>
                <w:bCs/>
                <w:color w:val="auto"/>
                <w:sz w:val="24"/>
                <w:szCs w:val="24"/>
              </w:rPr>
            </w:pPr>
            <w:r>
              <w:rPr>
                <w:bCs/>
                <w:color w:val="auto"/>
                <w:sz w:val="24"/>
                <w:szCs w:val="24"/>
              </w:rPr>
              <w:t>标</w:t>
            </w:r>
          </w:p>
          <w:p>
            <w:pPr>
              <w:spacing w:line="400" w:lineRule="exact"/>
              <w:jc w:val="center"/>
              <w:rPr>
                <w:bCs/>
                <w:color w:val="auto"/>
                <w:sz w:val="24"/>
                <w:szCs w:val="24"/>
              </w:rPr>
            </w:pPr>
            <w:r>
              <w:rPr>
                <w:bCs/>
                <w:color w:val="auto"/>
                <w:sz w:val="24"/>
                <w:szCs w:val="24"/>
              </w:rPr>
              <w:t>准</w:t>
            </w:r>
          </w:p>
        </w:tc>
        <w:tc>
          <w:tcPr>
            <w:tcW w:w="8515" w:type="dxa"/>
            <w:gridSpan w:val="2"/>
            <w:vAlign w:val="center"/>
          </w:tcPr>
          <w:p>
            <w:pPr>
              <w:pStyle w:val="8"/>
              <w:numPr>
                <w:ilvl w:val="0"/>
                <w:numId w:val="9"/>
              </w:numPr>
              <w:ind w:firstLine="480" w:firstLineChars="200"/>
              <w:rPr>
                <w:sz w:val="24"/>
                <w:szCs w:val="24"/>
              </w:rPr>
            </w:pPr>
            <w:r>
              <w:rPr>
                <w:sz w:val="24"/>
                <w:szCs w:val="24"/>
              </w:rPr>
              <w:t>地表水环境质量：</w:t>
            </w:r>
            <w:r>
              <w:rPr>
                <w:rFonts w:hint="eastAsia"/>
                <w:sz w:val="24"/>
                <w:szCs w:val="24"/>
                <w:lang w:eastAsia="zh-CN"/>
              </w:rPr>
              <w:t>项目区南港河</w:t>
            </w:r>
            <w:r>
              <w:rPr>
                <w:rFonts w:hint="eastAsia"/>
                <w:sz w:val="24"/>
                <w:szCs w:val="24"/>
              </w:rPr>
              <w:t>执行《地表水环境质量标准》(GB3838-2002) 表1中Ⅲ类标准</w:t>
            </w:r>
            <w:r>
              <w:rPr>
                <w:sz w:val="24"/>
                <w:szCs w:val="24"/>
              </w:rPr>
              <w:t>。</w:t>
            </w:r>
          </w:p>
          <w:p>
            <w:pPr>
              <w:pStyle w:val="96"/>
              <w:spacing w:line="240" w:lineRule="auto"/>
              <w:rPr>
                <w:rFonts w:hint="default"/>
                <w:sz w:val="24"/>
                <w:szCs w:val="24"/>
              </w:rPr>
            </w:pPr>
            <w:r>
              <w:rPr>
                <w:rFonts w:hint="default"/>
                <w:sz w:val="24"/>
                <w:szCs w:val="24"/>
              </w:rPr>
              <w:t>表4-</w:t>
            </w:r>
            <w:r>
              <w:rPr>
                <w:rFonts w:hint="eastAsia"/>
                <w:sz w:val="24"/>
                <w:szCs w:val="24"/>
                <w:lang w:val="en-US" w:eastAsia="zh-CN"/>
              </w:rPr>
              <w:t>1</w:t>
            </w:r>
            <w:r>
              <w:rPr>
                <w:rFonts w:hint="default"/>
                <w:sz w:val="24"/>
                <w:szCs w:val="24"/>
              </w:rPr>
              <w:t xml:space="preserve">  地表水环境质量标准（GB3838-2002）</w:t>
            </w:r>
            <w:r>
              <w:rPr>
                <w:rFonts w:hint="default"/>
                <w:sz w:val="24"/>
                <w:szCs w:val="24"/>
                <w:lang w:val="en-US" w:eastAsia="zh-CN"/>
              </w:rPr>
              <w:t xml:space="preserve"> </w:t>
            </w:r>
            <w:r>
              <w:rPr>
                <w:rFonts w:hint="default"/>
                <w:sz w:val="24"/>
                <w:szCs w:val="24"/>
              </w:rPr>
              <w:t>单位：mg/L，pH除外</w:t>
            </w:r>
          </w:p>
          <w:tbl>
            <w:tblPr>
              <w:tblStyle w:val="26"/>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198"/>
              <w:gridCol w:w="3082"/>
              <w:gridCol w:w="324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spacing w:line="240" w:lineRule="auto"/>
                    <w:jc w:val="center"/>
                    <w:rPr>
                      <w:rFonts w:hint="default"/>
                    </w:rPr>
                  </w:pPr>
                  <w:r>
                    <w:rPr>
                      <w:rFonts w:hint="default"/>
                    </w:rPr>
                    <w:t>序号</w:t>
                  </w:r>
                </w:p>
              </w:tc>
              <w:tc>
                <w:tcPr>
                  <w:tcW w:w="1807" w:type="pct"/>
                  <w:noWrap w:val="0"/>
                  <w:vAlign w:val="center"/>
                </w:tcPr>
                <w:p>
                  <w:pPr>
                    <w:spacing w:line="240" w:lineRule="auto"/>
                    <w:jc w:val="center"/>
                    <w:rPr>
                      <w:rFonts w:hint="default"/>
                    </w:rPr>
                  </w:pPr>
                  <w:r>
                    <w:rPr>
                      <w:rFonts w:hint="default"/>
                    </w:rPr>
                    <w:t>项目</w:t>
                  </w:r>
                </w:p>
              </w:tc>
              <w:tc>
                <w:tcPr>
                  <w:tcW w:w="1903" w:type="pct"/>
                  <w:noWrap w:val="0"/>
                  <w:vAlign w:val="center"/>
                </w:tcPr>
                <w:p>
                  <w:pPr>
                    <w:spacing w:line="240" w:lineRule="auto"/>
                    <w:jc w:val="center"/>
                    <w:rPr>
                      <w:rFonts w:hint="default"/>
                    </w:rPr>
                  </w:pPr>
                  <w:r>
                    <w:rPr>
                      <w:rFonts w:hint="default"/>
                    </w:rPr>
                    <w:t>Ⅲ类标准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pStyle w:val="97"/>
                    <w:spacing w:line="240" w:lineRule="auto"/>
                    <w:rPr>
                      <w:rFonts w:hint="default"/>
                    </w:rPr>
                  </w:pPr>
                  <w:r>
                    <w:rPr>
                      <w:rFonts w:hint="default"/>
                    </w:rPr>
                    <w:t>1</w:t>
                  </w:r>
                </w:p>
              </w:tc>
              <w:tc>
                <w:tcPr>
                  <w:tcW w:w="1807" w:type="pct"/>
                  <w:noWrap w:val="0"/>
                  <w:vAlign w:val="center"/>
                </w:tcPr>
                <w:p>
                  <w:pPr>
                    <w:pStyle w:val="97"/>
                    <w:spacing w:line="240" w:lineRule="auto"/>
                    <w:rPr>
                      <w:rFonts w:hint="default"/>
                    </w:rPr>
                  </w:pPr>
                  <w:r>
                    <w:rPr>
                      <w:rFonts w:hint="default"/>
                    </w:rPr>
                    <w:t>pH</w:t>
                  </w:r>
                </w:p>
              </w:tc>
              <w:tc>
                <w:tcPr>
                  <w:tcW w:w="1903" w:type="pct"/>
                  <w:noWrap w:val="0"/>
                  <w:vAlign w:val="center"/>
                </w:tcPr>
                <w:p>
                  <w:pPr>
                    <w:pStyle w:val="97"/>
                    <w:spacing w:line="240" w:lineRule="auto"/>
                    <w:rPr>
                      <w:rFonts w:hint="default"/>
                    </w:rPr>
                  </w:pPr>
                  <w:r>
                    <w:rPr>
                      <w:rFonts w:hint="default"/>
                    </w:rPr>
                    <w:t>6～9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9" w:hRule="atLeast"/>
                <w:jc w:val="center"/>
              </w:trPr>
              <w:tc>
                <w:tcPr>
                  <w:tcW w:w="1289" w:type="pct"/>
                  <w:noWrap w:val="0"/>
                  <w:vAlign w:val="center"/>
                </w:tcPr>
                <w:p>
                  <w:pPr>
                    <w:pStyle w:val="97"/>
                    <w:spacing w:line="240" w:lineRule="auto"/>
                    <w:rPr>
                      <w:rFonts w:hint="default"/>
                    </w:rPr>
                  </w:pPr>
                  <w:r>
                    <w:rPr>
                      <w:rFonts w:hint="default"/>
                    </w:rPr>
                    <w:t>2</w:t>
                  </w:r>
                </w:p>
              </w:tc>
              <w:tc>
                <w:tcPr>
                  <w:tcW w:w="1807" w:type="pct"/>
                  <w:noWrap w:val="0"/>
                  <w:vAlign w:val="center"/>
                </w:tcPr>
                <w:p>
                  <w:pPr>
                    <w:pStyle w:val="97"/>
                    <w:spacing w:line="240" w:lineRule="auto"/>
                    <w:rPr>
                      <w:rFonts w:hint="default"/>
                      <w:lang w:val="en-US" w:eastAsia="zh-CN"/>
                    </w:rPr>
                  </w:pPr>
                  <w:r>
                    <w:rPr>
                      <w:rFonts w:hint="default"/>
                    </w:rPr>
                    <w:t>COD</w:t>
                  </w:r>
                  <w:r>
                    <w:rPr>
                      <w:rFonts w:hint="default"/>
                      <w:vertAlign w:val="subscript"/>
                    </w:rPr>
                    <w:t>cr</w:t>
                  </w:r>
                </w:p>
              </w:tc>
              <w:tc>
                <w:tcPr>
                  <w:tcW w:w="1903" w:type="pct"/>
                  <w:noWrap w:val="0"/>
                  <w:vAlign w:val="center"/>
                </w:tcPr>
                <w:p>
                  <w:pPr>
                    <w:pStyle w:val="97"/>
                    <w:spacing w:line="240" w:lineRule="auto"/>
                    <w:rPr>
                      <w:rFonts w:hint="default"/>
                      <w:lang w:val="en-US" w:eastAsia="zh-CN"/>
                    </w:rPr>
                  </w:pPr>
                  <w:r>
                    <w:rPr>
                      <w:rFonts w:hint="default"/>
                    </w:rPr>
                    <w:t>≥</w:t>
                  </w:r>
                  <w:r>
                    <w:rPr>
                      <w:rFonts w:hint="default"/>
                      <w:lang w:val="en-US" w:eastAsia="zh-CN"/>
                    </w:rPr>
                    <w:t>2</w:t>
                  </w:r>
                  <w:r>
                    <w:rPr>
                      <w:rFonts w:hint="default"/>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pStyle w:val="97"/>
                    <w:spacing w:line="240" w:lineRule="auto"/>
                    <w:rPr>
                      <w:rFonts w:hint="default"/>
                    </w:rPr>
                  </w:pPr>
                  <w:r>
                    <w:rPr>
                      <w:rFonts w:hint="default"/>
                    </w:rPr>
                    <w:t>3</w:t>
                  </w:r>
                </w:p>
              </w:tc>
              <w:tc>
                <w:tcPr>
                  <w:tcW w:w="1807" w:type="pct"/>
                  <w:noWrap w:val="0"/>
                  <w:vAlign w:val="center"/>
                </w:tcPr>
                <w:p>
                  <w:pPr>
                    <w:pStyle w:val="97"/>
                    <w:spacing w:line="240" w:lineRule="auto"/>
                    <w:rPr>
                      <w:rFonts w:hint="default"/>
                      <w:lang w:val="en-US" w:eastAsia="zh-CN"/>
                    </w:rPr>
                  </w:pPr>
                  <w:r>
                    <w:rPr>
                      <w:rFonts w:hint="default"/>
                    </w:rPr>
                    <w:t>氨氮</w:t>
                  </w:r>
                </w:p>
              </w:tc>
              <w:tc>
                <w:tcPr>
                  <w:tcW w:w="1903" w:type="pct"/>
                  <w:noWrap w:val="0"/>
                  <w:vAlign w:val="center"/>
                </w:tcPr>
                <w:p>
                  <w:pPr>
                    <w:pStyle w:val="97"/>
                    <w:spacing w:line="240" w:lineRule="auto"/>
                    <w:rPr>
                      <w:rFonts w:hint="default"/>
                      <w:lang w:val="en-US" w:eastAsia="zh-CN"/>
                    </w:rPr>
                  </w:pPr>
                  <w:r>
                    <w:rPr>
                      <w:rFonts w:hint="default"/>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pStyle w:val="97"/>
                    <w:spacing w:line="240" w:lineRule="auto"/>
                    <w:rPr>
                      <w:rFonts w:hint="default"/>
                    </w:rPr>
                  </w:pPr>
                  <w:r>
                    <w:rPr>
                      <w:rFonts w:hint="default"/>
                    </w:rPr>
                    <w:t>4</w:t>
                  </w:r>
                </w:p>
              </w:tc>
              <w:tc>
                <w:tcPr>
                  <w:tcW w:w="1807" w:type="pct"/>
                  <w:noWrap w:val="0"/>
                  <w:vAlign w:val="center"/>
                </w:tcPr>
                <w:p>
                  <w:pPr>
                    <w:pStyle w:val="97"/>
                    <w:spacing w:line="240" w:lineRule="auto"/>
                    <w:rPr>
                      <w:rFonts w:hint="eastAsia"/>
                      <w:lang w:eastAsia="zh-CN"/>
                    </w:rPr>
                  </w:pPr>
                  <w:r>
                    <w:rPr>
                      <w:rFonts w:hint="eastAsia"/>
                      <w:lang w:eastAsia="zh-CN"/>
                    </w:rPr>
                    <w:t>铅</w:t>
                  </w:r>
                </w:p>
              </w:tc>
              <w:tc>
                <w:tcPr>
                  <w:tcW w:w="1903" w:type="pct"/>
                  <w:noWrap w:val="0"/>
                  <w:vAlign w:val="center"/>
                </w:tcPr>
                <w:p>
                  <w:pPr>
                    <w:pStyle w:val="97"/>
                    <w:spacing w:line="240" w:lineRule="auto"/>
                    <w:rPr>
                      <w:rFonts w:hint="default"/>
                      <w:lang w:val="en-US" w:eastAsia="zh-CN"/>
                    </w:rPr>
                  </w:pPr>
                  <w:r>
                    <w:rPr>
                      <w:rFonts w:hint="default"/>
                    </w:rPr>
                    <w:t>≤</w:t>
                  </w:r>
                  <w:r>
                    <w:rPr>
                      <w:rFonts w:hint="eastAsia"/>
                      <w:lang w:val="en-US" w:eastAsia="zh-CN"/>
                    </w:rPr>
                    <w:t>0.05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pStyle w:val="97"/>
                    <w:spacing w:line="240" w:lineRule="auto"/>
                    <w:rPr>
                      <w:rFonts w:hint="eastAsia"/>
                      <w:lang w:val="en-US" w:eastAsia="zh-CN"/>
                    </w:rPr>
                  </w:pPr>
                  <w:r>
                    <w:rPr>
                      <w:rFonts w:hint="eastAsia"/>
                      <w:lang w:val="en-US" w:eastAsia="zh-CN"/>
                    </w:rPr>
                    <w:t>5</w:t>
                  </w:r>
                </w:p>
              </w:tc>
              <w:tc>
                <w:tcPr>
                  <w:tcW w:w="1807" w:type="pct"/>
                  <w:noWrap w:val="0"/>
                  <w:vAlign w:val="center"/>
                </w:tcPr>
                <w:p>
                  <w:pPr>
                    <w:pStyle w:val="97"/>
                    <w:spacing w:line="240" w:lineRule="auto"/>
                    <w:rPr>
                      <w:rFonts w:hint="default"/>
                      <w:lang w:val="en-US" w:eastAsia="zh-CN"/>
                    </w:rPr>
                  </w:pPr>
                  <w:r>
                    <w:rPr>
                      <w:rFonts w:hint="default"/>
                      <w:lang w:val="en-US" w:eastAsia="zh-CN"/>
                    </w:rPr>
                    <w:t>镉</w:t>
                  </w:r>
                </w:p>
              </w:tc>
              <w:tc>
                <w:tcPr>
                  <w:tcW w:w="1903" w:type="pct"/>
                  <w:noWrap w:val="0"/>
                  <w:vAlign w:val="center"/>
                </w:tcPr>
                <w:p>
                  <w:pPr>
                    <w:pStyle w:val="97"/>
                    <w:spacing w:line="240" w:lineRule="auto"/>
                    <w:rPr>
                      <w:rFonts w:hint="default"/>
                      <w:lang w:val="en-US" w:eastAsia="zh-CN"/>
                    </w:rPr>
                  </w:pPr>
                  <w:r>
                    <w:rPr>
                      <w:rFonts w:hint="default"/>
                    </w:rPr>
                    <w:t>≤</w:t>
                  </w:r>
                  <w:r>
                    <w:rPr>
                      <w:rFonts w:hint="default"/>
                      <w:lang w:val="en-US" w:eastAsia="zh-CN"/>
                    </w:rPr>
                    <w:t>0.0</w:t>
                  </w:r>
                  <w:r>
                    <w:rPr>
                      <w:rFonts w:hint="eastAsia"/>
                      <w:lang w:val="en-US" w:eastAsia="zh-CN"/>
                    </w:rPr>
                    <w:t>0</w:t>
                  </w:r>
                  <w:r>
                    <w:rPr>
                      <w:rFonts w:hint="default"/>
                      <w:lang w:val="en-US" w:eastAsia="zh-CN"/>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pStyle w:val="97"/>
                    <w:spacing w:line="240" w:lineRule="auto"/>
                    <w:rPr>
                      <w:rFonts w:hint="eastAsia"/>
                      <w:lang w:val="en-US" w:eastAsia="zh-CN"/>
                    </w:rPr>
                  </w:pPr>
                  <w:r>
                    <w:rPr>
                      <w:rFonts w:hint="eastAsia"/>
                      <w:lang w:val="en-US" w:eastAsia="zh-CN"/>
                    </w:rPr>
                    <w:t>6</w:t>
                  </w:r>
                </w:p>
              </w:tc>
              <w:tc>
                <w:tcPr>
                  <w:tcW w:w="1807" w:type="pct"/>
                  <w:noWrap w:val="0"/>
                  <w:vAlign w:val="center"/>
                </w:tcPr>
                <w:p>
                  <w:pPr>
                    <w:pStyle w:val="97"/>
                    <w:spacing w:line="240" w:lineRule="auto"/>
                    <w:rPr>
                      <w:rFonts w:hint="eastAsia"/>
                      <w:lang w:eastAsia="zh-CN"/>
                    </w:rPr>
                  </w:pPr>
                  <w:r>
                    <w:rPr>
                      <w:rFonts w:hint="default"/>
                      <w:lang w:val="en-US" w:eastAsia="zh-CN"/>
                    </w:rPr>
                    <w:t>砷</w:t>
                  </w:r>
                </w:p>
              </w:tc>
              <w:tc>
                <w:tcPr>
                  <w:tcW w:w="1903" w:type="pct"/>
                  <w:noWrap w:val="0"/>
                  <w:vAlign w:val="center"/>
                </w:tcPr>
                <w:p>
                  <w:pPr>
                    <w:pStyle w:val="97"/>
                    <w:spacing w:line="240" w:lineRule="auto"/>
                    <w:rPr>
                      <w:rFonts w:hint="default"/>
                      <w:lang w:val="en-US" w:eastAsia="zh-CN"/>
                    </w:rPr>
                  </w:pPr>
                  <w:r>
                    <w:rPr>
                      <w:rFonts w:hint="default"/>
                    </w:rPr>
                    <w:t>≤</w:t>
                  </w:r>
                  <w:r>
                    <w:rPr>
                      <w:rFonts w:hint="eastAsia"/>
                      <w:lang w:val="en-US" w:eastAsia="zh-CN"/>
                    </w:rPr>
                    <w:t>0.05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9" w:type="pct"/>
                  <w:noWrap w:val="0"/>
                  <w:vAlign w:val="center"/>
                </w:tcPr>
                <w:p>
                  <w:pPr>
                    <w:pStyle w:val="97"/>
                    <w:spacing w:line="240" w:lineRule="auto"/>
                    <w:rPr>
                      <w:rFonts w:hint="eastAsia"/>
                      <w:lang w:eastAsia="zh-CN"/>
                    </w:rPr>
                  </w:pPr>
                  <w:r>
                    <w:rPr>
                      <w:rFonts w:hint="eastAsia"/>
                      <w:lang w:val="en-US" w:eastAsia="zh-CN"/>
                    </w:rPr>
                    <w:t>7</w:t>
                  </w:r>
                </w:p>
              </w:tc>
              <w:tc>
                <w:tcPr>
                  <w:tcW w:w="1807" w:type="pct"/>
                  <w:noWrap w:val="0"/>
                  <w:vAlign w:val="center"/>
                </w:tcPr>
                <w:p>
                  <w:pPr>
                    <w:pStyle w:val="97"/>
                    <w:spacing w:line="240" w:lineRule="auto"/>
                    <w:rPr>
                      <w:rFonts w:hint="default"/>
                    </w:rPr>
                  </w:pPr>
                  <w:r>
                    <w:rPr>
                      <w:rFonts w:hint="default"/>
                    </w:rPr>
                    <w:t>总磷</w:t>
                  </w:r>
                </w:p>
              </w:tc>
              <w:tc>
                <w:tcPr>
                  <w:tcW w:w="1903" w:type="pct"/>
                  <w:noWrap w:val="0"/>
                  <w:vAlign w:val="center"/>
                </w:tcPr>
                <w:p>
                  <w:pPr>
                    <w:pStyle w:val="97"/>
                    <w:spacing w:line="240" w:lineRule="auto"/>
                    <w:rPr>
                      <w:rFonts w:hint="default"/>
                    </w:rPr>
                  </w:pPr>
                  <w:r>
                    <w:rPr>
                      <w:rFonts w:hint="default"/>
                    </w:rPr>
                    <w:t>≤0.2</w:t>
                  </w:r>
                </w:p>
              </w:tc>
            </w:tr>
          </w:tbl>
          <w:p>
            <w:pPr>
              <w:pStyle w:val="8"/>
              <w:numPr>
                <w:ilvl w:val="0"/>
                <w:numId w:val="9"/>
              </w:numPr>
              <w:ind w:left="0" w:leftChars="0" w:firstLine="480" w:firstLineChars="200"/>
              <w:rPr>
                <w:rFonts w:hint="eastAsia"/>
                <w:sz w:val="24"/>
                <w:szCs w:val="24"/>
                <w:lang w:val="en-US" w:eastAsia="zh-CN"/>
              </w:rPr>
            </w:pPr>
            <w:r>
              <w:rPr>
                <w:sz w:val="24"/>
                <w:szCs w:val="24"/>
              </w:rPr>
              <w:t>环境空气质量评价：执行《环境空气质量标准》（GB3095-2012）</w:t>
            </w:r>
            <w:r>
              <w:rPr>
                <w:sz w:val="24"/>
                <w:szCs w:val="24"/>
                <w:lang w:val="en-US" w:eastAsia="zh-CN"/>
              </w:rPr>
              <w:t>及2018年修改单中的二级标准</w:t>
            </w:r>
            <w:r>
              <w:rPr>
                <w:rFonts w:hint="eastAsia"/>
                <w:sz w:val="24"/>
                <w:szCs w:val="24"/>
                <w:lang w:val="en-US" w:eastAsia="zh-CN"/>
              </w:rPr>
              <w:t>。H</w:t>
            </w:r>
            <w:r>
              <w:rPr>
                <w:rFonts w:hint="eastAsia"/>
                <w:sz w:val="24"/>
                <w:szCs w:val="24"/>
                <w:vertAlign w:val="subscript"/>
                <w:lang w:val="en-US" w:eastAsia="zh-CN"/>
              </w:rPr>
              <w:t>2</w:t>
            </w:r>
            <w:r>
              <w:rPr>
                <w:rFonts w:hint="eastAsia"/>
                <w:sz w:val="24"/>
                <w:szCs w:val="24"/>
                <w:lang w:val="en-US" w:eastAsia="zh-CN"/>
              </w:rPr>
              <w:t>S、NH</w:t>
            </w:r>
            <w:r>
              <w:rPr>
                <w:rFonts w:hint="eastAsia"/>
                <w:sz w:val="24"/>
                <w:szCs w:val="24"/>
                <w:vertAlign w:val="subscript"/>
                <w:lang w:val="en-US" w:eastAsia="zh-CN"/>
              </w:rPr>
              <w:t>3</w:t>
            </w:r>
            <w:r>
              <w:rPr>
                <w:rFonts w:hint="eastAsia"/>
                <w:sz w:val="24"/>
                <w:szCs w:val="24"/>
                <w:lang w:val="en-US" w:eastAsia="zh-CN"/>
              </w:rPr>
              <w:t>参照《环境影响评价技术导则  大气环境》（HJ2.2-2018）附录D标准限值。</w:t>
            </w:r>
          </w:p>
          <w:p>
            <w:pPr>
              <w:pStyle w:val="96"/>
              <w:rPr>
                <w:rFonts w:hint="default" w:ascii="Times New Roman" w:hAnsi="Times New Roman" w:cs="Times New Roman"/>
                <w:sz w:val="24"/>
                <w:szCs w:val="24"/>
              </w:rPr>
            </w:pPr>
            <w:r>
              <w:rPr>
                <w:rFonts w:hint="default" w:ascii="Times New Roman" w:hAnsi="Times New Roman" w:cs="Times New Roman"/>
                <w:sz w:val="24"/>
                <w:szCs w:val="24"/>
              </w:rPr>
              <w:t>表4-</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 xml:space="preserve">  环境空气质量标准     </w:t>
            </w:r>
          </w:p>
          <w:tbl>
            <w:tblPr>
              <w:tblStyle w:val="26"/>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autofit"/>
              <w:tblCellMar>
                <w:top w:w="0" w:type="dxa"/>
                <w:left w:w="113" w:type="dxa"/>
                <w:bottom w:w="0" w:type="dxa"/>
                <w:right w:w="113" w:type="dxa"/>
              </w:tblCellMar>
            </w:tblPr>
            <w:tblGrid>
              <w:gridCol w:w="638"/>
              <w:gridCol w:w="972"/>
              <w:gridCol w:w="1226"/>
              <w:gridCol w:w="848"/>
              <w:gridCol w:w="880"/>
              <w:gridCol w:w="39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13" w:type="dxa"/>
                  <w:bottom w:w="0" w:type="dxa"/>
                  <w:right w:w="113" w:type="dxa"/>
                </w:tblCellMar>
              </w:tblPrEx>
              <w:trPr>
                <w:trHeight w:val="340" w:hRule="atLeast"/>
                <w:jc w:val="center"/>
              </w:trPr>
              <w:tc>
                <w:tcPr>
                  <w:tcW w:w="374" w:type="pct"/>
                  <w:vMerge w:val="restar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序号</w:t>
                  </w:r>
                </w:p>
              </w:tc>
              <w:tc>
                <w:tcPr>
                  <w:tcW w:w="570" w:type="pct"/>
                  <w:vMerge w:val="restar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项目</w:t>
                  </w:r>
                </w:p>
              </w:tc>
              <w:tc>
                <w:tcPr>
                  <w:tcW w:w="1732" w:type="pct"/>
                  <w:gridSpan w:val="3"/>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标准值（ug/m</w:t>
                  </w:r>
                  <w:r>
                    <w:rPr>
                      <w:rFonts w:hint="default" w:ascii="Times New Roman" w:hAnsi="Times New Roman" w:cs="Times New Roman"/>
                      <w:vertAlign w:val="superscript"/>
                    </w:rPr>
                    <w:t>3</w:t>
                  </w:r>
                  <w:r>
                    <w:rPr>
                      <w:rFonts w:hint="default" w:ascii="Times New Roman" w:hAnsi="Times New Roman" w:cs="Times New Roman"/>
                    </w:rPr>
                    <w:t>）</w:t>
                  </w:r>
                </w:p>
              </w:tc>
              <w:tc>
                <w:tcPr>
                  <w:tcW w:w="2322" w:type="pct"/>
                  <w:vMerge w:val="restar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vMerge w:val="continue"/>
                  <w:shd w:val="clear" w:color="auto" w:fill="auto"/>
                  <w:noWrap w:val="0"/>
                  <w:vAlign w:val="center"/>
                </w:tcPr>
                <w:p>
                  <w:pPr>
                    <w:pStyle w:val="98"/>
                    <w:snapToGrid w:val="0"/>
                    <w:spacing w:line="240" w:lineRule="auto"/>
                    <w:jc w:val="center"/>
                    <w:rPr>
                      <w:rFonts w:hint="default" w:ascii="Times New Roman" w:hAnsi="Times New Roman" w:cs="Times New Roman"/>
                    </w:rPr>
                  </w:pPr>
                </w:p>
              </w:tc>
              <w:tc>
                <w:tcPr>
                  <w:tcW w:w="570" w:type="pct"/>
                  <w:vMerge w:val="continue"/>
                  <w:shd w:val="clear" w:color="auto" w:fill="auto"/>
                  <w:noWrap w:val="0"/>
                  <w:vAlign w:val="center"/>
                </w:tcPr>
                <w:p>
                  <w:pPr>
                    <w:pStyle w:val="98"/>
                    <w:snapToGrid w:val="0"/>
                    <w:spacing w:line="240" w:lineRule="auto"/>
                    <w:jc w:val="center"/>
                    <w:rPr>
                      <w:rFonts w:hint="default" w:ascii="Times New Roman" w:hAnsi="Times New Roman" w:cs="Times New Roman"/>
                    </w:rPr>
                  </w:pP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小时均值</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日均值</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年均值</w:t>
                  </w:r>
                </w:p>
              </w:tc>
              <w:tc>
                <w:tcPr>
                  <w:tcW w:w="2322" w:type="pct"/>
                  <w:vMerge w:val="continue"/>
                  <w:shd w:val="clear" w:color="auto" w:fill="auto"/>
                  <w:noWrap w:val="0"/>
                  <w:vAlign w:val="center"/>
                </w:tcPr>
                <w:p>
                  <w:pPr>
                    <w:pStyle w:val="98"/>
                    <w:snapToGrid w:val="0"/>
                    <w:spacing w:line="240" w:lineRule="auto"/>
                    <w:jc w:val="center"/>
                    <w:rPr>
                      <w:rFonts w:hint="default" w:ascii="Times New Roman" w:hAnsi="Times New Roman" w:cs="Times New Roma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1</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PM</w:t>
                  </w:r>
                  <w:r>
                    <w:rPr>
                      <w:rFonts w:hint="default" w:ascii="Times New Roman" w:hAnsi="Times New Roman" w:cs="Times New Roman"/>
                      <w:vertAlign w:val="subscript"/>
                    </w:rPr>
                    <w:t>2.5</w:t>
                  </w:r>
                </w:p>
              </w:tc>
              <w:tc>
                <w:tcPr>
                  <w:tcW w:w="719" w:type="pct"/>
                  <w:shd w:val="clear" w:color="auto" w:fill="auto"/>
                  <w:noWrap w:val="0"/>
                  <w:vAlign w:val="center"/>
                </w:tcPr>
                <w:p>
                  <w:pPr>
                    <w:snapToGrid w:val="0"/>
                    <w:spacing w:line="240" w:lineRule="auto"/>
                    <w:jc w:val="center"/>
                    <w:rPr>
                      <w:rFonts w:hint="default" w:ascii="Times New Roman" w:hAnsi="Times New Roman" w:cs="Times New Roman"/>
                    </w:rPr>
                  </w:pPr>
                  <w:r>
                    <w:rPr>
                      <w:rFonts w:hint="default" w:ascii="Times New Roman" w:hAnsi="Times New Roman" w:cs="Times New Roman"/>
                    </w:rPr>
                    <w:t>/</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75</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35</w:t>
                  </w:r>
                </w:p>
              </w:tc>
              <w:tc>
                <w:tcPr>
                  <w:tcW w:w="2322" w:type="pct"/>
                  <w:shd w:val="clear" w:color="auto" w:fill="auto"/>
                  <w:noWrap w:val="0"/>
                  <w:vAlign w:val="center"/>
                </w:tcPr>
                <w:p>
                  <w:pPr>
                    <w:snapToGrid w:val="0"/>
                    <w:spacing w:line="240" w:lineRule="auto"/>
                    <w:jc w:val="center"/>
                    <w:rPr>
                      <w:rFonts w:hint="default" w:ascii="Times New Roman" w:hAnsi="Times New Roman" w:cs="Times New Roman"/>
                      <w:lang w:eastAsia="zh-CN"/>
                    </w:rPr>
                  </w:pPr>
                  <w:r>
                    <w:rPr>
                      <w:rFonts w:hint="default" w:ascii="Times New Roman" w:hAnsi="Times New Roman" w:cs="Times New Roman"/>
                    </w:rPr>
                    <w:t>环境空气质量标准（GB3095-2012）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2</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PM</w:t>
                  </w:r>
                  <w:r>
                    <w:rPr>
                      <w:rFonts w:hint="default" w:ascii="Times New Roman" w:hAnsi="Times New Roman" w:cs="Times New Roman"/>
                      <w:vertAlign w:val="subscript"/>
                    </w:rPr>
                    <w:t>10</w:t>
                  </w:r>
                </w:p>
              </w:tc>
              <w:tc>
                <w:tcPr>
                  <w:tcW w:w="719" w:type="pct"/>
                  <w:shd w:val="clear" w:color="auto" w:fill="auto"/>
                  <w:noWrap w:val="0"/>
                  <w:vAlign w:val="center"/>
                </w:tcPr>
                <w:p>
                  <w:pPr>
                    <w:snapToGrid w:val="0"/>
                    <w:spacing w:line="240" w:lineRule="auto"/>
                    <w:jc w:val="center"/>
                    <w:rPr>
                      <w:rFonts w:hint="default" w:ascii="Times New Roman" w:hAnsi="Times New Roman" w:cs="Times New Roman"/>
                    </w:rPr>
                  </w:pPr>
                  <w:r>
                    <w:rPr>
                      <w:rFonts w:hint="default" w:ascii="Times New Roman" w:hAnsi="Times New Roman" w:cs="Times New Roman"/>
                    </w:rPr>
                    <w:t>/</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150</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70</w:t>
                  </w:r>
                </w:p>
              </w:tc>
              <w:tc>
                <w:tcPr>
                  <w:tcW w:w="2322" w:type="pct"/>
                  <w:shd w:val="clear" w:color="auto" w:fill="auto"/>
                  <w:noWrap w:val="0"/>
                  <w:vAlign w:val="center"/>
                </w:tcPr>
                <w:p>
                  <w:pPr>
                    <w:spacing w:line="240" w:lineRule="auto"/>
                    <w:jc w:val="center"/>
                    <w:rPr>
                      <w:rFonts w:hint="default" w:ascii="Times New Roman" w:hAnsi="Times New Roman" w:cs="Times New Roman"/>
                    </w:rPr>
                  </w:pPr>
                  <w:r>
                    <w:rPr>
                      <w:rFonts w:hint="default" w:ascii="Times New Roman" w:hAnsi="Times New Roman" w:cs="Times New Roman"/>
                    </w:rPr>
                    <w:t>环境空气质量标准（GB3095-2012）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3</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SO</w:t>
                  </w:r>
                  <w:r>
                    <w:rPr>
                      <w:rFonts w:hint="default" w:ascii="Times New Roman" w:hAnsi="Times New Roman" w:cs="Times New Roman"/>
                      <w:vertAlign w:val="subscript"/>
                    </w:rPr>
                    <w:t>2</w:t>
                  </w: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500</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150</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60</w:t>
                  </w:r>
                </w:p>
              </w:tc>
              <w:tc>
                <w:tcPr>
                  <w:tcW w:w="2322" w:type="pct"/>
                  <w:shd w:val="clear" w:color="auto" w:fill="auto"/>
                  <w:noWrap w:val="0"/>
                  <w:vAlign w:val="center"/>
                </w:tcPr>
                <w:p>
                  <w:pPr>
                    <w:spacing w:line="240" w:lineRule="auto"/>
                    <w:jc w:val="center"/>
                    <w:rPr>
                      <w:rFonts w:hint="default" w:ascii="Times New Roman" w:hAnsi="Times New Roman" w:cs="Times New Roman"/>
                    </w:rPr>
                  </w:pPr>
                  <w:r>
                    <w:rPr>
                      <w:rFonts w:hint="default" w:ascii="Times New Roman" w:hAnsi="Times New Roman" w:cs="Times New Roman"/>
                    </w:rPr>
                    <w:t>环境空气质量标准（GB3095-2012）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15"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4</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lang w:eastAsia="zh-CN"/>
                    </w:rPr>
                  </w:pPr>
                  <w:r>
                    <w:rPr>
                      <w:rFonts w:hint="default" w:ascii="Times New Roman" w:hAnsi="Times New Roman" w:cs="Times New Roman"/>
                    </w:rPr>
                    <w:t>NO</w:t>
                  </w:r>
                  <w:r>
                    <w:rPr>
                      <w:rFonts w:hint="default" w:ascii="Times New Roman" w:hAnsi="Times New Roman" w:cs="Times New Roman"/>
                      <w:vertAlign w:val="subscript"/>
                      <w:lang w:val="en-US" w:eastAsia="zh-CN"/>
                    </w:rPr>
                    <w:t>x</w:t>
                  </w: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250</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100</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50</w:t>
                  </w:r>
                </w:p>
              </w:tc>
              <w:tc>
                <w:tcPr>
                  <w:tcW w:w="2322" w:type="pct"/>
                  <w:shd w:val="clear" w:color="auto" w:fill="auto"/>
                  <w:noWrap w:val="0"/>
                  <w:vAlign w:val="center"/>
                </w:tcPr>
                <w:p>
                  <w:pPr>
                    <w:spacing w:line="240" w:lineRule="auto"/>
                    <w:jc w:val="center"/>
                    <w:rPr>
                      <w:rFonts w:hint="default" w:ascii="Times New Roman" w:hAnsi="Times New Roman" w:cs="Times New Roman"/>
                    </w:rPr>
                  </w:pPr>
                  <w:r>
                    <w:rPr>
                      <w:rFonts w:hint="default" w:ascii="Times New Roman" w:hAnsi="Times New Roman" w:cs="Times New Roman"/>
                    </w:rPr>
                    <w:t>环境空气质量标准（GB3095-2012）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5</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CO</w:t>
                  </w: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10000</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4000</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w:t>
                  </w:r>
                </w:p>
              </w:tc>
              <w:tc>
                <w:tcPr>
                  <w:tcW w:w="2322" w:type="pct"/>
                  <w:shd w:val="clear" w:color="auto" w:fill="auto"/>
                  <w:noWrap w:val="0"/>
                  <w:vAlign w:val="center"/>
                </w:tcPr>
                <w:p>
                  <w:pPr>
                    <w:spacing w:line="240" w:lineRule="auto"/>
                    <w:jc w:val="center"/>
                    <w:rPr>
                      <w:rFonts w:hint="default" w:ascii="Times New Roman" w:hAnsi="Times New Roman" w:cs="Times New Roman"/>
                      <w:lang w:eastAsia="zh-CN"/>
                    </w:rPr>
                  </w:pPr>
                  <w:r>
                    <w:rPr>
                      <w:rFonts w:hint="default" w:ascii="Times New Roman" w:hAnsi="Times New Roman" w:cs="Times New Roman"/>
                    </w:rPr>
                    <w:t>环境空气质量标准（GB3095-2012</w:t>
                  </w:r>
                  <w:r>
                    <w:rPr>
                      <w:rFonts w:hint="default" w:ascii="Times New Roman" w:hAnsi="Times New Roman" w:cs="Times New Roman"/>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6</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rPr>
                    <w:t>O</w:t>
                  </w:r>
                  <w:r>
                    <w:rPr>
                      <w:rFonts w:hint="default" w:ascii="Times New Roman" w:hAnsi="Times New Roman" w:cs="Times New Roman"/>
                      <w:vertAlign w:val="subscript"/>
                    </w:rPr>
                    <w:t>3</w:t>
                  </w: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200</w:t>
                  </w:r>
                </w:p>
              </w:tc>
              <w:tc>
                <w:tcPr>
                  <w:tcW w:w="497"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160</w:t>
                  </w:r>
                </w:p>
              </w:tc>
              <w:tc>
                <w:tcPr>
                  <w:tcW w:w="515"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w:t>
                  </w:r>
                </w:p>
              </w:tc>
              <w:tc>
                <w:tcPr>
                  <w:tcW w:w="2322" w:type="pct"/>
                  <w:shd w:val="clear" w:color="auto" w:fill="auto"/>
                  <w:noWrap w:val="0"/>
                  <w:vAlign w:val="center"/>
                </w:tcPr>
                <w:p>
                  <w:pPr>
                    <w:spacing w:line="240" w:lineRule="auto"/>
                    <w:jc w:val="center"/>
                    <w:rPr>
                      <w:rFonts w:hint="default" w:ascii="Times New Roman" w:hAnsi="Times New Roman" w:cs="Times New Roman"/>
                    </w:rPr>
                  </w:pPr>
                  <w:r>
                    <w:rPr>
                      <w:rFonts w:hint="default" w:ascii="Times New Roman" w:hAnsi="Times New Roman" w:cs="Times New Roman"/>
                    </w:rPr>
                    <w:t>环境空气质量标准（GB3095-2012）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7</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lang w:val="en-US" w:eastAsia="zh-CN"/>
                    </w:rPr>
                    <w:t>NH</w:t>
                  </w:r>
                  <w:r>
                    <w:rPr>
                      <w:rFonts w:hint="default" w:ascii="Times New Roman" w:hAnsi="Times New Roman" w:cs="Times New Roman"/>
                      <w:vertAlign w:val="subscript"/>
                      <w:lang w:val="en-US" w:eastAsia="zh-CN"/>
                    </w:rPr>
                    <w:t>3</w:t>
                  </w: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200</w:t>
                  </w:r>
                </w:p>
              </w:tc>
              <w:tc>
                <w:tcPr>
                  <w:tcW w:w="497" w:type="pct"/>
                  <w:shd w:val="clear" w:color="auto" w:fill="auto"/>
                  <w:noWrap w:val="0"/>
                  <w:vAlign w:val="center"/>
                </w:tcPr>
                <w:p>
                  <w:pPr>
                    <w:pStyle w:val="98"/>
                    <w:snapToGrid w:val="0"/>
                    <w:spacing w:line="240" w:lineRule="auto"/>
                    <w:ind w:firstLine="0" w:firstLineChars="0"/>
                    <w:jc w:val="center"/>
                    <w:rPr>
                      <w:rFonts w:hint="default" w:ascii="Times New Roman" w:hAnsi="Times New Roman" w:cs="Times New Roman"/>
                      <w:lang w:val="en-US" w:eastAsia="zh-CN"/>
                    </w:rPr>
                  </w:pPr>
                  <w:r>
                    <w:rPr>
                      <w:rFonts w:hint="default" w:ascii="Times New Roman" w:hAnsi="Times New Roman" w:cs="Times New Roman"/>
                    </w:rPr>
                    <w:t>/</w:t>
                  </w:r>
                </w:p>
              </w:tc>
              <w:tc>
                <w:tcPr>
                  <w:tcW w:w="515" w:type="pct"/>
                  <w:shd w:val="clear" w:color="auto" w:fill="auto"/>
                  <w:noWrap w:val="0"/>
                  <w:vAlign w:val="center"/>
                </w:tcPr>
                <w:p>
                  <w:pPr>
                    <w:pStyle w:val="98"/>
                    <w:snapToGrid w:val="0"/>
                    <w:spacing w:line="240" w:lineRule="auto"/>
                    <w:ind w:firstLine="0" w:firstLineChars="0"/>
                    <w:jc w:val="center"/>
                    <w:rPr>
                      <w:rFonts w:hint="default" w:ascii="Times New Roman" w:hAnsi="Times New Roman" w:cs="Times New Roman"/>
                      <w:lang w:val="en-US" w:eastAsia="zh-CN"/>
                    </w:rPr>
                  </w:pPr>
                  <w:r>
                    <w:rPr>
                      <w:rFonts w:hint="default" w:ascii="Times New Roman" w:hAnsi="Times New Roman" w:cs="Times New Roman"/>
                    </w:rPr>
                    <w:t>/</w:t>
                  </w:r>
                </w:p>
              </w:tc>
              <w:tc>
                <w:tcPr>
                  <w:tcW w:w="2322" w:type="pct"/>
                  <w:vMerge w:val="restart"/>
                  <w:shd w:val="clear" w:color="auto" w:fill="auto"/>
                  <w:noWrap w:val="0"/>
                  <w:vAlign w:val="center"/>
                </w:tcPr>
                <w:p>
                  <w:pPr>
                    <w:spacing w:line="240" w:lineRule="auto"/>
                    <w:jc w:val="center"/>
                    <w:rPr>
                      <w:rFonts w:hint="default" w:ascii="Times New Roman" w:hAnsi="Times New Roman" w:cs="Times New Roman"/>
                    </w:rPr>
                  </w:pPr>
                  <w:r>
                    <w:rPr>
                      <w:rFonts w:hint="default" w:ascii="Times New Roman" w:hAnsi="Times New Roman" w:cs="Times New Roman"/>
                      <w:lang w:val="en-US" w:eastAsia="zh-CN"/>
                    </w:rPr>
                    <w:t>《环境影响评价技术导则  大气环境》（HJ2.2-2018）附录D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13" w:type="dxa"/>
                  <w:bottom w:w="0" w:type="dxa"/>
                  <w:right w:w="113" w:type="dxa"/>
                </w:tblCellMar>
              </w:tblPrEx>
              <w:trPr>
                <w:trHeight w:val="340" w:hRule="atLeast"/>
                <w:jc w:val="center"/>
              </w:trPr>
              <w:tc>
                <w:tcPr>
                  <w:tcW w:w="374"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8</w:t>
                  </w:r>
                </w:p>
              </w:tc>
              <w:tc>
                <w:tcPr>
                  <w:tcW w:w="570" w:type="pct"/>
                  <w:shd w:val="clear" w:color="auto" w:fill="auto"/>
                  <w:noWrap w:val="0"/>
                  <w:vAlign w:val="center"/>
                </w:tcPr>
                <w:p>
                  <w:pPr>
                    <w:pStyle w:val="98"/>
                    <w:snapToGrid w:val="0"/>
                    <w:spacing w:line="240" w:lineRule="auto"/>
                    <w:jc w:val="center"/>
                    <w:rPr>
                      <w:rFonts w:hint="default" w:ascii="Times New Roman" w:hAnsi="Times New Roman" w:cs="Times New Roman"/>
                    </w:rPr>
                  </w:pPr>
                  <w:r>
                    <w:rPr>
                      <w:rFonts w:hint="default" w:ascii="Times New Roman" w:hAnsi="Times New Roman" w:cs="Times New Roman"/>
                      <w:lang w:val="en-US" w:eastAsia="zh-CN"/>
                    </w:rPr>
                    <w:t>H</w:t>
                  </w:r>
                  <w:r>
                    <w:rPr>
                      <w:rFonts w:hint="default" w:ascii="Times New Roman" w:hAnsi="Times New Roman" w:cs="Times New Roman"/>
                      <w:vertAlign w:val="subscript"/>
                      <w:lang w:val="en-US" w:eastAsia="zh-CN"/>
                    </w:rPr>
                    <w:t>2</w:t>
                  </w:r>
                  <w:r>
                    <w:rPr>
                      <w:rFonts w:hint="default" w:ascii="Times New Roman" w:hAnsi="Times New Roman" w:cs="Times New Roman"/>
                      <w:lang w:val="en-US" w:eastAsia="zh-CN"/>
                    </w:rPr>
                    <w:t>S</w:t>
                  </w:r>
                </w:p>
              </w:tc>
              <w:tc>
                <w:tcPr>
                  <w:tcW w:w="719" w:type="pct"/>
                  <w:shd w:val="clear" w:color="auto" w:fill="auto"/>
                  <w:noWrap w:val="0"/>
                  <w:vAlign w:val="center"/>
                </w:tcPr>
                <w:p>
                  <w:pPr>
                    <w:pStyle w:val="98"/>
                    <w:snapToGrid w:val="0"/>
                    <w:spacing w:line="240" w:lineRule="auto"/>
                    <w:jc w:val="center"/>
                    <w:rPr>
                      <w:rFonts w:hint="default" w:ascii="Times New Roman" w:hAnsi="Times New Roman" w:cs="Times New Roman"/>
                      <w:lang w:val="en-US" w:eastAsia="zh-CN"/>
                    </w:rPr>
                  </w:pPr>
                  <w:r>
                    <w:rPr>
                      <w:rFonts w:hint="default" w:ascii="Times New Roman" w:hAnsi="Times New Roman" w:cs="Times New Roman"/>
                      <w:lang w:val="en-US" w:eastAsia="zh-CN"/>
                    </w:rPr>
                    <w:t>10</w:t>
                  </w:r>
                </w:p>
              </w:tc>
              <w:tc>
                <w:tcPr>
                  <w:tcW w:w="497" w:type="pct"/>
                  <w:shd w:val="clear" w:color="auto" w:fill="auto"/>
                  <w:noWrap w:val="0"/>
                  <w:vAlign w:val="center"/>
                </w:tcPr>
                <w:p>
                  <w:pPr>
                    <w:pStyle w:val="98"/>
                    <w:snapToGrid w:val="0"/>
                    <w:spacing w:line="240" w:lineRule="auto"/>
                    <w:ind w:firstLine="0" w:firstLineChars="0"/>
                    <w:jc w:val="center"/>
                    <w:rPr>
                      <w:rFonts w:hint="default" w:ascii="Times New Roman" w:hAnsi="Times New Roman" w:cs="Times New Roman"/>
                      <w:lang w:val="en-US" w:eastAsia="zh-CN"/>
                    </w:rPr>
                  </w:pPr>
                  <w:r>
                    <w:rPr>
                      <w:rFonts w:hint="default" w:ascii="Times New Roman" w:hAnsi="Times New Roman" w:cs="Times New Roman"/>
                      <w:lang w:val="en-US" w:eastAsia="zh-CN"/>
                    </w:rPr>
                    <w:t>/</w:t>
                  </w:r>
                </w:p>
              </w:tc>
              <w:tc>
                <w:tcPr>
                  <w:tcW w:w="515" w:type="pct"/>
                  <w:shd w:val="clear" w:color="auto" w:fill="auto"/>
                  <w:noWrap w:val="0"/>
                  <w:vAlign w:val="center"/>
                </w:tcPr>
                <w:p>
                  <w:pPr>
                    <w:pStyle w:val="98"/>
                    <w:snapToGrid w:val="0"/>
                    <w:spacing w:line="240" w:lineRule="auto"/>
                    <w:ind w:firstLine="0" w:firstLineChars="0"/>
                    <w:jc w:val="center"/>
                    <w:rPr>
                      <w:rFonts w:hint="default" w:ascii="Times New Roman" w:hAnsi="Times New Roman" w:cs="Times New Roman"/>
                      <w:lang w:val="en-US" w:eastAsia="zh-CN"/>
                    </w:rPr>
                  </w:pPr>
                  <w:r>
                    <w:rPr>
                      <w:rFonts w:hint="default" w:ascii="Times New Roman" w:hAnsi="Times New Roman" w:cs="Times New Roman"/>
                      <w:lang w:val="en-US" w:eastAsia="zh-CN"/>
                    </w:rPr>
                    <w:t>/</w:t>
                  </w:r>
                </w:p>
              </w:tc>
              <w:tc>
                <w:tcPr>
                  <w:tcW w:w="2322" w:type="pct"/>
                  <w:vMerge w:val="continue"/>
                  <w:shd w:val="clear" w:color="auto" w:fill="auto"/>
                  <w:noWrap w:val="0"/>
                  <w:vAlign w:val="center"/>
                </w:tcPr>
                <w:p>
                  <w:pPr>
                    <w:spacing w:line="240" w:lineRule="auto"/>
                    <w:jc w:val="center"/>
                    <w:rPr>
                      <w:rFonts w:hint="default" w:ascii="Times New Roman" w:hAnsi="Times New Roman" w:cs="Times New Roman"/>
                    </w:rPr>
                  </w:pPr>
                </w:p>
              </w:tc>
            </w:tr>
          </w:tbl>
          <w:p>
            <w:pPr>
              <w:numPr>
                <w:ilvl w:val="0"/>
                <w:numId w:val="9"/>
              </w:numPr>
              <w:spacing w:line="360" w:lineRule="auto"/>
              <w:ind w:left="0" w:leftChars="0" w:right="105" w:rightChars="50" w:firstLine="480" w:firstLineChars="200"/>
              <w:rPr>
                <w:rFonts w:hint="default" w:ascii="Times New Roman" w:hAnsi="Times New Roman" w:cs="Times New Roman"/>
                <w:sz w:val="24"/>
                <w:szCs w:val="24"/>
              </w:rPr>
            </w:pPr>
            <w:r>
              <w:rPr>
                <w:rFonts w:hint="default" w:ascii="Times New Roman" w:hAnsi="Times New Roman" w:cs="Times New Roman"/>
                <w:sz w:val="24"/>
                <w:szCs w:val="24"/>
              </w:rPr>
              <w:t>声环境：执行《声环境质量标准》（GB3096-2008）中</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类标准。</w:t>
            </w:r>
          </w:p>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cs="Times New Roman"/>
                <w:b/>
                <w:color w:val="auto"/>
                <w:sz w:val="24"/>
                <w:szCs w:val="24"/>
                <w:highlight w:val="yellow"/>
                <w:u w:val="none"/>
              </w:rPr>
            </w:pPr>
            <w:r>
              <w:rPr>
                <w:rFonts w:hint="default" w:ascii="Times New Roman" w:hAnsi="Times New Roman" w:cs="Times New Roman"/>
                <w:b/>
                <w:color w:val="auto"/>
                <w:sz w:val="24"/>
                <w:szCs w:val="24"/>
                <w:highlight w:val="none"/>
                <w:u w:val="none"/>
              </w:rPr>
              <w:t>表4-</w:t>
            </w:r>
            <w:r>
              <w:rPr>
                <w:rFonts w:hint="eastAsia" w:ascii="Times New Roman" w:hAnsi="Times New Roman" w:cs="Times New Roman"/>
                <w:b/>
                <w:color w:val="auto"/>
                <w:sz w:val="24"/>
                <w:szCs w:val="24"/>
                <w:highlight w:val="none"/>
                <w:u w:val="none"/>
                <w:lang w:val="en-US" w:eastAsia="zh-CN"/>
              </w:rPr>
              <w:t>3</w:t>
            </w:r>
            <w:r>
              <w:rPr>
                <w:rFonts w:hint="default" w:ascii="Times New Roman" w:hAnsi="Times New Roman" w:cs="Times New Roman"/>
                <w:b/>
                <w:color w:val="auto"/>
                <w:sz w:val="24"/>
                <w:szCs w:val="24"/>
                <w:highlight w:val="none"/>
                <w:u w:val="none"/>
                <w:lang w:val="en-US" w:eastAsia="zh-CN"/>
              </w:rPr>
              <w:t xml:space="preserve"> </w:t>
            </w:r>
            <w:r>
              <w:rPr>
                <w:rFonts w:hint="default" w:ascii="Times New Roman" w:hAnsi="Times New Roman" w:cs="Times New Roman"/>
                <w:b/>
                <w:color w:val="auto"/>
                <w:sz w:val="24"/>
                <w:szCs w:val="24"/>
                <w:highlight w:val="none"/>
                <w:u w:val="none"/>
              </w:rPr>
              <w:t>声环境质量标准    单位：dB(A)</w:t>
            </w:r>
          </w:p>
          <w:tbl>
            <w:tblPr>
              <w:tblStyle w:val="26"/>
              <w:tblW w:w="4998"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853"/>
              <w:gridCol w:w="3112"/>
              <w:gridCol w:w="256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3" w:hRule="atLeast"/>
                <w:jc w:val="center"/>
              </w:trPr>
              <w:tc>
                <w:tcPr>
                  <w:tcW w:w="1673" w:type="pct"/>
                  <w:noWrap w:val="0"/>
                  <w:vAlign w:val="center"/>
                </w:tcPr>
                <w:p>
                  <w:pPr>
                    <w:spacing w:line="360" w:lineRule="exact"/>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类别</w:t>
                  </w:r>
                </w:p>
              </w:tc>
              <w:tc>
                <w:tcPr>
                  <w:tcW w:w="1825" w:type="pct"/>
                  <w:noWrap w:val="0"/>
                  <w:vAlign w:val="center"/>
                </w:tcPr>
                <w:p>
                  <w:pPr>
                    <w:spacing w:line="360" w:lineRule="exact"/>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昼间</w:t>
                  </w:r>
                </w:p>
              </w:tc>
              <w:tc>
                <w:tcPr>
                  <w:tcW w:w="1501" w:type="pct"/>
                  <w:noWrap w:val="0"/>
                  <w:vAlign w:val="center"/>
                </w:tcPr>
                <w:p>
                  <w:pPr>
                    <w:spacing w:line="360" w:lineRule="exact"/>
                    <w:jc w:val="center"/>
                    <w:rPr>
                      <w:rFonts w:hint="default" w:ascii="Times New Roman" w:hAnsi="Times New Roman" w:cs="Times New Roman"/>
                      <w:color w:val="auto"/>
                      <w:sz w:val="21"/>
                      <w:szCs w:val="21"/>
                      <w:u w:val="none"/>
                    </w:rPr>
                  </w:pPr>
                  <w:r>
                    <w:rPr>
                      <w:rFonts w:hint="default" w:ascii="Times New Roman" w:hAnsi="Times New Roman" w:cs="Times New Roman"/>
                      <w:color w:val="auto"/>
                      <w:sz w:val="21"/>
                      <w:szCs w:val="21"/>
                      <w:u w:val="none"/>
                    </w:rPr>
                    <w:t>夜间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3" w:hRule="atLeast"/>
                <w:jc w:val="center"/>
              </w:trPr>
              <w:tc>
                <w:tcPr>
                  <w:tcW w:w="1673" w:type="pct"/>
                  <w:noWrap w:val="0"/>
                  <w:vAlign w:val="center"/>
                </w:tcPr>
                <w:p>
                  <w:pPr>
                    <w:spacing w:line="360" w:lineRule="exact"/>
                    <w:jc w:val="center"/>
                    <w:rPr>
                      <w:rFonts w:hint="default" w:ascii="Times New Roman" w:hAnsi="Times New Roman" w:eastAsia="宋体" w:cs="Times New Roman"/>
                      <w:color w:val="auto"/>
                      <w:sz w:val="21"/>
                      <w:szCs w:val="21"/>
                      <w:u w:val="none"/>
                      <w:lang w:val="en-US" w:eastAsia="zh-CN"/>
                    </w:rPr>
                  </w:pPr>
                  <w:r>
                    <w:rPr>
                      <w:rFonts w:hint="default" w:ascii="Times New Roman" w:hAnsi="Times New Roman" w:cs="Times New Roman"/>
                      <w:color w:val="auto"/>
                      <w:sz w:val="21"/>
                      <w:szCs w:val="21"/>
                      <w:u w:val="none"/>
                      <w:lang w:val="en-US" w:eastAsia="zh-CN"/>
                    </w:rPr>
                    <w:t>2类</w:t>
                  </w:r>
                </w:p>
              </w:tc>
              <w:tc>
                <w:tcPr>
                  <w:tcW w:w="1825" w:type="pct"/>
                  <w:noWrap w:val="0"/>
                  <w:vAlign w:val="center"/>
                </w:tcPr>
                <w:p>
                  <w:pPr>
                    <w:spacing w:line="360" w:lineRule="exact"/>
                    <w:jc w:val="center"/>
                    <w:rPr>
                      <w:rFonts w:hint="default" w:ascii="Times New Roman" w:hAnsi="Times New Roman" w:eastAsia="宋体" w:cs="Times New Roman"/>
                      <w:color w:val="auto"/>
                      <w:sz w:val="21"/>
                      <w:szCs w:val="21"/>
                      <w:u w:val="none"/>
                      <w:lang w:val="en-US" w:eastAsia="zh-CN"/>
                    </w:rPr>
                  </w:pPr>
                  <w:r>
                    <w:rPr>
                      <w:rFonts w:hint="default" w:ascii="Times New Roman" w:hAnsi="Times New Roman" w:cs="Times New Roman"/>
                      <w:color w:val="auto"/>
                      <w:sz w:val="21"/>
                      <w:szCs w:val="21"/>
                      <w:u w:val="none"/>
                      <w:lang w:val="en-US" w:eastAsia="zh-CN"/>
                    </w:rPr>
                    <w:t>60</w:t>
                  </w:r>
                </w:p>
              </w:tc>
              <w:tc>
                <w:tcPr>
                  <w:tcW w:w="1501" w:type="pct"/>
                  <w:noWrap w:val="0"/>
                  <w:vAlign w:val="center"/>
                </w:tcPr>
                <w:p>
                  <w:pPr>
                    <w:spacing w:line="360" w:lineRule="exact"/>
                    <w:jc w:val="center"/>
                    <w:rPr>
                      <w:rFonts w:hint="default" w:ascii="Times New Roman" w:hAnsi="Times New Roman" w:eastAsia="宋体" w:cs="Times New Roman"/>
                      <w:color w:val="auto"/>
                      <w:sz w:val="21"/>
                      <w:szCs w:val="21"/>
                      <w:u w:val="none"/>
                      <w:lang w:val="en-US" w:eastAsia="zh-CN"/>
                    </w:rPr>
                  </w:pPr>
                  <w:r>
                    <w:rPr>
                      <w:rFonts w:hint="default" w:ascii="Times New Roman" w:hAnsi="Times New Roman" w:cs="Times New Roman"/>
                      <w:color w:val="auto"/>
                      <w:sz w:val="21"/>
                      <w:szCs w:val="21"/>
                      <w:u w:val="none"/>
                      <w:lang w:val="en-US" w:eastAsia="zh-CN"/>
                    </w:rPr>
                    <w:t>50</w:t>
                  </w:r>
                </w:p>
              </w:tc>
            </w:tr>
          </w:tbl>
          <w:p>
            <w:pPr>
              <w:pStyle w:val="8"/>
              <w:numPr>
                <w:ilvl w:val="-1"/>
                <w:numId w:val="0"/>
              </w:numPr>
              <w:adjustRightInd/>
              <w:ind w:firstLine="480" w:firstLineChars="200"/>
              <w:rPr>
                <w:sz w:val="24"/>
                <w:szCs w:val="24"/>
              </w:rPr>
            </w:pPr>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sz w:val="24"/>
                <w:szCs w:val="24"/>
              </w:rPr>
              <w:t>地下水：执行《地下水质量标准》（GB/T14848-2017）Ⅲ类标准。</w:t>
            </w:r>
          </w:p>
          <w:p>
            <w:pPr>
              <w:spacing w:line="240" w:lineRule="atLeast"/>
              <w:jc w:val="center"/>
              <w:rPr>
                <w:rFonts w:hint="eastAsia"/>
                <w:b/>
                <w:bCs/>
                <w:sz w:val="24"/>
                <w:szCs w:val="24"/>
              </w:rPr>
            </w:pPr>
            <w:r>
              <w:rPr>
                <w:rFonts w:hint="eastAsia"/>
                <w:b/>
                <w:bCs/>
                <w:sz w:val="24"/>
                <w:szCs w:val="24"/>
              </w:rPr>
              <w:t>表</w:t>
            </w:r>
            <w:r>
              <w:rPr>
                <w:rFonts w:hint="eastAsia"/>
                <w:b/>
                <w:bCs/>
                <w:sz w:val="24"/>
                <w:szCs w:val="24"/>
                <w:lang w:eastAsia="zh-CN"/>
              </w:rPr>
              <w:t>4</w:t>
            </w:r>
            <w:r>
              <w:rPr>
                <w:rFonts w:hint="eastAsia"/>
                <w:b/>
                <w:bCs/>
                <w:sz w:val="24"/>
                <w:szCs w:val="24"/>
                <w:lang w:val="en-US" w:eastAsia="zh-CN"/>
              </w:rPr>
              <w:t>-4</w:t>
            </w:r>
            <w:r>
              <w:rPr>
                <w:rFonts w:hint="eastAsia"/>
                <w:b/>
                <w:bCs/>
                <w:sz w:val="24"/>
                <w:szCs w:val="24"/>
              </w:rPr>
              <w:t xml:space="preserve">  《地下水质量标准》（GB/T14848-2017）标准限值（Ⅲ类标准）</w:t>
            </w:r>
          </w:p>
          <w:tbl>
            <w:tblPr>
              <w:tblStyle w:val="26"/>
              <w:tblW w:w="8295"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108" w:type="dxa"/>
                <w:bottom w:w="0" w:type="dxa"/>
                <w:right w:w="108" w:type="dxa"/>
              </w:tblCellMar>
            </w:tblPr>
            <w:tblGrid>
              <w:gridCol w:w="1356"/>
              <w:gridCol w:w="968"/>
              <w:gridCol w:w="982"/>
              <w:gridCol w:w="1227"/>
              <w:gridCol w:w="1214"/>
              <w:gridCol w:w="1376"/>
              <w:gridCol w:w="117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404" w:hRule="atLeast"/>
                <w:jc w:val="center"/>
              </w:trPr>
              <w:tc>
                <w:tcPr>
                  <w:tcW w:w="135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default" w:ascii="Times New Roman" w:hAnsi="Times New Roman" w:cs="Times New Roman"/>
                      <w:sz w:val="21"/>
                      <w:szCs w:val="21"/>
                    </w:rPr>
                    <w:t>污染物名称</w:t>
                  </w:r>
                </w:p>
              </w:tc>
              <w:tc>
                <w:tcPr>
                  <w:tcW w:w="968"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pH</w:t>
                  </w:r>
                  <w:r>
                    <w:rPr>
                      <w:rFonts w:hint="default" w:ascii="Times New Roman" w:hAnsi="Times New Roman" w:cs="Times New Roman"/>
                      <w:sz w:val="21"/>
                      <w:szCs w:val="21"/>
                    </w:rPr>
                    <w:t>值</w:t>
                  </w:r>
                </w:p>
              </w:tc>
              <w:tc>
                <w:tcPr>
                  <w:tcW w:w="982"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氨氮</w:t>
                  </w:r>
                </w:p>
              </w:tc>
              <w:tc>
                <w:tcPr>
                  <w:tcW w:w="1227"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亚硝酸盐</w:t>
                  </w:r>
                </w:p>
              </w:tc>
              <w:tc>
                <w:tcPr>
                  <w:tcW w:w="1214"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硝酸盐</w:t>
                  </w:r>
                </w:p>
              </w:tc>
              <w:tc>
                <w:tcPr>
                  <w:tcW w:w="137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总大肠菌群</w:t>
                  </w:r>
                </w:p>
              </w:tc>
              <w:tc>
                <w:tcPr>
                  <w:tcW w:w="1172" w:type="dxa"/>
                  <w:tcBorders>
                    <w:tl2br w:val="nil"/>
                    <w:tr2bl w:val="nil"/>
                  </w:tcBorders>
                  <w:vAlign w:val="center"/>
                </w:tcPr>
                <w:p>
                  <w:pPr>
                    <w:snapToGrid w:val="0"/>
                    <w:spacing w:line="240" w:lineRule="auto"/>
                    <w:ind w:firstLine="0" w:firstLineChars="0"/>
                    <w:jc w:val="center"/>
                    <w:rPr>
                      <w:rFonts w:hint="eastAsia" w:ascii="Times New Roman" w:hAnsi="Times New Roman" w:cs="Times New Roman"/>
                      <w:sz w:val="21"/>
                      <w:szCs w:val="21"/>
                    </w:rPr>
                  </w:pPr>
                  <w:r>
                    <w:rPr>
                      <w:rFonts w:hint="eastAsia" w:ascii="Times New Roman" w:hAnsi="Times New Roman" w:cs="Times New Roman"/>
                      <w:sz w:val="21"/>
                      <w:szCs w:val="21"/>
                      <w:lang w:val="en-US" w:eastAsia="zh-CN"/>
                    </w:rPr>
                    <w:t>耗氧量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5" w:hRule="atLeast"/>
                <w:jc w:val="center"/>
              </w:trPr>
              <w:tc>
                <w:tcPr>
                  <w:tcW w:w="135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default" w:ascii="Times New Roman" w:hAnsi="Times New Roman" w:cs="Times New Roman"/>
                      <w:sz w:val="21"/>
                      <w:szCs w:val="21"/>
                    </w:rPr>
                    <w:t>标准值</w:t>
                  </w:r>
                </w:p>
              </w:tc>
              <w:tc>
                <w:tcPr>
                  <w:tcW w:w="968"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6.5~8.5</w:t>
                  </w:r>
                </w:p>
              </w:tc>
              <w:tc>
                <w:tcPr>
                  <w:tcW w:w="982" w:type="dxa"/>
                  <w:tcBorders>
                    <w:tl2br w:val="nil"/>
                    <w:tr2bl w:val="nil"/>
                  </w:tcBorders>
                  <w:vAlign w:val="center"/>
                </w:tcPr>
                <w:p>
                  <w:pPr>
                    <w:snapToGrid w:val="0"/>
                    <w:spacing w:line="240" w:lineRule="auto"/>
                    <w:ind w:firstLine="0" w:firstLineChars="0"/>
                    <w:jc w:val="center"/>
                    <w:rPr>
                      <w:rFonts w:hint="eastAsia" w:ascii="Times New Roman" w:hAnsi="Times New Roman" w:cs="Times New Roman"/>
                      <w:sz w:val="21"/>
                      <w:szCs w:val="21"/>
                    </w:rPr>
                  </w:pPr>
                  <w:r>
                    <w:rPr>
                      <w:rFonts w:hint="default" w:ascii="Times New Roman" w:hAnsi="Times New Roman" w:cs="Times New Roman"/>
                      <w:sz w:val="21"/>
                      <w:szCs w:val="21"/>
                    </w:rPr>
                    <w:t>≤</w:t>
                  </w:r>
                  <w:r>
                    <w:rPr>
                      <w:rFonts w:ascii="Times New Roman" w:hAnsi="Times New Roman" w:cs="Times New Roman"/>
                      <w:sz w:val="21"/>
                      <w:szCs w:val="21"/>
                    </w:rPr>
                    <w:t>0.</w:t>
                  </w:r>
                  <w:r>
                    <w:rPr>
                      <w:rFonts w:hint="eastAsia" w:ascii="Times New Roman" w:hAnsi="Times New Roman" w:cs="Times New Roman"/>
                      <w:sz w:val="21"/>
                      <w:szCs w:val="21"/>
                      <w:lang w:eastAsia="zh-CN"/>
                    </w:rPr>
                    <w:t>5</w:t>
                  </w:r>
                </w:p>
              </w:tc>
              <w:tc>
                <w:tcPr>
                  <w:tcW w:w="1227"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default" w:ascii="Times New Roman" w:hAnsi="Times New Roman" w:cs="Times New Roman"/>
                      <w:sz w:val="21"/>
                      <w:szCs w:val="21"/>
                    </w:rPr>
                    <w:t>≤</w:t>
                  </w:r>
                  <w:r>
                    <w:rPr>
                      <w:rFonts w:hint="eastAsia" w:ascii="Times New Roman" w:hAnsi="Times New Roman" w:cs="Times New Roman"/>
                      <w:sz w:val="21"/>
                      <w:szCs w:val="21"/>
                      <w:lang w:val="en-US" w:eastAsia="zh-CN"/>
                    </w:rPr>
                    <w:t>1.0</w:t>
                  </w:r>
                </w:p>
              </w:tc>
              <w:tc>
                <w:tcPr>
                  <w:tcW w:w="1214"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default" w:ascii="Times New Roman" w:hAnsi="Times New Roman" w:cs="Times New Roman"/>
                      <w:sz w:val="21"/>
                      <w:szCs w:val="21"/>
                    </w:rPr>
                    <w:t>≤</w:t>
                  </w:r>
                  <w:r>
                    <w:rPr>
                      <w:rFonts w:ascii="Times New Roman" w:hAnsi="Times New Roman" w:cs="Times New Roman"/>
                      <w:sz w:val="21"/>
                      <w:szCs w:val="21"/>
                    </w:rPr>
                    <w:t>20</w:t>
                  </w:r>
                </w:p>
              </w:tc>
              <w:tc>
                <w:tcPr>
                  <w:tcW w:w="137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default" w:ascii="Times New Roman" w:hAnsi="Times New Roman" w:cs="Times New Roman"/>
                      <w:sz w:val="21"/>
                      <w:szCs w:val="21"/>
                    </w:rPr>
                    <w:t>≤</w:t>
                  </w:r>
                  <w:r>
                    <w:rPr>
                      <w:rFonts w:ascii="Times New Roman" w:hAnsi="Times New Roman" w:cs="Times New Roman"/>
                      <w:sz w:val="21"/>
                      <w:szCs w:val="21"/>
                    </w:rPr>
                    <w:t>3</w:t>
                  </w:r>
                </w:p>
              </w:tc>
              <w:tc>
                <w:tcPr>
                  <w:tcW w:w="1172" w:type="dxa"/>
                  <w:tcBorders>
                    <w:tl2br w:val="nil"/>
                    <w:tr2bl w:val="nil"/>
                  </w:tcBorders>
                  <w:vAlign w:val="center"/>
                </w:tcPr>
                <w:p>
                  <w:pPr>
                    <w:snapToGrid w:val="0"/>
                    <w:spacing w:line="240" w:lineRule="auto"/>
                    <w:ind w:firstLine="0" w:firstLineChars="0"/>
                    <w:jc w:val="center"/>
                    <w:rPr>
                      <w:rFonts w:hint="eastAsia" w:ascii="Times New Roman" w:hAnsi="Times New Roman" w:cs="Times New Roman"/>
                      <w:sz w:val="21"/>
                      <w:szCs w:val="21"/>
                    </w:rPr>
                  </w:pPr>
                  <w:r>
                    <w:rPr>
                      <w:rFonts w:hint="default" w:ascii="Times New Roman" w:hAnsi="Times New Roman" w:cs="Times New Roman"/>
                      <w:sz w:val="21"/>
                      <w:szCs w:val="21"/>
                    </w:rPr>
                    <w:t>≤</w:t>
                  </w:r>
                  <w:r>
                    <w:rPr>
                      <w:rFonts w:hint="eastAsia" w:ascii="Times New Roman" w:hAnsi="Times New Roman" w:cs="Times New Roman"/>
                      <w:sz w:val="21"/>
                      <w:szCs w:val="21"/>
                      <w:lang w:val="en-US" w:eastAsia="zh-CN"/>
                    </w:rPr>
                    <w:t>1.0</w:t>
                  </w:r>
                </w:p>
              </w:tc>
            </w:tr>
          </w:tbl>
          <w:p>
            <w:pPr>
              <w:pStyle w:val="15"/>
              <w:numPr>
                <w:ilvl w:val="0"/>
                <w:numId w:val="10"/>
              </w:numPr>
              <w:ind w:firstLine="480"/>
              <w:rPr>
                <w:rFonts w:ascii="Times New Roman" w:hAnsi="Times New Roman"/>
                <w:sz w:val="24"/>
                <w:szCs w:val="24"/>
              </w:rPr>
            </w:pPr>
            <w:r>
              <w:rPr>
                <w:rFonts w:ascii="Times New Roman" w:hAnsi="Times New Roman"/>
                <w:kern w:val="2"/>
                <w:sz w:val="24"/>
                <w:szCs w:val="24"/>
              </w:rPr>
              <w:t>土壤环境：执行</w:t>
            </w:r>
            <w:r>
              <w:rPr>
                <w:rFonts w:ascii="Times New Roman" w:hAnsi="Times New Roman"/>
                <w:sz w:val="24"/>
                <w:szCs w:val="24"/>
              </w:rPr>
              <w:t>《土壤环境质量</w:t>
            </w:r>
            <w:r>
              <w:rPr>
                <w:rFonts w:hint="eastAsia" w:ascii="Times New Roman" w:hAnsi="Times New Roman"/>
                <w:sz w:val="24"/>
                <w:szCs w:val="24"/>
              </w:rPr>
              <w:t xml:space="preserve"> </w:t>
            </w:r>
            <w:r>
              <w:rPr>
                <w:rFonts w:ascii="Times New Roman" w:hAnsi="Times New Roman"/>
                <w:sz w:val="24"/>
                <w:szCs w:val="24"/>
              </w:rPr>
              <w:t>建设用地土壤污染风险管控标准》（GB3600-2018）。</w:t>
            </w:r>
          </w:p>
          <w:p>
            <w:pPr>
              <w:pStyle w:val="23"/>
              <w:snapToGrid w:val="0"/>
              <w:spacing w:line="240" w:lineRule="auto"/>
              <w:ind w:firstLine="0" w:firstLineChars="0"/>
              <w:jc w:val="center"/>
              <w:rPr>
                <w:rFonts w:ascii="仿宋" w:hAnsi="仿宋" w:cs="仿宋"/>
                <w:szCs w:val="24"/>
              </w:rPr>
            </w:pPr>
            <w:r>
              <w:rPr>
                <w:rFonts w:hint="eastAsia" w:ascii="仿宋" w:hAnsi="仿宋" w:cs="仿宋"/>
                <w:b/>
                <w:szCs w:val="24"/>
              </w:rPr>
              <w:t>表</w:t>
            </w:r>
            <w:r>
              <w:rPr>
                <w:rFonts w:hint="eastAsia" w:ascii="仿宋" w:hAnsi="仿宋" w:cs="仿宋"/>
                <w:b/>
                <w:szCs w:val="24"/>
                <w:lang w:val="en-US" w:eastAsia="zh-CN"/>
              </w:rPr>
              <w:t xml:space="preserve">4-5  </w:t>
            </w:r>
            <w:r>
              <w:rPr>
                <w:rFonts w:hint="eastAsia" w:ascii="仿宋" w:hAnsi="仿宋" w:cs="仿宋"/>
                <w:b/>
                <w:szCs w:val="24"/>
              </w:rPr>
              <w:t xml:space="preserve"> 土壤环境质量标准  单位：mg/kg</w:t>
            </w:r>
          </w:p>
          <w:tbl>
            <w:tblPr>
              <w:tblStyle w:val="26"/>
              <w:tblW w:w="8295"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108" w:type="dxa"/>
                <w:bottom w:w="0" w:type="dxa"/>
                <w:right w:w="108" w:type="dxa"/>
              </w:tblCellMar>
            </w:tblPr>
            <w:tblGrid>
              <w:gridCol w:w="1336"/>
              <w:gridCol w:w="966"/>
              <w:gridCol w:w="1045"/>
              <w:gridCol w:w="1217"/>
              <w:gridCol w:w="1205"/>
              <w:gridCol w:w="1360"/>
              <w:gridCol w:w="116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404" w:hRule="atLeast"/>
                <w:jc w:val="center"/>
              </w:trPr>
              <w:tc>
                <w:tcPr>
                  <w:tcW w:w="133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default" w:ascii="Times New Roman" w:hAnsi="Times New Roman" w:cs="Times New Roman"/>
                      <w:sz w:val="21"/>
                      <w:szCs w:val="21"/>
                    </w:rPr>
                    <w:t>污染物名称</w:t>
                  </w:r>
                </w:p>
              </w:tc>
              <w:tc>
                <w:tcPr>
                  <w:tcW w:w="96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eastAsia" w:ascii="Times New Roman" w:hAnsi="Times New Roman" w:cs="Times New Roman"/>
                      <w:sz w:val="21"/>
                      <w:szCs w:val="21"/>
                      <w:lang w:val="en-US" w:eastAsia="zh-CN"/>
                    </w:rPr>
                    <w:t>砷</w:t>
                  </w:r>
                </w:p>
              </w:tc>
              <w:tc>
                <w:tcPr>
                  <w:tcW w:w="1045"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镉</w:t>
                  </w:r>
                </w:p>
              </w:tc>
              <w:tc>
                <w:tcPr>
                  <w:tcW w:w="1217"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铬</w:t>
                  </w:r>
                </w:p>
              </w:tc>
              <w:tc>
                <w:tcPr>
                  <w:tcW w:w="1205"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铜</w:t>
                  </w:r>
                </w:p>
              </w:tc>
              <w:tc>
                <w:tcPr>
                  <w:tcW w:w="1360"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铅</w:t>
                  </w:r>
                </w:p>
              </w:tc>
              <w:tc>
                <w:tcPr>
                  <w:tcW w:w="1166"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汞</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5" w:hRule="atLeast"/>
                <w:jc w:val="center"/>
              </w:trPr>
              <w:tc>
                <w:tcPr>
                  <w:tcW w:w="1336" w:type="dxa"/>
                  <w:tcBorders>
                    <w:tl2br w:val="nil"/>
                    <w:tr2bl w:val="nil"/>
                  </w:tcBorders>
                  <w:vAlign w:val="center"/>
                </w:tcPr>
                <w:p>
                  <w:pPr>
                    <w:snapToGrid w:val="0"/>
                    <w:spacing w:line="240" w:lineRule="auto"/>
                    <w:ind w:firstLine="0" w:firstLineChars="0"/>
                    <w:jc w:val="center"/>
                    <w:rPr>
                      <w:rFonts w:ascii="Times New Roman" w:hAnsi="Times New Roman" w:cs="Times New Roman"/>
                      <w:sz w:val="21"/>
                      <w:szCs w:val="21"/>
                    </w:rPr>
                  </w:pPr>
                  <w:r>
                    <w:rPr>
                      <w:rFonts w:hint="default" w:ascii="Times New Roman" w:hAnsi="Times New Roman" w:cs="Times New Roman"/>
                      <w:sz w:val="21"/>
                      <w:szCs w:val="21"/>
                    </w:rPr>
                    <w:t>标准值</w:t>
                  </w:r>
                </w:p>
              </w:tc>
              <w:tc>
                <w:tcPr>
                  <w:tcW w:w="966"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60</w:t>
                  </w:r>
                </w:p>
              </w:tc>
              <w:tc>
                <w:tcPr>
                  <w:tcW w:w="1045"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65</w:t>
                  </w:r>
                </w:p>
              </w:tc>
              <w:tc>
                <w:tcPr>
                  <w:tcW w:w="1217"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5.7</w:t>
                  </w:r>
                </w:p>
              </w:tc>
              <w:tc>
                <w:tcPr>
                  <w:tcW w:w="1205"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18000</w:t>
                  </w:r>
                </w:p>
              </w:tc>
              <w:tc>
                <w:tcPr>
                  <w:tcW w:w="1360"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800</w:t>
                  </w:r>
                </w:p>
              </w:tc>
              <w:tc>
                <w:tcPr>
                  <w:tcW w:w="1166"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38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5" w:hRule="atLeast"/>
                <w:jc w:val="center"/>
              </w:trPr>
              <w:tc>
                <w:tcPr>
                  <w:tcW w:w="1336"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污染物名称</w:t>
                  </w:r>
                </w:p>
              </w:tc>
              <w:tc>
                <w:tcPr>
                  <w:tcW w:w="966"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镍</w:t>
                  </w:r>
                </w:p>
              </w:tc>
              <w:tc>
                <w:tcPr>
                  <w:tcW w:w="1045"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p>
              </w:tc>
              <w:tc>
                <w:tcPr>
                  <w:tcW w:w="1217"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p>
              </w:tc>
              <w:tc>
                <w:tcPr>
                  <w:tcW w:w="1205"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p>
              </w:tc>
              <w:tc>
                <w:tcPr>
                  <w:tcW w:w="1360"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p>
              </w:tc>
              <w:tc>
                <w:tcPr>
                  <w:tcW w:w="1166"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108" w:type="dxa"/>
                  <w:bottom w:w="0" w:type="dxa"/>
                  <w:right w:w="108" w:type="dxa"/>
                </w:tblCellMar>
              </w:tblPrEx>
              <w:trPr>
                <w:trHeight w:val="345" w:hRule="atLeast"/>
                <w:jc w:val="center"/>
              </w:trPr>
              <w:tc>
                <w:tcPr>
                  <w:tcW w:w="1336" w:type="dxa"/>
                  <w:tcBorders>
                    <w:tl2br w:val="nil"/>
                    <w:tr2bl w:val="nil"/>
                  </w:tcBorders>
                  <w:vAlign w:val="center"/>
                </w:tcPr>
                <w:p>
                  <w:pPr>
                    <w:snapToGrid w:val="0"/>
                    <w:spacing w:line="240" w:lineRule="auto"/>
                    <w:ind w:firstLine="0" w:firstLineChars="0"/>
                    <w:jc w:val="center"/>
                    <w:rPr>
                      <w:rFonts w:hint="default" w:ascii="Times New Roman" w:hAnsi="Times New Roman" w:cs="Times New Roman"/>
                      <w:sz w:val="21"/>
                      <w:szCs w:val="21"/>
                    </w:rPr>
                  </w:pPr>
                  <w:r>
                    <w:rPr>
                      <w:rFonts w:hint="default" w:ascii="Times New Roman" w:hAnsi="Times New Roman" w:cs="Times New Roman"/>
                      <w:sz w:val="21"/>
                      <w:szCs w:val="21"/>
                    </w:rPr>
                    <w:t>标准值</w:t>
                  </w:r>
                </w:p>
              </w:tc>
              <w:tc>
                <w:tcPr>
                  <w:tcW w:w="966"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900</w:t>
                  </w:r>
                </w:p>
              </w:tc>
              <w:tc>
                <w:tcPr>
                  <w:tcW w:w="1045"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p>
              </w:tc>
              <w:tc>
                <w:tcPr>
                  <w:tcW w:w="1217"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p>
              </w:tc>
              <w:tc>
                <w:tcPr>
                  <w:tcW w:w="1205"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p>
              </w:tc>
              <w:tc>
                <w:tcPr>
                  <w:tcW w:w="1360"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p>
              </w:tc>
              <w:tc>
                <w:tcPr>
                  <w:tcW w:w="1166" w:type="dxa"/>
                  <w:tcBorders>
                    <w:tl2br w:val="nil"/>
                    <w:tr2bl w:val="nil"/>
                  </w:tcBorders>
                  <w:vAlign w:val="center"/>
                </w:tcPr>
                <w:p>
                  <w:pPr>
                    <w:snapToGrid w:val="0"/>
                    <w:spacing w:line="240" w:lineRule="auto"/>
                    <w:ind w:firstLine="0" w:firstLineChars="0"/>
                    <w:jc w:val="center"/>
                    <w:rPr>
                      <w:rFonts w:hint="eastAsia" w:ascii="Times New Roman" w:hAnsi="Times New Roman" w:eastAsia="宋体" w:cs="Times New Roman"/>
                      <w:sz w:val="21"/>
                      <w:szCs w:val="21"/>
                      <w:lang w:val="en-US" w:eastAsia="zh-CN"/>
                    </w:rPr>
                  </w:pPr>
                </w:p>
              </w:tc>
            </w:tr>
          </w:tbl>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cs="Times New Roman"/>
                <w:b/>
                <w:color w:val="auto"/>
                <w:sz w:val="24"/>
                <w:szCs w:val="24"/>
                <w:highlight w:val="none"/>
                <w:u w:val="none"/>
              </w:rPr>
            </w:pPr>
          </w:p>
          <w:p>
            <w:pPr>
              <w:pStyle w:val="9"/>
              <w:rPr>
                <w:color w:val="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935" w:hRule="atLeast"/>
          <w:jc w:val="center"/>
        </w:trPr>
        <w:tc>
          <w:tcPr>
            <w:tcW w:w="1260" w:type="dxa"/>
            <w:vAlign w:val="center"/>
          </w:tcPr>
          <w:p>
            <w:pPr>
              <w:spacing w:line="400" w:lineRule="exact"/>
              <w:jc w:val="center"/>
              <w:rPr>
                <w:bCs/>
                <w:color w:val="auto"/>
                <w:sz w:val="24"/>
                <w:szCs w:val="24"/>
              </w:rPr>
            </w:pPr>
            <w:r>
              <w:rPr>
                <w:bCs/>
                <w:color w:val="auto"/>
                <w:sz w:val="24"/>
                <w:szCs w:val="24"/>
              </w:rPr>
              <w:t>污</w:t>
            </w:r>
          </w:p>
          <w:p>
            <w:pPr>
              <w:spacing w:line="400" w:lineRule="exact"/>
              <w:jc w:val="center"/>
              <w:rPr>
                <w:bCs/>
                <w:color w:val="auto"/>
                <w:sz w:val="24"/>
                <w:szCs w:val="24"/>
              </w:rPr>
            </w:pPr>
            <w:r>
              <w:rPr>
                <w:bCs/>
                <w:color w:val="auto"/>
                <w:sz w:val="24"/>
                <w:szCs w:val="24"/>
              </w:rPr>
              <w:t>染</w:t>
            </w:r>
          </w:p>
          <w:p>
            <w:pPr>
              <w:spacing w:line="400" w:lineRule="exact"/>
              <w:jc w:val="center"/>
              <w:rPr>
                <w:bCs/>
                <w:color w:val="auto"/>
                <w:sz w:val="24"/>
                <w:szCs w:val="24"/>
              </w:rPr>
            </w:pPr>
            <w:r>
              <w:rPr>
                <w:bCs/>
                <w:color w:val="auto"/>
                <w:sz w:val="24"/>
                <w:szCs w:val="24"/>
              </w:rPr>
              <w:t>物</w:t>
            </w:r>
          </w:p>
          <w:p>
            <w:pPr>
              <w:spacing w:line="400" w:lineRule="exact"/>
              <w:jc w:val="center"/>
              <w:rPr>
                <w:bCs/>
                <w:color w:val="auto"/>
                <w:sz w:val="24"/>
                <w:szCs w:val="24"/>
              </w:rPr>
            </w:pPr>
            <w:r>
              <w:rPr>
                <w:bCs/>
                <w:color w:val="auto"/>
                <w:sz w:val="24"/>
                <w:szCs w:val="24"/>
              </w:rPr>
              <w:t>排</w:t>
            </w:r>
          </w:p>
          <w:p>
            <w:pPr>
              <w:spacing w:line="400" w:lineRule="exact"/>
              <w:jc w:val="center"/>
              <w:rPr>
                <w:bCs/>
                <w:color w:val="auto"/>
                <w:sz w:val="24"/>
                <w:szCs w:val="24"/>
              </w:rPr>
            </w:pPr>
            <w:r>
              <w:rPr>
                <w:bCs/>
                <w:color w:val="auto"/>
                <w:sz w:val="24"/>
                <w:szCs w:val="24"/>
              </w:rPr>
              <w:t>放</w:t>
            </w:r>
          </w:p>
          <w:p>
            <w:pPr>
              <w:spacing w:line="400" w:lineRule="exact"/>
              <w:jc w:val="center"/>
              <w:rPr>
                <w:bCs/>
                <w:color w:val="auto"/>
                <w:sz w:val="24"/>
                <w:szCs w:val="24"/>
              </w:rPr>
            </w:pPr>
            <w:r>
              <w:rPr>
                <w:bCs/>
                <w:color w:val="auto"/>
                <w:sz w:val="24"/>
                <w:szCs w:val="24"/>
              </w:rPr>
              <w:t>标</w:t>
            </w:r>
          </w:p>
          <w:p>
            <w:pPr>
              <w:spacing w:line="400" w:lineRule="exact"/>
              <w:jc w:val="center"/>
              <w:rPr>
                <w:bCs/>
                <w:color w:val="auto"/>
                <w:sz w:val="24"/>
                <w:szCs w:val="24"/>
              </w:rPr>
            </w:pPr>
            <w:r>
              <w:rPr>
                <w:bCs/>
                <w:color w:val="auto"/>
                <w:sz w:val="24"/>
                <w:szCs w:val="24"/>
              </w:rPr>
              <w:t>准</w:t>
            </w:r>
          </w:p>
        </w:tc>
        <w:tc>
          <w:tcPr>
            <w:tcW w:w="8515" w:type="dxa"/>
            <w:gridSpan w:val="2"/>
            <w:vAlign w:val="center"/>
          </w:tcPr>
          <w:p>
            <w:pPr>
              <w:pStyle w:val="8"/>
              <w:numPr>
                <w:ilvl w:val="0"/>
                <w:numId w:val="11"/>
              </w:numPr>
              <w:ind w:firstLine="480" w:firstLineChars="200"/>
              <w:rPr>
                <w:rFonts w:hint="default" w:ascii="Times New Roman" w:hAnsi="Times New Roman" w:eastAsia="宋体" w:cs="Times New Roman"/>
                <w:b/>
                <w:color w:val="auto"/>
                <w:sz w:val="24"/>
                <w:szCs w:val="24"/>
                <w:highlight w:val="none"/>
                <w:u w:val="none"/>
              </w:rPr>
            </w:pPr>
            <w:r>
              <w:rPr>
                <w:rFonts w:hint="eastAsia"/>
                <w:color w:val="auto"/>
                <w:sz w:val="24"/>
                <w:szCs w:val="24"/>
                <w:lang w:val="en-US" w:eastAsia="zh-CN"/>
              </w:rPr>
              <w:t>废气：施工期粉尘执行《大气污染物综合排放标准》(GB16297-1996)中无组织排放标准。</w:t>
            </w:r>
            <w:r>
              <w:rPr>
                <w:rFonts w:hint="eastAsia" w:ascii="Times New Roman" w:hAnsi="Times New Roman" w:cs="Times New Roman"/>
                <w:color w:val="000000"/>
                <w:spacing w:val="0"/>
                <w:w w:val="100"/>
                <w:kern w:val="0"/>
                <w:position w:val="0"/>
                <w:sz w:val="24"/>
                <w:u w:val="none"/>
                <w:lang w:val="en-US" w:eastAsia="zh-CN"/>
              </w:rPr>
              <w:t>施工期</w:t>
            </w:r>
            <w:r>
              <w:rPr>
                <w:rFonts w:hint="eastAsia" w:cs="Times New Roman"/>
                <w:color w:val="000000"/>
                <w:spacing w:val="0"/>
                <w:w w:val="100"/>
                <w:kern w:val="0"/>
                <w:position w:val="0"/>
                <w:sz w:val="24"/>
                <w:u w:val="none"/>
                <w:lang w:val="en-US" w:eastAsia="zh-CN"/>
              </w:rPr>
              <w:t>底泥清淤过程及污水处理站营运期产生的</w:t>
            </w:r>
            <w:r>
              <w:rPr>
                <w:rFonts w:hint="default" w:ascii="Times New Roman" w:hAnsi="Times New Roman" w:cs="Times New Roman"/>
                <w:sz w:val="24"/>
              </w:rPr>
              <w:t>NH</w:t>
            </w:r>
            <w:r>
              <w:rPr>
                <w:rFonts w:hint="default" w:ascii="Times New Roman" w:hAnsi="Times New Roman" w:cs="Times New Roman"/>
                <w:sz w:val="24"/>
                <w:vertAlign w:val="subscript"/>
              </w:rPr>
              <w:t>3</w:t>
            </w:r>
            <w:r>
              <w:rPr>
                <w:rFonts w:hint="default" w:ascii="Times New Roman" w:hAnsi="Times New Roman" w:cs="Times New Roman"/>
                <w:sz w:val="24"/>
              </w:rPr>
              <w:t>、H</w:t>
            </w:r>
            <w:r>
              <w:rPr>
                <w:rFonts w:hint="default" w:ascii="Times New Roman" w:hAnsi="Times New Roman" w:cs="Times New Roman"/>
                <w:sz w:val="24"/>
                <w:vertAlign w:val="subscript"/>
              </w:rPr>
              <w:t>2</w:t>
            </w:r>
            <w:r>
              <w:rPr>
                <w:rFonts w:hint="default" w:ascii="Times New Roman" w:hAnsi="Times New Roman" w:cs="Times New Roman"/>
                <w:sz w:val="24"/>
              </w:rPr>
              <w:t>S、</w:t>
            </w:r>
            <w:r>
              <w:rPr>
                <w:rFonts w:hint="eastAsia" w:ascii="Times New Roman" w:hAnsi="Times New Roman" w:cs="Times New Roman"/>
                <w:sz w:val="24"/>
                <w:lang w:val="en-US" w:eastAsia="zh-CN"/>
              </w:rPr>
              <w:t>臭气浓度</w:t>
            </w:r>
            <w:r>
              <w:rPr>
                <w:rFonts w:hint="eastAsia" w:cs="Times New Roman"/>
                <w:sz w:val="24"/>
                <w:lang w:val="en-US" w:eastAsia="zh-CN"/>
              </w:rPr>
              <w:t>均</w:t>
            </w:r>
            <w:r>
              <w:rPr>
                <w:rFonts w:hint="default" w:ascii="Times New Roman" w:hAnsi="Times New Roman" w:cs="Times New Roman"/>
                <w:sz w:val="24"/>
              </w:rPr>
              <w:t>执行《恶臭污染物排放标准》（GB14554-93）</w:t>
            </w:r>
            <w:r>
              <w:rPr>
                <w:rFonts w:hint="eastAsia" w:ascii="Times New Roman" w:hAnsi="Times New Roman" w:cs="Times New Roman"/>
                <w:sz w:val="24"/>
                <w:lang w:eastAsia="zh-CN"/>
              </w:rPr>
              <w:t>。</w:t>
            </w:r>
          </w:p>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eastAsia="宋体" w:cs="Times New Roman"/>
                <w:b/>
                <w:color w:val="auto"/>
                <w:sz w:val="24"/>
                <w:szCs w:val="24"/>
                <w:highlight w:val="none"/>
                <w:u w:val="none"/>
              </w:rPr>
            </w:pPr>
            <w:r>
              <w:rPr>
                <w:rFonts w:hint="default" w:ascii="Times New Roman" w:hAnsi="Times New Roman" w:eastAsia="宋体" w:cs="Times New Roman"/>
                <w:b/>
                <w:color w:val="auto"/>
                <w:sz w:val="24"/>
                <w:szCs w:val="24"/>
                <w:highlight w:val="none"/>
                <w:u w:val="none"/>
              </w:rPr>
              <w:t>表</w:t>
            </w:r>
            <w:r>
              <w:rPr>
                <w:rFonts w:hint="eastAsia" w:ascii="Times New Roman" w:hAnsi="Times New Roman" w:eastAsia="宋体" w:cs="Times New Roman"/>
                <w:b/>
                <w:color w:val="auto"/>
                <w:sz w:val="24"/>
                <w:szCs w:val="24"/>
                <w:highlight w:val="none"/>
                <w:u w:val="none"/>
                <w:lang w:val="en-US" w:eastAsia="zh-CN"/>
              </w:rPr>
              <w:t>4-4</w:t>
            </w:r>
            <w:r>
              <w:rPr>
                <w:rFonts w:hint="default" w:ascii="Times New Roman" w:hAnsi="Times New Roman" w:eastAsia="宋体" w:cs="Times New Roman"/>
                <w:b/>
                <w:color w:val="auto"/>
                <w:sz w:val="24"/>
                <w:szCs w:val="24"/>
                <w:highlight w:val="none"/>
                <w:u w:val="none"/>
              </w:rPr>
              <w:t xml:space="preserve">  大气污染物排放标准</w:t>
            </w:r>
          </w:p>
          <w:tbl>
            <w:tblPr>
              <w:tblStyle w:val="26"/>
              <w:tblW w:w="4998"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785"/>
              <w:gridCol w:w="1749"/>
              <w:gridCol w:w="3996"/>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32" w:type="pct"/>
                  <w:tcBorders>
                    <w:tl2br w:val="nil"/>
                    <w:tr2bl w:val="nil"/>
                  </w:tcBorders>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eastAsiaTheme="minorEastAsia"/>
                      <w:b w:val="0"/>
                      <w:bCs w:val="0"/>
                      <w:color w:val="auto"/>
                      <w:spacing w:val="0"/>
                      <w:w w:val="100"/>
                      <w:kern w:val="0"/>
                      <w:position w:val="0"/>
                      <w:szCs w:val="21"/>
                      <w:highlight w:val="none"/>
                      <w:lang w:eastAsia="zh-CN"/>
                    </w:rPr>
                  </w:pPr>
                  <w:r>
                    <w:rPr>
                      <w:rFonts w:hint="eastAsia" w:cs="Times New Roman" w:eastAsiaTheme="minorEastAsia"/>
                      <w:b w:val="0"/>
                      <w:bCs w:val="0"/>
                      <w:color w:val="auto"/>
                      <w:spacing w:val="0"/>
                      <w:w w:val="100"/>
                      <w:kern w:val="0"/>
                      <w:position w:val="0"/>
                      <w:szCs w:val="21"/>
                      <w:highlight w:val="none"/>
                      <w:lang w:eastAsia="zh-CN"/>
                    </w:rPr>
                    <w:t>标准</w:t>
                  </w:r>
                </w:p>
              </w:tc>
              <w:tc>
                <w:tcPr>
                  <w:tcW w:w="10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b w:val="0"/>
                      <w:bCs w:val="0"/>
                      <w:color w:val="auto"/>
                      <w:spacing w:val="0"/>
                      <w:w w:val="100"/>
                      <w:kern w:val="0"/>
                      <w:position w:val="0"/>
                      <w:szCs w:val="21"/>
                      <w:highlight w:val="none"/>
                    </w:rPr>
                  </w:pPr>
                  <w:r>
                    <w:rPr>
                      <w:rFonts w:hint="eastAsia" w:cs="Times New Roman" w:eastAsiaTheme="minorEastAsia"/>
                      <w:b w:val="0"/>
                      <w:bCs w:val="0"/>
                      <w:color w:val="auto"/>
                      <w:spacing w:val="0"/>
                      <w:w w:val="100"/>
                      <w:kern w:val="0"/>
                      <w:position w:val="0"/>
                      <w:szCs w:val="21"/>
                      <w:highlight w:val="none"/>
                      <w:lang w:eastAsia="zh-CN"/>
                    </w:rPr>
                    <w:t>指标</w:t>
                  </w:r>
                </w:p>
              </w:tc>
              <w:tc>
                <w:tcPr>
                  <w:tcW w:w="2341"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b w:val="0"/>
                      <w:bCs w:val="0"/>
                      <w:color w:val="auto"/>
                      <w:spacing w:val="0"/>
                      <w:w w:val="100"/>
                      <w:kern w:val="0"/>
                      <w:position w:val="0"/>
                      <w:szCs w:val="21"/>
                      <w:highlight w:val="none"/>
                    </w:rPr>
                  </w:pPr>
                  <w:r>
                    <w:rPr>
                      <w:rFonts w:hint="default" w:ascii="Times New Roman" w:hAnsi="Times New Roman" w:cs="Times New Roman"/>
                      <w:b w:val="0"/>
                      <w:bCs w:val="0"/>
                      <w:color w:val="auto"/>
                      <w:spacing w:val="0"/>
                      <w:w w:val="100"/>
                      <w:kern w:val="0"/>
                      <w:position w:val="0"/>
                      <w:sz w:val="21"/>
                      <w:szCs w:val="21"/>
                      <w:highlight w:val="none"/>
                      <w:u w:val="none"/>
                      <w:lang w:eastAsia="zh-CN"/>
                    </w:rPr>
                    <w:t>无组织排放监控浓度限值</w:t>
                  </w:r>
                  <w:r>
                    <w:rPr>
                      <w:rFonts w:hint="default" w:ascii="Times New Roman" w:hAnsi="Times New Roman" w:cs="Times New Roman"/>
                      <w:b w:val="0"/>
                      <w:bCs w:val="0"/>
                      <w:color w:val="auto"/>
                      <w:spacing w:val="0"/>
                      <w:w w:val="100"/>
                      <w:kern w:val="0"/>
                      <w:position w:val="0"/>
                      <w:sz w:val="21"/>
                      <w:szCs w:val="21"/>
                      <w:highlight w:val="none"/>
                      <w:u w:val="none"/>
                    </w:rPr>
                    <w:t>(mg/m</w:t>
                  </w:r>
                  <w:r>
                    <w:rPr>
                      <w:rFonts w:hint="default" w:ascii="Times New Roman" w:hAnsi="Times New Roman" w:cs="Times New Roman"/>
                      <w:b w:val="0"/>
                      <w:bCs w:val="0"/>
                      <w:color w:val="auto"/>
                      <w:spacing w:val="0"/>
                      <w:w w:val="100"/>
                      <w:kern w:val="0"/>
                      <w:position w:val="0"/>
                      <w:sz w:val="21"/>
                      <w:szCs w:val="21"/>
                      <w:highlight w:val="none"/>
                      <w:u w:val="none"/>
                      <w:vertAlign w:val="superscript"/>
                    </w:rPr>
                    <w:t>3</w:t>
                  </w:r>
                  <w:r>
                    <w:rPr>
                      <w:rFonts w:hint="default" w:ascii="Times New Roman" w:hAnsi="Times New Roman" w:cs="Times New Roman"/>
                      <w:b w:val="0"/>
                      <w:bCs w:val="0"/>
                      <w:color w:val="auto"/>
                      <w:spacing w:val="0"/>
                      <w:w w:val="100"/>
                      <w:kern w:val="0"/>
                      <w:position w:val="0"/>
                      <w:sz w:val="21"/>
                      <w:szCs w:val="21"/>
                      <w:highlight w:val="none"/>
                      <w:u w:val="none"/>
                    </w:rPr>
                    <w:t>)</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632"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b w:val="0"/>
                      <w:bCs w:val="0"/>
                      <w:color w:val="auto"/>
                      <w:spacing w:val="0"/>
                      <w:w w:val="100"/>
                      <w:kern w:val="0"/>
                      <w:position w:val="0"/>
                      <w:szCs w:val="21"/>
                      <w:highlight w:val="none"/>
                    </w:rPr>
                  </w:pPr>
                  <w:r>
                    <w:rPr>
                      <w:rFonts w:hint="default" w:ascii="Times New Roman" w:hAnsi="Times New Roman" w:cs="Times New Roman"/>
                      <w:color w:val="auto"/>
                      <w:spacing w:val="0"/>
                      <w:w w:val="100"/>
                      <w:kern w:val="0"/>
                      <w:position w:val="0"/>
                      <w:sz w:val="21"/>
                      <w:szCs w:val="21"/>
                      <w:highlight w:val="none"/>
                      <w:u w:val="none"/>
                    </w:rPr>
                    <w:t>GB16297-1996</w:t>
                  </w:r>
                </w:p>
              </w:tc>
              <w:tc>
                <w:tcPr>
                  <w:tcW w:w="10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eastAsiaTheme="minorEastAsia"/>
                      <w:b w:val="0"/>
                      <w:bCs w:val="0"/>
                      <w:color w:val="auto"/>
                      <w:spacing w:val="0"/>
                      <w:w w:val="100"/>
                      <w:kern w:val="0"/>
                      <w:position w:val="0"/>
                      <w:szCs w:val="21"/>
                      <w:highlight w:val="none"/>
                    </w:rPr>
                  </w:pPr>
                  <w:r>
                    <w:rPr>
                      <w:rFonts w:hint="default" w:ascii="Times New Roman" w:hAnsi="Times New Roman" w:cs="Times New Roman"/>
                      <w:color w:val="auto"/>
                      <w:spacing w:val="0"/>
                      <w:w w:val="100"/>
                      <w:kern w:val="0"/>
                      <w:position w:val="0"/>
                      <w:sz w:val="21"/>
                      <w:szCs w:val="21"/>
                      <w:highlight w:val="none"/>
                      <w:u w:val="none"/>
                    </w:rPr>
                    <w:t>颗粒物</w:t>
                  </w:r>
                </w:p>
              </w:tc>
              <w:tc>
                <w:tcPr>
                  <w:tcW w:w="2341" w:type="pct"/>
                  <w:tcBorders>
                    <w:tl2br w:val="nil"/>
                    <w:tr2bl w:val="nil"/>
                  </w:tcBorders>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eastAsiaTheme="minorEastAsia"/>
                      <w:b w:val="0"/>
                      <w:bCs w:val="0"/>
                      <w:color w:val="auto"/>
                      <w:spacing w:val="0"/>
                      <w:w w:val="100"/>
                      <w:kern w:val="0"/>
                      <w:position w:val="0"/>
                      <w:szCs w:val="21"/>
                      <w:highlight w:val="none"/>
                      <w:lang w:val="en-US" w:eastAsia="zh-CN"/>
                    </w:rPr>
                  </w:pPr>
                  <w:r>
                    <w:rPr>
                      <w:rFonts w:hint="eastAsia" w:cs="Times New Roman" w:eastAsiaTheme="minorEastAsia"/>
                      <w:b w:val="0"/>
                      <w:bCs w:val="0"/>
                      <w:color w:val="auto"/>
                      <w:spacing w:val="0"/>
                      <w:w w:val="100"/>
                      <w:kern w:val="0"/>
                      <w:position w:val="0"/>
                      <w:szCs w:val="21"/>
                      <w:highlight w:val="none"/>
                      <w:lang w:val="en-US" w:eastAsia="zh-CN"/>
                    </w:rPr>
                    <w:t>1.0</w:t>
                  </w:r>
                </w:p>
              </w:tc>
            </w:tr>
          </w:tbl>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eastAsia="宋体" w:cs="Times New Roman"/>
                <w:b/>
                <w:color w:val="auto"/>
                <w:sz w:val="24"/>
                <w:szCs w:val="24"/>
                <w:highlight w:val="none"/>
                <w:u w:val="none"/>
              </w:rPr>
            </w:pPr>
            <w:r>
              <w:rPr>
                <w:rFonts w:hint="default" w:ascii="Times New Roman" w:hAnsi="Times New Roman" w:eastAsia="宋体" w:cs="Times New Roman"/>
                <w:b/>
                <w:color w:val="auto"/>
                <w:sz w:val="24"/>
                <w:szCs w:val="24"/>
                <w:highlight w:val="none"/>
                <w:u w:val="none"/>
              </w:rPr>
              <w:t>表</w:t>
            </w:r>
            <w:r>
              <w:rPr>
                <w:rFonts w:hint="eastAsia" w:ascii="Times New Roman" w:hAnsi="Times New Roman" w:eastAsia="宋体" w:cs="Times New Roman"/>
                <w:b/>
                <w:color w:val="auto"/>
                <w:sz w:val="24"/>
                <w:szCs w:val="24"/>
                <w:highlight w:val="none"/>
                <w:u w:val="none"/>
                <w:lang w:val="en-US" w:eastAsia="zh-CN"/>
              </w:rPr>
              <w:t>4-5</w:t>
            </w:r>
            <w:r>
              <w:rPr>
                <w:rFonts w:hint="default" w:ascii="Times New Roman" w:hAnsi="Times New Roman" w:eastAsia="宋体" w:cs="Times New Roman"/>
                <w:b/>
                <w:color w:val="auto"/>
                <w:sz w:val="24"/>
                <w:szCs w:val="24"/>
                <w:highlight w:val="none"/>
                <w:u w:val="none"/>
              </w:rPr>
              <w:t xml:space="preserve">  </w:t>
            </w:r>
            <w:r>
              <w:rPr>
                <w:rFonts w:hint="eastAsia" w:ascii="Times New Roman" w:hAnsi="Times New Roman" w:eastAsia="宋体" w:cs="Times New Roman"/>
                <w:b/>
                <w:color w:val="auto"/>
                <w:sz w:val="24"/>
                <w:szCs w:val="24"/>
                <w:highlight w:val="none"/>
                <w:u w:val="none"/>
              </w:rPr>
              <w:t>恶臭污染物排放标准 单位：mg/m</w:t>
            </w:r>
            <w:r>
              <w:rPr>
                <w:rFonts w:hint="eastAsia" w:ascii="Times New Roman" w:hAnsi="Times New Roman" w:eastAsia="宋体" w:cs="Times New Roman"/>
                <w:b/>
                <w:color w:val="auto"/>
                <w:sz w:val="24"/>
                <w:szCs w:val="24"/>
                <w:highlight w:val="none"/>
                <w:u w:val="none"/>
                <w:vertAlign w:val="superscript"/>
              </w:rPr>
              <w:t>3</w:t>
            </w:r>
          </w:p>
          <w:tbl>
            <w:tblPr>
              <w:tblStyle w:val="26"/>
              <w:tblW w:w="8522" w:type="dxa"/>
              <w:tblInd w:w="13"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840"/>
              <w:gridCol w:w="2841"/>
              <w:gridCol w:w="2841"/>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2840"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序号</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控制项目</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厂界标准值</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2840"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1</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rPr>
                  </w:pPr>
                  <w:r>
                    <w:rPr>
                      <w:rFonts w:hint="eastAsia" w:ascii="Times New Roman" w:hAnsi="Times New Roman"/>
                      <w:b w:val="0"/>
                      <w:bCs w:val="0"/>
                      <w:sz w:val="21"/>
                      <w:szCs w:val="21"/>
                    </w:rPr>
                    <w:t>NH</w:t>
                  </w:r>
                  <w:r>
                    <w:rPr>
                      <w:rFonts w:hint="eastAsia" w:ascii="Times New Roman" w:hAnsi="Times New Roman"/>
                      <w:b w:val="0"/>
                      <w:bCs w:val="0"/>
                      <w:sz w:val="21"/>
                      <w:szCs w:val="21"/>
                      <w:vertAlign w:val="subscript"/>
                    </w:rPr>
                    <w:t>3</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1.5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2840"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2</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rPr>
                  </w:pPr>
                  <w:r>
                    <w:rPr>
                      <w:rFonts w:hint="eastAsia" w:ascii="Times New Roman" w:hAnsi="Times New Roman"/>
                      <w:b w:val="0"/>
                      <w:bCs w:val="0"/>
                      <w:sz w:val="21"/>
                      <w:szCs w:val="21"/>
                    </w:rPr>
                    <w:t>H</w:t>
                  </w:r>
                  <w:r>
                    <w:rPr>
                      <w:rFonts w:hint="eastAsia" w:ascii="Times New Roman" w:hAnsi="Times New Roman"/>
                      <w:b w:val="0"/>
                      <w:bCs w:val="0"/>
                      <w:sz w:val="21"/>
                      <w:szCs w:val="21"/>
                      <w:vertAlign w:val="subscript"/>
                    </w:rPr>
                    <w:t>2</w:t>
                  </w:r>
                  <w:r>
                    <w:rPr>
                      <w:rFonts w:hint="eastAsia" w:ascii="Times New Roman" w:hAnsi="Times New Roman"/>
                      <w:b w:val="0"/>
                      <w:bCs w:val="0"/>
                      <w:sz w:val="21"/>
                      <w:szCs w:val="21"/>
                    </w:rPr>
                    <w:t>S</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0.06</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trPr>
              <w:tc>
                <w:tcPr>
                  <w:tcW w:w="2840"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3</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臭气浓度（无量纲）</w:t>
                  </w:r>
                </w:p>
              </w:tc>
              <w:tc>
                <w:tcPr>
                  <w:tcW w:w="2841"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line="240" w:lineRule="auto"/>
                    <w:ind w:left="0" w:right="0"/>
                    <w:jc w:val="center"/>
                    <w:rPr>
                      <w:rFonts w:ascii="Times New Roman" w:hAnsi="Times New Roman"/>
                      <w:b w:val="0"/>
                      <w:bCs w:val="0"/>
                      <w:sz w:val="21"/>
                      <w:szCs w:val="21"/>
                      <w:lang w:eastAsia="zh-CN"/>
                    </w:rPr>
                  </w:pPr>
                  <w:r>
                    <w:rPr>
                      <w:rFonts w:hint="eastAsia" w:ascii="Times New Roman" w:hAnsi="Times New Roman"/>
                      <w:b w:val="0"/>
                      <w:bCs w:val="0"/>
                      <w:sz w:val="21"/>
                      <w:szCs w:val="21"/>
                      <w:lang w:eastAsia="zh-CN"/>
                    </w:rPr>
                    <w:t>20</w:t>
                  </w:r>
                </w:p>
              </w:tc>
            </w:tr>
          </w:tbl>
          <w:p>
            <w:pPr>
              <w:pStyle w:val="8"/>
              <w:ind w:firstLine="480" w:firstLineChars="200"/>
              <w:rPr>
                <w:rFonts w:hint="eastAsia" w:eastAsia="宋体"/>
                <w:color w:val="auto"/>
                <w:sz w:val="24"/>
                <w:szCs w:val="24"/>
                <w:lang w:val="en-US" w:eastAsia="zh-CN"/>
              </w:rPr>
            </w:pPr>
            <w:r>
              <w:rPr>
                <w:rFonts w:hint="eastAsia"/>
                <w:color w:val="auto"/>
                <w:sz w:val="24"/>
                <w:szCs w:val="24"/>
                <w:lang w:val="en-US" w:eastAsia="zh-CN"/>
              </w:rPr>
              <w:t>（2）废水：施工期生产废水经沉淀池处理后回用于施工及洒水降尘，不外排。营运期奇家社区污水处理站出水达</w:t>
            </w:r>
            <w:r>
              <w:rPr>
                <w:rFonts w:hint="eastAsia" w:ascii="Times New Roman" w:hAnsi="Times New Roman" w:cs="Times New Roman"/>
                <w:color w:val="000000" w:themeColor="text1"/>
                <w:kern w:val="0"/>
                <w:sz w:val="24"/>
                <w:u w:val="none"/>
                <w14:textFill>
                  <w14:solidFill>
                    <w14:schemeClr w14:val="tx1"/>
                  </w14:solidFill>
                </w14:textFill>
              </w:rPr>
              <w:t>《城镇污水处理厂污染物排放标准》（GB18918-2002）一级标准的</w:t>
            </w:r>
            <w:r>
              <w:rPr>
                <w:rFonts w:hint="eastAsia" w:cs="Times New Roman"/>
                <w:color w:val="000000" w:themeColor="text1"/>
                <w:kern w:val="0"/>
                <w:sz w:val="24"/>
                <w:u w:val="none"/>
                <w:lang w:val="en-US" w:eastAsia="zh-CN"/>
                <w14:textFill>
                  <w14:solidFill>
                    <w14:schemeClr w14:val="tx1"/>
                  </w14:solidFill>
                </w14:textFill>
              </w:rPr>
              <w:t>A</w:t>
            </w:r>
            <w:r>
              <w:rPr>
                <w:rFonts w:hint="eastAsia" w:ascii="Times New Roman" w:hAnsi="Times New Roman" w:cs="Times New Roman"/>
                <w:color w:val="000000" w:themeColor="text1"/>
                <w:kern w:val="0"/>
                <w:sz w:val="24"/>
                <w:u w:val="none"/>
                <w14:textFill>
                  <w14:solidFill>
                    <w14:schemeClr w14:val="tx1"/>
                  </w14:solidFill>
                </w14:textFill>
              </w:rPr>
              <w:t>标准</w:t>
            </w:r>
            <w:r>
              <w:rPr>
                <w:rFonts w:hint="eastAsia" w:cs="Times New Roman"/>
                <w:color w:val="000000" w:themeColor="text1"/>
                <w:kern w:val="0"/>
                <w:sz w:val="24"/>
                <w:u w:val="none"/>
                <w:lang w:eastAsia="zh-CN"/>
                <w14:textFill>
                  <w14:solidFill>
                    <w14:schemeClr w14:val="tx1"/>
                  </w14:solidFill>
                </w14:textFill>
              </w:rPr>
              <w:t>，排入小溪，最终汇入南港河</w:t>
            </w:r>
            <w:r>
              <w:rPr>
                <w:rFonts w:hint="eastAsia"/>
                <w:color w:val="auto"/>
                <w:sz w:val="24"/>
                <w:szCs w:val="24"/>
                <w:lang w:val="en-US" w:eastAsia="zh-CN"/>
              </w:rPr>
              <w:t>。湿塘内小型污水处理站出水达</w:t>
            </w:r>
            <w:r>
              <w:rPr>
                <w:rFonts w:hint="eastAsia" w:ascii="Times New Roman" w:hAnsi="Times New Roman" w:cs="Times New Roman"/>
                <w:color w:val="000000" w:themeColor="text1"/>
                <w:kern w:val="0"/>
                <w:sz w:val="24"/>
                <w:u w:val="none"/>
                <w14:textFill>
                  <w14:solidFill>
                    <w14:schemeClr w14:val="tx1"/>
                  </w14:solidFill>
                </w14:textFill>
              </w:rPr>
              <w:t>《城镇污水处理厂污染物排放标准》（GB18918-2002）一级标准的</w:t>
            </w:r>
            <w:r>
              <w:rPr>
                <w:rFonts w:hint="eastAsia" w:cs="Times New Roman"/>
                <w:color w:val="000000" w:themeColor="text1"/>
                <w:kern w:val="0"/>
                <w:sz w:val="24"/>
                <w:u w:val="none"/>
                <w:lang w:val="en-US" w:eastAsia="zh-CN"/>
                <w14:textFill>
                  <w14:solidFill>
                    <w14:schemeClr w14:val="tx1"/>
                  </w14:solidFill>
                </w14:textFill>
              </w:rPr>
              <w:t>B</w:t>
            </w:r>
            <w:r>
              <w:rPr>
                <w:rFonts w:hint="eastAsia" w:ascii="Times New Roman" w:hAnsi="Times New Roman" w:cs="Times New Roman"/>
                <w:color w:val="000000" w:themeColor="text1"/>
                <w:kern w:val="0"/>
                <w:sz w:val="24"/>
                <w:u w:val="none"/>
                <w14:textFill>
                  <w14:solidFill>
                    <w14:schemeClr w14:val="tx1"/>
                  </w14:solidFill>
                </w14:textFill>
              </w:rPr>
              <w:t>标准</w:t>
            </w:r>
            <w:r>
              <w:rPr>
                <w:rFonts w:hint="eastAsia" w:cs="Times New Roman"/>
                <w:color w:val="000000" w:themeColor="text1"/>
                <w:kern w:val="0"/>
                <w:sz w:val="24"/>
                <w:u w:val="none"/>
                <w:lang w:eastAsia="zh-CN"/>
                <w14:textFill>
                  <w14:solidFill>
                    <w14:schemeClr w14:val="tx1"/>
                  </w14:solidFill>
                </w14:textFill>
              </w:rPr>
              <w:t>，就近排入湿塘。</w:t>
            </w:r>
          </w:p>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eastAsia="宋体" w:cs="Times New Roman"/>
                <w:b/>
                <w:color w:val="auto"/>
                <w:sz w:val="24"/>
                <w:szCs w:val="24"/>
                <w:highlight w:val="none"/>
                <w:u w:val="none"/>
              </w:rPr>
            </w:pPr>
            <w:r>
              <w:rPr>
                <w:rFonts w:hint="default" w:ascii="Times New Roman" w:hAnsi="Times New Roman" w:eastAsia="宋体" w:cs="Times New Roman"/>
                <w:b/>
                <w:color w:val="auto"/>
                <w:sz w:val="24"/>
                <w:szCs w:val="24"/>
                <w:highlight w:val="none"/>
                <w:u w:val="none"/>
              </w:rPr>
              <w:t>表</w:t>
            </w:r>
            <w:r>
              <w:rPr>
                <w:rFonts w:hint="eastAsia" w:ascii="Times New Roman" w:hAnsi="Times New Roman" w:eastAsia="宋体" w:cs="Times New Roman"/>
                <w:b/>
                <w:color w:val="auto"/>
                <w:sz w:val="24"/>
                <w:szCs w:val="24"/>
                <w:highlight w:val="none"/>
                <w:u w:val="none"/>
                <w:lang w:val="en-US" w:eastAsia="zh-CN"/>
              </w:rPr>
              <w:t>4-6</w:t>
            </w:r>
            <w:r>
              <w:rPr>
                <w:rFonts w:hint="default" w:ascii="Times New Roman" w:hAnsi="Times New Roman" w:eastAsia="宋体" w:cs="Times New Roman"/>
                <w:b/>
                <w:color w:val="auto"/>
                <w:sz w:val="24"/>
                <w:szCs w:val="24"/>
                <w:highlight w:val="none"/>
                <w:u w:val="none"/>
                <w:lang w:val="en-US" w:eastAsia="zh-CN"/>
              </w:rPr>
              <w:t xml:space="preserve"> </w:t>
            </w:r>
            <w:r>
              <w:rPr>
                <w:rFonts w:hint="default" w:ascii="Times New Roman" w:hAnsi="Times New Roman" w:eastAsia="宋体" w:cs="Times New Roman"/>
                <w:b/>
                <w:color w:val="auto"/>
                <w:sz w:val="24"/>
                <w:szCs w:val="24"/>
                <w:highlight w:val="none"/>
                <w:u w:val="none"/>
              </w:rPr>
              <w:t xml:space="preserve">  废水污染物排放标准     单位：mg/L</w:t>
            </w:r>
          </w:p>
          <w:tbl>
            <w:tblPr>
              <w:tblStyle w:val="27"/>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02"/>
              <w:gridCol w:w="932"/>
              <w:gridCol w:w="847"/>
              <w:gridCol w:w="615"/>
              <w:gridCol w:w="529"/>
              <w:gridCol w:w="740"/>
              <w:gridCol w:w="885"/>
              <w:gridCol w:w="912"/>
              <w:gridCol w:w="4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02" w:type="dxa"/>
                  <w:tcBorders>
                    <w:top w:val="single" w:color="auto" w:sz="12" w:space="0"/>
                    <w:left w:val="single" w:color="auto" w:sz="1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eastAsia="zh-CN"/>
                    </w:rPr>
                  </w:pPr>
                  <w:r>
                    <w:rPr>
                      <w:rFonts w:hint="default" w:ascii="Times New Roman" w:hAnsi="Times New Roman" w:cs="Times New Roman"/>
                      <w:u w:val="none"/>
                      <w:vertAlign w:val="baseline"/>
                      <w:lang w:eastAsia="zh-CN"/>
                    </w:rPr>
                    <w:t>污染物</w:t>
                  </w:r>
                </w:p>
              </w:tc>
              <w:tc>
                <w:tcPr>
                  <w:tcW w:w="932"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default" w:ascii="Times New Roman" w:hAnsi="Times New Roman" w:cs="Times New Roman"/>
                      <w:color w:val="000000" w:themeColor="text1"/>
                      <w:szCs w:val="21"/>
                      <w:u w:val="none"/>
                      <w14:textFill>
                        <w14:solidFill>
                          <w14:schemeClr w14:val="tx1"/>
                        </w14:solidFill>
                      </w14:textFill>
                    </w:rPr>
                    <w:t>pH</w:t>
                  </w:r>
                </w:p>
              </w:tc>
              <w:tc>
                <w:tcPr>
                  <w:tcW w:w="847"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outlineLvl w:val="9"/>
                  </w:pPr>
                  <w:r>
                    <w:rPr>
                      <w:rFonts w:hint="default" w:ascii="Times New Roman" w:hAnsi="Times New Roman" w:cs="Times New Roman"/>
                      <w:u w:val="none"/>
                      <w:vertAlign w:val="baseline"/>
                      <w:lang w:val="en-US" w:eastAsia="zh-CN"/>
                    </w:rPr>
                    <w:t>COD</w:t>
                  </w:r>
                </w:p>
              </w:tc>
              <w:tc>
                <w:tcPr>
                  <w:tcW w:w="615"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cs="Times New Roman"/>
                      <w:u w:val="none"/>
                      <w:vertAlign w:val="baseline"/>
                      <w:lang w:val="en-US" w:eastAsia="zh-CN"/>
                    </w:rPr>
                  </w:pPr>
                  <w:r>
                    <w:rPr>
                      <w:rFonts w:hint="eastAsia" w:cs="Times New Roman"/>
                      <w:u w:val="none"/>
                      <w:vertAlign w:val="baseline"/>
                      <w:lang w:val="en-US" w:eastAsia="zh-CN"/>
                    </w:rPr>
                    <w:t>TN</w:t>
                  </w:r>
                </w:p>
              </w:tc>
              <w:tc>
                <w:tcPr>
                  <w:tcW w:w="529"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cs="Times New Roman"/>
                      <w:u w:val="none"/>
                      <w:vertAlign w:val="baseline"/>
                      <w:lang w:val="en-US" w:eastAsia="zh-CN"/>
                    </w:rPr>
                  </w:pPr>
                  <w:r>
                    <w:rPr>
                      <w:rFonts w:hint="eastAsia" w:cs="Times New Roman"/>
                      <w:u w:val="none"/>
                      <w:vertAlign w:val="baseline"/>
                      <w:lang w:val="en-US" w:eastAsia="zh-CN"/>
                    </w:rPr>
                    <w:t>TP</w:t>
                  </w:r>
                </w:p>
              </w:tc>
              <w:tc>
                <w:tcPr>
                  <w:tcW w:w="740"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default" w:ascii="Times New Roman" w:hAnsi="Times New Roman" w:cs="Times New Roman"/>
                      <w:u w:val="none"/>
                      <w:vertAlign w:val="baseline"/>
                      <w:lang w:val="en-US" w:eastAsia="zh-CN"/>
                    </w:rPr>
                    <w:t>BOD</w:t>
                  </w:r>
                  <w:r>
                    <w:rPr>
                      <w:rFonts w:hint="default" w:ascii="Times New Roman" w:hAnsi="Times New Roman" w:cs="Times New Roman"/>
                      <w:u w:val="none"/>
                      <w:vertAlign w:val="subscript"/>
                      <w:lang w:val="en-US" w:eastAsia="zh-CN"/>
                    </w:rPr>
                    <w:t>5</w:t>
                  </w:r>
                </w:p>
              </w:tc>
              <w:tc>
                <w:tcPr>
                  <w:tcW w:w="885"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default" w:ascii="Times New Roman" w:hAnsi="Times New Roman" w:cs="Times New Roman"/>
                      <w:u w:val="none"/>
                      <w:vertAlign w:val="baseline"/>
                      <w:lang w:val="en-US" w:eastAsia="zh-CN"/>
                    </w:rPr>
                    <w:t>NH</w:t>
                  </w:r>
                  <w:r>
                    <w:rPr>
                      <w:rFonts w:hint="default" w:ascii="Times New Roman" w:hAnsi="Times New Roman" w:cs="Times New Roman"/>
                      <w:u w:val="none"/>
                      <w:vertAlign w:val="subscript"/>
                      <w:lang w:val="en-US" w:eastAsia="zh-CN"/>
                    </w:rPr>
                    <w:t>3</w:t>
                  </w:r>
                  <w:r>
                    <w:rPr>
                      <w:rFonts w:hint="default" w:ascii="Times New Roman" w:hAnsi="Times New Roman" w:cs="Times New Roman"/>
                      <w:u w:val="none"/>
                      <w:vertAlign w:val="baseline"/>
                      <w:lang w:val="en-US" w:eastAsia="zh-CN"/>
                    </w:rPr>
                    <w:t>-N</w:t>
                  </w:r>
                </w:p>
              </w:tc>
              <w:tc>
                <w:tcPr>
                  <w:tcW w:w="912" w:type="dxa"/>
                  <w:tcBorders>
                    <w:top w:val="single" w:color="auto" w:sz="1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eastAsia="zh-CN"/>
                    </w:rPr>
                  </w:pPr>
                  <w:r>
                    <w:rPr>
                      <w:rFonts w:hint="eastAsia" w:cs="Times New Roman"/>
                      <w:u w:val="none"/>
                      <w:vertAlign w:val="baseline"/>
                      <w:lang w:eastAsia="zh-CN"/>
                    </w:rPr>
                    <w:t>石油类</w:t>
                  </w:r>
                </w:p>
              </w:tc>
              <w:tc>
                <w:tcPr>
                  <w:tcW w:w="466" w:type="dxa"/>
                  <w:tcBorders>
                    <w:top w:val="single" w:color="auto" w:sz="12" w:space="0"/>
                    <w:left w:val="single" w:color="auto" w:sz="2" w:space="0"/>
                    <w:bottom w:val="single" w:color="auto" w:sz="2"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default" w:ascii="Times New Roman" w:hAnsi="Times New Roman" w:cs="Times New Roman"/>
                      <w:u w:val="none"/>
                      <w:vertAlign w:val="baseline"/>
                      <w:lang w:val="en-US" w:eastAsia="zh-CN"/>
                    </w:rPr>
                    <w:t>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02" w:type="dxa"/>
                  <w:tcBorders>
                    <w:top w:val="single" w:color="auto" w:sz="2" w:space="0"/>
                    <w:left w:val="single" w:color="auto" w:sz="1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cs="Times New Roman"/>
                      <w:sz w:val="21"/>
                      <w:szCs w:val="21"/>
                      <w:u w:val="none"/>
                      <w:vertAlign w:val="baseline"/>
                    </w:rPr>
                  </w:pPr>
                  <w:r>
                    <w:rPr>
                      <w:rFonts w:hint="default" w:ascii="Times New Roman" w:hAnsi="Times New Roman" w:cs="Times New Roman"/>
                      <w:sz w:val="21"/>
                      <w:szCs w:val="21"/>
                      <w:u w:val="none"/>
                      <w:vertAlign w:val="baseline"/>
                    </w:rPr>
                    <w:t>（GB18918-2002）规定的一级标准的A 标准</w:t>
                  </w:r>
                </w:p>
              </w:tc>
              <w:tc>
                <w:tcPr>
                  <w:tcW w:w="932"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eastAsia" w:cs="Times New Roman"/>
                      <w:u w:val="none"/>
                      <w:vertAlign w:val="baseline"/>
                      <w:lang w:val="en-US" w:eastAsia="zh-CN"/>
                    </w:rPr>
                    <w:t>6-9</w:t>
                  </w:r>
                </w:p>
              </w:tc>
              <w:tc>
                <w:tcPr>
                  <w:tcW w:w="847"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outlineLvl w:val="9"/>
                  </w:pPr>
                  <w:r>
                    <w:rPr>
                      <w:rFonts w:hint="default" w:ascii="Times New Roman" w:hAnsi="Times New Roman" w:cs="Times New Roman"/>
                      <w:u w:val="none"/>
                      <w:vertAlign w:val="baseline"/>
                      <w:lang w:val="en-US" w:eastAsia="zh-CN"/>
                    </w:rPr>
                    <w:t>50</w:t>
                  </w:r>
                </w:p>
              </w:tc>
              <w:tc>
                <w:tcPr>
                  <w:tcW w:w="615"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cs="Times New Roman"/>
                      <w:u w:val="none"/>
                      <w:vertAlign w:val="baseline"/>
                      <w:lang w:val="en-US" w:eastAsia="zh-CN"/>
                    </w:rPr>
                  </w:pPr>
                  <w:r>
                    <w:rPr>
                      <w:rFonts w:hint="eastAsia" w:cs="Times New Roman"/>
                      <w:u w:val="none"/>
                      <w:vertAlign w:val="baseline"/>
                      <w:lang w:val="en-US" w:eastAsia="zh-CN"/>
                    </w:rPr>
                    <w:t>15</w:t>
                  </w:r>
                </w:p>
              </w:tc>
              <w:tc>
                <w:tcPr>
                  <w:tcW w:w="529"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cs="Times New Roman"/>
                      <w:u w:val="none"/>
                      <w:vertAlign w:val="baseline"/>
                      <w:lang w:val="en-US" w:eastAsia="zh-CN"/>
                    </w:rPr>
                  </w:pPr>
                  <w:r>
                    <w:rPr>
                      <w:rFonts w:hint="eastAsia" w:cs="Times New Roman"/>
                      <w:u w:val="none"/>
                      <w:vertAlign w:val="baseline"/>
                      <w:lang w:val="en-US" w:eastAsia="zh-CN"/>
                    </w:rPr>
                    <w:t>0.5</w:t>
                  </w:r>
                </w:p>
              </w:tc>
              <w:tc>
                <w:tcPr>
                  <w:tcW w:w="740"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eastAsia" w:cs="Times New Roman"/>
                      <w:u w:val="none"/>
                      <w:vertAlign w:val="baseline"/>
                      <w:lang w:val="en-US" w:eastAsia="zh-CN"/>
                    </w:rPr>
                    <w:t>1</w:t>
                  </w:r>
                  <w:r>
                    <w:rPr>
                      <w:rFonts w:hint="default" w:ascii="Times New Roman" w:hAnsi="Times New Roman" w:cs="Times New Roman"/>
                      <w:u w:val="none"/>
                      <w:vertAlign w:val="baseline"/>
                      <w:lang w:val="en-US" w:eastAsia="zh-CN"/>
                    </w:rPr>
                    <w:t>0</w:t>
                  </w:r>
                </w:p>
              </w:tc>
              <w:tc>
                <w:tcPr>
                  <w:tcW w:w="885"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eastAsia" w:cs="Times New Roman"/>
                      <w:u w:val="none"/>
                      <w:vertAlign w:val="baseline"/>
                      <w:lang w:val="en-US" w:eastAsia="zh-CN"/>
                    </w:rPr>
                    <w:t>5</w:t>
                  </w:r>
                </w:p>
              </w:tc>
              <w:tc>
                <w:tcPr>
                  <w:tcW w:w="912" w:type="dxa"/>
                  <w:tcBorders>
                    <w:top w:val="single" w:color="auto" w:sz="2" w:space="0"/>
                    <w:left w:val="single" w:color="auto" w:sz="2" w:space="0"/>
                    <w:bottom w:val="single" w:color="auto" w:sz="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default" w:ascii="Times New Roman" w:hAnsi="Times New Roman" w:cs="Times New Roman"/>
                      <w:u w:val="none"/>
                      <w:vertAlign w:val="baseline"/>
                      <w:lang w:val="en-US" w:eastAsia="zh-CN"/>
                    </w:rPr>
                    <w:t>1</w:t>
                  </w:r>
                </w:p>
              </w:tc>
              <w:tc>
                <w:tcPr>
                  <w:tcW w:w="466" w:type="dxa"/>
                  <w:tcBorders>
                    <w:top w:val="single" w:color="auto" w:sz="2" w:space="0"/>
                    <w:left w:val="single" w:color="auto" w:sz="2" w:space="0"/>
                    <w:bottom w:val="single" w:color="auto" w:sz="2"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u w:val="none"/>
                      <w:vertAlign w:val="baseline"/>
                      <w:lang w:val="en-US" w:eastAsia="zh-CN"/>
                    </w:rPr>
                  </w:pPr>
                  <w:r>
                    <w:rPr>
                      <w:rFonts w:hint="eastAsia" w:cs="Times New Roman"/>
                      <w:u w:val="none"/>
                      <w:vertAlign w:val="baseli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02" w:type="dxa"/>
                  <w:tcBorders>
                    <w:top w:val="single" w:color="auto" w:sz="2" w:space="0"/>
                    <w:left w:val="single" w:color="auto" w:sz="1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cs="Times New Roman"/>
                      <w:sz w:val="21"/>
                      <w:szCs w:val="21"/>
                      <w:u w:val="none"/>
                      <w:vertAlign w:val="baseline"/>
                    </w:rPr>
                  </w:pPr>
                  <w:r>
                    <w:rPr>
                      <w:rFonts w:hint="default" w:ascii="Times New Roman" w:hAnsi="Times New Roman" w:cs="Times New Roman"/>
                      <w:sz w:val="21"/>
                      <w:szCs w:val="21"/>
                      <w:u w:val="none"/>
                      <w:vertAlign w:val="baseline"/>
                    </w:rPr>
                    <w:t>GB18918-2002）规定的一级标准的</w:t>
                  </w:r>
                  <w:r>
                    <w:rPr>
                      <w:rFonts w:hint="eastAsia" w:cs="Times New Roman"/>
                      <w:sz w:val="21"/>
                      <w:szCs w:val="21"/>
                      <w:u w:val="none"/>
                      <w:vertAlign w:val="baseline"/>
                      <w:lang w:val="en-US" w:eastAsia="zh-CN"/>
                    </w:rPr>
                    <w:t>B</w:t>
                  </w:r>
                  <w:r>
                    <w:rPr>
                      <w:rFonts w:hint="default" w:ascii="Times New Roman" w:hAnsi="Times New Roman" w:cs="Times New Roman"/>
                      <w:sz w:val="21"/>
                      <w:szCs w:val="21"/>
                      <w:u w:val="none"/>
                      <w:vertAlign w:val="baseline"/>
                    </w:rPr>
                    <w:t xml:space="preserve"> 标准</w:t>
                  </w:r>
                </w:p>
              </w:tc>
              <w:tc>
                <w:tcPr>
                  <w:tcW w:w="932"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cs="Times New Roman"/>
                      <w:u w:val="none"/>
                      <w:vertAlign w:val="baseline"/>
                      <w:lang w:val="en-US" w:eastAsia="zh-CN"/>
                    </w:rPr>
                  </w:pPr>
                  <w:r>
                    <w:rPr>
                      <w:rFonts w:hint="eastAsia" w:cs="Times New Roman"/>
                      <w:u w:val="none"/>
                      <w:vertAlign w:val="baseline"/>
                      <w:lang w:val="en-US" w:eastAsia="zh-CN"/>
                    </w:rPr>
                    <w:t>6-9</w:t>
                  </w:r>
                </w:p>
              </w:tc>
              <w:tc>
                <w:tcPr>
                  <w:tcW w:w="847"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textAlignment w:val="auto"/>
                    <w:outlineLvl w:val="9"/>
                    <w:rPr>
                      <w:rFonts w:hint="default" w:ascii="Times New Roman" w:hAnsi="Times New Roman" w:cs="Times New Roman"/>
                      <w:u w:val="none"/>
                      <w:vertAlign w:val="baseline"/>
                      <w:lang w:val="en-US" w:eastAsia="zh-CN"/>
                    </w:rPr>
                  </w:pPr>
                  <w:r>
                    <w:rPr>
                      <w:rFonts w:hint="eastAsia" w:cs="Times New Roman"/>
                      <w:u w:val="none"/>
                      <w:vertAlign w:val="baseline"/>
                      <w:lang w:val="en-US" w:eastAsia="zh-CN"/>
                    </w:rPr>
                    <w:t>60</w:t>
                  </w:r>
                </w:p>
              </w:tc>
              <w:tc>
                <w:tcPr>
                  <w:tcW w:w="615"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cs="Times New Roman"/>
                      <w:u w:val="none"/>
                      <w:vertAlign w:val="baseline"/>
                      <w:lang w:val="en-US" w:eastAsia="zh-CN"/>
                    </w:rPr>
                  </w:pPr>
                  <w:r>
                    <w:rPr>
                      <w:rFonts w:hint="eastAsia" w:cs="Times New Roman"/>
                      <w:u w:val="none"/>
                      <w:vertAlign w:val="baseline"/>
                      <w:lang w:val="en-US" w:eastAsia="zh-CN"/>
                    </w:rPr>
                    <w:t>20</w:t>
                  </w:r>
                </w:p>
              </w:tc>
              <w:tc>
                <w:tcPr>
                  <w:tcW w:w="529"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cs="Times New Roman"/>
                      <w:u w:val="none"/>
                      <w:vertAlign w:val="baseline"/>
                      <w:lang w:val="en-US" w:eastAsia="zh-CN"/>
                    </w:rPr>
                  </w:pPr>
                  <w:r>
                    <w:rPr>
                      <w:rFonts w:hint="eastAsia" w:cs="Times New Roman"/>
                      <w:u w:val="none"/>
                      <w:vertAlign w:val="baseline"/>
                      <w:lang w:val="en-US" w:eastAsia="zh-CN"/>
                    </w:rPr>
                    <w:t>1</w:t>
                  </w:r>
                </w:p>
              </w:tc>
              <w:tc>
                <w:tcPr>
                  <w:tcW w:w="740"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cs="Times New Roman"/>
                      <w:u w:val="none"/>
                      <w:vertAlign w:val="baseline"/>
                      <w:lang w:val="en-US" w:eastAsia="zh-CN"/>
                    </w:rPr>
                  </w:pPr>
                  <w:r>
                    <w:rPr>
                      <w:rFonts w:hint="eastAsia" w:cs="Times New Roman"/>
                      <w:u w:val="none"/>
                      <w:vertAlign w:val="baseline"/>
                      <w:lang w:val="en-US" w:eastAsia="zh-CN"/>
                    </w:rPr>
                    <w:t>20</w:t>
                  </w:r>
                </w:p>
              </w:tc>
              <w:tc>
                <w:tcPr>
                  <w:tcW w:w="885"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cs="Times New Roman"/>
                      <w:u w:val="none"/>
                      <w:vertAlign w:val="baseline"/>
                      <w:lang w:val="en-US" w:eastAsia="zh-CN"/>
                    </w:rPr>
                  </w:pPr>
                  <w:r>
                    <w:rPr>
                      <w:rFonts w:hint="eastAsia" w:cs="Times New Roman"/>
                      <w:u w:val="none"/>
                      <w:vertAlign w:val="baseline"/>
                      <w:lang w:val="en-US" w:eastAsia="zh-CN"/>
                    </w:rPr>
                    <w:t>8</w:t>
                  </w:r>
                </w:p>
              </w:tc>
              <w:tc>
                <w:tcPr>
                  <w:tcW w:w="912" w:type="dxa"/>
                  <w:tcBorders>
                    <w:top w:val="single" w:color="auto" w:sz="2" w:space="0"/>
                    <w:left w:val="single" w:color="auto" w:sz="2" w:space="0"/>
                    <w:bottom w:val="single" w:color="auto" w:sz="12" w:space="0"/>
                    <w:right w:val="single" w:color="auto" w:sz="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cs="Times New Roman"/>
                      <w:u w:val="none"/>
                      <w:vertAlign w:val="baseline"/>
                      <w:lang w:val="en-US" w:eastAsia="zh-CN"/>
                    </w:rPr>
                  </w:pPr>
                  <w:r>
                    <w:rPr>
                      <w:rFonts w:hint="eastAsia" w:cs="Times New Roman"/>
                      <w:u w:val="none"/>
                      <w:vertAlign w:val="baseline"/>
                      <w:lang w:val="en-US" w:eastAsia="zh-CN"/>
                    </w:rPr>
                    <w:t>3</w:t>
                  </w:r>
                </w:p>
              </w:tc>
              <w:tc>
                <w:tcPr>
                  <w:tcW w:w="466" w:type="dxa"/>
                  <w:tcBorders>
                    <w:top w:val="single" w:color="auto" w:sz="2" w:space="0"/>
                    <w:left w:val="single" w:color="auto" w:sz="2" w:space="0"/>
                    <w:bottom w:val="single" w:color="auto" w:sz="12" w:space="0"/>
                    <w:right w:val="single" w:color="auto" w:sz="12"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cs="Times New Roman"/>
                      <w:u w:val="none"/>
                      <w:vertAlign w:val="baseline"/>
                      <w:lang w:val="en-US" w:eastAsia="zh-CN"/>
                    </w:rPr>
                  </w:pPr>
                  <w:r>
                    <w:rPr>
                      <w:rFonts w:hint="eastAsia" w:cs="Times New Roman"/>
                      <w:u w:val="none"/>
                      <w:vertAlign w:val="baseline"/>
                      <w:lang w:val="en-US" w:eastAsia="zh-CN"/>
                    </w:rPr>
                    <w:t>20</w:t>
                  </w:r>
                </w:p>
              </w:tc>
            </w:tr>
          </w:tbl>
          <w:p>
            <w:pPr>
              <w:pStyle w:val="8"/>
              <w:ind w:firstLine="480" w:firstLineChars="200"/>
              <w:rPr>
                <w:rFonts w:hint="eastAsia"/>
                <w:color w:val="auto"/>
                <w:sz w:val="24"/>
                <w:szCs w:val="24"/>
                <w:lang w:val="en-US" w:eastAsia="zh-CN"/>
              </w:rPr>
            </w:pPr>
            <w:r>
              <w:rPr>
                <w:rFonts w:hint="eastAsia"/>
                <w:color w:val="auto"/>
                <w:sz w:val="24"/>
                <w:szCs w:val="24"/>
                <w:lang w:val="en-US" w:eastAsia="zh-CN"/>
              </w:rPr>
              <w:t>（3）噪声：施工期噪声执行《建筑施工场界环境噪声排放标准》(GB12523-2011)，污水处理站及污水提升泵站营运期噪声执行《</w:t>
            </w:r>
            <w:r>
              <w:rPr>
                <w:color w:val="000000" w:themeColor="text1"/>
                <w:sz w:val="24"/>
                <w:szCs w:val="24"/>
                <w:highlight w:val="none"/>
                <w:lang w:val="en-US" w:eastAsia="zh-CN"/>
                <w14:textFill>
                  <w14:solidFill>
                    <w14:schemeClr w14:val="tx1"/>
                  </w14:solidFill>
                </w14:textFill>
              </w:rPr>
              <w:t>工业企业厂界环境噪声排放标准》（GB 12348-2008）</w:t>
            </w:r>
            <w:r>
              <w:rPr>
                <w:rFonts w:hint="eastAsia"/>
                <w:color w:val="000000" w:themeColor="text1"/>
                <w:sz w:val="24"/>
                <w:szCs w:val="24"/>
                <w:highlight w:val="none"/>
                <w:lang w:val="en-US" w:eastAsia="zh-CN"/>
                <w14:textFill>
                  <w14:solidFill>
                    <w14:schemeClr w14:val="tx1"/>
                  </w14:solidFill>
                </w14:textFill>
              </w:rPr>
              <w:t>2</w:t>
            </w:r>
            <w:r>
              <w:rPr>
                <w:color w:val="000000" w:themeColor="text1"/>
                <w:sz w:val="24"/>
                <w:szCs w:val="24"/>
                <w:highlight w:val="none"/>
                <w:lang w:val="en-US" w:eastAsia="zh-CN"/>
                <w14:textFill>
                  <w14:solidFill>
                    <w14:schemeClr w14:val="tx1"/>
                  </w14:solidFill>
                </w14:textFill>
              </w:rPr>
              <w:t>类标准</w:t>
            </w:r>
            <w:r>
              <w:rPr>
                <w:rFonts w:hint="eastAsia"/>
                <w:color w:val="auto"/>
                <w:sz w:val="24"/>
                <w:szCs w:val="24"/>
                <w:lang w:val="en-US" w:eastAsia="zh-CN"/>
              </w:rPr>
              <w:t>。</w:t>
            </w:r>
          </w:p>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eastAsia="宋体" w:cs="Times New Roman"/>
                <w:b/>
                <w:color w:val="auto"/>
                <w:sz w:val="24"/>
                <w:szCs w:val="24"/>
                <w:highlight w:val="none"/>
                <w:u w:val="none"/>
              </w:rPr>
            </w:pPr>
            <w:r>
              <w:rPr>
                <w:rFonts w:hint="default" w:ascii="Times New Roman" w:hAnsi="Times New Roman" w:eastAsia="宋体" w:cs="Times New Roman"/>
                <w:b/>
                <w:color w:val="auto"/>
                <w:sz w:val="24"/>
                <w:szCs w:val="24"/>
                <w:highlight w:val="none"/>
                <w:u w:val="none"/>
              </w:rPr>
              <w:t>表4-</w:t>
            </w:r>
            <w:r>
              <w:rPr>
                <w:rFonts w:hint="eastAsia" w:ascii="Times New Roman" w:hAnsi="Times New Roman" w:eastAsia="宋体" w:cs="Times New Roman"/>
                <w:b/>
                <w:color w:val="auto"/>
                <w:sz w:val="24"/>
                <w:szCs w:val="24"/>
                <w:highlight w:val="none"/>
                <w:u w:val="none"/>
                <w:lang w:val="en-US" w:eastAsia="zh-CN"/>
              </w:rPr>
              <w:t>6</w:t>
            </w:r>
            <w:r>
              <w:rPr>
                <w:rFonts w:hint="default" w:ascii="Times New Roman" w:hAnsi="Times New Roman" w:eastAsia="宋体" w:cs="Times New Roman"/>
                <w:b/>
                <w:color w:val="auto"/>
                <w:sz w:val="24"/>
                <w:szCs w:val="24"/>
                <w:highlight w:val="none"/>
                <w:u w:val="none"/>
                <w:lang w:val="en-US" w:eastAsia="zh-CN"/>
              </w:rPr>
              <w:t xml:space="preserve"> 《建筑施工场界环境噪声排放标准》</w:t>
            </w:r>
            <w:r>
              <w:rPr>
                <w:rFonts w:hint="default" w:ascii="Times New Roman" w:hAnsi="Times New Roman" w:eastAsia="宋体" w:cs="Times New Roman"/>
                <w:b/>
                <w:color w:val="auto"/>
                <w:sz w:val="24"/>
                <w:szCs w:val="24"/>
                <w:highlight w:val="none"/>
                <w:u w:val="none"/>
              </w:rPr>
              <w:t xml:space="preserve">  单位：dB(A)</w:t>
            </w: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94"/>
              <w:gridCol w:w="1929"/>
              <w:gridCol w:w="19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3"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rPr>
                    <w:t>标准</w:t>
                  </w:r>
                </w:p>
              </w:tc>
              <w:tc>
                <w:tcPr>
                  <w:tcW w:w="1131"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rPr>
                    <w:t>昼间</w:t>
                  </w:r>
                </w:p>
              </w:tc>
              <w:tc>
                <w:tcPr>
                  <w:tcW w:w="1115" w:type="pct"/>
                  <w:noWrap w:val="0"/>
                  <w:vAlign w:val="center"/>
                </w:tcPr>
                <w:p>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3"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lang w:val="en-US" w:eastAsia="zh-CN"/>
                    </w:rPr>
                    <w:t>(GB12523-2011)</w:t>
                  </w:r>
                </w:p>
              </w:tc>
              <w:tc>
                <w:tcPr>
                  <w:tcW w:w="1131"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eastAsia="宋体" w:cs="Times New Roman"/>
                      <w:b w:val="0"/>
                      <w:bCs/>
                      <w:color w:val="auto"/>
                      <w:sz w:val="21"/>
                      <w:szCs w:val="21"/>
                      <w:u w:val="none"/>
                      <w:lang w:val="en-US" w:eastAsia="zh-CN"/>
                    </w:rPr>
                  </w:pPr>
                  <w:r>
                    <w:rPr>
                      <w:rFonts w:hint="eastAsia" w:ascii="Times New Roman" w:hAnsi="Times New Roman" w:cs="Times New Roman"/>
                      <w:b w:val="0"/>
                      <w:bCs/>
                      <w:color w:val="auto"/>
                      <w:sz w:val="21"/>
                      <w:szCs w:val="21"/>
                      <w:u w:val="none"/>
                      <w:lang w:val="en-US" w:eastAsia="zh-CN"/>
                    </w:rPr>
                    <w:t>70</w:t>
                  </w:r>
                </w:p>
              </w:tc>
              <w:tc>
                <w:tcPr>
                  <w:tcW w:w="1115"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eastAsia="宋体" w:cs="Times New Roman"/>
                      <w:b w:val="0"/>
                      <w:bCs/>
                      <w:color w:val="auto"/>
                      <w:sz w:val="21"/>
                      <w:szCs w:val="21"/>
                      <w:u w:val="none"/>
                      <w:lang w:val="en-US" w:eastAsia="zh-CN"/>
                    </w:rPr>
                  </w:pPr>
                  <w:r>
                    <w:rPr>
                      <w:rFonts w:hint="eastAsia" w:ascii="Times New Roman" w:hAnsi="Times New Roman" w:cs="Times New Roman"/>
                      <w:b w:val="0"/>
                      <w:bCs/>
                      <w:color w:val="auto"/>
                      <w:sz w:val="21"/>
                      <w:szCs w:val="21"/>
                      <w:u w:val="none"/>
                      <w:lang w:val="en-US" w:eastAsia="zh-CN"/>
                    </w:rPr>
                    <w:t>55</w:t>
                  </w:r>
                </w:p>
              </w:tc>
            </w:tr>
          </w:tbl>
          <w:p>
            <w:pPr>
              <w:pStyle w:val="35"/>
              <w:keepNext w:val="0"/>
              <w:keepLines w:val="0"/>
              <w:pageBreakBefore w:val="0"/>
              <w:widowControl w:val="0"/>
              <w:numPr>
                <w:ilvl w:val="0"/>
                <w:numId w:val="0"/>
              </w:numPr>
              <w:kinsoku/>
              <w:wordWrap/>
              <w:overflowPunct/>
              <w:topLinePunct w:val="0"/>
              <w:autoSpaceDE w:val="0"/>
              <w:autoSpaceDN w:val="0"/>
              <w:bidi w:val="0"/>
              <w:adjustRightInd w:val="0"/>
              <w:snapToGrid w:val="0"/>
              <w:spacing w:line="360" w:lineRule="auto"/>
              <w:ind w:leftChars="200"/>
              <w:jc w:val="center"/>
              <w:textAlignment w:val="auto"/>
              <w:rPr>
                <w:rFonts w:hint="default" w:ascii="Times New Roman" w:hAnsi="Times New Roman" w:eastAsia="宋体" w:cs="Times New Roman"/>
                <w:b/>
                <w:color w:val="auto"/>
                <w:sz w:val="24"/>
                <w:szCs w:val="24"/>
                <w:highlight w:val="none"/>
                <w:u w:val="none"/>
              </w:rPr>
            </w:pPr>
            <w:r>
              <w:rPr>
                <w:rFonts w:hint="default" w:ascii="Times New Roman" w:hAnsi="Times New Roman" w:eastAsia="宋体" w:cs="Times New Roman"/>
                <w:b/>
                <w:color w:val="auto"/>
                <w:sz w:val="24"/>
                <w:szCs w:val="24"/>
                <w:highlight w:val="none"/>
                <w:u w:val="none"/>
              </w:rPr>
              <w:t>表4-</w:t>
            </w:r>
            <w:r>
              <w:rPr>
                <w:rFonts w:hint="eastAsia" w:ascii="Times New Roman" w:hAnsi="Times New Roman" w:cs="Times New Roman"/>
                <w:b/>
                <w:color w:val="auto"/>
                <w:sz w:val="24"/>
                <w:szCs w:val="24"/>
                <w:highlight w:val="none"/>
                <w:u w:val="none"/>
                <w:lang w:val="en-US" w:eastAsia="zh-CN"/>
              </w:rPr>
              <w:t>7</w:t>
            </w:r>
            <w:r>
              <w:rPr>
                <w:rFonts w:hint="default" w:ascii="Times New Roman" w:hAnsi="Times New Roman" w:eastAsia="宋体" w:cs="Times New Roman"/>
                <w:b/>
                <w:color w:val="auto"/>
                <w:sz w:val="24"/>
                <w:szCs w:val="24"/>
                <w:highlight w:val="none"/>
                <w:u w:val="none"/>
                <w:lang w:val="en-US" w:eastAsia="zh-CN"/>
              </w:rPr>
              <w:t xml:space="preserve"> 《工业企业厂界环境噪声排放标准》</w:t>
            </w:r>
            <w:r>
              <w:rPr>
                <w:rFonts w:hint="default" w:ascii="Times New Roman" w:hAnsi="Times New Roman" w:eastAsia="宋体" w:cs="Times New Roman"/>
                <w:b/>
                <w:color w:val="auto"/>
                <w:sz w:val="24"/>
                <w:szCs w:val="24"/>
                <w:highlight w:val="none"/>
                <w:u w:val="none"/>
              </w:rPr>
              <w:t xml:space="preserve">  单位：dB(A)</w:t>
            </w:r>
          </w:p>
          <w:tbl>
            <w:tblPr>
              <w:tblStyle w:val="26"/>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94"/>
              <w:gridCol w:w="1929"/>
              <w:gridCol w:w="19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3"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rPr>
                    <w:t>标准</w:t>
                  </w:r>
                </w:p>
              </w:tc>
              <w:tc>
                <w:tcPr>
                  <w:tcW w:w="1131"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rPr>
                    <w:t>昼间</w:t>
                  </w:r>
                </w:p>
              </w:tc>
              <w:tc>
                <w:tcPr>
                  <w:tcW w:w="1115" w:type="pct"/>
                  <w:noWrap w:val="0"/>
                  <w:vAlign w:val="center"/>
                </w:tcPr>
                <w:p>
                  <w:pPr>
                    <w:keepNext w:val="0"/>
                    <w:keepLines w:val="0"/>
                    <w:pageBreakBefore w:val="0"/>
                    <w:widowControl w:val="0"/>
                    <w:kinsoku/>
                    <w:wordWrap/>
                    <w:overflowPunct/>
                    <w:topLinePunct w:val="0"/>
                    <w:autoSpaceDE w:val="0"/>
                    <w:autoSpaceDN w:val="0"/>
                    <w:bidi w:val="0"/>
                    <w:adjustRightInd w:val="0"/>
                    <w:snapToGrid/>
                    <w:spacing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53"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cs="Times New Roman"/>
                      <w:b w:val="0"/>
                      <w:bCs/>
                      <w:color w:val="auto"/>
                      <w:sz w:val="21"/>
                      <w:szCs w:val="21"/>
                      <w:u w:val="none"/>
                    </w:rPr>
                  </w:pPr>
                  <w:r>
                    <w:rPr>
                      <w:rFonts w:hint="default" w:ascii="Times New Roman" w:hAnsi="Times New Roman" w:cs="Times New Roman"/>
                      <w:b w:val="0"/>
                      <w:bCs/>
                      <w:color w:val="auto"/>
                      <w:sz w:val="21"/>
                      <w:szCs w:val="21"/>
                      <w:u w:val="none"/>
                      <w:lang w:val="en-US" w:eastAsia="zh-CN"/>
                    </w:rPr>
                    <w:t>（GB 12348-2008）</w:t>
                  </w:r>
                  <w:r>
                    <w:rPr>
                      <w:rFonts w:hint="eastAsia" w:ascii="Times New Roman" w:hAnsi="Times New Roman" w:cs="Times New Roman"/>
                      <w:b w:val="0"/>
                      <w:bCs/>
                      <w:color w:val="auto"/>
                      <w:sz w:val="21"/>
                      <w:szCs w:val="21"/>
                      <w:u w:val="none"/>
                      <w:lang w:val="en-US" w:eastAsia="zh-CN"/>
                    </w:rPr>
                    <w:t>2</w:t>
                  </w:r>
                  <w:r>
                    <w:rPr>
                      <w:rFonts w:hint="default" w:ascii="Times New Roman" w:hAnsi="Times New Roman" w:cs="Times New Roman"/>
                      <w:b w:val="0"/>
                      <w:bCs/>
                      <w:color w:val="auto"/>
                      <w:sz w:val="21"/>
                      <w:szCs w:val="21"/>
                      <w:u w:val="none"/>
                      <w:lang w:val="en-US" w:eastAsia="zh-CN"/>
                    </w:rPr>
                    <w:t>类标准</w:t>
                  </w:r>
                </w:p>
              </w:tc>
              <w:tc>
                <w:tcPr>
                  <w:tcW w:w="1131"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eastAsia="宋体" w:cs="Times New Roman"/>
                      <w:b w:val="0"/>
                      <w:bCs/>
                      <w:color w:val="auto"/>
                      <w:sz w:val="21"/>
                      <w:szCs w:val="21"/>
                      <w:u w:val="none"/>
                      <w:lang w:val="en-US" w:eastAsia="zh-CN"/>
                    </w:rPr>
                  </w:pPr>
                  <w:r>
                    <w:rPr>
                      <w:rFonts w:hint="eastAsia" w:ascii="Times New Roman" w:hAnsi="Times New Roman" w:cs="Times New Roman"/>
                      <w:b w:val="0"/>
                      <w:bCs/>
                      <w:color w:val="auto"/>
                      <w:sz w:val="21"/>
                      <w:szCs w:val="21"/>
                      <w:u w:val="none"/>
                      <w:lang w:val="en-US" w:eastAsia="zh-CN"/>
                    </w:rPr>
                    <w:t>60</w:t>
                  </w:r>
                </w:p>
              </w:tc>
              <w:tc>
                <w:tcPr>
                  <w:tcW w:w="1115" w:type="pct"/>
                  <w:noWrap w:val="0"/>
                  <w:vAlign w:val="center"/>
                </w:tcPr>
                <w:p>
                  <w:pPr>
                    <w:pStyle w:val="35"/>
                    <w:keepNext w:val="0"/>
                    <w:keepLines w:val="0"/>
                    <w:pageBreakBefore w:val="0"/>
                    <w:widowControl w:val="0"/>
                    <w:kinsoku/>
                    <w:wordWrap/>
                    <w:overflowPunct/>
                    <w:topLinePunct w:val="0"/>
                    <w:autoSpaceDE w:val="0"/>
                    <w:autoSpaceDN w:val="0"/>
                    <w:bidi w:val="0"/>
                    <w:adjustRightInd w:val="0"/>
                    <w:snapToGrid/>
                    <w:spacing w:beforeLines="0" w:afterLines="0" w:line="360" w:lineRule="exact"/>
                    <w:jc w:val="center"/>
                    <w:textAlignment w:val="auto"/>
                    <w:rPr>
                      <w:rFonts w:hint="default" w:ascii="Times New Roman" w:hAnsi="Times New Roman" w:eastAsia="宋体" w:cs="Times New Roman"/>
                      <w:b w:val="0"/>
                      <w:bCs/>
                      <w:color w:val="auto"/>
                      <w:sz w:val="21"/>
                      <w:szCs w:val="21"/>
                      <w:u w:val="none"/>
                      <w:lang w:val="en-US" w:eastAsia="zh-CN"/>
                    </w:rPr>
                  </w:pPr>
                  <w:r>
                    <w:rPr>
                      <w:rFonts w:hint="eastAsia" w:ascii="Times New Roman" w:hAnsi="Times New Roman" w:cs="Times New Roman"/>
                      <w:b w:val="0"/>
                      <w:bCs/>
                      <w:color w:val="auto"/>
                      <w:sz w:val="21"/>
                      <w:szCs w:val="21"/>
                      <w:u w:val="none"/>
                      <w:lang w:val="en-US" w:eastAsia="zh-CN"/>
                    </w:rPr>
                    <w:t>50</w:t>
                  </w:r>
                </w:p>
              </w:tc>
            </w:tr>
          </w:tbl>
          <w:p>
            <w:pPr>
              <w:spacing w:line="360" w:lineRule="auto"/>
              <w:ind w:firstLine="480" w:firstLineChars="200"/>
              <w:rPr>
                <w:rFonts w:hint="eastAsia"/>
                <w:color w:val="auto"/>
                <w:sz w:val="24"/>
                <w:szCs w:val="24"/>
              </w:rPr>
            </w:pPr>
            <w:r>
              <w:rPr>
                <w:rFonts w:hint="eastAsia" w:ascii="Times New Roman" w:hAnsi="Times New Roman" w:eastAsia="宋体" w:cs="Times New Roman"/>
                <w:color w:val="auto"/>
                <w:kern w:val="2"/>
                <w:sz w:val="24"/>
                <w:szCs w:val="24"/>
                <w:lang w:val="en-US" w:eastAsia="zh-CN" w:bidi="ar-SA"/>
              </w:rPr>
              <w:t>（4）固废：执行《一般工业固体废物贮存、处置场污染控制标准》(GB18599-2001)及2013年修改单，生活垃圾参照执行《生活垃圾填埋场污染控制标准》（GB16889-2008）。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gridAfter w:val="1"/>
          <w:wAfter w:w="10" w:type="dxa"/>
          <w:trHeight w:val="2099" w:hRule="atLeast"/>
          <w:jc w:val="center"/>
        </w:trPr>
        <w:tc>
          <w:tcPr>
            <w:tcW w:w="1260" w:type="dxa"/>
            <w:vAlign w:val="center"/>
          </w:tcPr>
          <w:p>
            <w:pPr>
              <w:spacing w:line="400" w:lineRule="exact"/>
              <w:jc w:val="center"/>
              <w:rPr>
                <w:bCs/>
                <w:color w:val="auto"/>
                <w:sz w:val="24"/>
                <w:szCs w:val="24"/>
              </w:rPr>
            </w:pPr>
            <w:r>
              <w:rPr>
                <w:bCs/>
                <w:color w:val="auto"/>
                <w:sz w:val="24"/>
                <w:szCs w:val="24"/>
              </w:rPr>
              <w:t>总</w:t>
            </w:r>
          </w:p>
          <w:p>
            <w:pPr>
              <w:spacing w:line="400" w:lineRule="exact"/>
              <w:jc w:val="center"/>
              <w:rPr>
                <w:bCs/>
                <w:color w:val="auto"/>
                <w:sz w:val="24"/>
                <w:szCs w:val="24"/>
              </w:rPr>
            </w:pPr>
            <w:r>
              <w:rPr>
                <w:bCs/>
                <w:color w:val="auto"/>
                <w:sz w:val="24"/>
                <w:szCs w:val="24"/>
              </w:rPr>
              <w:t>量</w:t>
            </w:r>
          </w:p>
          <w:p>
            <w:pPr>
              <w:spacing w:line="400" w:lineRule="exact"/>
              <w:jc w:val="center"/>
              <w:rPr>
                <w:bCs/>
                <w:color w:val="auto"/>
                <w:sz w:val="24"/>
                <w:szCs w:val="24"/>
              </w:rPr>
            </w:pPr>
            <w:r>
              <w:rPr>
                <w:bCs/>
                <w:color w:val="auto"/>
                <w:sz w:val="24"/>
                <w:szCs w:val="24"/>
              </w:rPr>
              <w:t>控</w:t>
            </w:r>
          </w:p>
          <w:p>
            <w:pPr>
              <w:spacing w:line="400" w:lineRule="exact"/>
              <w:jc w:val="center"/>
              <w:rPr>
                <w:bCs/>
                <w:color w:val="auto"/>
                <w:sz w:val="24"/>
                <w:szCs w:val="24"/>
              </w:rPr>
            </w:pPr>
            <w:r>
              <w:rPr>
                <w:bCs/>
                <w:color w:val="auto"/>
                <w:sz w:val="24"/>
                <w:szCs w:val="24"/>
              </w:rPr>
              <w:t>制</w:t>
            </w:r>
          </w:p>
          <w:p>
            <w:pPr>
              <w:spacing w:line="400" w:lineRule="exact"/>
              <w:jc w:val="center"/>
              <w:rPr>
                <w:bCs/>
                <w:color w:val="auto"/>
                <w:sz w:val="24"/>
                <w:szCs w:val="24"/>
              </w:rPr>
            </w:pPr>
            <w:r>
              <w:rPr>
                <w:bCs/>
                <w:color w:val="auto"/>
                <w:sz w:val="24"/>
                <w:szCs w:val="24"/>
              </w:rPr>
              <w:t>指</w:t>
            </w:r>
          </w:p>
          <w:p>
            <w:pPr>
              <w:spacing w:line="400" w:lineRule="exact"/>
              <w:jc w:val="center"/>
              <w:rPr>
                <w:bCs/>
                <w:color w:val="auto"/>
                <w:sz w:val="24"/>
                <w:szCs w:val="24"/>
              </w:rPr>
            </w:pPr>
            <w:r>
              <w:rPr>
                <w:bCs/>
                <w:color w:val="auto"/>
                <w:sz w:val="24"/>
                <w:szCs w:val="24"/>
              </w:rPr>
              <w:t>标</w:t>
            </w:r>
          </w:p>
        </w:tc>
        <w:tc>
          <w:tcPr>
            <w:tcW w:w="8505" w:type="dxa"/>
            <w:vAlign w:val="center"/>
          </w:tcPr>
          <w:p>
            <w:pPr>
              <w:keepNext w:val="0"/>
              <w:keepLines w:val="0"/>
              <w:pageBreakBefore w:val="0"/>
              <w:widowControl w:val="0"/>
              <w:kinsoku/>
              <w:wordWrap/>
              <w:topLinePunct w:val="0"/>
              <w:bidi w:val="0"/>
              <w:adjustRightInd/>
              <w:snapToGrid/>
              <w:spacing w:line="360" w:lineRule="auto"/>
              <w:ind w:firstLine="480" w:firstLineChars="200"/>
              <w:textAlignment w:val="auto"/>
              <w:rPr>
                <w:rFonts w:hint="eastAsia"/>
                <w:sz w:val="24"/>
                <w:szCs w:val="24"/>
                <w:lang w:val="en-US" w:eastAsia="zh-CN"/>
              </w:rPr>
            </w:pPr>
            <w:r>
              <w:rPr>
                <w:rFonts w:hint="eastAsia"/>
                <w:sz w:val="24"/>
                <w:szCs w:val="24"/>
                <w:lang w:val="en-US" w:eastAsia="zh-CN"/>
              </w:rPr>
              <w:t>根据国家主要污染物排放总量控制技术规范要求、《国家环境保护“十三五” 规划基本思路》，确定总量控制指标为</w:t>
            </w:r>
            <w:r>
              <w:rPr>
                <w:rFonts w:hint="eastAsia"/>
                <w:sz w:val="24"/>
                <w:szCs w:val="24"/>
                <w:lang w:eastAsia="zh-CN"/>
              </w:rPr>
              <w:t>SO</w:t>
            </w:r>
            <w:r>
              <w:rPr>
                <w:rFonts w:hint="eastAsia"/>
                <w:sz w:val="24"/>
                <w:szCs w:val="24"/>
                <w:vertAlign w:val="subscript"/>
                <w:lang w:eastAsia="zh-CN"/>
              </w:rPr>
              <w:t>2</w:t>
            </w:r>
            <w:r>
              <w:rPr>
                <w:rFonts w:hint="eastAsia"/>
                <w:sz w:val="24"/>
                <w:szCs w:val="24"/>
                <w:lang w:eastAsia="zh-CN"/>
              </w:rPr>
              <w:t>、NO</w:t>
            </w:r>
            <w:r>
              <w:rPr>
                <w:rFonts w:hint="eastAsia"/>
                <w:sz w:val="24"/>
                <w:szCs w:val="24"/>
                <w:vertAlign w:val="subscript"/>
                <w:lang w:eastAsia="zh-CN"/>
              </w:rPr>
              <w:t>x</w:t>
            </w:r>
            <w:r>
              <w:rPr>
                <w:rFonts w:hint="eastAsia"/>
                <w:sz w:val="24"/>
                <w:szCs w:val="24"/>
                <w:lang w:val="en-US" w:eastAsia="zh-CN"/>
              </w:rPr>
              <w:t>、COD、NH</w:t>
            </w:r>
            <w:r>
              <w:rPr>
                <w:rFonts w:hint="eastAsia"/>
                <w:sz w:val="24"/>
                <w:szCs w:val="24"/>
                <w:vertAlign w:val="subscript"/>
                <w:lang w:val="en-US" w:eastAsia="zh-CN"/>
              </w:rPr>
              <w:t>3</w:t>
            </w:r>
            <w:r>
              <w:rPr>
                <w:rFonts w:hint="eastAsia"/>
                <w:sz w:val="24"/>
                <w:szCs w:val="24"/>
                <w:lang w:val="en-US" w:eastAsia="zh-CN"/>
              </w:rPr>
              <w:t>-N。</w:t>
            </w:r>
          </w:p>
          <w:p>
            <w:pPr>
              <w:pStyle w:val="9"/>
              <w:spacing w:line="360" w:lineRule="auto"/>
              <w:ind w:firstLine="480" w:firstLineChars="20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本项目营运期废气主要为污水处理站产生的氨气和硫化氢，无SO</w:t>
            </w:r>
            <w:r>
              <w:rPr>
                <w:rFonts w:hint="eastAsia" w:ascii="Times New Roman" w:hAnsi="Times New Roman" w:eastAsia="宋体" w:cs="Times New Roman"/>
                <w:kern w:val="2"/>
                <w:sz w:val="24"/>
                <w:szCs w:val="24"/>
                <w:vertAlign w:val="subscript"/>
                <w:lang w:val="en-US" w:eastAsia="zh-CN" w:bidi="ar-SA"/>
              </w:rPr>
              <w:t>2</w:t>
            </w:r>
            <w:r>
              <w:rPr>
                <w:rFonts w:hint="eastAsia" w:ascii="Times New Roman" w:hAnsi="Times New Roman" w:eastAsia="宋体" w:cs="Times New Roman"/>
                <w:kern w:val="2"/>
                <w:sz w:val="24"/>
                <w:szCs w:val="24"/>
                <w:lang w:val="en-US" w:eastAsia="zh-CN" w:bidi="ar-SA"/>
              </w:rPr>
              <w:t>和NO</w:t>
            </w:r>
            <w:r>
              <w:rPr>
                <w:rFonts w:hint="eastAsia" w:ascii="Times New Roman" w:hAnsi="Times New Roman" w:eastAsia="宋体" w:cs="Times New Roman"/>
                <w:kern w:val="2"/>
                <w:sz w:val="24"/>
                <w:szCs w:val="24"/>
                <w:vertAlign w:val="subscript"/>
                <w:lang w:val="en-US" w:eastAsia="zh-CN" w:bidi="ar-SA"/>
              </w:rPr>
              <w:t>x</w:t>
            </w:r>
            <w:r>
              <w:rPr>
                <w:rFonts w:hint="eastAsia" w:ascii="Times New Roman" w:hAnsi="Times New Roman" w:eastAsia="宋体" w:cs="Times New Roman"/>
                <w:kern w:val="2"/>
                <w:sz w:val="24"/>
                <w:szCs w:val="24"/>
                <w:lang w:val="en-US" w:eastAsia="zh-CN" w:bidi="ar-SA"/>
              </w:rPr>
              <w:t>产生，因此不需申请废气总量控制指标。</w:t>
            </w:r>
          </w:p>
          <w:p>
            <w:pPr>
              <w:pStyle w:val="9"/>
              <w:spacing w:line="360" w:lineRule="auto"/>
              <w:ind w:firstLine="480" w:firstLineChars="200"/>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废水：《建设项目主要污染物排放总量指标审核及管理暂行办法》（环发〔2014〕197号）明确，建设项目主要污染物排放总量指标用于各级环境保护主管部门对建设项目主要污染物排放总量指标的审核与管理，不包括城镇生活污水处理厂、垃圾填埋场、危险废物和医疗废物处置厂总量指标的审核与管理。本项目</w:t>
            </w:r>
            <w:r>
              <w:rPr>
                <w:rFonts w:hint="eastAsia" w:cs="Times New Roman"/>
                <w:kern w:val="2"/>
                <w:sz w:val="24"/>
                <w:szCs w:val="24"/>
                <w:lang w:val="en-US" w:eastAsia="zh-CN" w:bidi="ar-SA"/>
              </w:rPr>
              <w:t>建有奇家社区</w:t>
            </w:r>
            <w:r>
              <w:rPr>
                <w:rFonts w:hint="eastAsia" w:ascii="Times New Roman" w:hAnsi="Times New Roman" w:eastAsia="宋体" w:cs="Times New Roman"/>
                <w:kern w:val="2"/>
                <w:sz w:val="24"/>
                <w:szCs w:val="24"/>
                <w:lang w:val="en-US" w:eastAsia="zh-CN" w:bidi="ar-SA"/>
              </w:rPr>
              <w:t>污水处理</w:t>
            </w:r>
            <w:r>
              <w:rPr>
                <w:rFonts w:hint="eastAsia" w:cs="Times New Roman"/>
                <w:kern w:val="2"/>
                <w:sz w:val="24"/>
                <w:szCs w:val="24"/>
                <w:lang w:val="en-US" w:eastAsia="zh-CN" w:bidi="ar-SA"/>
              </w:rPr>
              <w:t>站和湿塘污水处理站</w:t>
            </w:r>
            <w:bookmarkStart w:id="112" w:name="_GoBack"/>
            <w:bookmarkEnd w:id="112"/>
            <w:r>
              <w:rPr>
                <w:rFonts w:hint="eastAsia" w:ascii="Times New Roman" w:hAnsi="Times New Roman" w:eastAsia="宋体" w:cs="Times New Roman"/>
                <w:kern w:val="2"/>
                <w:sz w:val="24"/>
                <w:szCs w:val="24"/>
                <w:lang w:val="en-US" w:eastAsia="zh-CN" w:bidi="ar-SA"/>
              </w:rPr>
              <w:t>，无需设置废水总量控制指标。</w:t>
            </w:r>
          </w:p>
          <w:p>
            <w:pPr>
              <w:pStyle w:val="9"/>
              <w:spacing w:line="360" w:lineRule="auto"/>
              <w:ind w:firstLine="480" w:firstLineChars="200"/>
              <w:rPr>
                <w:rFonts w:hint="eastAsia" w:ascii="Times New Roman" w:hAnsi="Times New Roman" w:eastAsia="宋体" w:cs="Times New Roman"/>
                <w:kern w:val="2"/>
                <w:sz w:val="24"/>
                <w:szCs w:val="24"/>
                <w:lang w:val="en-US" w:eastAsia="zh-CN" w:bidi="ar-SA"/>
              </w:rPr>
            </w:pPr>
          </w:p>
          <w:p>
            <w:pPr>
              <w:pStyle w:val="9"/>
              <w:rPr>
                <w:rFonts w:hint="default"/>
                <w:lang w:val="en-US" w:eastAsia="zh-CN"/>
              </w:rPr>
            </w:pPr>
          </w:p>
          <w:p>
            <w:pPr>
              <w:rPr>
                <w:rFonts w:hint="default"/>
                <w:lang w:val="en-US" w:eastAsia="zh-CN"/>
              </w:rPr>
            </w:pPr>
          </w:p>
          <w:p>
            <w:pPr>
              <w:pStyle w:val="9"/>
              <w:rPr>
                <w:rFonts w:hint="default"/>
                <w:lang w:val="en-US" w:eastAsia="zh-CN"/>
              </w:rPr>
            </w:pPr>
          </w:p>
          <w:p>
            <w:pPr>
              <w:rPr>
                <w:rFonts w:hint="default"/>
                <w:lang w:val="en-US" w:eastAsia="zh-CN"/>
              </w:rPr>
            </w:pPr>
          </w:p>
          <w:p>
            <w:pPr>
              <w:pStyle w:val="9"/>
              <w:rPr>
                <w:rFonts w:hint="default"/>
                <w:lang w:eastAsia="zh-CN"/>
              </w:rPr>
            </w:pPr>
          </w:p>
        </w:tc>
      </w:tr>
      <w:bookmarkEnd w:id="67"/>
    </w:tbl>
    <w:p>
      <w:pPr>
        <w:pStyle w:val="37"/>
        <w:pageBreakBefore/>
        <w:tabs>
          <w:tab w:val="clear" w:pos="1800"/>
        </w:tabs>
        <w:rPr>
          <w:color w:val="auto"/>
        </w:rPr>
      </w:pPr>
      <w:bookmarkStart w:id="68" w:name="_Toc9290"/>
      <w:bookmarkStart w:id="69" w:name="_Toc15864"/>
      <w:bookmarkStart w:id="70" w:name="_Toc297732174"/>
      <w:r>
        <w:rPr>
          <w:rFonts w:eastAsia="宋体"/>
          <w:color w:val="auto"/>
        </w:rPr>
        <w:t>五、建设项目工程分析</w:t>
      </w:r>
      <w:bookmarkEnd w:id="68"/>
      <w:bookmarkEnd w:id="69"/>
    </w:p>
    <w:tbl>
      <w:tblPr>
        <w:tblStyle w:val="26"/>
        <w:tblW w:w="9775"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77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20" w:hRule="atLeast"/>
        </w:trPr>
        <w:tc>
          <w:tcPr>
            <w:tcW w:w="9775" w:type="dxa"/>
          </w:tcPr>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宋体"/>
                <w:b/>
                <w:color w:val="auto"/>
                <w:sz w:val="24"/>
                <w:szCs w:val="24"/>
              </w:rPr>
            </w:pPr>
            <w:r>
              <w:rPr>
                <w:rFonts w:ascii="Times New Roman" w:hAnsi="Times New Roman"/>
                <w:b/>
                <w:color w:val="auto"/>
                <w:sz w:val="24"/>
                <w:szCs w:val="24"/>
              </w:rPr>
              <w:t>5.1</w:t>
            </w:r>
            <w:r>
              <w:rPr>
                <w:rFonts w:ascii="Times New Roman" w:hAnsi="宋体"/>
                <w:b/>
                <w:color w:val="auto"/>
                <w:sz w:val="24"/>
                <w:szCs w:val="24"/>
              </w:rPr>
              <w:t>施工期工程分析</w:t>
            </w:r>
          </w:p>
          <w:p>
            <w:pPr>
              <w:pStyle w:val="35"/>
              <w:spacing w:line="360" w:lineRule="auto"/>
              <w:ind w:firstLine="480" w:firstLineChars="200"/>
              <w:rPr>
                <w:rFonts w:hint="default" w:ascii="Times New Roman" w:hAnsi="Times New Roman" w:cs="Times New Roman"/>
                <w:color w:val="000000"/>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本项目</w:t>
            </w:r>
            <w:r>
              <w:rPr>
                <w:rFonts w:hint="default" w:ascii="Times New Roman" w:hAnsi="Times New Roman" w:cs="Times New Roman"/>
                <w:color w:val="000000"/>
                <w:kern w:val="0"/>
                <w:sz w:val="24"/>
                <w:szCs w:val="24"/>
                <w:lang w:val="en-US" w:eastAsia="zh-CN" w:bidi="ar"/>
              </w:rPr>
              <w:t>施工期主要进行雨水、污水及部分给水管道建设、污水泵站和污水处理站建设、CSO调蓄池</w:t>
            </w:r>
            <w:r>
              <w:rPr>
                <w:rFonts w:hint="eastAsia" w:ascii="Times New Roman" w:hAnsi="Times New Roman" w:cs="Times New Roman"/>
                <w:color w:val="000000"/>
                <w:kern w:val="0"/>
                <w:sz w:val="24"/>
                <w:szCs w:val="24"/>
                <w:lang w:val="en-US" w:eastAsia="zh-CN" w:bidi="ar"/>
              </w:rPr>
              <w:t>建设以及廖家巷湿地、颐养院湿地和奥敏游泳馆湿地整治工程。</w:t>
            </w:r>
          </w:p>
          <w:p>
            <w:pPr>
              <w:pStyle w:val="35"/>
              <w:spacing w:line="360" w:lineRule="auto"/>
              <w:rPr>
                <w:rFonts w:hint="eastAsia" w:eastAsia="宋体"/>
                <w:sz w:val="24"/>
                <w:szCs w:val="24"/>
                <w:lang w:val="en-US" w:eastAsia="zh-CN"/>
              </w:rPr>
            </w:pPr>
            <w:r>
              <w:rPr>
                <w:rFonts w:hint="eastAsia" w:ascii="Times New Roman"/>
                <w:b/>
                <w:color w:val="auto"/>
                <w:sz w:val="24"/>
                <w:szCs w:val="24"/>
                <w:lang w:val="en-US" w:eastAsia="zh-CN"/>
              </w:rPr>
              <w:t>5.1.1施工期工艺流程</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1</w:t>
            </w:r>
            <w:r>
              <w:rPr>
                <w:rFonts w:hint="eastAsia" w:ascii="Times New Roman" w:hAnsi="Times New Roman" w:cs="Times New Roman"/>
                <w:sz w:val="24"/>
                <w:szCs w:val="24"/>
                <w:lang w:eastAsia="zh-CN"/>
              </w:rPr>
              <w:t>）</w:t>
            </w:r>
            <w:r>
              <w:rPr>
                <w:rFonts w:hint="default" w:ascii="Times New Roman" w:hAnsi="Times New Roman" w:cs="Times New Roman"/>
                <w:color w:val="000000"/>
                <w:kern w:val="0"/>
                <w:sz w:val="24"/>
                <w:szCs w:val="24"/>
                <w:lang w:val="en-US" w:eastAsia="zh-CN" w:bidi="ar"/>
              </w:rPr>
              <w:t>雨水、污水及部分给水管道</w:t>
            </w:r>
            <w:r>
              <w:rPr>
                <w:rFonts w:hint="eastAsia" w:ascii="Times New Roman" w:hAnsi="Times New Roman" w:cs="Times New Roman"/>
                <w:color w:val="000000"/>
                <w:kern w:val="0"/>
                <w:sz w:val="24"/>
                <w:szCs w:val="24"/>
                <w:lang w:val="en-US" w:eastAsia="zh-CN" w:bidi="ar"/>
              </w:rPr>
              <w:t>施工期工艺</w:t>
            </w:r>
          </w:p>
          <w:p>
            <w:pPr>
              <w:pStyle w:val="35"/>
              <w:keepNext w:val="0"/>
              <w:keepLines w:val="0"/>
              <w:pageBreakBefore w:val="0"/>
              <w:widowControl w:val="0"/>
              <w:kinsoku/>
              <w:wordWrap/>
              <w:overflowPunct/>
              <w:topLinePunct w:val="0"/>
              <w:autoSpaceDE w:val="0"/>
              <w:autoSpaceDN w:val="0"/>
              <w:bidi w:val="0"/>
              <w:adjustRightInd/>
              <w:snapToGrid/>
              <w:spacing w:line="360" w:lineRule="auto"/>
              <w:textAlignment w:val="auto"/>
              <w:rPr>
                <w:rFonts w:hint="default" w:ascii="Times New Roman" w:hAnsi="Times New Roman" w:cs="Times New Roman"/>
                <w:sz w:val="24"/>
                <w:szCs w:val="24"/>
                <w:lang w:val="en-US"/>
              </w:rPr>
            </w:pPr>
            <w:r>
              <w:rPr>
                <w:sz w:val="24"/>
              </w:rPr>
              <mc:AlternateContent>
                <mc:Choice Requires="wps">
                  <w:drawing>
                    <wp:anchor distT="0" distB="0" distL="114300" distR="114300" simplePos="0" relativeHeight="3475999744" behindDoc="0" locked="0" layoutInCell="1" allowOverlap="1">
                      <wp:simplePos x="0" y="0"/>
                      <wp:positionH relativeFrom="column">
                        <wp:posOffset>4892040</wp:posOffset>
                      </wp:positionH>
                      <wp:positionV relativeFrom="paragraph">
                        <wp:posOffset>190500</wp:posOffset>
                      </wp:positionV>
                      <wp:extent cx="742315" cy="278130"/>
                      <wp:effectExtent l="4445" t="4445" r="15240" b="22225"/>
                      <wp:wrapNone/>
                      <wp:docPr id="31" name="文本框 31"/>
                      <wp:cNvGraphicFramePr/>
                      <a:graphic xmlns:a="http://schemas.openxmlformats.org/drawingml/2006/main">
                        <a:graphicData uri="http://schemas.microsoft.com/office/word/2010/wordprocessingShape">
                          <wps:wsp>
                            <wps:cNvSpPr txBox="1"/>
                            <wps:spPr>
                              <a:xfrm>
                                <a:off x="0" y="0"/>
                                <a:ext cx="74231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水压试验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5.2pt;margin-top:15pt;height:21.9pt;width:58.45pt;z-index:-818967552;mso-width-relative:page;mso-height-relative:page;" fillcolor="#FFFFFF [3201]" filled="t" stroked="t" coordsize="21600,21600" o:gfxdata="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BkWIKz1QAA&#10;AAkBAAAPAAAAAAAAAAEAIAAAACIAAABkcnMvZG93bnJldi54bWxQSwECFAAUAAAACACHTuJAczCK&#10;jloCAAC4BAAADgAAAAAAAAABACAAAAAkAQAAZHJzL2Uyb0RvYy54bWxQSwUGAAAAAAYABgBZAQAA&#10;8AU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水压试验</w:t>
                            </w:r>
                          </w:p>
                        </w:txbxContent>
                      </v:textbox>
                    </v:shape>
                  </w:pict>
                </mc:Fallback>
              </mc:AlternateContent>
            </w:r>
            <w:r>
              <w:rPr>
                <w:sz w:val="24"/>
              </w:rPr>
              <mc:AlternateContent>
                <mc:Choice Requires="wps">
                  <w:drawing>
                    <wp:anchor distT="0" distB="0" distL="114300" distR="114300" simplePos="0" relativeHeight="2220702720" behindDoc="0" locked="0" layoutInCell="1" allowOverlap="1">
                      <wp:simplePos x="0" y="0"/>
                      <wp:positionH relativeFrom="column">
                        <wp:posOffset>44450</wp:posOffset>
                      </wp:positionH>
                      <wp:positionV relativeFrom="paragraph">
                        <wp:posOffset>222885</wp:posOffset>
                      </wp:positionV>
                      <wp:extent cx="742315" cy="278130"/>
                      <wp:effectExtent l="4445" t="4445" r="15240" b="22225"/>
                      <wp:wrapNone/>
                      <wp:docPr id="5" name="文本框 5"/>
                      <wp:cNvGraphicFramePr/>
                      <a:graphic xmlns:a="http://schemas.openxmlformats.org/drawingml/2006/main">
                        <a:graphicData uri="http://schemas.microsoft.com/office/word/2010/wordprocessingShape">
                          <wps:wsp>
                            <wps:cNvSpPr txBox="1"/>
                            <wps:spPr>
                              <a:xfrm>
                                <a:off x="944245" y="3140075"/>
                                <a:ext cx="74231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路面拆除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5pt;margin-top:17.55pt;height:21.9pt;width:58.45pt;z-index:-2074264576;mso-width-relative:page;mso-height-relative:page;" fillcolor="#FFFFFF [3201]" filled="t" stroked="t" coordsize="21600,21600" o:gfxdata="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EdAocjVAAAABwEAAA8AAAAAAAAAAQAgAAAAIgAAAGRycy9kb3ducmV2LnhtbFBLAQIUABQA&#10;AAAIAIdO4kDd4WblZQIAAMEEAAAOAAAAAAAAAAEAIAAAACQBAABkcnMvZTJvRG9jLnhtbFBLBQYA&#10;AAAABgAGAFkBAAD7BQ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路面拆除</w:t>
                            </w:r>
                          </w:p>
                        </w:txbxContent>
                      </v:textbox>
                    </v:shape>
                  </w:pict>
                </mc:Fallback>
              </mc:AlternateContent>
            </w:r>
            <w:r>
              <w:rPr>
                <w:sz w:val="24"/>
              </w:rPr>
              <mc:AlternateContent>
                <mc:Choice Requires="wps">
                  <w:drawing>
                    <wp:anchor distT="0" distB="0" distL="114300" distR="114300" simplePos="0" relativeHeight="1506953216" behindDoc="0" locked="0" layoutInCell="1" allowOverlap="1">
                      <wp:simplePos x="0" y="0"/>
                      <wp:positionH relativeFrom="column">
                        <wp:posOffset>3577590</wp:posOffset>
                      </wp:positionH>
                      <wp:positionV relativeFrom="paragraph">
                        <wp:posOffset>198755</wp:posOffset>
                      </wp:positionV>
                      <wp:extent cx="868045" cy="278130"/>
                      <wp:effectExtent l="4445" t="4445" r="22860" b="22225"/>
                      <wp:wrapNone/>
                      <wp:docPr id="28" name="文本框 28"/>
                      <wp:cNvGraphicFramePr/>
                      <a:graphic xmlns:a="http://schemas.openxmlformats.org/drawingml/2006/main">
                        <a:graphicData uri="http://schemas.microsoft.com/office/word/2010/wordprocessingShape">
                          <wps:wsp>
                            <wps:cNvSpPr txBox="1"/>
                            <wps:spPr>
                              <a:xfrm>
                                <a:off x="0" y="0"/>
                                <a:ext cx="86804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检查井施工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81.7pt;margin-top:15.65pt;height:21.9pt;width:68.35pt;z-index:1506953216;mso-width-relative:page;mso-height-relative:page;" fillcolor="#FFFFFF [3201]" filled="t" stroked="t" coordsize="21600,21600" o:gfxdata="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Atwm2XW&#10;AAAACQEAAA8AAAAAAAAAAQAgAAAAIgAAAGRycy9kb3ducmV2LnhtbFBLAQIUABQAAAAIAIdO4kB2&#10;8PEIWwIAALgEAAAOAAAAAAAAAAEAIAAAACUBAABkcnMvZTJvRG9jLnhtbFBLBQYAAAAABgAGAFkB&#10;AADyBQ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检查井施工</w:t>
                            </w:r>
                          </w:p>
                        </w:txbxContent>
                      </v:textbox>
                    </v:shape>
                  </w:pict>
                </mc:Fallback>
              </mc:AlternateContent>
            </w:r>
            <w:r>
              <w:rPr>
                <w:sz w:val="24"/>
              </w:rPr>
              <mc:AlternateContent>
                <mc:Choice Requires="wps">
                  <w:drawing>
                    <wp:anchor distT="0" distB="0" distL="114300" distR="114300" simplePos="0" relativeHeight="3832873984" behindDoc="0" locked="0" layoutInCell="1" allowOverlap="1">
                      <wp:simplePos x="0" y="0"/>
                      <wp:positionH relativeFrom="column">
                        <wp:posOffset>2389505</wp:posOffset>
                      </wp:positionH>
                      <wp:positionV relativeFrom="paragraph">
                        <wp:posOffset>207010</wp:posOffset>
                      </wp:positionV>
                      <wp:extent cx="742315" cy="278130"/>
                      <wp:effectExtent l="4445" t="4445" r="15240" b="22225"/>
                      <wp:wrapNone/>
                      <wp:docPr id="26" name="文本框 26"/>
                      <wp:cNvGraphicFramePr/>
                      <a:graphic xmlns:a="http://schemas.openxmlformats.org/drawingml/2006/main">
                        <a:graphicData uri="http://schemas.microsoft.com/office/word/2010/wordprocessingShape">
                          <wps:wsp>
                            <wps:cNvSpPr txBox="1"/>
                            <wps:spPr>
                              <a:xfrm>
                                <a:off x="0" y="0"/>
                                <a:ext cx="74231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管道安装</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16.3pt;height:21.9pt;width:58.45pt;z-index:-462093312;mso-width-relative:page;mso-height-relative:page;" fillcolor="#FFFFFF [3201]" filled="t" stroked="t" coordsize="21600,21600" o:gfxdata="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nOJ+&#10;1gAAAAkBAAAPAAAAAAAAAAEAIAAAACIAAABkcnMvZG93bnJldi54bWxQSwECFAAUAAAACACHTuJA&#10;y4jcTFwCAAC4BAAADgAAAAAAAAABACAAAAAlAQAAZHJzL2Uyb0RvYy54bWxQSwUGAAAAAAYABgBZ&#10;AQAA8wU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管道安装</w:t>
                            </w:r>
                          </w:p>
                        </w:txbxContent>
                      </v:textbox>
                    </v:shape>
                  </w:pict>
                </mc:Fallback>
              </mc:AlternateContent>
            </w:r>
            <w:r>
              <w:rPr>
                <w:sz w:val="24"/>
              </w:rPr>
              <mc:AlternateContent>
                <mc:Choice Requires="wps">
                  <w:drawing>
                    <wp:anchor distT="0" distB="0" distL="114300" distR="114300" simplePos="0" relativeHeight="4189749248" behindDoc="0" locked="0" layoutInCell="1" allowOverlap="1">
                      <wp:simplePos x="0" y="0"/>
                      <wp:positionH relativeFrom="column">
                        <wp:posOffset>1216660</wp:posOffset>
                      </wp:positionH>
                      <wp:positionV relativeFrom="paragraph">
                        <wp:posOffset>223520</wp:posOffset>
                      </wp:positionV>
                      <wp:extent cx="742315" cy="278130"/>
                      <wp:effectExtent l="4445" t="4445" r="15240" b="22225"/>
                      <wp:wrapNone/>
                      <wp:docPr id="25" name="文本框 25"/>
                      <wp:cNvGraphicFramePr/>
                      <a:graphic xmlns:a="http://schemas.openxmlformats.org/drawingml/2006/main">
                        <a:graphicData uri="http://schemas.microsoft.com/office/word/2010/wordprocessingShape">
                          <wps:wsp>
                            <wps:cNvSpPr txBox="1"/>
                            <wps:spPr>
                              <a:xfrm>
                                <a:off x="0" y="0"/>
                                <a:ext cx="74231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管沟开挖</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5.8pt;margin-top:17.6pt;height:21.9pt;width:58.45pt;z-index:-105218048;mso-width-relative:page;mso-height-relative:page;" fillcolor="#FFFFFF [3201]" filled="t" stroked="t" coordsize="21600,21600" o:gfxdata="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HVZOl3W&#10;AAAACQEAAA8AAAAAAAAAAQAgAAAAIgAAAGRycy9kb3ducmV2LnhtbFBLAQIUABQAAAAIAIdO4kBG&#10;P+pOWwIAALgEAAAOAAAAAAAAAAEAIAAAACUBAABkcnMvZTJvRG9jLnhtbFBLBQYAAAAABgAGAFkB&#10;AADyBQ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管沟开挖</w:t>
                            </w:r>
                          </w:p>
                        </w:txbxContent>
                      </v:textbox>
                    </v:shape>
                  </w:pict>
                </mc:Fallback>
              </mc:AlternateContent>
            </w:r>
            <w:r>
              <w:rPr>
                <w:rFonts w:hint="eastAsia" w:ascii="Times New Roman" w:hAnsi="Times New Roman" w:cs="Times New Roman"/>
                <w:sz w:val="24"/>
                <w:szCs w:val="24"/>
                <w:lang w:val="en-US" w:eastAsia="zh-CN"/>
              </w:rPr>
              <w:t xml:space="preserve">  G.S.N           G.N.S          G.N.S            G.N.S            W   </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default" w:ascii="Times New Roman" w:hAnsi="Times New Roman" w:cs="Times New Roman"/>
                <w:sz w:val="24"/>
                <w:szCs w:val="24"/>
              </w:rPr>
            </w:pPr>
            <w:r>
              <w:rPr>
                <w:sz w:val="24"/>
              </w:rPr>
              <mc:AlternateContent>
                <mc:Choice Requires="wps">
                  <w:drawing>
                    <wp:anchor distT="0" distB="0" distL="114300" distR="114300" simplePos="0" relativeHeight="1506955264" behindDoc="0" locked="0" layoutInCell="1" allowOverlap="1">
                      <wp:simplePos x="0" y="0"/>
                      <wp:positionH relativeFrom="column">
                        <wp:posOffset>5262245</wp:posOffset>
                      </wp:positionH>
                      <wp:positionV relativeFrom="paragraph">
                        <wp:posOffset>171450</wp:posOffset>
                      </wp:positionV>
                      <wp:extent cx="1270" cy="293370"/>
                      <wp:effectExtent l="37465" t="0" r="37465" b="11430"/>
                      <wp:wrapNone/>
                      <wp:docPr id="33" name="直接箭头连接符 33"/>
                      <wp:cNvGraphicFramePr/>
                      <a:graphic xmlns:a="http://schemas.openxmlformats.org/drawingml/2006/main">
                        <a:graphicData uri="http://schemas.microsoft.com/office/word/2010/wordprocessingShape">
                          <wps:wsp>
                            <wps:cNvCnPr>
                              <a:stCxn id="31" idx="2"/>
                            </wps:cNvCnPr>
                            <wps:spPr>
                              <a:xfrm flipH="1">
                                <a:off x="6162040" y="3377565"/>
                                <a:ext cx="1270" cy="293370"/>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414.35pt;margin-top:13.5pt;height:23.1pt;width:0.1pt;z-index:1506955264;mso-width-relative:page;mso-height-relative:page;" filled="f" stroked="t" coordsize="21600,21600" o:gfxdata="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JtYLL2AAAAAkBAAAPAAAAAAAAAAEAIAAAACIAAABk&#10;cnMvZG93bnJldi54bWxQSwECFAAUAAAACACHTuJAnyKzEj8CAABMBAAADgAAAAAAAAABACAAAAAn&#10;AQAAZHJzL2Uyb0RvYy54bWxQSwUGAAAAAAYABgBZAQAA2AUAAAAA&#10;">
                      <v:fill on="f" focussize="0,0"/>
                      <v:stroke weight="0.5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1506954240" behindDoc="0" locked="0" layoutInCell="1" allowOverlap="1">
                      <wp:simplePos x="0" y="0"/>
                      <wp:positionH relativeFrom="column">
                        <wp:posOffset>4462145</wp:posOffset>
                      </wp:positionH>
                      <wp:positionV relativeFrom="paragraph">
                        <wp:posOffset>35560</wp:posOffset>
                      </wp:positionV>
                      <wp:extent cx="429260" cy="4445"/>
                      <wp:effectExtent l="0" t="37465" r="8890" b="34290"/>
                      <wp:wrapNone/>
                      <wp:docPr id="32" name="直接箭头连接符 32"/>
                      <wp:cNvGraphicFramePr/>
                      <a:graphic xmlns:a="http://schemas.openxmlformats.org/drawingml/2006/main">
                        <a:graphicData uri="http://schemas.microsoft.com/office/word/2010/wordprocessingShape">
                          <wps:wsp>
                            <wps:cNvCnPr/>
                            <wps:spPr>
                              <a:xfrm flipV="1">
                                <a:off x="0" y="0"/>
                                <a:ext cx="429260" cy="444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51.35pt;margin-top:2.8pt;height:0.35pt;width:33.8pt;z-index:1506954240;mso-width-relative:page;mso-height-relative:page;" filled="f" stroked="t" coordsize="21600,21600" o:gfxdata="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IPbPQ&#10;1gAAAAcBAAAPAAAAAAAAAAEAIAAAACIAAABkcnMvZG93bnJldi54bWxQSwECFAAUAAAACACHTuJA&#10;WuqdFyMCAAAZBAAADgAAAAAAAAABACAAAAAlAQAAZHJzL2Uyb0RvYy54bWxQSwUGAAAAAAYABgBZ&#10;AQAAugUAAAAA&#10;">
                      <v:fill on="f" focussize="0,0"/>
                      <v:stroke weight="0.5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3832875008" behindDoc="0" locked="0" layoutInCell="1" allowOverlap="1">
                      <wp:simplePos x="0" y="0"/>
                      <wp:positionH relativeFrom="column">
                        <wp:posOffset>3147695</wp:posOffset>
                      </wp:positionH>
                      <wp:positionV relativeFrom="paragraph">
                        <wp:posOffset>43815</wp:posOffset>
                      </wp:positionV>
                      <wp:extent cx="429260" cy="4445"/>
                      <wp:effectExtent l="0" t="37465" r="8890" b="34290"/>
                      <wp:wrapNone/>
                      <wp:docPr id="30" name="直接箭头连接符 30"/>
                      <wp:cNvGraphicFramePr/>
                      <a:graphic xmlns:a="http://schemas.openxmlformats.org/drawingml/2006/main">
                        <a:graphicData uri="http://schemas.microsoft.com/office/word/2010/wordprocessingShape">
                          <wps:wsp>
                            <wps:cNvCnPr/>
                            <wps:spPr>
                              <a:xfrm flipV="1">
                                <a:off x="0" y="0"/>
                                <a:ext cx="429260" cy="444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47.85pt;margin-top:3.45pt;height:0.35pt;width:33.8pt;z-index:-462092288;mso-width-relative:page;mso-height-relative:page;" filled="f" stroked="t" coordsize="21600,21600" o:gfxdata="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pBtF&#10;w9cAAAAHAQAADwAAAAAAAAABACAAAAAiAAAAZHJzL2Rvd25yZXYueG1sUEsBAhQAFAAAAAgAh07i&#10;QFeI2YsjAgAAGQQAAA4AAAAAAAAAAQAgAAAAJgEAAGRycy9lMm9Eb2MueG1sUEsFBgAAAAAGAAYA&#10;WQEAALsFAAAAAA==&#10;">
                      <v:fill on="f" focussize="0,0"/>
                      <v:stroke weight="0.5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1863828480" behindDoc="0" locked="0" layoutInCell="1" allowOverlap="1">
                      <wp:simplePos x="0" y="0"/>
                      <wp:positionH relativeFrom="column">
                        <wp:posOffset>1959610</wp:posOffset>
                      </wp:positionH>
                      <wp:positionV relativeFrom="paragraph">
                        <wp:posOffset>52070</wp:posOffset>
                      </wp:positionV>
                      <wp:extent cx="429260" cy="4445"/>
                      <wp:effectExtent l="0" t="37465" r="8890" b="34290"/>
                      <wp:wrapNone/>
                      <wp:docPr id="27" name="直接箭头连接符 27"/>
                      <wp:cNvGraphicFramePr/>
                      <a:graphic xmlns:a="http://schemas.openxmlformats.org/drawingml/2006/main">
                        <a:graphicData uri="http://schemas.microsoft.com/office/word/2010/wordprocessingShape">
                          <wps:wsp>
                            <wps:cNvCnPr/>
                            <wps:spPr>
                              <a:xfrm flipV="1">
                                <a:off x="0" y="0"/>
                                <a:ext cx="429260" cy="444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154.3pt;margin-top:4.1pt;height:0.35pt;width:33.8pt;z-index:1863828480;mso-width-relative:page;mso-height-relative:page;" filled="f" stroked="t" coordsize="21600,21600" o:gfxdata="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k5bd0&#10;1gAAAAcBAAAPAAAAAAAAAAEAIAAAACIAAABkcnMvZG93bnJldi54bWxQSwECFAAUAAAACACHTuJA&#10;aIVQhSMCAAAZBAAADgAAAAAAAAABACAAAAAlAQAAZHJzL2Uyb0RvYy54bWxQSwUGAAAAAAYABgBZ&#10;AQAAugUAAAAA&#10;">
                      <v:fill on="f" focussize="0,0"/>
                      <v:stroke weight="0.5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2220703744" behindDoc="0" locked="0" layoutInCell="1" allowOverlap="1">
                      <wp:simplePos x="0" y="0"/>
                      <wp:positionH relativeFrom="column">
                        <wp:posOffset>786765</wp:posOffset>
                      </wp:positionH>
                      <wp:positionV relativeFrom="paragraph">
                        <wp:posOffset>60325</wp:posOffset>
                      </wp:positionV>
                      <wp:extent cx="429260" cy="4445"/>
                      <wp:effectExtent l="0" t="37465" r="8890" b="34290"/>
                      <wp:wrapNone/>
                      <wp:docPr id="24" name="直接箭头连接符 24"/>
                      <wp:cNvGraphicFramePr/>
                      <a:graphic xmlns:a="http://schemas.openxmlformats.org/drawingml/2006/main">
                        <a:graphicData uri="http://schemas.microsoft.com/office/word/2010/wordprocessingShape">
                          <wps:wsp>
                            <wps:cNvCnPr>
                              <a:stCxn id="5" idx="3"/>
                            </wps:cNvCnPr>
                            <wps:spPr>
                              <a:xfrm flipV="1">
                                <a:off x="1686560" y="3274695"/>
                                <a:ext cx="429260" cy="444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1.95pt;margin-top:4.75pt;height:0.35pt;width:33.8pt;z-index:-2074263552;mso-width-relative:page;mso-height-relative:page;" filled="f" stroked="t" coordsize="21600,21600" o:gfxdata="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wRLTl1gAAAAgBAAAPAAAAAAAAAAEAIAAAACIAAABk&#10;cnMvZG93bnJldi54bWxQSwECFAAUAAAACACHTuJACj9AMEECAABLBAAADgAAAAAAAAABACAAAAAl&#10;AQAAZHJzL2Uyb0RvYy54bWxQSwUGAAAAAAYABgBZAQAA2AUAAAAA&#10;">
                      <v:fill on="f" focussize="0,0"/>
                      <v:stroke weight="0.5pt" color="#000000 [3213]" miterlimit="8" joinstyle="miter" endarrow="block"/>
                      <v:imagedata o:title=""/>
                      <o:lock v:ext="edit" aspectratio="f"/>
                    </v:shape>
                  </w:pict>
                </mc:Fallback>
              </mc:AlternateConten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default" w:ascii="Times New Roman" w:hAnsi="Times New Roman" w:cs="Times New Roman"/>
                <w:sz w:val="24"/>
                <w:szCs w:val="24"/>
                <w:lang w:val="en-US"/>
              </w:rPr>
            </w:pPr>
            <w:r>
              <w:rPr>
                <w:sz w:val="24"/>
              </w:rPr>
              <mc:AlternateContent>
                <mc:Choice Requires="wps">
                  <w:drawing>
                    <wp:anchor distT="0" distB="0" distL="114300" distR="114300" simplePos="0" relativeHeight="793205760" behindDoc="0" locked="0" layoutInCell="1" allowOverlap="1">
                      <wp:simplePos x="0" y="0"/>
                      <wp:positionH relativeFrom="column">
                        <wp:posOffset>3359785</wp:posOffset>
                      </wp:positionH>
                      <wp:positionV relativeFrom="paragraph">
                        <wp:posOffset>231140</wp:posOffset>
                      </wp:positionV>
                      <wp:extent cx="742315" cy="278130"/>
                      <wp:effectExtent l="4445" t="4445" r="15240" b="22225"/>
                      <wp:wrapNone/>
                      <wp:docPr id="36" name="文本框 36"/>
                      <wp:cNvGraphicFramePr/>
                      <a:graphic xmlns:a="http://schemas.openxmlformats.org/drawingml/2006/main">
                        <a:graphicData uri="http://schemas.microsoft.com/office/word/2010/wordprocessingShape">
                          <wps:wsp>
                            <wps:cNvSpPr txBox="1"/>
                            <wps:spPr>
                              <a:xfrm>
                                <a:off x="0" y="0"/>
                                <a:ext cx="742315"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路面恢复</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4.55pt;margin-top:18.2pt;height:21.9pt;width:58.45pt;z-index:793205760;mso-width-relative:page;mso-height-relative:page;" fillcolor="#FFFFFF [3201]" filled="t" stroked="t" coordsize="21600,21600" o:gfxdata="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BqwYrv&#10;1gAAAAkBAAAPAAAAAAAAAAEAIAAAACIAAABkcnMvZG93bnJldi54bWxQSwECFAAUAAAACACHTuJA&#10;LTDaPVwCAAC4BAAADgAAAAAAAAABACAAAAAlAQAAZHJzL2Uyb0RvYy54bWxQSwUGAAAAAAYABgBZ&#10;AQAA8wU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路面恢复</w:t>
                            </w:r>
                          </w:p>
                        </w:txbxContent>
                      </v:textbox>
                    </v:shape>
                  </w:pict>
                </mc:Fallback>
              </mc:AlternateContent>
            </w:r>
            <w:r>
              <w:rPr>
                <w:sz w:val="24"/>
              </w:rPr>
              <mc:AlternateContent>
                <mc:Choice Requires="wps">
                  <w:drawing>
                    <wp:anchor distT="0" distB="0" distL="114300" distR="114300" simplePos="0" relativeHeight="436330496" behindDoc="0" locked="0" layoutInCell="1" allowOverlap="1">
                      <wp:simplePos x="0" y="0"/>
                      <wp:positionH relativeFrom="column">
                        <wp:posOffset>4573270</wp:posOffset>
                      </wp:positionH>
                      <wp:positionV relativeFrom="paragraph">
                        <wp:posOffset>240665</wp:posOffset>
                      </wp:positionV>
                      <wp:extent cx="1096010" cy="278130"/>
                      <wp:effectExtent l="4445" t="5080" r="23495" b="21590"/>
                      <wp:wrapNone/>
                      <wp:docPr id="34" name="文本框 34"/>
                      <wp:cNvGraphicFramePr/>
                      <a:graphic xmlns:a="http://schemas.openxmlformats.org/drawingml/2006/main">
                        <a:graphicData uri="http://schemas.microsoft.com/office/word/2010/wordprocessingShape">
                          <wps:wsp>
                            <wps:cNvSpPr txBox="1"/>
                            <wps:spPr>
                              <a:xfrm>
                                <a:off x="0" y="0"/>
                                <a:ext cx="1096010" cy="27813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管顶、沟槽回填</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0.1pt;margin-top:18.95pt;height:21.9pt;width:86.3pt;z-index:436330496;mso-width-relative:page;mso-height-relative:page;" fillcolor="#FFFFFF [3201]" filled="t" stroked="t" coordsize="21600,21600" o:gfxdata="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unI5FdYA&#10;AAAJAQAADwAAAAAAAAABACAAAAAiAAAAZHJzL2Rvd25yZXYueG1sUEsBAhQAFAAAAAgAh07iQNiu&#10;v09aAgAAuQQAAA4AAAAAAAAAAQAgAAAAJQEAAGRycy9lMm9Eb2MueG1sUEsFBgAAAAAGAAYAWQEA&#10;APEFAAAAAA==&#10;">
                      <v:fill on="t" focussize="0,0"/>
                      <v:stroke weight="0.5pt" color="#000000 [3204]" joinstyle="round"/>
                      <v:imagedata o:title=""/>
                      <o:lock v:ext="edit" aspectratio="f"/>
                      <v:textbox>
                        <w:txbxContent>
                          <w:p>
                            <w:pPr>
                              <w:rPr>
                                <w:rFonts w:hint="eastAsia" w:eastAsia="宋体"/>
                                <w:lang w:eastAsia="zh-CN"/>
                              </w:rPr>
                            </w:pPr>
                            <w:r>
                              <w:rPr>
                                <w:rFonts w:hint="eastAsia"/>
                                <w:lang w:eastAsia="zh-CN"/>
                              </w:rPr>
                              <w:t>管顶、沟槽回填</w:t>
                            </w:r>
                          </w:p>
                        </w:txbxContent>
                      </v:textbox>
                    </v:shape>
                  </w:pict>
                </mc:Fallback>
              </mc:AlternateContent>
            </w:r>
            <w:r>
              <w:rPr>
                <w:rFonts w:hint="eastAsia" w:ascii="Times New Roman" w:hAnsi="Times New Roman" w:cs="Times New Roman"/>
                <w:sz w:val="24"/>
                <w:szCs w:val="24"/>
                <w:lang w:val="en-US" w:eastAsia="zh-CN"/>
              </w:rPr>
              <w:t xml:space="preserve">                                                          G.N.S </w:t>
            </w:r>
          </w:p>
          <w:p>
            <w:pPr>
              <w:pStyle w:val="35"/>
              <w:keepNext w:val="0"/>
              <w:keepLines w:val="0"/>
              <w:pageBreakBefore w:val="0"/>
              <w:widowControl w:val="0"/>
              <w:kinsoku/>
              <w:wordWrap/>
              <w:overflowPunct/>
              <w:topLinePunct w:val="0"/>
              <w:autoSpaceDE w:val="0"/>
              <w:autoSpaceDN w:val="0"/>
              <w:bidi w:val="0"/>
              <w:adjustRightInd/>
              <w:snapToGrid/>
              <w:spacing w:line="360" w:lineRule="auto"/>
              <w:ind w:firstLine="480" w:firstLineChars="200"/>
              <w:textAlignment w:val="auto"/>
              <w:rPr>
                <w:rFonts w:hint="default" w:ascii="Times New Roman" w:hAnsi="Times New Roman" w:cs="Times New Roman"/>
                <w:sz w:val="24"/>
                <w:szCs w:val="24"/>
              </w:rPr>
            </w:pPr>
            <w:r>
              <w:rPr>
                <w:sz w:val="24"/>
              </w:rPr>
              <mc:AlternateContent>
                <mc:Choice Requires="wps">
                  <w:drawing>
                    <wp:anchor distT="0" distB="0" distL="114300" distR="114300" simplePos="0" relativeHeight="1506956288" behindDoc="0" locked="0" layoutInCell="1" allowOverlap="1">
                      <wp:simplePos x="0" y="0"/>
                      <wp:positionH relativeFrom="column">
                        <wp:posOffset>4107180</wp:posOffset>
                      </wp:positionH>
                      <wp:positionV relativeFrom="paragraph">
                        <wp:posOffset>82550</wp:posOffset>
                      </wp:positionV>
                      <wp:extent cx="466090" cy="1905"/>
                      <wp:effectExtent l="0" t="36195" r="10160" b="38100"/>
                      <wp:wrapNone/>
                      <wp:docPr id="35" name="直接箭头连接符 35"/>
                      <wp:cNvGraphicFramePr/>
                      <a:graphic xmlns:a="http://schemas.openxmlformats.org/drawingml/2006/main">
                        <a:graphicData uri="http://schemas.microsoft.com/office/word/2010/wordprocessingShape">
                          <wps:wsp>
                            <wps:cNvCnPr>
                              <a:stCxn id="34" idx="1"/>
                            </wps:cNvCnPr>
                            <wps:spPr>
                              <a:xfrm flipH="1">
                                <a:off x="5006975" y="3820795"/>
                                <a:ext cx="466090" cy="1905"/>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323.4pt;margin-top:6.5pt;height:0.15pt;width:36.7pt;z-index:1506956288;mso-width-relative:page;mso-height-relative:page;" filled="f" stroked="t" coordsize="21600,21600" o:gfxdata="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Ps3Go3YAAAACQEAAA8AAAAAAAAAAQAgAAAA&#10;IgAAAGRycy9kb3ducmV2LnhtbFBLAQIUABQAAAAIAIdO4kD7jFTTRAIAAF4EAAAOAAAAAAAAAAEA&#10;IAAAACcBAABkcnMvZTJvRG9jLnhtbFBLBQYAAAAABgAGAFkBAADdBQAAAAA=&#10;">
                      <v:fill on="f" focussize="0,0"/>
                      <v:stroke weight="0.5pt" color="#000000 [3213]" miterlimit="8" joinstyle="miter" endarrow="block"/>
                      <v:imagedata o:title=""/>
                      <o:lock v:ext="edit" aspectratio="f"/>
                    </v:shape>
                  </w:pict>
                </mc:Fallback>
              </mc:AlternateContent>
            </w:r>
          </w:p>
          <w:p>
            <w:pPr>
              <w:pStyle w:val="8"/>
              <w:keepNext w:val="0"/>
              <w:keepLines w:val="0"/>
              <w:pageBreakBefore w:val="0"/>
              <w:widowControl w:val="0"/>
              <w:kinsoku/>
              <w:wordWrap/>
              <w:overflowPunct w:val="0"/>
              <w:topLinePunct w:val="0"/>
              <w:autoSpaceDE w:val="0"/>
              <w:autoSpaceDN w:val="0"/>
              <w:bidi w:val="0"/>
              <w:adjustRightInd/>
              <w:snapToGrid/>
              <w:ind w:firstLine="0" w:firstLineChars="0"/>
              <w:jc w:val="center"/>
              <w:textAlignment w:val="auto"/>
              <w:outlineLvl w:val="9"/>
              <w:rPr>
                <w:rFonts w:hint="eastAsia" w:cs="Times New Roman"/>
                <w:b/>
                <w:color w:val="auto"/>
                <w:sz w:val="24"/>
                <w:szCs w:val="24"/>
                <w:lang w:eastAsia="zh-CN"/>
              </w:rPr>
            </w:pPr>
            <w:r>
              <w:rPr>
                <w:rFonts w:hint="default" w:ascii="Times New Roman" w:hAnsi="Times New Roman" w:cs="Times New Roman"/>
                <w:b/>
                <w:color w:val="auto"/>
                <w:sz w:val="24"/>
                <w:szCs w:val="24"/>
              </w:rPr>
              <w:t>图</w:t>
            </w:r>
            <w:r>
              <w:rPr>
                <w:rFonts w:hint="eastAsia" w:ascii="Times New Roman" w:hAnsi="Times New Roman" w:cs="Times New Roman"/>
                <w:b/>
                <w:color w:val="auto"/>
                <w:sz w:val="24"/>
                <w:szCs w:val="24"/>
                <w:lang w:val="en-US" w:eastAsia="zh-CN"/>
              </w:rPr>
              <w:t>5.1</w:t>
            </w:r>
            <w:r>
              <w:rPr>
                <w:rFonts w:hint="default" w:ascii="Times New Roman" w:hAnsi="Times New Roman" w:cs="Times New Roman"/>
                <w:b/>
                <w:color w:val="auto"/>
                <w:sz w:val="24"/>
                <w:szCs w:val="24"/>
              </w:rPr>
              <w:t>-</w:t>
            </w:r>
            <w:r>
              <w:rPr>
                <w:rFonts w:hint="eastAsia" w:cs="Times New Roman"/>
                <w:b/>
                <w:color w:val="auto"/>
                <w:sz w:val="24"/>
                <w:szCs w:val="24"/>
                <w:lang w:val="en-US" w:eastAsia="zh-CN"/>
              </w:rPr>
              <w:t>1</w:t>
            </w:r>
            <w:r>
              <w:rPr>
                <w:rFonts w:hint="default" w:ascii="Times New Roman" w:hAnsi="Times New Roman" w:cs="Times New Roman"/>
                <w:b/>
                <w:color w:val="auto"/>
                <w:sz w:val="24"/>
                <w:szCs w:val="24"/>
                <w:lang w:eastAsia="zh-CN"/>
              </w:rPr>
              <w:t xml:space="preserve">  </w:t>
            </w:r>
            <w:r>
              <w:rPr>
                <w:rFonts w:hint="default" w:ascii="Times New Roman" w:hAnsi="Times New Roman" w:cs="Times New Roman"/>
                <w:b/>
                <w:color w:val="auto"/>
                <w:sz w:val="24"/>
                <w:szCs w:val="24"/>
              </w:rPr>
              <w:t>项目</w:t>
            </w:r>
            <w:r>
              <w:rPr>
                <w:rFonts w:hint="eastAsia" w:cs="Times New Roman"/>
                <w:b/>
                <w:color w:val="auto"/>
                <w:sz w:val="24"/>
                <w:szCs w:val="24"/>
                <w:lang w:val="en-US" w:eastAsia="zh-CN"/>
              </w:rPr>
              <w:t>管道建设</w:t>
            </w:r>
            <w:r>
              <w:rPr>
                <w:rFonts w:hint="default" w:ascii="Times New Roman" w:hAnsi="Times New Roman" w:cs="Times New Roman"/>
                <w:b/>
                <w:color w:val="auto"/>
                <w:sz w:val="24"/>
                <w:szCs w:val="24"/>
              </w:rPr>
              <w:t>施工期工艺流程图</w:t>
            </w:r>
            <w:r>
              <w:rPr>
                <w:rFonts w:hint="eastAsia" w:cs="Times New Roman"/>
                <w:b/>
                <w:color w:val="auto"/>
                <w:sz w:val="24"/>
                <w:szCs w:val="24"/>
                <w:lang w:eastAsia="zh-CN"/>
              </w:rPr>
              <w:t>及排污节点图</w:t>
            </w:r>
          </w:p>
          <w:p>
            <w:pPr>
              <w:keepNext w:val="0"/>
              <w:keepLines w:val="0"/>
              <w:widowControl/>
              <w:suppressLineNumbers w:val="0"/>
              <w:jc w:val="left"/>
            </w:pPr>
            <w:r>
              <w:rPr>
                <w:rFonts w:hint="eastAsia" w:ascii="宋体" w:hAnsi="宋体" w:eastAsia="宋体" w:cs="宋体"/>
                <w:color w:val="000000"/>
                <w:kern w:val="0"/>
                <w:sz w:val="20"/>
                <w:szCs w:val="20"/>
                <w:lang w:val="en-US" w:eastAsia="zh-CN" w:bidi="ar"/>
              </w:rPr>
              <w:t xml:space="preserve">注：图中 </w:t>
            </w:r>
            <w:r>
              <w:rPr>
                <w:rFonts w:hint="default" w:ascii="Times New Roman" w:hAnsi="Times New Roman" w:eastAsia="宋体" w:cs="Times New Roman"/>
                <w:color w:val="000000"/>
                <w:kern w:val="0"/>
                <w:sz w:val="20"/>
                <w:szCs w:val="20"/>
                <w:lang w:val="en-US" w:eastAsia="zh-CN" w:bidi="ar"/>
              </w:rPr>
              <w:t xml:space="preserve">W </w:t>
            </w:r>
            <w:r>
              <w:rPr>
                <w:rFonts w:hint="eastAsia" w:ascii="宋体" w:hAnsi="宋体" w:eastAsia="宋体" w:cs="宋体"/>
                <w:color w:val="000000"/>
                <w:kern w:val="0"/>
                <w:sz w:val="20"/>
                <w:szCs w:val="20"/>
                <w:lang w:val="en-US" w:eastAsia="zh-CN" w:bidi="ar"/>
              </w:rPr>
              <w:t>代表水污染源，</w:t>
            </w:r>
            <w:r>
              <w:rPr>
                <w:rFonts w:hint="default" w:ascii="Times New Roman" w:hAnsi="Times New Roman" w:eastAsia="宋体" w:cs="Times New Roman"/>
                <w:color w:val="000000"/>
                <w:kern w:val="0"/>
                <w:sz w:val="20"/>
                <w:szCs w:val="20"/>
                <w:lang w:val="en-US" w:eastAsia="zh-CN" w:bidi="ar"/>
              </w:rPr>
              <w:t xml:space="preserve">G </w:t>
            </w:r>
            <w:r>
              <w:rPr>
                <w:rFonts w:hint="eastAsia" w:ascii="宋体" w:hAnsi="宋体" w:eastAsia="宋体" w:cs="宋体"/>
                <w:color w:val="000000"/>
                <w:kern w:val="0"/>
                <w:sz w:val="20"/>
                <w:szCs w:val="20"/>
                <w:lang w:val="en-US" w:eastAsia="zh-CN" w:bidi="ar"/>
              </w:rPr>
              <w:t>代表气污染源，</w:t>
            </w:r>
            <w:r>
              <w:rPr>
                <w:rFonts w:hint="default" w:ascii="Times New Roman" w:hAnsi="Times New Roman" w:eastAsia="宋体" w:cs="Times New Roman"/>
                <w:color w:val="000000"/>
                <w:kern w:val="0"/>
                <w:sz w:val="20"/>
                <w:szCs w:val="20"/>
                <w:lang w:val="en-US" w:eastAsia="zh-CN" w:bidi="ar"/>
              </w:rPr>
              <w:t xml:space="preserve">N </w:t>
            </w:r>
            <w:r>
              <w:rPr>
                <w:rFonts w:hint="eastAsia" w:ascii="宋体" w:hAnsi="宋体" w:eastAsia="宋体" w:cs="宋体"/>
                <w:color w:val="000000"/>
                <w:kern w:val="0"/>
                <w:sz w:val="20"/>
                <w:szCs w:val="20"/>
                <w:lang w:val="en-US" w:eastAsia="zh-CN" w:bidi="ar"/>
              </w:rPr>
              <w:t>代表噪声污染源，</w:t>
            </w:r>
            <w:r>
              <w:rPr>
                <w:rFonts w:hint="default" w:ascii="Times New Roman" w:hAnsi="Times New Roman" w:eastAsia="宋体" w:cs="Times New Roman"/>
                <w:color w:val="000000"/>
                <w:kern w:val="0"/>
                <w:sz w:val="20"/>
                <w:szCs w:val="20"/>
                <w:lang w:val="en-US" w:eastAsia="zh-CN" w:bidi="ar"/>
              </w:rPr>
              <w:t xml:space="preserve">S </w:t>
            </w:r>
            <w:r>
              <w:rPr>
                <w:rFonts w:hint="eastAsia" w:ascii="宋体" w:hAnsi="宋体" w:eastAsia="宋体" w:cs="宋体"/>
                <w:color w:val="000000"/>
                <w:kern w:val="0"/>
                <w:sz w:val="20"/>
                <w:szCs w:val="20"/>
                <w:lang w:val="en-US" w:eastAsia="zh-CN" w:bidi="ar"/>
              </w:rPr>
              <w:t>代表固体废物污染源</w:t>
            </w:r>
          </w:p>
          <w:p>
            <w:pPr>
              <w:pStyle w:val="35"/>
              <w:keepNext w:val="0"/>
              <w:keepLines w:val="0"/>
              <w:pageBreakBefore w:val="0"/>
              <w:widowControl w:val="0"/>
              <w:numPr>
                <w:ilvl w:val="0"/>
                <w:numId w:val="0"/>
              </w:numPr>
              <w:kinsoku/>
              <w:wordWrap/>
              <w:overflowPunct/>
              <w:topLinePunct w:val="0"/>
              <w:bidi w:val="0"/>
              <w:adjustRightInd/>
              <w:snapToGrid/>
              <w:spacing w:line="360" w:lineRule="auto"/>
              <w:ind w:firstLine="480"/>
              <w:textAlignment w:val="auto"/>
              <w:rPr>
                <w:rFonts w:hint="eastAsia" w:ascii="Times New Roman" w:hAnsi="Times New Roman" w:cs="Times New Roman"/>
                <w:kern w:val="2"/>
                <w:sz w:val="24"/>
                <w:szCs w:val="24"/>
                <w:lang w:val="en-US" w:eastAsia="zh-CN" w:bidi="ar-SA"/>
              </w:rPr>
            </w:pPr>
            <w:r>
              <w:rPr>
                <w:rFonts w:hint="eastAsia" w:ascii="Times New Roman" w:hAnsi="Times New Roman" w:cs="Times New Roman"/>
                <w:kern w:val="2"/>
                <w:sz w:val="24"/>
                <w:szCs w:val="24"/>
                <w:lang w:val="en-US" w:eastAsia="zh-CN" w:bidi="ar-SA"/>
              </w:rPr>
              <w:t xml:space="preserve">路面拆除、沟槽开挖：穿越段是混凝土路面或沥青路面时，破除原有路面，由道路切割机根据弹线位置进行路面切割，人行道和路缘石拆除均采用人工拆除，拆除的旧料用小推车集中堆放到指定地点，待回复面层时二次运回使用。拆除过程中会产生扬尘、弃土，挖掘机等施工机械会产生设备噪声，渣土车等运输车辆会产生交通噪声、汽车尾气等。 </w:t>
            </w:r>
          </w:p>
          <w:p>
            <w:pPr>
              <w:pStyle w:val="35"/>
              <w:keepNext w:val="0"/>
              <w:keepLines w:val="0"/>
              <w:pageBreakBefore w:val="0"/>
              <w:widowControl w:val="0"/>
              <w:numPr>
                <w:ilvl w:val="0"/>
                <w:numId w:val="0"/>
              </w:numPr>
              <w:kinsoku/>
              <w:wordWrap/>
              <w:overflowPunct/>
              <w:topLinePunct w:val="0"/>
              <w:bidi w:val="0"/>
              <w:adjustRightInd/>
              <w:snapToGrid/>
              <w:spacing w:line="360" w:lineRule="auto"/>
              <w:ind w:firstLine="480"/>
              <w:textAlignment w:val="auto"/>
              <w:rPr>
                <w:rFonts w:hint="eastAsia"/>
                <w:lang w:eastAsia="zh-CN"/>
              </w:rPr>
            </w:pPr>
            <w:r>
              <w:rPr>
                <w:rFonts w:hint="eastAsia" w:ascii="Times New Roman" w:hAnsi="Times New Roman" w:cs="Times New Roman"/>
                <w:kern w:val="2"/>
                <w:sz w:val="24"/>
                <w:szCs w:val="24"/>
                <w:lang w:val="en-US" w:eastAsia="zh-CN" w:bidi="ar-SA"/>
              </w:rPr>
              <w:t>管道安装：管基夯实平整，铺设垫层，管道运输到现场应放置在指定的空地上，</w:t>
            </w:r>
            <w:r>
              <w:rPr>
                <w:rFonts w:hint="default" w:ascii="Times New Roman" w:hAnsi="Times New Roman" w:eastAsia="宋体" w:cs="Times New Roman"/>
                <w:spacing w:val="0"/>
                <w:sz w:val="24"/>
                <w:szCs w:val="24"/>
                <w:lang w:val="en-US" w:eastAsia="zh-CN"/>
              </w:rPr>
              <w:t>采用 8~16t 吊车</w:t>
            </w:r>
            <w:r>
              <w:rPr>
                <w:rFonts w:hint="eastAsia" w:cs="Times New Roman"/>
                <w:spacing w:val="0"/>
                <w:sz w:val="24"/>
                <w:szCs w:val="24"/>
                <w:lang w:val="en-US" w:eastAsia="zh-CN"/>
              </w:rPr>
              <w:t>吊装、下管</w:t>
            </w:r>
            <w:r>
              <w:rPr>
                <w:rFonts w:hint="eastAsia" w:ascii="Times New Roman" w:hAnsi="Times New Roman" w:cs="Times New Roman"/>
                <w:kern w:val="2"/>
                <w:sz w:val="24"/>
                <w:szCs w:val="24"/>
                <w:lang w:val="en-US" w:eastAsia="zh-CN" w:bidi="ar-SA"/>
              </w:rPr>
              <w:t xml:space="preserve">，调整好接口间隙后进行管段对接。此过程汽车运输、铺设垫层产生扬尘，吊机等机械产生噪声，钢管焊接产生焊接烟气。 </w:t>
            </w:r>
          </w:p>
          <w:p>
            <w:pPr>
              <w:pStyle w:val="35"/>
              <w:keepNext w:val="0"/>
              <w:keepLines w:val="0"/>
              <w:pageBreakBefore w:val="0"/>
              <w:widowControl w:val="0"/>
              <w:numPr>
                <w:ilvl w:val="0"/>
                <w:numId w:val="0"/>
              </w:numPr>
              <w:kinsoku/>
              <w:wordWrap/>
              <w:overflowPunct/>
              <w:topLinePunct w:val="0"/>
              <w:bidi w:val="0"/>
              <w:adjustRightInd/>
              <w:snapToGrid/>
              <w:spacing w:line="360" w:lineRule="auto"/>
              <w:ind w:firstLine="480"/>
              <w:textAlignment w:val="auto"/>
              <w:rPr>
                <w:rFonts w:hint="default" w:ascii="Times New Roman" w:hAnsi="Times New Roman" w:cs="Times New Roman"/>
                <w:kern w:val="2"/>
                <w:sz w:val="24"/>
                <w:szCs w:val="24"/>
                <w:lang w:val="en-US" w:eastAsia="zh-CN" w:bidi="ar-SA"/>
              </w:rPr>
            </w:pPr>
            <w:bookmarkStart w:id="71" w:name="_Toc17248"/>
            <w:r>
              <w:rPr>
                <w:rFonts w:hint="default" w:ascii="Times New Roman" w:hAnsi="Times New Roman" w:cs="Times New Roman"/>
                <w:kern w:val="2"/>
                <w:sz w:val="24"/>
                <w:szCs w:val="24"/>
                <w:lang w:val="en-US" w:eastAsia="zh-CN" w:bidi="ar-SA"/>
              </w:rPr>
              <w:t>检查井施工：采用一顺一丁砌法。先抄平、弹线、定出墙身位置、门窗洞口位置，然后摆放尽可能少砍砖，不出现通缝。水泥砂浆要求采用符合设计详图要求的设计标号和易性，具有良好的保水性能。采</w:t>
            </w:r>
            <w:r>
              <w:rPr>
                <w:rFonts w:hint="default" w:ascii="Times New Roman" w:hAnsi="Times New Roman" w:cs="Times New Roman"/>
                <w:kern w:val="2"/>
                <w:sz w:val="24"/>
                <w:szCs w:val="24"/>
                <w:highlight w:val="none"/>
                <w:lang w:val="en-US" w:eastAsia="zh-CN" w:bidi="ar-SA"/>
              </w:rPr>
              <w:t>用人工现场拌制水泥砂浆。</w:t>
            </w:r>
            <w:r>
              <w:rPr>
                <w:rFonts w:hint="default" w:ascii="Times New Roman" w:hAnsi="Times New Roman" w:cs="Times New Roman"/>
                <w:kern w:val="2"/>
                <w:sz w:val="24"/>
                <w:szCs w:val="24"/>
                <w:lang w:val="en-US" w:eastAsia="zh-CN" w:bidi="ar-SA"/>
              </w:rPr>
              <w:t xml:space="preserve">混凝土由拌和机供应，手推汽胶轮车运输到工作面，用棒状振捣器振捣密实。此过程会产生扬尘、固废和噪声。 </w:t>
            </w:r>
          </w:p>
          <w:p>
            <w:pPr>
              <w:pStyle w:val="35"/>
              <w:keepNext w:val="0"/>
              <w:keepLines w:val="0"/>
              <w:pageBreakBefore w:val="0"/>
              <w:widowControl w:val="0"/>
              <w:numPr>
                <w:ilvl w:val="0"/>
                <w:numId w:val="0"/>
              </w:numPr>
              <w:kinsoku/>
              <w:wordWrap/>
              <w:overflowPunct/>
              <w:topLinePunct w:val="0"/>
              <w:bidi w:val="0"/>
              <w:adjustRightInd/>
              <w:snapToGrid/>
              <w:spacing w:line="360" w:lineRule="auto"/>
              <w:ind w:firstLine="480"/>
              <w:textAlignment w:val="auto"/>
              <w:rPr>
                <w:rFonts w:hint="default" w:ascii="Times New Roman" w:hAnsi="Times New Roman" w:cs="Times New Roman"/>
                <w:kern w:val="2"/>
                <w:sz w:val="24"/>
                <w:szCs w:val="24"/>
                <w:lang w:val="en-US" w:eastAsia="zh-CN" w:bidi="ar-SA"/>
              </w:rPr>
            </w:pPr>
            <w:r>
              <w:rPr>
                <w:rFonts w:hint="eastAsia" w:ascii="Times New Roman" w:hAnsi="Times New Roman" w:cs="Times New Roman"/>
                <w:kern w:val="2"/>
                <w:sz w:val="24"/>
                <w:szCs w:val="24"/>
                <w:lang w:val="en-US" w:eastAsia="zh-CN" w:bidi="ar-SA"/>
              </w:rPr>
              <w:t>管道闭水</w:t>
            </w:r>
            <w:r>
              <w:rPr>
                <w:rFonts w:hint="default" w:ascii="Times New Roman" w:hAnsi="Times New Roman" w:cs="Times New Roman"/>
                <w:kern w:val="2"/>
                <w:sz w:val="24"/>
                <w:szCs w:val="24"/>
                <w:lang w:val="en-US" w:eastAsia="zh-CN" w:bidi="ar-SA"/>
              </w:rPr>
              <w:t xml:space="preserve">试验：管道密闭性试验管道安装完毕且经检查合格后，进行管道的密闭性检验。闭水试验时管道两端用砖封堵，并进行养护，使其达到一定强度后，向闭水段的检查井内注水，注水至规定水位后，开始记录。根据井内水面在规定时间内的下降值计算，渗水量不得超过施工规范规定的允许值为合格。试验结束后会产生试压废水。 </w:t>
            </w:r>
          </w:p>
          <w:p>
            <w:pPr>
              <w:pStyle w:val="35"/>
              <w:keepNext w:val="0"/>
              <w:keepLines w:val="0"/>
              <w:pageBreakBefore w:val="0"/>
              <w:widowControl w:val="0"/>
              <w:numPr>
                <w:ilvl w:val="0"/>
                <w:numId w:val="0"/>
              </w:numPr>
              <w:kinsoku/>
              <w:wordWrap/>
              <w:overflowPunct/>
              <w:topLinePunct w:val="0"/>
              <w:bidi w:val="0"/>
              <w:adjustRightInd/>
              <w:snapToGrid/>
              <w:spacing w:line="360" w:lineRule="auto"/>
              <w:ind w:firstLine="480"/>
              <w:textAlignment w:val="auto"/>
              <w:rPr>
                <w:rFonts w:hint="default" w:ascii="Times New Roman" w:hAnsi="Times New Roman" w:cs="Times New Roman"/>
                <w:kern w:val="2"/>
                <w:sz w:val="24"/>
                <w:szCs w:val="24"/>
                <w:lang w:val="en-US" w:eastAsia="zh-CN" w:bidi="ar-SA"/>
              </w:rPr>
            </w:pPr>
            <w:r>
              <w:rPr>
                <w:rFonts w:hint="default" w:ascii="Times New Roman" w:hAnsi="Times New Roman" w:cs="Times New Roman"/>
                <w:kern w:val="2"/>
                <w:sz w:val="24"/>
                <w:szCs w:val="24"/>
                <w:lang w:val="en-US" w:eastAsia="zh-CN" w:bidi="ar-SA"/>
              </w:rPr>
              <w:t xml:space="preserve">管顶、沟槽回填：沟槽回填管道安装完成经验收合格后，及时回填。管道底部、两侧和管道上口 50cm 范围采用人工填料，人工平整、夯实；其余部位采取反铲填料，振动碾碾压，分层回填、分层夯实回填到设计高程。优先采用开挖土回填，减少弃方。回填过程产生扬尘、噪声等。 </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textAlignment w:val="auto"/>
              <w:rPr>
                <w:rFonts w:hint="default" w:ascii="Times New Roman" w:hAnsi="Times New Roman" w:cs="Times New Roman"/>
                <w:kern w:val="2"/>
                <w:sz w:val="24"/>
                <w:szCs w:val="24"/>
                <w:lang w:val="en-US" w:eastAsia="zh-CN" w:bidi="ar-SA"/>
              </w:rPr>
            </w:pPr>
            <w:r>
              <w:rPr>
                <w:rFonts w:hint="default" w:ascii="Times New Roman" w:hAnsi="Times New Roman" w:cs="Times New Roman"/>
                <w:kern w:val="2"/>
                <w:sz w:val="24"/>
                <w:szCs w:val="24"/>
                <w:lang w:val="en-US" w:eastAsia="zh-CN" w:bidi="ar-SA"/>
              </w:rPr>
              <w:t>路面恢复：道路恢复有三种型式：水泥混凝土路面恢复、沥青路面恢复和人行道恢复。路面基层、面层厚度不得低于现状道路，混凝土和沥青混凝土均采用商品混凝土。</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firstLine="480"/>
              <w:textAlignment w:val="auto"/>
              <w:rPr>
                <w:rFonts w:hint="default" w:ascii="Times New Roman" w:hAnsi="Times New Roman" w:cs="Times New Roman"/>
                <w:kern w:val="2"/>
                <w:sz w:val="24"/>
                <w:szCs w:val="24"/>
                <w:lang w:val="en-US" w:eastAsia="zh-CN" w:bidi="ar-SA"/>
              </w:rPr>
            </w:pPr>
            <w:r>
              <w:rPr>
                <w:rFonts w:hint="eastAsia" w:ascii="Times New Roman" w:hAnsi="Times New Roman" w:cs="Times New Roman"/>
                <w:kern w:val="2"/>
                <w:sz w:val="24"/>
                <w:szCs w:val="24"/>
                <w:lang w:val="en-US" w:eastAsia="zh-CN" w:bidi="ar-SA"/>
              </w:rPr>
              <w:t>（2）污水泵站、污水处理站、调蓄池</w:t>
            </w:r>
            <w:r>
              <w:rPr>
                <w:rFonts w:hint="eastAsia" w:ascii="Times New Roman" w:hAnsi="Times New Roman" w:cs="Times New Roman"/>
                <w:color w:val="000000"/>
                <w:kern w:val="0"/>
                <w:sz w:val="24"/>
                <w:szCs w:val="24"/>
                <w:lang w:val="en-US" w:eastAsia="zh-CN" w:bidi="ar"/>
              </w:rPr>
              <w:t>施工期工艺</w:t>
            </w:r>
          </w:p>
          <w:p>
            <w:pPr>
              <w:pStyle w:val="8"/>
              <w:keepNext w:val="0"/>
              <w:keepLines w:val="0"/>
              <w:pageBreakBefore w:val="0"/>
              <w:widowControl w:val="0"/>
              <w:kinsoku/>
              <w:wordWrap/>
              <w:topLinePunct w:val="0"/>
              <w:autoSpaceDE w:val="0"/>
              <w:autoSpaceDN w:val="0"/>
              <w:bidi w:val="0"/>
              <w:adjustRightInd/>
              <w:snapToGrid/>
              <w:spacing w:after="0" w:line="360" w:lineRule="auto"/>
              <w:ind w:firstLine="480" w:firstLineChars="200"/>
              <w:textAlignment w:val="auto"/>
              <w:rPr>
                <w:rFonts w:hint="default" w:ascii="Times New Roman" w:hAnsi="Times New Roman" w:cs="Times New Roman"/>
                <w:color w:val="auto"/>
                <w:sz w:val="24"/>
              </w:rPr>
            </w:pPr>
            <w:r>
              <w:rPr>
                <w:rFonts w:hint="default" w:ascii="Times New Roman" w:hAnsi="Times New Roman" w:cs="Times New Roman"/>
                <w:color w:val="auto"/>
                <w:sz w:val="24"/>
              </w:rPr>
              <w:t>主要建设内容包括土地开挖、平整、基础工程、主体工程、设备安装调试和扫尾工程等阶段，经竣工验收后即投入营运使用</w:t>
            </w:r>
            <w:r>
              <w:rPr>
                <w:rFonts w:hint="eastAsia" w:cs="Times New Roman"/>
                <w:color w:val="auto"/>
                <w:sz w:val="24"/>
                <w:lang w:eastAsia="zh-CN"/>
              </w:rPr>
              <w:t>；</w:t>
            </w:r>
            <w:r>
              <w:rPr>
                <w:rFonts w:hint="default" w:ascii="Times New Roman" w:hAnsi="Times New Roman" w:cs="Times New Roman"/>
                <w:color w:val="auto"/>
                <w:sz w:val="24"/>
              </w:rPr>
              <w:t>如图</w:t>
            </w:r>
            <w:r>
              <w:rPr>
                <w:rFonts w:hint="eastAsia" w:cs="Times New Roman"/>
                <w:color w:val="auto"/>
                <w:sz w:val="24"/>
                <w:lang w:val="en-US" w:eastAsia="zh-CN"/>
              </w:rPr>
              <w:t>5.1-2</w:t>
            </w:r>
            <w:r>
              <w:rPr>
                <w:rFonts w:hint="default" w:ascii="Times New Roman" w:hAnsi="Times New Roman" w:cs="Times New Roman"/>
                <w:color w:val="auto"/>
                <w:sz w:val="24"/>
              </w:rPr>
              <w:t>所示：</w:t>
            </w:r>
          </w:p>
          <w:p>
            <w:pPr>
              <w:spacing w:before="240" w:beforeLines="100"/>
              <w:jc w:val="center"/>
              <w:rPr>
                <w:rFonts w:hint="default" w:ascii="Times New Roman" w:hAnsi="Times New Roman" w:cs="Times New Roman"/>
                <w:b/>
                <w:color w:val="auto"/>
              </w:rPr>
            </w:pPr>
            <w:r>
              <w:rPr>
                <w:rFonts w:hint="default" w:ascii="Times New Roman" w:hAnsi="Times New Roman" w:cs="Times New Roman"/>
                <w:color w:val="auto"/>
              </w:rPr>
              <mc:AlternateContent>
                <mc:Choice Requires="wpg">
                  <w:drawing>
                    <wp:anchor distT="0" distB="0" distL="114300" distR="114300" simplePos="0" relativeHeight="1507128320" behindDoc="0" locked="0" layoutInCell="1" allowOverlap="1">
                      <wp:simplePos x="0" y="0"/>
                      <wp:positionH relativeFrom="column">
                        <wp:posOffset>120015</wp:posOffset>
                      </wp:positionH>
                      <wp:positionV relativeFrom="paragraph">
                        <wp:posOffset>149225</wp:posOffset>
                      </wp:positionV>
                      <wp:extent cx="5090795" cy="1623695"/>
                      <wp:effectExtent l="4445" t="4445" r="10160" b="10160"/>
                      <wp:wrapNone/>
                      <wp:docPr id="246" name="组合 43"/>
                      <wp:cNvGraphicFramePr/>
                      <a:graphic xmlns:a="http://schemas.openxmlformats.org/drawingml/2006/main">
                        <a:graphicData uri="http://schemas.microsoft.com/office/word/2010/wordprocessingGroup">
                          <wpg:wgp>
                            <wpg:cNvGrpSpPr/>
                            <wpg:grpSpPr>
                              <a:xfrm>
                                <a:off x="0" y="0"/>
                                <a:ext cx="5090795" cy="1623667"/>
                                <a:chOff x="0" y="186"/>
                                <a:chExt cx="8808" cy="2725"/>
                              </a:xfrm>
                              <a:effectLst/>
                            </wpg:grpSpPr>
                            <wps:wsp>
                              <wps:cNvPr id="214" name="文本框 44"/>
                              <wps:cNvSpPr txBox="1"/>
                              <wps:spPr>
                                <a:xfrm>
                                  <a:off x="3028" y="264"/>
                                  <a:ext cx="1361" cy="1152"/>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pPr>
                                      <w:rPr>
                                        <w:sz w:val="18"/>
                                        <w:szCs w:val="18"/>
                                      </w:rPr>
                                    </w:pPr>
                                    <w:r>
                                      <w:rPr>
                                        <w:rFonts w:hint="eastAsia"/>
                                        <w:sz w:val="18"/>
                                        <w:szCs w:val="18"/>
                                      </w:rPr>
                                      <w:t>生活废水、噪声、扬尘、</w:t>
                                    </w:r>
                                  </w:p>
                                  <w:p>
                                    <w:pPr>
                                      <w:rPr>
                                        <w:sz w:val="18"/>
                                        <w:szCs w:val="18"/>
                                      </w:rPr>
                                    </w:pPr>
                                    <w:r>
                                      <w:rPr>
                                        <w:rFonts w:hint="eastAsia"/>
                                        <w:sz w:val="18"/>
                                        <w:szCs w:val="18"/>
                                      </w:rPr>
                                      <w:t>建筑弃渣</w:t>
                                    </w:r>
                                  </w:p>
                                </w:txbxContent>
                              </wps:txbx>
                              <wps:bodyPr upright="1"/>
                            </wps:wsp>
                            <wps:wsp>
                              <wps:cNvPr id="215" name="文本框 45"/>
                              <wps:cNvSpPr txBox="1"/>
                              <wps:spPr>
                                <a:xfrm>
                                  <a:off x="1549" y="307"/>
                                  <a:ext cx="1188" cy="1109"/>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pPr>
                                      <w:rPr>
                                        <w:sz w:val="18"/>
                                        <w:szCs w:val="18"/>
                                      </w:rPr>
                                    </w:pPr>
                                    <w:r>
                                      <w:rPr>
                                        <w:rFonts w:hint="eastAsia"/>
                                        <w:sz w:val="18"/>
                                        <w:szCs w:val="18"/>
                                      </w:rPr>
                                      <w:t>生活废水、噪声、扬尘、</w:t>
                                    </w:r>
                                  </w:p>
                                </w:txbxContent>
                              </wps:txbx>
                              <wps:bodyPr upright="1"/>
                            </wps:wsp>
                            <wps:wsp>
                              <wps:cNvPr id="216" name="文本框 5"/>
                              <wps:cNvSpPr txBox="1"/>
                              <wps:spPr>
                                <a:xfrm>
                                  <a:off x="138" y="226"/>
                                  <a:ext cx="1217" cy="1223"/>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pPr>
                                      <w:keepNext w:val="0"/>
                                      <w:keepLines w:val="0"/>
                                      <w:pageBreakBefore w:val="0"/>
                                      <w:widowControl w:val="0"/>
                                      <w:kinsoku/>
                                      <w:wordWrap/>
                                      <w:overflowPunct/>
                                      <w:topLinePunct w:val="0"/>
                                      <w:autoSpaceDE/>
                                      <w:autoSpaceDN/>
                                      <w:bidi w:val="0"/>
                                      <w:adjustRightInd/>
                                      <w:snapToGrid/>
                                      <w:textAlignment w:val="auto"/>
                                      <w:rPr>
                                        <w:sz w:val="18"/>
                                        <w:szCs w:val="18"/>
                                      </w:rPr>
                                    </w:pPr>
                                    <w:r>
                                      <w:rPr>
                                        <w:rFonts w:hint="eastAsia"/>
                                        <w:sz w:val="18"/>
                                        <w:szCs w:val="18"/>
                                      </w:rPr>
                                      <w:t>生活废水、噪声、扬尘、</w:t>
                                    </w:r>
                                  </w:p>
                                </w:txbxContent>
                              </wps:txbx>
                              <wps:bodyPr upright="1"/>
                            </wps:wsp>
                            <wpg:grpSp>
                              <wpg:cNvPr id="219" name="组合 6"/>
                              <wpg:cNvGrpSpPr/>
                              <wpg:grpSpPr>
                                <a:xfrm>
                                  <a:off x="120" y="1399"/>
                                  <a:ext cx="1125" cy="802"/>
                                  <a:chOff x="0" y="0"/>
                                  <a:chExt cx="1125" cy="802"/>
                                </a:xfrm>
                                <a:effectLst/>
                              </wpg:grpSpPr>
                              <wps:wsp>
                                <wps:cNvPr id="217" name="矩形 48"/>
                                <wps:cNvSpPr/>
                                <wps:spPr>
                                  <a:xfrm>
                                    <a:off x="0" y="299"/>
                                    <a:ext cx="1125" cy="503"/>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场地平整</w:t>
                                      </w:r>
                                    </w:p>
                                  </w:txbxContent>
                                </wps:txbx>
                                <wps:bodyPr upright="1"/>
                              </wps:wsp>
                              <wps:wsp>
                                <wps:cNvPr id="218" name="自选图形 49"/>
                                <wps:cNvCnPr/>
                                <wps:spPr>
                                  <a:xfrm flipV="1">
                                    <a:off x="540" y="0"/>
                                    <a:ext cx="1" cy="300"/>
                                  </a:xfrm>
                                  <a:prstGeom prst="straightConnector1">
                                    <a:avLst/>
                                  </a:prstGeom>
                                  <a:ln w="9525" cap="flat" cmpd="sng">
                                    <a:solidFill>
                                      <a:srgbClr val="000000"/>
                                    </a:solidFill>
                                    <a:prstDash val="solid"/>
                                    <a:headEnd type="none" w="med" len="med"/>
                                    <a:tailEnd type="triangle" w="med" len="med"/>
                                  </a:ln>
                                  <a:effectLst/>
                                </wps:spPr>
                                <wps:bodyPr/>
                              </wps:wsp>
                            </wpg:grpSp>
                            <wpg:grpSp>
                              <wpg:cNvPr id="222" name="组合 50"/>
                              <wpg:cNvGrpSpPr/>
                              <wpg:grpSpPr>
                                <a:xfrm>
                                  <a:off x="1620" y="1399"/>
                                  <a:ext cx="1125" cy="773"/>
                                  <a:chOff x="0" y="0"/>
                                  <a:chExt cx="1125" cy="773"/>
                                </a:xfrm>
                                <a:effectLst/>
                              </wpg:grpSpPr>
                              <wps:wsp>
                                <wps:cNvPr id="220" name="矩形 51"/>
                                <wps:cNvSpPr/>
                                <wps:spPr>
                                  <a:xfrm>
                                    <a:off x="0" y="299"/>
                                    <a:ext cx="1125" cy="474"/>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基础工程</w:t>
                                      </w:r>
                                      <w:r>
                                        <w:rPr>
                                          <w:rFonts w:hint="eastAsia"/>
                                          <w:sz w:val="18"/>
                                          <w:szCs w:val="18"/>
                                        </w:rPr>
                                        <w:tab/>
                                      </w:r>
                                    </w:p>
                                  </w:txbxContent>
                                </wps:txbx>
                                <wps:bodyPr upright="1"/>
                              </wps:wsp>
                              <wps:wsp>
                                <wps:cNvPr id="221" name="自选图形 52"/>
                                <wps:cNvCnPr/>
                                <wps:spPr>
                                  <a:xfrm flipV="1">
                                    <a:off x="540" y="0"/>
                                    <a:ext cx="1" cy="300"/>
                                  </a:xfrm>
                                  <a:prstGeom prst="straightConnector1">
                                    <a:avLst/>
                                  </a:prstGeom>
                                  <a:ln w="9525" cap="flat" cmpd="sng">
                                    <a:solidFill>
                                      <a:srgbClr val="000000"/>
                                    </a:solidFill>
                                    <a:prstDash val="solid"/>
                                    <a:headEnd type="none" w="med" len="med"/>
                                    <a:tailEnd type="triangle" w="med" len="med"/>
                                  </a:ln>
                                  <a:effectLst/>
                                </wps:spPr>
                                <wps:bodyPr/>
                              </wps:wsp>
                            </wpg:grpSp>
                            <wpg:grpSp>
                              <wpg:cNvPr id="225" name="组合 53"/>
                              <wpg:cNvGrpSpPr/>
                              <wpg:grpSpPr>
                                <a:xfrm>
                                  <a:off x="6090" y="1399"/>
                                  <a:ext cx="1125" cy="817"/>
                                  <a:chOff x="0" y="0"/>
                                  <a:chExt cx="1125" cy="817"/>
                                </a:xfrm>
                                <a:effectLst/>
                              </wpg:grpSpPr>
                              <wps:wsp>
                                <wps:cNvPr id="223" name="矩形 54"/>
                                <wps:cNvSpPr/>
                                <wps:spPr>
                                  <a:xfrm>
                                    <a:off x="0" y="300"/>
                                    <a:ext cx="1125" cy="517"/>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安装工程</w:t>
                                      </w:r>
                                    </w:p>
                                  </w:txbxContent>
                                </wps:txbx>
                                <wps:bodyPr upright="1"/>
                              </wps:wsp>
                              <wps:wsp>
                                <wps:cNvPr id="224" name="自选图形 55"/>
                                <wps:cNvCnPr/>
                                <wps:spPr>
                                  <a:xfrm flipV="1">
                                    <a:off x="540" y="0"/>
                                    <a:ext cx="1" cy="300"/>
                                  </a:xfrm>
                                  <a:prstGeom prst="straightConnector1">
                                    <a:avLst/>
                                  </a:prstGeom>
                                  <a:ln w="9525" cap="flat" cmpd="sng">
                                    <a:solidFill>
                                      <a:srgbClr val="000000"/>
                                    </a:solidFill>
                                    <a:prstDash val="solid"/>
                                    <a:headEnd type="none" w="med" len="med"/>
                                    <a:tailEnd type="triangle" w="med" len="med"/>
                                  </a:ln>
                                  <a:effectLst/>
                                </wps:spPr>
                                <wps:bodyPr/>
                              </wps:wsp>
                            </wpg:grpSp>
                            <wpg:grpSp>
                              <wpg:cNvPr id="228" name="组合 56"/>
                              <wpg:cNvGrpSpPr/>
                              <wpg:grpSpPr>
                                <a:xfrm>
                                  <a:off x="4605" y="1399"/>
                                  <a:ext cx="1125" cy="788"/>
                                  <a:chOff x="0" y="0"/>
                                  <a:chExt cx="1125" cy="788"/>
                                </a:xfrm>
                                <a:effectLst/>
                              </wpg:grpSpPr>
                              <wps:wsp>
                                <wps:cNvPr id="226" name="矩形 57"/>
                                <wps:cNvSpPr/>
                                <wps:spPr>
                                  <a:xfrm>
                                    <a:off x="0" y="299"/>
                                    <a:ext cx="1125" cy="489"/>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装饰工程</w:t>
                                      </w:r>
                                    </w:p>
                                  </w:txbxContent>
                                </wps:txbx>
                                <wps:bodyPr upright="1"/>
                              </wps:wsp>
                              <wps:wsp>
                                <wps:cNvPr id="227" name="自选图形 58"/>
                                <wps:cNvCnPr/>
                                <wps:spPr>
                                  <a:xfrm flipV="1">
                                    <a:off x="540" y="0"/>
                                    <a:ext cx="1" cy="300"/>
                                  </a:xfrm>
                                  <a:prstGeom prst="straightConnector1">
                                    <a:avLst/>
                                  </a:prstGeom>
                                  <a:ln w="9525" cap="flat" cmpd="sng">
                                    <a:solidFill>
                                      <a:srgbClr val="000000"/>
                                    </a:solidFill>
                                    <a:prstDash val="solid"/>
                                    <a:headEnd type="none" w="med" len="med"/>
                                    <a:tailEnd type="triangle" w="med" len="med"/>
                                  </a:ln>
                                  <a:effectLst/>
                                </wps:spPr>
                                <wps:bodyPr/>
                              </wps:wsp>
                            </wpg:grpSp>
                            <wpg:grpSp>
                              <wpg:cNvPr id="231" name="组合 59"/>
                              <wpg:cNvGrpSpPr/>
                              <wpg:grpSpPr>
                                <a:xfrm>
                                  <a:off x="3090" y="1399"/>
                                  <a:ext cx="1125" cy="759"/>
                                  <a:chOff x="0" y="0"/>
                                  <a:chExt cx="1125" cy="759"/>
                                </a:xfrm>
                                <a:effectLst/>
                              </wpg:grpSpPr>
                              <wps:wsp>
                                <wps:cNvPr id="229" name="矩形 60"/>
                                <wps:cNvSpPr/>
                                <wps:spPr>
                                  <a:xfrm>
                                    <a:off x="0" y="299"/>
                                    <a:ext cx="1125" cy="46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主体工程</w:t>
                                      </w:r>
                                    </w:p>
                                  </w:txbxContent>
                                </wps:txbx>
                                <wps:bodyPr upright="1"/>
                              </wps:wsp>
                              <wps:wsp>
                                <wps:cNvPr id="230" name="自选图形 61"/>
                                <wps:cNvCnPr/>
                                <wps:spPr>
                                  <a:xfrm flipV="1">
                                    <a:off x="540" y="0"/>
                                    <a:ext cx="1" cy="300"/>
                                  </a:xfrm>
                                  <a:prstGeom prst="straightConnector1">
                                    <a:avLst/>
                                  </a:prstGeom>
                                  <a:ln w="9525" cap="flat" cmpd="sng">
                                    <a:solidFill>
                                      <a:srgbClr val="000000"/>
                                    </a:solidFill>
                                    <a:prstDash val="solid"/>
                                    <a:headEnd type="none" w="med" len="med"/>
                                    <a:tailEnd type="triangle" w="med" len="med"/>
                                  </a:ln>
                                  <a:effectLst/>
                                </wps:spPr>
                                <wps:bodyPr/>
                              </wps:wsp>
                            </wpg:grpSp>
                            <wps:wsp>
                              <wps:cNvPr id="232" name="文本框 62"/>
                              <wps:cNvSpPr txBox="1"/>
                              <wps:spPr>
                                <a:xfrm>
                                  <a:off x="4648" y="213"/>
                                  <a:ext cx="1315" cy="1195"/>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pPr>
                                      <w:rPr>
                                        <w:sz w:val="18"/>
                                        <w:szCs w:val="18"/>
                                      </w:rPr>
                                    </w:pPr>
                                    <w:r>
                                      <w:rPr>
                                        <w:rFonts w:hint="eastAsia"/>
                                        <w:sz w:val="18"/>
                                        <w:szCs w:val="18"/>
                                      </w:rPr>
                                      <w:t>生活废水、噪声、建筑弃渣</w:t>
                                    </w:r>
                                  </w:p>
                                </w:txbxContent>
                              </wps:txbx>
                              <wps:bodyPr upright="1"/>
                            </wps:wsp>
                            <wps:wsp>
                              <wps:cNvPr id="233" name="文本框 63"/>
                              <wps:cNvSpPr txBox="1"/>
                              <wps:spPr>
                                <a:xfrm>
                                  <a:off x="6259" y="186"/>
                                  <a:ext cx="1145" cy="1193"/>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pPr>
                                      <w:rPr>
                                        <w:sz w:val="18"/>
                                        <w:szCs w:val="18"/>
                                      </w:rPr>
                                    </w:pPr>
                                    <w:r>
                                      <w:rPr>
                                        <w:rFonts w:hint="eastAsia"/>
                                        <w:sz w:val="18"/>
                                        <w:szCs w:val="18"/>
                                      </w:rPr>
                                      <w:t>生活废水、噪声、</w:t>
                                    </w:r>
                                  </w:p>
                                  <w:p>
                                    <w:pPr>
                                      <w:rPr>
                                        <w:sz w:val="18"/>
                                        <w:szCs w:val="18"/>
                                      </w:rPr>
                                    </w:pPr>
                                    <w:r>
                                      <w:rPr>
                                        <w:rFonts w:hint="eastAsia"/>
                                        <w:sz w:val="18"/>
                                        <w:szCs w:val="18"/>
                                      </w:rPr>
                                      <w:t>废弃物</w:t>
                                    </w:r>
                                  </w:p>
                                </w:txbxContent>
                              </wps:txbx>
                              <wps:bodyPr upright="1"/>
                            </wps:wsp>
                            <wps:wsp>
                              <wps:cNvPr id="234" name="自选图形 64"/>
                              <wps:cNvCnPr/>
                              <wps:spPr>
                                <a:xfrm>
                                  <a:off x="1245" y="1894"/>
                                  <a:ext cx="375" cy="0"/>
                                </a:xfrm>
                                <a:prstGeom prst="straightConnector1">
                                  <a:avLst/>
                                </a:prstGeom>
                                <a:ln w="9525" cap="flat" cmpd="sng">
                                  <a:solidFill>
                                    <a:srgbClr val="000000"/>
                                  </a:solidFill>
                                  <a:prstDash val="solid"/>
                                  <a:headEnd type="none" w="med" len="med"/>
                                  <a:tailEnd type="triangle" w="med" len="med"/>
                                </a:ln>
                                <a:effectLst/>
                              </wps:spPr>
                              <wps:bodyPr/>
                            </wps:wsp>
                            <wps:wsp>
                              <wps:cNvPr id="235" name="自选图形 65"/>
                              <wps:cNvCnPr/>
                              <wps:spPr>
                                <a:xfrm>
                                  <a:off x="2754" y="1894"/>
                                  <a:ext cx="375" cy="0"/>
                                </a:xfrm>
                                <a:prstGeom prst="straightConnector1">
                                  <a:avLst/>
                                </a:prstGeom>
                                <a:ln w="9525" cap="flat" cmpd="sng">
                                  <a:solidFill>
                                    <a:srgbClr val="000000"/>
                                  </a:solidFill>
                                  <a:prstDash val="solid"/>
                                  <a:headEnd type="none" w="med" len="med"/>
                                  <a:tailEnd type="triangle" w="med" len="med"/>
                                </a:ln>
                                <a:effectLst/>
                              </wps:spPr>
                              <wps:bodyPr/>
                            </wps:wsp>
                            <wps:wsp>
                              <wps:cNvPr id="236" name="自选图形 66"/>
                              <wps:cNvCnPr/>
                              <wps:spPr>
                                <a:xfrm>
                                  <a:off x="4249" y="1894"/>
                                  <a:ext cx="375" cy="0"/>
                                </a:xfrm>
                                <a:prstGeom prst="straightConnector1">
                                  <a:avLst/>
                                </a:prstGeom>
                                <a:ln w="9525" cap="flat" cmpd="sng">
                                  <a:solidFill>
                                    <a:srgbClr val="000000"/>
                                  </a:solidFill>
                                  <a:prstDash val="solid"/>
                                  <a:headEnd type="none" w="med" len="med"/>
                                  <a:tailEnd type="triangle" w="med" len="med"/>
                                </a:ln>
                                <a:effectLst/>
                              </wps:spPr>
                              <wps:bodyPr/>
                            </wps:wsp>
                            <wps:wsp>
                              <wps:cNvPr id="237" name="自选图形 67"/>
                              <wps:cNvCnPr/>
                              <wps:spPr>
                                <a:xfrm>
                                  <a:off x="5715" y="1894"/>
                                  <a:ext cx="375" cy="0"/>
                                </a:xfrm>
                                <a:prstGeom prst="straightConnector1">
                                  <a:avLst/>
                                </a:prstGeom>
                                <a:ln w="9525" cap="flat" cmpd="sng">
                                  <a:solidFill>
                                    <a:srgbClr val="000000"/>
                                  </a:solidFill>
                                  <a:prstDash val="solid"/>
                                  <a:headEnd type="none" w="med" len="med"/>
                                  <a:tailEnd type="triangle" w="med" len="med"/>
                                </a:ln>
                                <a:effectLst/>
                              </wps:spPr>
                              <wps:bodyPr/>
                            </wps:wsp>
                            <wps:wsp>
                              <wps:cNvPr id="238" name="自选图形 68"/>
                              <wps:cNvCnPr/>
                              <wps:spPr>
                                <a:xfrm>
                                  <a:off x="7214" y="1908"/>
                                  <a:ext cx="375" cy="0"/>
                                </a:xfrm>
                                <a:prstGeom prst="straightConnector1">
                                  <a:avLst/>
                                </a:prstGeom>
                                <a:ln w="9525" cap="flat" cmpd="sng">
                                  <a:solidFill>
                                    <a:srgbClr val="000000"/>
                                  </a:solidFill>
                                  <a:prstDash val="solid"/>
                                  <a:headEnd type="none" w="med" len="med"/>
                                  <a:tailEnd type="triangle" w="med" len="med"/>
                                </a:ln>
                                <a:effectLst/>
                              </wps:spPr>
                              <wps:bodyPr/>
                            </wps:wsp>
                            <wps:wsp>
                              <wps:cNvPr id="239" name="自选图形 69"/>
                              <wps:cNvCnPr/>
                              <wps:spPr>
                                <a:xfrm rot="-10800000" flipV="1">
                                  <a:off x="7185" y="2104"/>
                                  <a:ext cx="915" cy="570"/>
                                </a:xfrm>
                                <a:prstGeom prst="bentConnector3">
                                  <a:avLst>
                                    <a:gd name="adj1" fmla="val 2292"/>
                                  </a:avLst>
                                </a:prstGeom>
                                <a:ln w="9525" cap="flat" cmpd="sng">
                                  <a:solidFill>
                                    <a:srgbClr val="000000"/>
                                  </a:solidFill>
                                  <a:prstDash val="solid"/>
                                  <a:miter/>
                                  <a:headEnd type="none" w="med" len="med"/>
                                  <a:tailEnd type="triangle" w="med" len="med"/>
                                </a:ln>
                                <a:effectLst/>
                              </wps:spPr>
                              <wps:bodyPr/>
                            </wps:wsp>
                            <wps:wsp>
                              <wps:cNvPr id="240" name="矩形 70"/>
                              <wps:cNvSpPr/>
                              <wps:spPr>
                                <a:xfrm>
                                  <a:off x="6090" y="2449"/>
                                  <a:ext cx="1125" cy="462"/>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工程营运</w:t>
                                    </w:r>
                                  </w:p>
                                </w:txbxContent>
                              </wps:txbx>
                              <wps:bodyPr upright="1"/>
                            </wps:wsp>
                            <wps:wsp>
                              <wps:cNvPr id="241" name="矩形 71"/>
                              <wps:cNvSpPr/>
                              <wps:spPr>
                                <a:xfrm>
                                  <a:off x="7560" y="1699"/>
                                  <a:ext cx="1125" cy="448"/>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jc w:val="left"/>
                                      <w:rPr>
                                        <w:sz w:val="18"/>
                                        <w:szCs w:val="18"/>
                                      </w:rPr>
                                    </w:pPr>
                                    <w:r>
                                      <w:rPr>
                                        <w:rFonts w:hint="eastAsia"/>
                                        <w:sz w:val="18"/>
                                        <w:szCs w:val="18"/>
                                      </w:rPr>
                                      <w:t>工程验收</w:t>
                                    </w:r>
                                  </w:p>
                                </w:txbxContent>
                              </wps:txbx>
                              <wps:bodyPr upright="1"/>
                            </wps:wsp>
                            <wps:wsp>
                              <wps:cNvPr id="242" name="自选图形 72"/>
                              <wps:cNvCnPr/>
                              <wps:spPr>
                                <a:xfrm>
                                  <a:off x="0" y="1594"/>
                                  <a:ext cx="8805" cy="1"/>
                                </a:xfrm>
                                <a:prstGeom prst="straightConnector1">
                                  <a:avLst/>
                                </a:prstGeom>
                                <a:ln w="9525" cap="flat" cmpd="sng">
                                  <a:solidFill>
                                    <a:srgbClr val="000000"/>
                                  </a:solidFill>
                                  <a:prstDash val="sysDot"/>
                                  <a:headEnd type="none" w="med" len="med"/>
                                  <a:tailEnd type="none" w="med" len="med"/>
                                </a:ln>
                                <a:effectLst/>
                              </wps:spPr>
                              <wps:bodyPr/>
                            </wps:wsp>
                            <wps:wsp>
                              <wps:cNvPr id="243" name="自选图形 73"/>
                              <wps:cNvCnPr/>
                              <wps:spPr>
                                <a:xfrm>
                                  <a:off x="0" y="2284"/>
                                  <a:ext cx="8805" cy="1"/>
                                </a:xfrm>
                                <a:prstGeom prst="straightConnector1">
                                  <a:avLst/>
                                </a:prstGeom>
                                <a:ln w="9525" cap="flat" cmpd="sng">
                                  <a:solidFill>
                                    <a:srgbClr val="000000"/>
                                  </a:solidFill>
                                  <a:prstDash val="sysDot"/>
                                  <a:headEnd type="none" w="med" len="med"/>
                                  <a:tailEnd type="none" w="med" len="med"/>
                                </a:ln>
                                <a:effectLst/>
                              </wps:spPr>
                              <wps:bodyPr/>
                            </wps:wsp>
                            <wps:wsp>
                              <wps:cNvPr id="244" name="自选图形 74"/>
                              <wps:cNvCnPr/>
                              <wps:spPr>
                                <a:xfrm>
                                  <a:off x="8808" y="1594"/>
                                  <a:ext cx="0" cy="690"/>
                                </a:xfrm>
                                <a:prstGeom prst="straightConnector1">
                                  <a:avLst/>
                                </a:prstGeom>
                                <a:ln w="9525" cap="flat" cmpd="sng">
                                  <a:solidFill>
                                    <a:srgbClr val="000000"/>
                                  </a:solidFill>
                                  <a:prstDash val="sysDot"/>
                                  <a:headEnd type="none" w="med" len="med"/>
                                  <a:tailEnd type="none" w="med" len="med"/>
                                </a:ln>
                                <a:effectLst/>
                              </wps:spPr>
                              <wps:bodyPr/>
                            </wps:wsp>
                            <wps:wsp>
                              <wps:cNvPr id="245" name="自选图形 75"/>
                              <wps:cNvCnPr/>
                              <wps:spPr>
                                <a:xfrm>
                                  <a:off x="0" y="1594"/>
                                  <a:ext cx="0" cy="690"/>
                                </a:xfrm>
                                <a:prstGeom prst="straightConnector1">
                                  <a:avLst/>
                                </a:prstGeom>
                                <a:ln w="9525" cap="flat" cmpd="sng">
                                  <a:solidFill>
                                    <a:srgbClr val="000000"/>
                                  </a:solidFill>
                                  <a:prstDash val="sysDot"/>
                                  <a:headEnd type="none" w="med" len="med"/>
                                  <a:tailEnd type="none" w="med" len="med"/>
                                </a:ln>
                                <a:effectLst/>
                              </wps:spPr>
                              <wps:bodyPr/>
                            </wps:wsp>
                          </wpg:wgp>
                        </a:graphicData>
                      </a:graphic>
                    </wp:anchor>
                  </w:drawing>
                </mc:Choice>
                <mc:Fallback>
                  <w:pict>
                    <v:group id="组合 43" o:spid="_x0000_s1026" o:spt="203" style="position:absolute;left:0pt;margin-left:9.45pt;margin-top:11.75pt;height:127.85pt;width:400.85pt;z-index:1507128320;mso-width-relative:page;mso-height-relative:page;" coordorigin="0,186" coordsize="8808,2725" o:gfxdata="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">
                      <o:lock v:ext="edit" aspectratio="f"/>
                      <v:shape id="文本框 44" o:spid="_x0000_s1026" o:spt="202" type="#_x0000_t202" style="position:absolute;left:3028;top:264;height:1152;width:1361;" fillcolor="#FFFFFF" filled="t" stroked="t" coordsize="21600,21600" o:gfxdata="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zPq8vQAA&#10;ANwAAAAPAAAAAAAAAAEAIAAAACIAAABkcnMvZG93bnJldi54bWxQSwECFAAUAAAACACHTuJAMy8F&#10;njsAAAA5AAAAEAAAAAAAAAABACAAAAAMAQAAZHJzL3NoYXBleG1sLnhtbFBLBQYAAAAABgAGAFsB&#10;AAC2AwAAAAA=&#10;">
                        <v:fill on="t" focussize="0,0"/>
                        <v:stroke color="#FFFFFF" joinstyle="miter"/>
                        <v:imagedata o:title=""/>
                        <o:lock v:ext="edit" aspectratio="f"/>
                        <v:textbox>
                          <w:txbxContent>
                            <w:p>
                              <w:pPr>
                                <w:rPr>
                                  <w:sz w:val="18"/>
                                  <w:szCs w:val="18"/>
                                </w:rPr>
                              </w:pPr>
                              <w:r>
                                <w:rPr>
                                  <w:rFonts w:hint="eastAsia"/>
                                  <w:sz w:val="18"/>
                                  <w:szCs w:val="18"/>
                                </w:rPr>
                                <w:t>生活废水、噪声、扬尘、</w:t>
                              </w:r>
                            </w:p>
                            <w:p>
                              <w:pPr>
                                <w:rPr>
                                  <w:sz w:val="18"/>
                                  <w:szCs w:val="18"/>
                                </w:rPr>
                              </w:pPr>
                              <w:r>
                                <w:rPr>
                                  <w:rFonts w:hint="eastAsia"/>
                                  <w:sz w:val="18"/>
                                  <w:szCs w:val="18"/>
                                </w:rPr>
                                <w:t>建筑弃渣</w:t>
                              </w:r>
                            </w:p>
                          </w:txbxContent>
                        </v:textbox>
                      </v:shape>
                      <v:shape id="文本框 45" o:spid="_x0000_s1026" o:spt="202" type="#_x0000_t202" style="position:absolute;left:1549;top:307;height:1109;width:1188;" fillcolor="#FFFFFF" filled="t" stroked="t" coordsize="21600,21600" o:gfxdata="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gF8nvQAA&#10;ANwAAAAPAAAAAAAAAAEAIAAAACIAAABkcnMvZG93bnJldi54bWxQSwECFAAUAAAACACHTuJAMy8F&#10;njsAAAA5AAAAEAAAAAAAAAABACAAAAAMAQAAZHJzL3NoYXBleG1sLnhtbFBLBQYAAAAABgAGAFsB&#10;AAC2AwAAAAA=&#10;">
                        <v:fill on="t" focussize="0,0"/>
                        <v:stroke color="#FFFFFF" joinstyle="miter"/>
                        <v:imagedata o:title=""/>
                        <o:lock v:ext="edit" aspectratio="f"/>
                        <v:textbox>
                          <w:txbxContent>
                            <w:p>
                              <w:pPr>
                                <w:rPr>
                                  <w:sz w:val="18"/>
                                  <w:szCs w:val="18"/>
                                </w:rPr>
                              </w:pPr>
                              <w:r>
                                <w:rPr>
                                  <w:rFonts w:hint="eastAsia"/>
                                  <w:sz w:val="18"/>
                                  <w:szCs w:val="18"/>
                                </w:rPr>
                                <w:t>生活废水、噪声、扬尘、</w:t>
                              </w:r>
                            </w:p>
                          </w:txbxContent>
                        </v:textbox>
                      </v:shape>
                      <v:shape id="文本框 5" o:spid="_x0000_s1026" o:spt="202" type="#_x0000_t202" style="position:absolute;left:138;top:226;height:1223;width:1217;" fillcolor="#FFFFFF" filled="t" stroked="t" coordsize="21600,21600" o:gfxdata="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UsFQvQAA&#10;ANwAAAAPAAAAAAAAAAEAIAAAACIAAABkcnMvZG93bnJldi54bWxQSwECFAAUAAAACACHTuJAMy8F&#10;njsAAAA5AAAAEAAAAAAAAAABACAAAAAMAQAAZHJzL3NoYXBleG1sLnhtbFBLBQYAAAAABgAGAFsB&#10;AAC2AwAAAAA=&#10;">
                        <v:fill on="t" focussize="0,0"/>
                        <v:stroke color="#FFFFFF"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textAlignment w:val="auto"/>
                                <w:rPr>
                                  <w:sz w:val="18"/>
                                  <w:szCs w:val="18"/>
                                </w:rPr>
                              </w:pPr>
                              <w:r>
                                <w:rPr>
                                  <w:rFonts w:hint="eastAsia"/>
                                  <w:sz w:val="18"/>
                                  <w:szCs w:val="18"/>
                                </w:rPr>
                                <w:t>生活废水、噪声、扬尘、</w:t>
                              </w:r>
                            </w:p>
                          </w:txbxContent>
                        </v:textbox>
                      </v:shape>
                      <v:group id="组合 6" o:spid="_x0000_s1026" o:spt="203" style="position:absolute;left:120;top:1399;height:802;width:1125;" coordsize="1125,802" o:gfxdata="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CXMPtvwAAANwAAAAPAAAAAAAAAAEAIAAAACIAAABkcnMvZG93bnJldi54&#10;bWxQSwECFAAUAAAACACHTuJAMy8FnjsAAAA5AAAAFQAAAAAAAAABACAAAAAOAQAAZHJzL2dyb3Vw&#10;c2hhcGV4bWwueG1sUEsFBgAAAAAGAAYAYAEAAMsDAAAAAA==&#10;">
                        <o:lock v:ext="edit" aspectratio="f"/>
                        <v:rect id="矩形 48" o:spid="_x0000_s1026" o:spt="1" style="position:absolute;left:0;top:299;height:503;width:1125;" fillcolor="#FFFFFF" filled="t" stroked="t" coordsize="21600,21600" o:gfxdata="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eQXy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left"/>
                                  <w:rPr>
                                    <w:sz w:val="18"/>
                                    <w:szCs w:val="18"/>
                                  </w:rPr>
                                </w:pPr>
                                <w:r>
                                  <w:rPr>
                                    <w:rFonts w:hint="eastAsia"/>
                                    <w:sz w:val="18"/>
                                    <w:szCs w:val="18"/>
                                  </w:rPr>
                                  <w:t>场地平整</w:t>
                                </w:r>
                              </w:p>
                            </w:txbxContent>
                          </v:textbox>
                        </v:rect>
                        <v:shape id="自选图形 49" o:spid="_x0000_s1026" o:spt="32" type="#_x0000_t32" style="position:absolute;left:540;top:0;flip:y;height:300;width:1;" filled="f" stroked="t" coordsize="21600,21600" o:gfxdata="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9P5fugAAANwA&#10;AAAPAAAAAAAAAAEAIAAAACIAAABkcnMvZG93bnJldi54bWxQSwECFAAUAAAACACHTuJAMy8FnjsA&#10;AAA5AAAAEAAAAAAAAAABACAAAAAJAQAAZHJzL3NoYXBleG1sLnhtbFBLBQYAAAAABgAGAFsBAACz&#10;AwAAAAA=&#10;">
                          <v:fill on="f" focussize="0,0"/>
                          <v:stroke color="#000000" joinstyle="round" endarrow="block"/>
                          <v:imagedata o:title=""/>
                          <o:lock v:ext="edit" aspectratio="f"/>
                        </v:shape>
                      </v:group>
                      <v:group id="组合 50" o:spid="_x0000_s1026" o:spt="203" style="position:absolute;left:1620;top:1399;height:773;width:1125;" coordsize="1125,773" o:gfxdata="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ClJshvwAAANwAAAAPAAAAAAAAAAEAIAAAACIAAABkcnMvZG93bnJldi54&#10;bWxQSwECFAAUAAAACACHTuJAMy8FnjsAAAA5AAAAFQAAAAAAAAABACAAAAAOAQAAZHJzL2dyb3Vw&#10;c2hhcGV4bWwueG1sUEsFBgAAAAAGAAYAYAEAAMsDAAAAAA==&#10;">
                        <o:lock v:ext="edit" aspectratio="f"/>
                        <v:rect id="矩形 51" o:spid="_x0000_s1026" o:spt="1" style="position:absolute;left:0;top:299;height:474;width:1125;" fillcolor="#FFFFFF" filled="t" stroked="t" coordsize="21600,21600" o:gfxdata="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GFFA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jc w:val="left"/>
                                  <w:rPr>
                                    <w:sz w:val="18"/>
                                    <w:szCs w:val="18"/>
                                  </w:rPr>
                                </w:pPr>
                                <w:r>
                                  <w:rPr>
                                    <w:rFonts w:hint="eastAsia"/>
                                    <w:sz w:val="18"/>
                                    <w:szCs w:val="18"/>
                                  </w:rPr>
                                  <w:t>基础工程</w:t>
                                </w:r>
                                <w:r>
                                  <w:rPr>
                                    <w:rFonts w:hint="eastAsia"/>
                                    <w:sz w:val="18"/>
                                    <w:szCs w:val="18"/>
                                  </w:rPr>
                                  <w:tab/>
                                </w:r>
                              </w:p>
                            </w:txbxContent>
                          </v:textbox>
                        </v:rect>
                        <v:shape id="自选图形 52" o:spid="_x0000_s1026" o:spt="32" type="#_x0000_t32" style="position:absolute;left:540;top:0;flip:y;height:300;width:1;" filled="f" stroked="t" coordsize="21600,21600" o:gfxdata="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inX+/&#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v:group id="组合 53" o:spid="_x0000_s1026" o:spt="203" style="position:absolute;left:6090;top:1399;height:817;width:1125;" coordsize="1125,817" o:gfxdata="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19A1W+AAAA3AAAAA8AAAAAAAAAAQAgAAAAIgAAAGRycy9kb3ducmV2Lnht&#10;bFBLAQIUABQAAAAIAIdO4kAzLwWeOwAAADkAAAAVAAAAAAAAAAEAIAAAAA0BAABkcnMvZ3JvdXBz&#10;aGFwZXhtbC54bWxQSwUGAAAAAAYABgBgAQAAygMAAAAA&#10;">
                        <o:lock v:ext="edit" aspectratio="f"/>
                        <v:rect id="矩形 54" o:spid="_x0000_s1026" o:spt="1" style="position:absolute;left:0;top:300;height:517;width:1125;" fillcolor="#FFFFFF" filled="t" stroked="t" coordsize="21600,21600" o:gfxdata="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LPbd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left"/>
                                  <w:rPr>
                                    <w:sz w:val="18"/>
                                    <w:szCs w:val="18"/>
                                  </w:rPr>
                                </w:pPr>
                                <w:r>
                                  <w:rPr>
                                    <w:rFonts w:hint="eastAsia"/>
                                    <w:sz w:val="18"/>
                                    <w:szCs w:val="18"/>
                                  </w:rPr>
                                  <w:t>安装工程</w:t>
                                </w:r>
                              </w:p>
                            </w:txbxContent>
                          </v:textbox>
                        </v:rect>
                        <v:shape id="自选图形 55" o:spid="_x0000_s1026" o:spt="32" type="#_x0000_t32" style="position:absolute;left:540;top:0;flip:y;height:300;width:1;" filled="f" stroked="t" coordsize="21600,21600" o:gfxdata="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nVPue/&#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v:group id="组合 56" o:spid="_x0000_s1026" o:spt="203" style="position:absolute;left:4605;top:1399;height:788;width:1125;" coordsize="1125,788" o:gfxdata="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jfKzLvAAAANwAAAAPAAAAAAAAAAEAIAAAACIAAABkcnMvZG93bnJldi54bWxQ&#10;SwECFAAUAAAACACHTuJAMy8FnjsAAAA5AAAAFQAAAAAAAAABACAAAAALAQAAZHJzL2dyb3Vwc2hh&#10;cGV4bWwueG1sUEsFBgAAAAAGAAYAYAEAAMgDAAAAAA==&#10;">
                        <o:lock v:ext="edit" aspectratio="f"/>
                        <v:rect id="矩形 57" o:spid="_x0000_s1026" o:spt="1" style="position:absolute;left:0;top:299;height:489;width:1125;" fillcolor="#FFFFFF" filled="t" stroked="t" coordsize="21600,21600" o:gfxdata="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MR47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left"/>
                                  <w:rPr>
                                    <w:sz w:val="18"/>
                                    <w:szCs w:val="18"/>
                                  </w:rPr>
                                </w:pPr>
                                <w:r>
                                  <w:rPr>
                                    <w:rFonts w:hint="eastAsia"/>
                                    <w:sz w:val="18"/>
                                    <w:szCs w:val="18"/>
                                  </w:rPr>
                                  <w:t>装饰工程</w:t>
                                </w:r>
                              </w:p>
                            </w:txbxContent>
                          </v:textbox>
                        </v:rect>
                        <v:shape id="自选图形 58" o:spid="_x0000_s1026" o:spt="32" type="#_x0000_t32" style="position:absolute;left:540;top:0;flip:y;height:300;width:1;" filled="f" stroked="t" coordsize="21600,21600" o:gfxdata="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kHoJC/&#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v:group id="组合 59" o:spid="_x0000_s1026" o:spt="203" style="position:absolute;left:3090;top:1399;height:759;width:1125;" coordsize="1125,759" o:gfxdata="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3n5OLvwAAANwAAAAPAAAAAAAAAAEAIAAAACIAAABkcnMvZG93bnJldi54&#10;bWxQSwECFAAUAAAACACHTuJAMy8FnjsAAAA5AAAAFQAAAAAAAAABACAAAAAOAQAAZHJzL2dyb3Vw&#10;c2hhcGV4bWwueG1sUEsFBgAAAAAGAAYAYAEAAMsDAAAAAA==&#10;">
                        <o:lock v:ext="edit" aspectratio="f"/>
                        <v:rect id="矩形 60" o:spid="_x0000_s1026" o:spt="1" style="position:absolute;left:0;top:299;height:460;width:1125;" fillcolor="#FFFFFF" filled="t" stroked="t" coordsize="21600,21600" o:gfxdata="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W+ye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left"/>
                                  <w:rPr>
                                    <w:sz w:val="18"/>
                                    <w:szCs w:val="18"/>
                                  </w:rPr>
                                </w:pPr>
                                <w:r>
                                  <w:rPr>
                                    <w:rFonts w:hint="eastAsia"/>
                                    <w:sz w:val="18"/>
                                    <w:szCs w:val="18"/>
                                  </w:rPr>
                                  <w:t>主体工程</w:t>
                                </w:r>
                              </w:p>
                            </w:txbxContent>
                          </v:textbox>
                        </v:rect>
                        <v:shape id="自选图形 61" o:spid="_x0000_s1026" o:spt="32" type="#_x0000_t32" style="position:absolute;left:540;top:0;flip:y;height:300;width:1;" filled="f" stroked="t" coordsize="21600,21600" o:gfxdata="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M3rjm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group>
                      <v:shape id="文本框 62" o:spid="_x0000_s1026" o:spt="202" type="#_x0000_t202" style="position:absolute;left:4648;top:213;height:1195;width:1315;" fillcolor="#FFFFFF" filled="t" stroked="t" coordsize="21600,21600" o:gfxdata="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3JszvQAA&#10;ANwAAAAPAAAAAAAAAAEAIAAAACIAAABkcnMvZG93bnJldi54bWxQSwECFAAUAAAACACHTuJAMy8F&#10;njsAAAA5AAAAEAAAAAAAAAABACAAAAAMAQAAZHJzL3NoYXBleG1sLnhtbFBLBQYAAAAABgAGAFsB&#10;AAC2AwAAAAA=&#10;">
                        <v:fill on="t" focussize="0,0"/>
                        <v:stroke color="#FFFFFF" joinstyle="miter"/>
                        <v:imagedata o:title=""/>
                        <o:lock v:ext="edit" aspectratio="f"/>
                        <v:textbox>
                          <w:txbxContent>
                            <w:p>
                              <w:pPr>
                                <w:rPr>
                                  <w:sz w:val="18"/>
                                  <w:szCs w:val="18"/>
                                </w:rPr>
                              </w:pPr>
                              <w:r>
                                <w:rPr>
                                  <w:rFonts w:hint="eastAsia"/>
                                  <w:sz w:val="18"/>
                                  <w:szCs w:val="18"/>
                                </w:rPr>
                                <w:t>生活废水、噪声、建筑弃渣</w:t>
                              </w:r>
                            </w:p>
                          </w:txbxContent>
                        </v:textbox>
                      </v:shape>
                      <v:shape id="文本框 63" o:spid="_x0000_s1026" o:spt="202" type="#_x0000_t202" style="position:absolute;left:6259;top:186;height:1193;width:1145;" fillcolor="#FFFFFF" filled="t" stroked="t" coordsize="21600,21600" o:gfxdata="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GQPqi8AAAA&#10;3AAAAA8AAAAAAAAAAQAgAAAAIgAAAGRycy9kb3ducmV2LnhtbFBLAQIUABQAAAAIAIdO4kAzLwWe&#10;OwAAADkAAAAQAAAAAAAAAAEAIAAAAAsBAABkcnMvc2hhcGV4bWwueG1sUEsFBgAAAAAGAAYAWwEA&#10;ALUDAAAAAA==&#10;">
                        <v:fill on="t" focussize="0,0"/>
                        <v:stroke color="#FFFFFF" joinstyle="miter"/>
                        <v:imagedata o:title=""/>
                        <o:lock v:ext="edit" aspectratio="f"/>
                        <v:textbox>
                          <w:txbxContent>
                            <w:p>
                              <w:pPr>
                                <w:rPr>
                                  <w:sz w:val="18"/>
                                  <w:szCs w:val="18"/>
                                </w:rPr>
                              </w:pPr>
                              <w:r>
                                <w:rPr>
                                  <w:rFonts w:hint="eastAsia"/>
                                  <w:sz w:val="18"/>
                                  <w:szCs w:val="18"/>
                                </w:rPr>
                                <w:t>生活废水、噪声、</w:t>
                              </w:r>
                            </w:p>
                            <w:p>
                              <w:pPr>
                                <w:rPr>
                                  <w:sz w:val="18"/>
                                  <w:szCs w:val="18"/>
                                </w:rPr>
                              </w:pPr>
                              <w:r>
                                <w:rPr>
                                  <w:rFonts w:hint="eastAsia"/>
                                  <w:sz w:val="18"/>
                                  <w:szCs w:val="18"/>
                                </w:rPr>
                                <w:t>废弃物</w:t>
                              </w:r>
                            </w:p>
                          </w:txbxContent>
                        </v:textbox>
                      </v:shape>
                      <v:shape id="自选图形 64" o:spid="_x0000_s1026" o:spt="32" type="#_x0000_t32" style="position:absolute;left:1245;top:1894;height:0;width:375;" filled="f" stroked="t" coordsize="21600,21600" o:gfxdata="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AOZM2/&#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65" o:spid="_x0000_s1026" o:spt="32" type="#_x0000_t32" style="position:absolute;left:2754;top:1894;height:0;width:375;" filled="f" stroked="t" coordsize="21600,21600" o:gfxdata="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9CwVa/&#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66" o:spid="_x0000_s1026" o:spt="32" type="#_x0000_t32" style="position:absolute;left:4249;top:1894;height:0;width:375;" filled="f" stroked="t" coordsize="21600,21600" o:gfxdata="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QXyG/&#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67" o:spid="_x0000_s1026" o:spt="32" type="#_x0000_t32" style="position:absolute;left:5715;top:1894;height:0;width:375;" filled="f" stroked="t" coordsize="21600,21600" o:gfxdata="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Dc+rq/&#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68" o:spid="_x0000_s1026" o:spt="32" type="#_x0000_t32" style="position:absolute;left:7214;top:1908;height:0;width:375;" filled="f" stroked="t" coordsize="21600,21600" o:gfxdata="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FDbsi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自选图形 69" o:spid="_x0000_s1026" o:spt="34" type="#_x0000_t34" style="position:absolute;left:7185;top:2104;flip:y;height:570;width:915;rotation:11796480f;" filled="f" stroked="t" coordsize="21600,21600" o:gfxdata="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ZAkqW8AAAA&#10;3AAAAA8AAAAAAAAAAQAgAAAAIgAAAGRycy9kb3ducmV2LnhtbFBLAQIUABQAAAAIAIdO4kAzLwWe&#10;OwAAADkAAAAQAAAAAAAAAAEAIAAAAAsBAABkcnMvc2hhcGV4bWwueG1sUEsFBgAAAAAGAAYAWwEA&#10;ALUDAAAAAA==&#10;" adj="495">
                        <v:fill on="f" focussize="0,0"/>
                        <v:stroke color="#000000" joinstyle="miter" endarrow="block"/>
                        <v:imagedata o:title=""/>
                        <o:lock v:ext="edit" aspectratio="f"/>
                      </v:shape>
                      <v:rect id="矩形 70" o:spid="_x0000_s1026" o:spt="1" style="position:absolute;left:6090;top:2449;height:462;width:1125;" fillcolor="#FFFFFF" filled="t" stroked="t" coordsize="21600,21600" o:gfxdata="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b6go7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jc w:val="left"/>
                                <w:rPr>
                                  <w:sz w:val="18"/>
                                  <w:szCs w:val="18"/>
                                </w:rPr>
                              </w:pPr>
                              <w:r>
                                <w:rPr>
                                  <w:rFonts w:hint="eastAsia"/>
                                  <w:sz w:val="18"/>
                                  <w:szCs w:val="18"/>
                                </w:rPr>
                                <w:t>工程营运</w:t>
                              </w:r>
                            </w:p>
                          </w:txbxContent>
                        </v:textbox>
                      </v:rect>
                      <v:rect id="矩形 71" o:spid="_x0000_s1026" o:spt="1" style="position:absolute;left:7560;top:1699;height:448;width:1125;" fillcolor="#FFFFFF" filled="t" stroked="t" coordsize="21600,21600" o:gfxdata="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vIFO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left"/>
                                <w:rPr>
                                  <w:sz w:val="18"/>
                                  <w:szCs w:val="18"/>
                                </w:rPr>
                              </w:pPr>
                              <w:r>
                                <w:rPr>
                                  <w:rFonts w:hint="eastAsia"/>
                                  <w:sz w:val="18"/>
                                  <w:szCs w:val="18"/>
                                </w:rPr>
                                <w:t>工程验收</w:t>
                              </w:r>
                            </w:p>
                          </w:txbxContent>
                        </v:textbox>
                      </v:rect>
                      <v:shape id="自选图形 72" o:spid="_x0000_s1026" o:spt="32" type="#_x0000_t32" style="position:absolute;left:0;top:1594;height:1;width:8805;" filled="f" stroked="t" coordsize="21600,21600" o:gfxdata="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XHiZC8AAAA&#10;3AAAAA8AAAAAAAAAAQAgAAAAIgAAAGRycy9kb3ducmV2LnhtbFBLAQIUABQAAAAIAIdO4kAzLwWe&#10;OwAAADkAAAAQAAAAAAAAAAEAIAAAAAsBAABkcnMvc2hhcGV4bWwueG1sUEsFBgAAAAAGAAYAWwEA&#10;ALUDAAAAAA==&#10;">
                        <v:fill on="f" focussize="0,0"/>
                        <v:stroke color="#000000" joinstyle="round" dashstyle="1 1"/>
                        <v:imagedata o:title=""/>
                        <o:lock v:ext="edit" aspectratio="f"/>
                      </v:shape>
                      <v:shape id="自选图形 73" o:spid="_x0000_s1026" o:spt="32" type="#_x0000_t32" style="position:absolute;left:0;top:2284;height:1;width:8805;" filled="f" stroked="t" coordsize="21600,21600" o:gfxdata="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qLLAu8AAAA&#10;3AAAAA8AAAAAAAAAAQAgAAAAIgAAAGRycy9kb3ducmV2LnhtbFBLAQIUABQAAAAIAIdO4kAzLwWe&#10;OwAAADkAAAAQAAAAAAAAAAEAIAAAAAsBAABkcnMvc2hhcGV4bWwueG1sUEsFBgAAAAAGAAYAWwEA&#10;ALUDAAAAAA==&#10;">
                        <v:fill on="f" focussize="0,0"/>
                        <v:stroke color="#000000" joinstyle="round" dashstyle="1 1"/>
                        <v:imagedata o:title=""/>
                        <o:lock v:ext="edit" aspectratio="f"/>
                      </v:shape>
                      <v:shape id="自选图形 74" o:spid="_x0000_s1026" o:spt="32" type="#_x0000_t32" style="position:absolute;left:8808;top:1594;height:690;width:0;" filled="f" stroked="t" coordsize="21600,21600" o:gfxdata="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VitH+8AAAA&#10;3AAAAA8AAAAAAAAAAQAgAAAAIgAAAGRycy9kb3ducmV2LnhtbFBLAQIUABQAAAAIAIdO4kAzLwWe&#10;OwAAADkAAAAQAAAAAAAAAAEAIAAAAAsBAABkcnMvc2hhcGV4bWwueG1sUEsFBgAAAAAGAAYAWwEA&#10;ALUDAAAAAA==&#10;">
                        <v:fill on="f" focussize="0,0"/>
                        <v:stroke color="#000000" joinstyle="round" dashstyle="1 1"/>
                        <v:imagedata o:title=""/>
                        <o:lock v:ext="edit" aspectratio="f"/>
                      </v:shape>
                      <v:shape id="自选图形 75" o:spid="_x0000_s1026" o:spt="32" type="#_x0000_t32" style="position:absolute;left:0;top:1594;height:690;width:0;" filled="f" stroked="t" coordsize="21600,21600" o:gfxdata="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6LhHkvQAA&#10;ANwAAAAPAAAAAAAAAAEAIAAAACIAAABkcnMvZG93bnJldi54bWxQSwECFAAUAAAACACHTuJAMy8F&#10;njsAAAA5AAAAEAAAAAAAAAABACAAAAAMAQAAZHJzL3NoYXBleG1sLnhtbFBLBQYAAAAABgAGAFsB&#10;AAC2AwAAAAA=&#10;">
                        <v:fill on="f" focussize="0,0"/>
                        <v:stroke color="#000000" joinstyle="round" dashstyle="1 1"/>
                        <v:imagedata o:title=""/>
                        <o:lock v:ext="edit" aspectratio="f"/>
                      </v:shape>
                    </v:group>
                  </w:pict>
                </mc:Fallback>
              </mc:AlternateContent>
            </w:r>
          </w:p>
          <w:p>
            <w:pPr>
              <w:spacing w:before="240" w:beforeLines="100"/>
              <w:jc w:val="center"/>
              <w:rPr>
                <w:rFonts w:hint="default" w:ascii="Times New Roman" w:hAnsi="Times New Roman" w:cs="Times New Roman"/>
                <w:b/>
                <w:color w:val="auto"/>
              </w:rPr>
            </w:pPr>
          </w:p>
          <w:p>
            <w:pPr>
              <w:spacing w:before="240" w:beforeLines="100"/>
              <w:rPr>
                <w:rFonts w:hint="default" w:ascii="Times New Roman" w:hAnsi="Times New Roman" w:cs="Times New Roman"/>
                <w:b/>
                <w:color w:val="auto"/>
              </w:rPr>
            </w:pPr>
          </w:p>
          <w:p>
            <w:pPr>
              <w:spacing w:before="240" w:beforeLines="100"/>
              <w:rPr>
                <w:rFonts w:hint="default" w:ascii="Times New Roman" w:hAnsi="Times New Roman" w:cs="Times New Roman"/>
                <w:b/>
                <w:color w:val="auto"/>
              </w:rPr>
            </w:pPr>
          </w:p>
          <w:p>
            <w:pPr>
              <w:pStyle w:val="8"/>
              <w:adjustRightInd w:val="0"/>
              <w:snapToGrid w:val="0"/>
              <w:spacing w:line="520" w:lineRule="exact"/>
              <w:ind w:firstLine="0" w:firstLineChars="0"/>
              <w:rPr>
                <w:rFonts w:hint="default" w:ascii="Times New Roman" w:hAnsi="Times New Roman" w:cs="Times New Roman"/>
                <w:color w:val="auto"/>
                <w:sz w:val="24"/>
                <w:u w:val="single"/>
                <w:lang w:eastAsia="zh-CN"/>
              </w:rPr>
            </w:pPr>
          </w:p>
          <w:p>
            <w:pPr>
              <w:pStyle w:val="8"/>
              <w:adjustRightInd w:val="0"/>
              <w:snapToGrid w:val="0"/>
              <w:spacing w:afterLines="50"/>
              <w:ind w:firstLine="0" w:firstLineChars="0"/>
              <w:jc w:val="center"/>
              <w:rPr>
                <w:rFonts w:hint="default" w:ascii="Times New Roman" w:hAnsi="Times New Roman" w:cs="Times New Roman"/>
                <w:b/>
                <w:color w:val="auto"/>
                <w:sz w:val="24"/>
                <w:szCs w:val="24"/>
              </w:rPr>
            </w:pPr>
            <w:r>
              <w:rPr>
                <w:rFonts w:hint="default" w:ascii="Times New Roman" w:hAnsi="Times New Roman" w:cs="Times New Roman"/>
                <w:b/>
                <w:color w:val="auto"/>
                <w:sz w:val="24"/>
                <w:szCs w:val="24"/>
              </w:rPr>
              <w:t>图</w:t>
            </w:r>
            <w:r>
              <w:rPr>
                <w:rFonts w:hint="eastAsia" w:cs="Times New Roman"/>
                <w:b/>
                <w:color w:val="auto"/>
                <w:sz w:val="24"/>
                <w:szCs w:val="24"/>
                <w:lang w:val="en-US" w:eastAsia="zh-CN"/>
              </w:rPr>
              <w:t>5.1-2</w:t>
            </w:r>
            <w:r>
              <w:rPr>
                <w:rFonts w:hint="default" w:ascii="Times New Roman" w:hAnsi="Times New Roman" w:cs="Times New Roman"/>
                <w:b/>
                <w:color w:val="auto"/>
                <w:sz w:val="24"/>
                <w:szCs w:val="24"/>
              </w:rPr>
              <w:t xml:space="preserve"> </w:t>
            </w:r>
            <w:r>
              <w:rPr>
                <w:rFonts w:hint="default" w:ascii="Times New Roman" w:hAnsi="Times New Roman" w:cs="Times New Roman"/>
                <w:b/>
                <w:color w:val="auto"/>
                <w:sz w:val="24"/>
                <w:szCs w:val="24"/>
                <w:lang w:eastAsia="zh-CN"/>
              </w:rPr>
              <w:t xml:space="preserve">  </w:t>
            </w:r>
            <w:r>
              <w:rPr>
                <w:rFonts w:hint="default" w:ascii="Times New Roman" w:hAnsi="Times New Roman" w:cs="Times New Roman"/>
                <w:b/>
                <w:color w:val="auto"/>
                <w:sz w:val="24"/>
                <w:szCs w:val="24"/>
              </w:rPr>
              <w:t>项目</w:t>
            </w:r>
            <w:r>
              <w:rPr>
                <w:rFonts w:hint="default" w:ascii="Times New Roman" w:hAnsi="Times New Roman" w:cs="Times New Roman"/>
                <w:b/>
                <w:color w:val="auto"/>
                <w:sz w:val="24"/>
                <w:szCs w:val="24"/>
                <w:lang w:val="en-US" w:eastAsia="zh-CN"/>
              </w:rPr>
              <w:t>污水泵站、污水处理站</w:t>
            </w:r>
            <w:r>
              <w:rPr>
                <w:rFonts w:hint="default" w:ascii="Times New Roman" w:hAnsi="Times New Roman" w:cs="Times New Roman"/>
                <w:b/>
                <w:color w:val="auto"/>
                <w:sz w:val="24"/>
                <w:szCs w:val="24"/>
              </w:rPr>
              <w:t>施工期工艺流程图</w:t>
            </w:r>
          </w:p>
          <w:p>
            <w:pPr>
              <w:pStyle w:val="89"/>
              <w:outlineLvl w:val="9"/>
              <w:rPr>
                <w:rFonts w:hint="eastAsia" w:ascii="Times New Roman" w:hAnsi="Times New Roman" w:eastAsia="宋体" w:cs="Times New Roman"/>
                <w:b/>
                <w:bCs/>
                <w:sz w:val="24"/>
                <w:szCs w:val="24"/>
                <w:lang w:val="en-US" w:eastAsia="zh-CN"/>
              </w:rPr>
            </w:pPr>
            <w:bookmarkStart w:id="72" w:name="_Toc22279"/>
            <w:bookmarkStart w:id="73" w:name="_Toc16597"/>
            <w:r>
              <w:rPr>
                <w:rFonts w:hint="eastAsia" w:ascii="Times New Roman" w:hAnsi="Times New Roman" w:eastAsia="宋体" w:cs="Times New Roman"/>
                <w:b/>
                <w:bCs/>
                <w:sz w:val="24"/>
                <w:szCs w:val="24"/>
                <w:lang w:val="en-US" w:eastAsia="zh-CN"/>
              </w:rPr>
              <w:t>5.1.2</w:t>
            </w:r>
            <w:bookmarkEnd w:id="71"/>
            <w:r>
              <w:rPr>
                <w:rFonts w:hint="eastAsia" w:ascii="Times New Roman" w:hAnsi="Times New Roman" w:eastAsia="宋体" w:cs="Times New Roman"/>
                <w:b/>
                <w:bCs/>
                <w:sz w:val="24"/>
                <w:szCs w:val="24"/>
                <w:lang w:val="en-US" w:eastAsia="zh-CN"/>
              </w:rPr>
              <w:t>施工期污染分析</w:t>
            </w:r>
            <w:bookmarkEnd w:id="72"/>
            <w:bookmarkEnd w:id="73"/>
          </w:p>
          <w:p>
            <w:pPr>
              <w:pStyle w:val="87"/>
              <w:ind w:firstLine="480"/>
              <w:rPr>
                <w:rFonts w:hint="default" w:ascii="Times New Roman" w:hAnsi="Times New Roman" w:cs="Times New Roman" w:eastAsiaTheme="minorEastAsia"/>
                <w:bCs/>
                <w:kern w:val="0"/>
                <w:sz w:val="24"/>
                <w:szCs w:val="24"/>
                <w:u w:val="single"/>
              </w:rPr>
            </w:pPr>
            <w:r>
              <w:rPr>
                <w:rFonts w:hint="default" w:ascii="Times New Roman" w:hAnsi="Times New Roman" w:cs="Times New Roman" w:eastAsiaTheme="minorEastAsia"/>
                <w:bCs/>
                <w:kern w:val="0"/>
                <w:sz w:val="24"/>
                <w:szCs w:val="24"/>
              </w:rPr>
              <w:t>1、废气</w:t>
            </w:r>
          </w:p>
          <w:p>
            <w:pPr>
              <w:pStyle w:val="8"/>
              <w:ind w:firstLine="480"/>
              <w:rPr>
                <w:rFonts w:hint="default" w:ascii="Times New Roman" w:hAnsi="Times New Roman" w:cs="Times New Roman" w:eastAsiaTheme="minorEastAsia"/>
                <w:kern w:val="0"/>
                <w:sz w:val="24"/>
                <w:szCs w:val="24"/>
                <w:lang w:val="en-US" w:eastAsia="zh-CN"/>
              </w:rPr>
            </w:pPr>
            <w:r>
              <w:rPr>
                <w:rFonts w:hint="eastAsia" w:cs="Times New Roman" w:eastAsiaTheme="minorEastAsia"/>
                <w:kern w:val="0"/>
                <w:sz w:val="24"/>
                <w:szCs w:val="24"/>
                <w:lang w:val="en-US" w:eastAsia="zh-CN"/>
              </w:rPr>
              <w:t>项目施工期废气主要有施工扬尘、施工车辆尾气和湿塘清淤的恶臭。</w:t>
            </w:r>
          </w:p>
          <w:p>
            <w:pPr>
              <w:pStyle w:val="8"/>
              <w:ind w:firstLine="480"/>
              <w:rPr>
                <w:rFonts w:hint="default" w:ascii="Times New Roman" w:hAnsi="Times New Roman" w:cs="Times New Roman" w:eastAsiaTheme="minorEastAsia"/>
                <w:kern w:val="0"/>
                <w:sz w:val="24"/>
                <w:szCs w:val="24"/>
                <w:lang w:val="en-US" w:eastAsia="zh-CN"/>
              </w:rPr>
            </w:pPr>
            <w:r>
              <w:rPr>
                <w:rFonts w:hint="default" w:ascii="Times New Roman" w:hAnsi="Times New Roman" w:cs="Times New Roman" w:eastAsiaTheme="minorEastAsia"/>
                <w:kern w:val="0"/>
                <w:sz w:val="24"/>
                <w:szCs w:val="24"/>
                <w:lang w:val="en-US" w:eastAsia="zh-CN"/>
              </w:rPr>
              <w:t>（1）施工扬尘</w:t>
            </w:r>
          </w:p>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施工期扬尘主要有土石方施工扬尘</w:t>
            </w:r>
            <w:r>
              <w:rPr>
                <w:rFonts w:hint="eastAsia" w:ascii="Times New Roman" w:hAnsi="Times New Roman" w:cs="Times New Roman" w:eastAsiaTheme="minorEastAsia"/>
                <w:kern w:val="0"/>
                <w:sz w:val="24"/>
                <w:szCs w:val="24"/>
                <w:lang w:val="en-US" w:eastAsia="zh-CN"/>
              </w:rPr>
              <w:t>、</w:t>
            </w:r>
            <w:r>
              <w:rPr>
                <w:rFonts w:hint="default" w:ascii="Times New Roman" w:hAnsi="Times New Roman" w:cs="Times New Roman" w:eastAsiaTheme="minorEastAsia"/>
                <w:kern w:val="0"/>
                <w:sz w:val="24"/>
                <w:szCs w:val="24"/>
              </w:rPr>
              <w:t>施工车辆运输扬尘</w:t>
            </w:r>
            <w:r>
              <w:rPr>
                <w:rFonts w:hint="eastAsia" w:ascii="Times New Roman" w:hAnsi="Times New Roman" w:cs="Times New Roman" w:eastAsiaTheme="minorEastAsia"/>
                <w:kern w:val="0"/>
                <w:sz w:val="24"/>
                <w:szCs w:val="24"/>
                <w:lang w:val="en-US" w:eastAsia="zh-CN"/>
              </w:rPr>
              <w:t>和堆场扬尘</w:t>
            </w:r>
            <w:r>
              <w:rPr>
                <w:rFonts w:hint="default" w:ascii="Times New Roman" w:hAnsi="Times New Roman" w:cs="Times New Roman" w:eastAsiaTheme="minorEastAsia"/>
                <w:kern w:val="0"/>
                <w:sz w:val="24"/>
                <w:szCs w:val="24"/>
              </w:rPr>
              <w:t>等。</w:t>
            </w:r>
          </w:p>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①土石方施工扬尘</w:t>
            </w:r>
          </w:p>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场地平整及土石方施工过程中因破坏了地表结构，易造成地面扬尘污染环境，扬尘的大小因施工现场工作条件、施工季节、施工阶段、管理水平、机械化程度及土质、天气条件的不同而差异较大。一般情况下，在自然风作用下，扬尘受重力、浮力和气流运动的作用，可以发生沉降、上升和扩散，扬尘影响范围在80m以内。在大风天气，扬尘量及影响范围将有所扩大。</w:t>
            </w:r>
          </w:p>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②施工运输扬尘</w:t>
            </w:r>
          </w:p>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施工车辆运输产生的扬尘强度受施工道路结构及道路粉尘覆盖量影响，类比同类工程施工场地，车辆行驶于泥土路面而扬起的灰土，其浓度可达到1~3g/m</w:t>
            </w:r>
            <w:r>
              <w:rPr>
                <w:rFonts w:hint="default" w:ascii="Times New Roman" w:hAnsi="Times New Roman" w:cs="Times New Roman" w:eastAsiaTheme="minorEastAsia"/>
                <w:kern w:val="0"/>
                <w:sz w:val="24"/>
                <w:szCs w:val="24"/>
                <w:vertAlign w:val="superscript"/>
              </w:rPr>
              <w:t>3</w:t>
            </w:r>
            <w:r>
              <w:rPr>
                <w:rFonts w:hint="default" w:ascii="Times New Roman" w:hAnsi="Times New Roman" w:cs="Times New Roman" w:eastAsiaTheme="minorEastAsia"/>
                <w:kern w:val="0"/>
                <w:sz w:val="24"/>
                <w:szCs w:val="24"/>
              </w:rPr>
              <w:t>，影响范围在50m左右。</w:t>
            </w:r>
          </w:p>
          <w:p>
            <w:pPr>
              <w:pStyle w:val="8"/>
              <w:keepNext w:val="0"/>
              <w:keepLines w:val="0"/>
              <w:pageBreakBefore w:val="0"/>
              <w:widowControl w:val="0"/>
              <w:kinsoku/>
              <w:wordWrap/>
              <w:topLinePunct w:val="0"/>
              <w:bidi w:val="0"/>
              <w:adjustRightInd/>
              <w:snapToGrid/>
              <w:ind w:firstLine="480"/>
              <w:textAlignment w:val="auto"/>
              <w:outlineLvl w:val="9"/>
              <w:rPr>
                <w:sz w:val="24"/>
                <w:szCs w:val="24"/>
                <w:lang w:eastAsia="zh-CN"/>
              </w:rPr>
            </w:pPr>
            <w:r>
              <w:rPr>
                <w:rFonts w:hint="eastAsia" w:ascii="宋体" w:hAnsi="宋体" w:eastAsia="宋体" w:cs="宋体"/>
                <w:sz w:val="24"/>
                <w:szCs w:val="24"/>
                <w:lang w:eastAsia="zh-CN"/>
              </w:rPr>
              <w:t>③</w:t>
            </w:r>
            <w:r>
              <w:rPr>
                <w:rFonts w:hint="eastAsia"/>
                <w:sz w:val="24"/>
                <w:szCs w:val="24"/>
                <w:lang w:eastAsia="zh-CN"/>
              </w:rPr>
              <w:t>堆</w:t>
            </w:r>
            <w:r>
              <w:rPr>
                <w:sz w:val="24"/>
                <w:szCs w:val="24"/>
                <w:lang w:eastAsia="zh-CN"/>
              </w:rPr>
              <w:t>场扬尘</w:t>
            </w:r>
          </w:p>
          <w:p>
            <w:pPr>
              <w:keepNext w:val="0"/>
              <w:keepLines w:val="0"/>
              <w:pageBreakBefore w:val="0"/>
              <w:widowControl w:val="0"/>
              <w:tabs>
                <w:tab w:val="left" w:pos="949"/>
              </w:tabs>
              <w:kinsoku/>
              <w:wordWrap/>
              <w:topLinePunct w:val="0"/>
              <w:bidi w:val="0"/>
              <w:adjustRightInd/>
              <w:snapToGrid/>
              <w:spacing w:line="360" w:lineRule="auto"/>
              <w:ind w:firstLine="480" w:firstLineChars="200"/>
              <w:textAlignment w:val="auto"/>
              <w:outlineLvl w:val="9"/>
              <w:rPr>
                <w:rFonts w:ascii="Times New Roman" w:hAnsi="Times New Roman"/>
                <w:kern w:val="0"/>
                <w:sz w:val="24"/>
                <w:szCs w:val="24"/>
              </w:rPr>
            </w:pPr>
            <w:r>
              <w:rPr>
                <w:rFonts w:ascii="Times New Roman" w:hAnsi="Times New Roman"/>
                <w:kern w:val="0"/>
                <w:sz w:val="24"/>
                <w:szCs w:val="24"/>
              </w:rPr>
              <w:t>由于施工需要，一些建筑材料需露天堆放，一些施工作业点表层土壤需人工开挖且临时堆放，在气候干燥又有风的情况下，会产生扬尘，其扬尘量可按堆场起尘的经验公式计算：</w:t>
            </w:r>
          </w:p>
          <w:p>
            <w:pPr>
              <w:keepNext w:val="0"/>
              <w:keepLines w:val="0"/>
              <w:pageBreakBefore w:val="0"/>
              <w:widowControl w:val="0"/>
              <w:kinsoku/>
              <w:wordWrap/>
              <w:topLinePunct w:val="0"/>
              <w:bidi w:val="0"/>
              <w:adjustRightInd/>
              <w:snapToGrid/>
              <w:spacing w:before="24" w:after="48" w:line="360" w:lineRule="auto"/>
              <w:ind w:firstLine="496"/>
              <w:textAlignment w:val="auto"/>
              <w:outlineLvl w:val="9"/>
              <w:rPr>
                <w:rFonts w:ascii="Times New Roman" w:hAnsi="Times New Roman"/>
                <w:spacing w:val="4"/>
                <w:sz w:val="24"/>
                <w:szCs w:val="24"/>
              </w:rPr>
            </w:pPr>
            <w:r>
              <w:rPr>
                <w:rFonts w:ascii="Times New Roman" w:hAnsi="Times New Roman"/>
                <w:spacing w:val="4"/>
                <w:sz w:val="24"/>
                <w:szCs w:val="24"/>
              </w:rPr>
              <w:t xml:space="preserve">          </w:t>
            </w:r>
            <w:r>
              <w:rPr>
                <w:rFonts w:ascii="Times New Roman" w:hAnsi="Times New Roman"/>
                <w:spacing w:val="4"/>
                <w:position w:val="-12"/>
                <w:sz w:val="24"/>
                <w:szCs w:val="24"/>
              </w:rPr>
              <w:object>
                <v:shape id="_x0000_i1025" o:spt="75" type="#_x0000_t75" style="height:21.2pt;width:137.75pt;" o:ole="t" filled="f" o:preferrelative="t" stroked="f" coordsize="21600,21600">
                  <v:path/>
                  <v:fill on="f" focussize="0,0"/>
                  <v:stroke on="f"/>
                  <v:imagedata r:id="rId19" o:title=""/>
                  <o:lock v:ext="edit" aspectratio="t"/>
                  <w10:wrap type="none"/>
                  <w10:anchorlock/>
                </v:shape>
                <o:OLEObject Type="Embed" ProgID="Equation.3" ShapeID="_x0000_i1025" DrawAspect="Content" ObjectID="_1468075725" r:id="rId18">
                  <o:LockedField>false</o:LockedField>
                </o:OLEObject>
              </w:object>
            </w:r>
          </w:p>
          <w:p>
            <w:pPr>
              <w:keepNext w:val="0"/>
              <w:keepLines w:val="0"/>
              <w:pageBreakBefore w:val="0"/>
              <w:widowControl w:val="0"/>
              <w:kinsoku/>
              <w:wordWrap/>
              <w:topLinePunct w:val="0"/>
              <w:bidi w:val="0"/>
              <w:adjustRightInd/>
              <w:snapToGrid/>
              <w:spacing w:line="360" w:lineRule="auto"/>
              <w:ind w:firstLine="496" w:firstLineChars="200"/>
              <w:textAlignment w:val="auto"/>
              <w:outlineLvl w:val="9"/>
              <w:rPr>
                <w:rFonts w:ascii="Times New Roman" w:hAnsi="Times New Roman"/>
                <w:spacing w:val="4"/>
                <w:sz w:val="24"/>
                <w:szCs w:val="24"/>
              </w:rPr>
            </w:pPr>
            <w:r>
              <w:rPr>
                <w:rFonts w:ascii="Times New Roman" w:hAnsi="Times New Roman"/>
                <w:spacing w:val="4"/>
                <w:sz w:val="24"/>
                <w:szCs w:val="24"/>
              </w:rPr>
              <w:t>式中：</w:t>
            </w:r>
            <w:r>
              <w:rPr>
                <w:rFonts w:ascii="Times New Roman" w:hAnsi="Times New Roman"/>
                <w:i/>
                <w:spacing w:val="4"/>
                <w:sz w:val="24"/>
                <w:szCs w:val="24"/>
              </w:rPr>
              <w:t>Q</w:t>
            </w:r>
            <w:r>
              <w:rPr>
                <w:rFonts w:ascii="Times New Roman" w:hAnsi="Times New Roman"/>
                <w:spacing w:val="4"/>
                <w:sz w:val="24"/>
                <w:szCs w:val="24"/>
              </w:rPr>
              <w:t>——起尘量，kg/吨·年；</w:t>
            </w:r>
          </w:p>
          <w:p>
            <w:pPr>
              <w:keepNext w:val="0"/>
              <w:keepLines w:val="0"/>
              <w:pageBreakBefore w:val="0"/>
              <w:widowControl w:val="0"/>
              <w:kinsoku/>
              <w:wordWrap/>
              <w:topLinePunct w:val="0"/>
              <w:bidi w:val="0"/>
              <w:adjustRightInd/>
              <w:snapToGrid/>
              <w:spacing w:line="360" w:lineRule="auto"/>
              <w:ind w:firstLine="496" w:firstLineChars="200"/>
              <w:textAlignment w:val="auto"/>
              <w:outlineLvl w:val="9"/>
              <w:rPr>
                <w:rFonts w:ascii="Times New Roman" w:hAnsi="Times New Roman"/>
                <w:spacing w:val="4"/>
                <w:sz w:val="24"/>
                <w:szCs w:val="24"/>
              </w:rPr>
            </w:pPr>
            <w:r>
              <w:rPr>
                <w:rFonts w:ascii="Times New Roman" w:hAnsi="Times New Roman"/>
                <w:spacing w:val="4"/>
                <w:sz w:val="24"/>
                <w:szCs w:val="24"/>
              </w:rPr>
              <w:t xml:space="preserve">     </w:t>
            </w:r>
            <w:r>
              <w:rPr>
                <w:rFonts w:ascii="Times New Roman" w:hAnsi="Times New Roman"/>
                <w:i/>
                <w:spacing w:val="4"/>
                <w:sz w:val="24"/>
                <w:szCs w:val="24"/>
              </w:rPr>
              <w:t>V</w:t>
            </w:r>
            <w:r>
              <w:rPr>
                <w:rFonts w:ascii="Times New Roman" w:hAnsi="Times New Roman"/>
                <w:spacing w:val="4"/>
                <w:sz w:val="24"/>
                <w:szCs w:val="24"/>
                <w:vertAlign w:val="subscript"/>
              </w:rPr>
              <w:t>50</w:t>
            </w:r>
            <w:r>
              <w:rPr>
                <w:rFonts w:ascii="Times New Roman" w:hAnsi="Times New Roman"/>
                <w:spacing w:val="4"/>
                <w:sz w:val="24"/>
                <w:szCs w:val="24"/>
              </w:rPr>
              <w:t>——距地面50m处风速，m/s；</w:t>
            </w:r>
          </w:p>
          <w:p>
            <w:pPr>
              <w:keepNext w:val="0"/>
              <w:keepLines w:val="0"/>
              <w:pageBreakBefore w:val="0"/>
              <w:widowControl w:val="0"/>
              <w:kinsoku/>
              <w:wordWrap/>
              <w:topLinePunct w:val="0"/>
              <w:bidi w:val="0"/>
              <w:adjustRightInd/>
              <w:snapToGrid/>
              <w:spacing w:line="360" w:lineRule="auto"/>
              <w:ind w:firstLine="496" w:firstLineChars="200"/>
              <w:textAlignment w:val="auto"/>
              <w:outlineLvl w:val="9"/>
              <w:rPr>
                <w:rFonts w:ascii="Times New Roman" w:hAnsi="Times New Roman"/>
                <w:spacing w:val="4"/>
                <w:sz w:val="24"/>
                <w:szCs w:val="24"/>
              </w:rPr>
            </w:pPr>
            <w:r>
              <w:rPr>
                <w:rFonts w:ascii="Times New Roman" w:hAnsi="Times New Roman"/>
                <w:spacing w:val="4"/>
                <w:sz w:val="24"/>
                <w:szCs w:val="24"/>
              </w:rPr>
              <w:t xml:space="preserve">     </w:t>
            </w:r>
            <w:r>
              <w:rPr>
                <w:rFonts w:ascii="Times New Roman" w:hAnsi="Times New Roman"/>
                <w:i/>
                <w:spacing w:val="4"/>
                <w:sz w:val="24"/>
                <w:szCs w:val="24"/>
              </w:rPr>
              <w:t>V</w:t>
            </w:r>
            <w:r>
              <w:rPr>
                <w:rFonts w:ascii="Times New Roman" w:hAnsi="Times New Roman"/>
                <w:spacing w:val="4"/>
                <w:sz w:val="24"/>
                <w:szCs w:val="24"/>
                <w:vertAlign w:val="subscript"/>
              </w:rPr>
              <w:t>0</w:t>
            </w:r>
            <w:r>
              <w:rPr>
                <w:rFonts w:ascii="Times New Roman" w:hAnsi="Times New Roman"/>
                <w:spacing w:val="4"/>
                <w:sz w:val="24"/>
                <w:szCs w:val="24"/>
              </w:rPr>
              <w:t>——起尘风速，m/s；</w:t>
            </w:r>
          </w:p>
          <w:p>
            <w:pPr>
              <w:keepNext w:val="0"/>
              <w:keepLines w:val="0"/>
              <w:pageBreakBefore w:val="0"/>
              <w:widowControl w:val="0"/>
              <w:kinsoku/>
              <w:wordWrap/>
              <w:topLinePunct w:val="0"/>
              <w:bidi w:val="0"/>
              <w:adjustRightInd/>
              <w:snapToGrid/>
              <w:spacing w:line="360" w:lineRule="auto"/>
              <w:ind w:firstLine="496" w:firstLineChars="200"/>
              <w:textAlignment w:val="auto"/>
              <w:outlineLvl w:val="9"/>
              <w:rPr>
                <w:rFonts w:ascii="Times New Roman" w:hAnsi="Times New Roman"/>
                <w:spacing w:val="4"/>
                <w:sz w:val="24"/>
                <w:szCs w:val="24"/>
              </w:rPr>
            </w:pPr>
            <w:r>
              <w:rPr>
                <w:rFonts w:ascii="Times New Roman" w:hAnsi="Times New Roman"/>
                <w:spacing w:val="4"/>
                <w:sz w:val="24"/>
                <w:szCs w:val="24"/>
              </w:rPr>
              <w:t xml:space="preserve">     </w:t>
            </w:r>
            <w:r>
              <w:rPr>
                <w:rFonts w:ascii="Times New Roman" w:hAnsi="Times New Roman"/>
                <w:i/>
                <w:spacing w:val="4"/>
                <w:sz w:val="24"/>
                <w:szCs w:val="24"/>
              </w:rPr>
              <w:t>W</w:t>
            </w:r>
            <w:r>
              <w:rPr>
                <w:rFonts w:ascii="Times New Roman" w:hAnsi="Times New Roman"/>
                <w:spacing w:val="4"/>
                <w:sz w:val="24"/>
                <w:szCs w:val="24"/>
              </w:rPr>
              <w:t>——尘粒的含水率，%。</w:t>
            </w:r>
          </w:p>
          <w:p>
            <w:pPr>
              <w:keepNext w:val="0"/>
              <w:keepLines w:val="0"/>
              <w:pageBreakBefore w:val="0"/>
              <w:widowControl w:val="0"/>
              <w:kinsoku/>
              <w:wordWrap/>
              <w:topLinePunct w:val="0"/>
              <w:bidi w:val="0"/>
              <w:adjustRightInd/>
              <w:snapToGrid/>
              <w:spacing w:line="360" w:lineRule="auto"/>
              <w:ind w:firstLine="496" w:firstLineChars="200"/>
              <w:textAlignment w:val="auto"/>
              <w:outlineLvl w:val="9"/>
              <w:rPr>
                <w:spacing w:val="4"/>
                <w:sz w:val="24"/>
                <w:szCs w:val="24"/>
              </w:rPr>
            </w:pPr>
            <w:r>
              <w:rPr>
                <w:rFonts w:ascii="Times New Roman" w:hAnsi="Times New Roman"/>
                <w:spacing w:val="4"/>
                <w:sz w:val="24"/>
                <w:szCs w:val="24"/>
              </w:rPr>
              <w:t>起尘风速与粒径和含水率有关，因此，减少露天堆放和保证一定的含水率及减少裸露地面是减少风力起尘的有效手段。粉尘在空气中的扩散稀释与风速等气象条件有关，也与粉尘本身的沉降速度有关。不同粒径粉尘的沉降速度见表</w:t>
            </w:r>
            <w:r>
              <w:rPr>
                <w:rFonts w:hint="eastAsia" w:ascii="Times New Roman" w:hAnsi="Times New Roman"/>
                <w:spacing w:val="4"/>
                <w:sz w:val="24"/>
                <w:szCs w:val="24"/>
                <w:lang w:val="en-US" w:eastAsia="zh-CN"/>
              </w:rPr>
              <w:t>5.1</w:t>
            </w:r>
            <w:r>
              <w:rPr>
                <w:rFonts w:ascii="Times New Roman" w:hAnsi="Times New Roman"/>
                <w:spacing w:val="4"/>
                <w:sz w:val="24"/>
                <w:szCs w:val="24"/>
              </w:rPr>
              <w:t>-</w:t>
            </w:r>
            <w:r>
              <w:rPr>
                <w:rFonts w:hint="eastAsia" w:ascii="Times New Roman" w:hAnsi="Times New Roman"/>
                <w:spacing w:val="4"/>
                <w:sz w:val="24"/>
                <w:szCs w:val="24"/>
              </w:rPr>
              <w:t>1</w:t>
            </w:r>
            <w:r>
              <w:rPr>
                <w:rFonts w:ascii="Times New Roman" w:hAnsi="Times New Roman"/>
                <w:spacing w:val="4"/>
                <w:sz w:val="24"/>
                <w:szCs w:val="24"/>
              </w:rPr>
              <w:t>。由表可知，粉尘的沉降速度随粒径的增大而迅速增大。当粒径为250</w:t>
            </w:r>
            <w:r>
              <w:rPr>
                <w:rFonts w:ascii="Times New Roman" w:hAnsi="Times New Roman"/>
                <w:spacing w:val="4"/>
                <w:sz w:val="24"/>
                <w:szCs w:val="24"/>
              </w:rPr>
              <w:sym w:font="Symbol" w:char="F06D"/>
            </w:r>
            <w:r>
              <w:rPr>
                <w:rFonts w:ascii="Times New Roman" w:hAnsi="Times New Roman"/>
                <w:spacing w:val="4"/>
                <w:sz w:val="24"/>
                <w:szCs w:val="24"/>
              </w:rPr>
              <w:t>m时，沉降速度为1.005m/s，因此可以认为当尘粒大于250</w:t>
            </w:r>
            <w:r>
              <w:rPr>
                <w:rFonts w:ascii="Times New Roman" w:hAnsi="Times New Roman"/>
                <w:spacing w:val="4"/>
                <w:sz w:val="24"/>
                <w:szCs w:val="24"/>
              </w:rPr>
              <w:sym w:font="Symbol" w:char="F06D"/>
            </w:r>
            <w:r>
              <w:rPr>
                <w:rFonts w:ascii="Times New Roman" w:hAnsi="Times New Roman"/>
                <w:spacing w:val="4"/>
                <w:sz w:val="24"/>
                <w:szCs w:val="24"/>
              </w:rPr>
              <w:t>m时，主要影响范围在扬尘点下风向近距离范围内，而真正对外环境产生影响的是一些微小粒径的粉</w:t>
            </w:r>
            <w:r>
              <w:rPr>
                <w:spacing w:val="4"/>
                <w:sz w:val="24"/>
                <w:szCs w:val="24"/>
              </w:rPr>
              <w:t>尘。</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ascii="Times New Roman" w:hAnsi="Times New Roman"/>
                <w:b/>
                <w:sz w:val="24"/>
                <w:szCs w:val="24"/>
              </w:rPr>
            </w:pPr>
            <w:r>
              <w:rPr>
                <w:rFonts w:ascii="Times New Roman" w:hAnsi="Times New Roman"/>
                <w:b/>
                <w:sz w:val="24"/>
                <w:szCs w:val="24"/>
              </w:rPr>
              <w:t>表</w:t>
            </w:r>
            <w:r>
              <w:rPr>
                <w:rFonts w:hint="eastAsia" w:ascii="Times New Roman" w:hAnsi="Times New Roman"/>
                <w:b/>
                <w:sz w:val="24"/>
                <w:szCs w:val="24"/>
                <w:lang w:val="en-US" w:eastAsia="zh-CN"/>
              </w:rPr>
              <w:t>5.1-1</w:t>
            </w:r>
            <w:r>
              <w:rPr>
                <w:rFonts w:ascii="Times New Roman" w:hAnsi="Times New Roman"/>
                <w:b/>
                <w:sz w:val="24"/>
                <w:szCs w:val="24"/>
              </w:rPr>
              <w:t xml:space="preserve">    不同粒径尘粒的沉降速度</w:t>
            </w:r>
          </w:p>
          <w:tbl>
            <w:tblPr>
              <w:tblStyle w:val="26"/>
              <w:tblW w:w="9555" w:type="dxa"/>
              <w:jc w:val="center"/>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Layout w:type="fixed"/>
              <w:tblCellMar>
                <w:top w:w="0" w:type="dxa"/>
                <w:left w:w="0" w:type="dxa"/>
                <w:bottom w:w="0" w:type="dxa"/>
                <w:right w:w="0" w:type="dxa"/>
              </w:tblCellMar>
            </w:tblPr>
            <w:tblGrid>
              <w:gridCol w:w="1952"/>
              <w:gridCol w:w="1086"/>
              <w:gridCol w:w="1085"/>
              <w:gridCol w:w="1086"/>
              <w:gridCol w:w="1087"/>
              <w:gridCol w:w="1086"/>
              <w:gridCol w:w="1086"/>
              <w:gridCol w:w="1087"/>
            </w:tblGrid>
            <w:tr>
              <w:tblPrEx>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5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粉尘粒径 (</w:t>
                  </w:r>
                  <w:r>
                    <w:rPr>
                      <w:rFonts w:ascii="Times New Roman" w:hAnsi="Times New Roman"/>
                      <w:sz w:val="21"/>
                      <w:szCs w:val="21"/>
                    </w:rPr>
                    <w:sym w:font="Symbol" w:char="F06D"/>
                  </w:r>
                  <w:r>
                    <w:rPr>
                      <w:rFonts w:ascii="Times New Roman" w:hAnsi="Times New Roman"/>
                      <w:sz w:val="21"/>
                      <w:szCs w:val="21"/>
                    </w:rPr>
                    <w:t>m)</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10</w:t>
                  </w:r>
                </w:p>
              </w:tc>
              <w:tc>
                <w:tcPr>
                  <w:tcW w:w="108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20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30</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40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50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60</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70</w:t>
                  </w:r>
                </w:p>
              </w:tc>
            </w:tr>
            <w:tr>
              <w:tblPrEx>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5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沉降速度 (m/s)</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0.003</w:t>
                  </w:r>
                </w:p>
              </w:tc>
              <w:tc>
                <w:tcPr>
                  <w:tcW w:w="108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0.012</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0.027</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0.048</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0.075</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0.108</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0.147</w:t>
                  </w:r>
                </w:p>
              </w:tc>
            </w:tr>
            <w:tr>
              <w:tblPrEx>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5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粉尘粒径 (</w:t>
                  </w:r>
                  <w:r>
                    <w:rPr>
                      <w:rFonts w:ascii="Times New Roman" w:hAnsi="Times New Roman"/>
                      <w:sz w:val="21"/>
                      <w:szCs w:val="21"/>
                    </w:rPr>
                    <w:sym w:font="Symbol" w:char="F06D"/>
                  </w:r>
                  <w:r>
                    <w:rPr>
                      <w:rFonts w:ascii="Times New Roman" w:hAnsi="Times New Roman"/>
                      <w:sz w:val="21"/>
                      <w:szCs w:val="21"/>
                    </w:rPr>
                    <w:t>m)</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80</w:t>
                  </w:r>
                </w:p>
              </w:tc>
              <w:tc>
                <w:tcPr>
                  <w:tcW w:w="108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90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100</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150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200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250</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350</w:t>
                  </w:r>
                </w:p>
              </w:tc>
            </w:tr>
            <w:tr>
              <w:tblPrEx>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5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沉降速度 (m/s)</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0.158</w:t>
                  </w:r>
                </w:p>
              </w:tc>
              <w:tc>
                <w:tcPr>
                  <w:tcW w:w="108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0.170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0.182</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0.239</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0.804</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1.005</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1.829</w:t>
                  </w:r>
                </w:p>
              </w:tc>
            </w:tr>
            <w:tr>
              <w:tblPrEx>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5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粉尘粒径 (</w:t>
                  </w:r>
                  <w:r>
                    <w:rPr>
                      <w:rFonts w:ascii="Times New Roman" w:hAnsi="Times New Roman"/>
                      <w:sz w:val="21"/>
                      <w:szCs w:val="21"/>
                    </w:rPr>
                    <w:sym w:font="Symbol" w:char="F06D"/>
                  </w:r>
                  <w:r>
                    <w:rPr>
                      <w:rFonts w:ascii="Times New Roman" w:hAnsi="Times New Roman"/>
                      <w:sz w:val="21"/>
                      <w:szCs w:val="21"/>
                    </w:rPr>
                    <w:t>m)</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450</w:t>
                  </w:r>
                </w:p>
              </w:tc>
              <w:tc>
                <w:tcPr>
                  <w:tcW w:w="108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550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650</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750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850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950</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1050</w:t>
                  </w:r>
                </w:p>
              </w:tc>
            </w:tr>
            <w:tr>
              <w:tblPrEx>
                <w:tblBorders>
                  <w:top w:val="single" w:color="000000" w:sz="2" w:space="0"/>
                  <w:left w:val="single" w:color="000000" w:sz="2" w:space="0"/>
                  <w:bottom w:val="single" w:color="000000" w:sz="2" w:space="0"/>
                  <w:right w:val="single" w:color="000000" w:sz="2"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52"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沉降速度 (m/s)</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2.211</w:t>
                  </w:r>
                </w:p>
              </w:tc>
              <w:tc>
                <w:tcPr>
                  <w:tcW w:w="1085"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2.614</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3.016</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3.418</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3.820</w:t>
                  </w:r>
                </w:p>
              </w:tc>
              <w:tc>
                <w:tcPr>
                  <w:tcW w:w="108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4.222</w:t>
                  </w:r>
                </w:p>
              </w:tc>
              <w:tc>
                <w:tcPr>
                  <w:tcW w:w="1087"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ind w:firstLine="65" w:firstLineChars="31"/>
                    <w:jc w:val="center"/>
                    <w:textAlignment w:val="auto"/>
                    <w:outlineLvl w:val="9"/>
                    <w:rPr>
                      <w:rFonts w:ascii="Times New Roman" w:hAnsi="Times New Roman"/>
                      <w:sz w:val="21"/>
                      <w:szCs w:val="21"/>
                    </w:rPr>
                  </w:pPr>
                  <w:r>
                    <w:rPr>
                      <w:rFonts w:ascii="Times New Roman" w:hAnsi="Times New Roman"/>
                      <w:sz w:val="21"/>
                      <w:szCs w:val="21"/>
                    </w:rPr>
                    <w:t>4.624</w:t>
                  </w:r>
                </w:p>
              </w:tc>
            </w:tr>
          </w:tbl>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（2）施工车辆机械尾气</w:t>
            </w:r>
          </w:p>
          <w:p>
            <w:pPr>
              <w:pStyle w:val="88"/>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kern w:val="0"/>
                <w:sz w:val="24"/>
                <w:szCs w:val="24"/>
              </w:rPr>
              <w:t>一般来说，施工车辆因其使用较频繁，排放的尾气污染物主要有一氧化碳、碳氢化合物、氮氧化合物等。工程施工用车以</w:t>
            </w:r>
            <w:r>
              <w:rPr>
                <w:rFonts w:hint="eastAsia" w:hAnsi="Times New Roman" w:cs="Times New Roman" w:eastAsiaTheme="minorEastAsia"/>
                <w:kern w:val="0"/>
                <w:sz w:val="24"/>
                <w:szCs w:val="24"/>
                <w:lang w:val="en-US" w:eastAsia="zh-CN"/>
              </w:rPr>
              <w:t>1</w:t>
            </w:r>
            <w:r>
              <w:rPr>
                <w:rFonts w:hint="default" w:ascii="Times New Roman" w:hAnsi="Times New Roman" w:cs="Times New Roman" w:eastAsiaTheme="minorEastAsia"/>
                <w:kern w:val="0"/>
                <w:sz w:val="24"/>
                <w:szCs w:val="24"/>
              </w:rPr>
              <w:t>0辆计，以每车1天耗油50L计算，根据《环境保护实用数据》机动车辆大气污染物排放系数计算，以柴油为燃料的一氧化碳产生量为3.24g/L，碳氢化合物的产生量为4.44g/L，氮氧化合物的产生量为44.4g/L。载重汽车则施工车辆每天排放的尾气中含CO</w:t>
            </w:r>
            <w:r>
              <w:rPr>
                <w:rFonts w:hint="eastAsia" w:hAnsi="Times New Roman" w:cs="Times New Roman" w:eastAsiaTheme="minorEastAsia"/>
                <w:kern w:val="0"/>
                <w:sz w:val="24"/>
                <w:szCs w:val="24"/>
                <w:lang w:val="en-US" w:eastAsia="zh-CN"/>
              </w:rPr>
              <w:t>1.08</w:t>
            </w:r>
            <w:r>
              <w:rPr>
                <w:rFonts w:hint="default" w:ascii="Times New Roman" w:hAnsi="Times New Roman" w:cs="Times New Roman" w:eastAsiaTheme="minorEastAsia"/>
                <w:kern w:val="0"/>
                <w:sz w:val="24"/>
                <w:szCs w:val="24"/>
              </w:rPr>
              <w:t>kg、THC</w:t>
            </w:r>
            <w:r>
              <w:rPr>
                <w:rFonts w:hint="eastAsia" w:hAnsi="Times New Roman" w:cs="Times New Roman" w:eastAsiaTheme="minorEastAsia"/>
                <w:kern w:val="0"/>
                <w:sz w:val="24"/>
                <w:szCs w:val="24"/>
                <w:lang w:val="en-US" w:eastAsia="zh-CN"/>
              </w:rPr>
              <w:t>1.48</w:t>
            </w:r>
            <w:r>
              <w:rPr>
                <w:rFonts w:hint="default" w:ascii="Times New Roman" w:hAnsi="Times New Roman" w:cs="Times New Roman" w:eastAsiaTheme="minorEastAsia"/>
                <w:kern w:val="0"/>
                <w:sz w:val="24"/>
                <w:szCs w:val="24"/>
              </w:rPr>
              <w:t>kg、NO</w:t>
            </w:r>
            <w:r>
              <w:rPr>
                <w:rFonts w:hint="default" w:ascii="Times New Roman" w:hAnsi="Times New Roman" w:cs="Times New Roman" w:eastAsiaTheme="minorEastAsia"/>
                <w:kern w:val="0"/>
                <w:sz w:val="24"/>
                <w:szCs w:val="24"/>
                <w:vertAlign w:val="subscript"/>
              </w:rPr>
              <w:t>x</w:t>
            </w:r>
            <w:r>
              <w:rPr>
                <w:rFonts w:hint="eastAsia" w:hAnsi="Times New Roman" w:cs="Times New Roman" w:eastAsiaTheme="minorEastAsia"/>
                <w:kern w:val="0"/>
                <w:sz w:val="24"/>
                <w:szCs w:val="24"/>
                <w:lang w:val="en-US" w:eastAsia="zh-CN"/>
              </w:rPr>
              <w:t>14.8</w:t>
            </w:r>
            <w:r>
              <w:rPr>
                <w:rFonts w:hint="default" w:ascii="Times New Roman" w:hAnsi="Times New Roman" w:cs="Times New Roman" w:eastAsiaTheme="minorEastAsia"/>
                <w:kern w:val="0"/>
                <w:sz w:val="24"/>
                <w:szCs w:val="24"/>
              </w:rPr>
              <w:t>kg。</w:t>
            </w:r>
          </w:p>
          <w:p>
            <w:pPr>
              <w:pStyle w:val="88"/>
              <w:numPr>
                <w:ilvl w:val="0"/>
                <w:numId w:val="0"/>
              </w:numPr>
              <w:ind w:leftChars="200"/>
              <w:rPr>
                <w:rFonts w:hint="eastAsia" w:hAnsi="Times New Roman" w:cs="Times New Roman" w:eastAsiaTheme="minorEastAsia"/>
                <w:kern w:val="0"/>
                <w:sz w:val="24"/>
                <w:szCs w:val="24"/>
                <w:lang w:val="en-US" w:eastAsia="zh-CN"/>
              </w:rPr>
            </w:pPr>
            <w:r>
              <w:rPr>
                <w:rFonts w:hint="eastAsia" w:hAnsi="Times New Roman" w:cs="Times New Roman" w:eastAsiaTheme="minorEastAsia"/>
                <w:kern w:val="0"/>
                <w:sz w:val="24"/>
                <w:szCs w:val="24"/>
                <w:lang w:val="en-US" w:eastAsia="zh-CN"/>
              </w:rPr>
              <w:t>（3）湿塘清淤的恶臭</w:t>
            </w:r>
          </w:p>
          <w:p>
            <w:pPr>
              <w:pStyle w:val="88"/>
              <w:numPr>
                <w:ilvl w:val="0"/>
                <w:numId w:val="0"/>
              </w:numPr>
              <w:ind w:firstLine="480" w:firstLineChars="200"/>
              <w:rPr>
                <w:rFonts w:hint="eastAsia" w:hAnsi="Times New Roman" w:cs="Times New Roman" w:eastAsiaTheme="minorEastAsia"/>
                <w:kern w:val="0"/>
                <w:sz w:val="24"/>
                <w:szCs w:val="24"/>
                <w:lang w:val="en-US" w:eastAsia="zh-CN"/>
              </w:rPr>
            </w:pPr>
            <w:r>
              <w:rPr>
                <w:rFonts w:hint="eastAsia" w:hAnsi="Times New Roman" w:cs="Times New Roman" w:eastAsiaTheme="minorEastAsia"/>
                <w:kern w:val="0"/>
                <w:sz w:val="24"/>
                <w:szCs w:val="24"/>
                <w:lang w:val="en-US" w:eastAsia="zh-CN"/>
              </w:rPr>
              <w:t>项目施工期间，对大气环境产生的影响主要来源于底泥恶臭污染。本环评采取臭气强度评价法（臭气强度表示法是通过人的嗅觉测试，用规定的等级表示臭气强弱的方法）并类比同类工程的经验数值进行估算。</w:t>
            </w:r>
          </w:p>
          <w:p>
            <w:pPr>
              <w:pStyle w:val="88"/>
              <w:numPr>
                <w:ilvl w:val="0"/>
                <w:numId w:val="0"/>
              </w:numPr>
              <w:ind w:firstLine="482" w:firstLineChars="200"/>
              <w:jc w:val="center"/>
              <w:rPr>
                <w:rFonts w:hint="default" w:ascii="Times New Roman" w:hAnsi="Times New Roman" w:cs="Times New Roman" w:eastAsiaTheme="minorEastAsia"/>
                <w:b/>
                <w:kern w:val="0"/>
                <w:sz w:val="24"/>
                <w:szCs w:val="24"/>
                <w:lang w:val="en-US" w:eastAsia="zh-CN" w:bidi="ar-SA"/>
              </w:rPr>
            </w:pPr>
            <w:r>
              <w:rPr>
                <w:rFonts w:hint="eastAsia" w:ascii="Times New Roman" w:hAnsi="Times New Roman" w:cs="Times New Roman" w:eastAsiaTheme="minorEastAsia"/>
                <w:b/>
                <w:kern w:val="0"/>
                <w:sz w:val="24"/>
                <w:szCs w:val="24"/>
                <w:lang w:val="en-US" w:eastAsia="zh-CN" w:bidi="ar-SA"/>
              </w:rPr>
              <w:t>表5.1-2  臭气强度分级表</w:t>
            </w:r>
          </w:p>
          <w:tbl>
            <w:tblPr>
              <w:tblStyle w:val="27"/>
              <w:tblW w:w="95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7"/>
              <w:gridCol w:w="79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臭气强度（级）</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感觉强度描述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0</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无臭味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1</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勉强可感觉到气味（感觉阈值）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2</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气味很弱但能分辨其性质（识别阈值）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3</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很容易感觉到气味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4</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强烈的气味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87" w:type="dxa"/>
                  <w:vAlign w:val="center"/>
                </w:tcPr>
                <w:p>
                  <w:pPr>
                    <w:pStyle w:val="88"/>
                    <w:numPr>
                      <w:ilvl w:val="0"/>
                      <w:numId w:val="0"/>
                    </w:numPr>
                    <w:spacing w:line="240" w:lineRule="auto"/>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kern w:val="0"/>
                      <w:sz w:val="21"/>
                      <w:szCs w:val="21"/>
                      <w:vertAlign w:val="baseline"/>
                      <w:lang w:val="en-US" w:eastAsia="zh-CN"/>
                    </w:rPr>
                    <w:t>5</w:t>
                  </w:r>
                </w:p>
              </w:tc>
              <w:tc>
                <w:tcPr>
                  <w:tcW w:w="7972" w:type="dxa"/>
                  <w:vAlign w:val="center"/>
                </w:tcPr>
                <w:p>
                  <w:pPr>
                    <w:keepNext w:val="0"/>
                    <w:keepLines w:val="0"/>
                    <w:widowControl/>
                    <w:suppressLineNumbers w:val="0"/>
                    <w:jc w:val="center"/>
                    <w:rPr>
                      <w:rFonts w:hint="default" w:ascii="Times New Roman" w:hAnsi="Times New Roman" w:eastAsia="宋体" w:cs="Times New Roman"/>
                      <w:b w:val="0"/>
                      <w:bCs w:val="0"/>
                      <w:kern w:val="0"/>
                      <w:sz w:val="21"/>
                      <w:szCs w:val="21"/>
                      <w:vertAlign w:val="baseline"/>
                      <w:lang w:val="en-US" w:eastAsia="zh-CN"/>
                    </w:rPr>
                  </w:pPr>
                  <w:r>
                    <w:rPr>
                      <w:rFonts w:hint="default" w:ascii="Times New Roman" w:hAnsi="Times New Roman" w:eastAsia="宋体" w:cs="Times New Roman"/>
                      <w:b w:val="0"/>
                      <w:bCs w:val="0"/>
                      <w:color w:val="000000"/>
                      <w:kern w:val="0"/>
                      <w:sz w:val="21"/>
                      <w:szCs w:val="21"/>
                      <w:lang w:val="en-US" w:eastAsia="zh-CN" w:bidi="ar"/>
                    </w:rPr>
                    <w:t>无法忍受的极强气味</w:t>
                  </w:r>
                </w:p>
              </w:tc>
            </w:tr>
          </w:tbl>
          <w:p>
            <w:pPr>
              <w:pStyle w:val="88"/>
              <w:numPr>
                <w:ilvl w:val="0"/>
                <w:numId w:val="0"/>
              </w:numPr>
              <w:jc w:val="center"/>
              <w:rPr>
                <w:rFonts w:hint="eastAsia" w:ascii="Times New Roman" w:hAnsi="Times New Roman" w:cs="Times New Roman" w:eastAsiaTheme="minorEastAsia"/>
                <w:b/>
                <w:kern w:val="0"/>
                <w:sz w:val="24"/>
                <w:szCs w:val="24"/>
                <w:lang w:val="en-US" w:eastAsia="zh-CN" w:bidi="ar-SA"/>
              </w:rPr>
            </w:pPr>
            <w:r>
              <w:rPr>
                <w:rFonts w:hint="eastAsia" w:ascii="Times New Roman" w:hAnsi="Times New Roman" w:cs="Times New Roman" w:eastAsiaTheme="minorEastAsia"/>
                <w:b/>
                <w:kern w:val="0"/>
                <w:sz w:val="24"/>
                <w:szCs w:val="24"/>
                <w:lang w:val="en-US" w:eastAsia="zh-CN" w:bidi="ar-SA"/>
              </w:rPr>
              <w:t>表5.1-3  恶臭物质浓度与臭气强度的关系</w:t>
            </w:r>
          </w:p>
          <w:tbl>
            <w:tblPr>
              <w:tblStyle w:val="2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86"/>
              <w:gridCol w:w="3186"/>
              <w:gridCol w:w="31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keepNext w:val="0"/>
                    <w:keepLines w:val="0"/>
                    <w:widowControl/>
                    <w:suppressLineNumbers w:val="0"/>
                    <w:jc w:val="center"/>
                    <w:rPr>
                      <w:rFonts w:hint="default" w:ascii="Times New Roman" w:hAnsi="Times New Roman" w:eastAsia="宋体" w:cs="Times New Roman"/>
                      <w:b w:val="0"/>
                      <w:bCs/>
                      <w:kern w:val="0"/>
                      <w:sz w:val="21"/>
                      <w:szCs w:val="21"/>
                      <w:vertAlign w:val="baseline"/>
                      <w:lang w:val="en-US" w:eastAsia="zh-CN"/>
                    </w:rPr>
                  </w:pPr>
                  <w:r>
                    <w:rPr>
                      <w:rFonts w:hint="default" w:ascii="Times New Roman" w:hAnsi="Times New Roman" w:eastAsia="宋体" w:cs="Times New Roman"/>
                      <w:b w:val="0"/>
                      <w:bCs/>
                      <w:color w:val="000000"/>
                      <w:kern w:val="0"/>
                      <w:sz w:val="21"/>
                      <w:szCs w:val="21"/>
                      <w:lang w:val="en-US" w:eastAsia="zh-CN" w:bidi="ar"/>
                    </w:rPr>
                    <w:t>臭气强度等级</w:t>
                  </w:r>
                </w:p>
              </w:tc>
              <w:tc>
                <w:tcPr>
                  <w:tcW w:w="3186" w:type="dxa"/>
                  <w:vAlign w:val="center"/>
                </w:tcPr>
                <w:p>
                  <w:pPr>
                    <w:keepNext w:val="0"/>
                    <w:keepLines w:val="0"/>
                    <w:widowControl/>
                    <w:suppressLineNumbers w:val="0"/>
                    <w:jc w:val="center"/>
                    <w:rPr>
                      <w:rFonts w:hint="default" w:ascii="Times New Roman" w:hAnsi="Times New Roman" w:eastAsia="宋体" w:cs="Times New Roman"/>
                      <w:b w:val="0"/>
                      <w:bCs/>
                      <w:kern w:val="0"/>
                      <w:sz w:val="21"/>
                      <w:szCs w:val="21"/>
                      <w:vertAlign w:val="baseline"/>
                      <w:lang w:val="en-US" w:eastAsia="zh-CN"/>
                    </w:rPr>
                  </w:pPr>
                  <w:r>
                    <w:rPr>
                      <w:rFonts w:hint="default" w:ascii="Times New Roman" w:hAnsi="Times New Roman" w:eastAsia="宋体" w:cs="Times New Roman"/>
                      <w:b w:val="0"/>
                      <w:bCs/>
                      <w:color w:val="000000"/>
                      <w:kern w:val="0"/>
                      <w:sz w:val="21"/>
                      <w:szCs w:val="21"/>
                      <w:lang w:val="en-US" w:eastAsia="zh-CN" w:bidi="ar"/>
                    </w:rPr>
                    <w:t>NH</w:t>
                  </w:r>
                  <w:r>
                    <w:rPr>
                      <w:rFonts w:hint="default" w:ascii="Times New Roman" w:hAnsi="Times New Roman" w:eastAsia="宋体" w:cs="Times New Roman"/>
                      <w:b w:val="0"/>
                      <w:bCs/>
                      <w:color w:val="000000"/>
                      <w:kern w:val="0"/>
                      <w:sz w:val="21"/>
                      <w:szCs w:val="21"/>
                      <w:vertAlign w:val="subscript"/>
                      <w:lang w:val="en-US" w:eastAsia="zh-CN" w:bidi="ar"/>
                    </w:rPr>
                    <w:t>3</w:t>
                  </w:r>
                  <w:r>
                    <w:rPr>
                      <w:rFonts w:hint="default" w:ascii="Times New Roman" w:hAnsi="Times New Roman" w:eastAsia="宋体" w:cs="Times New Roman"/>
                      <w:b w:val="0"/>
                      <w:bCs/>
                      <w:color w:val="000000"/>
                      <w:kern w:val="0"/>
                      <w:sz w:val="21"/>
                      <w:szCs w:val="21"/>
                      <w:lang w:val="en-US" w:eastAsia="zh-CN" w:bidi="ar"/>
                    </w:rPr>
                    <w:t>浓度（mg/m</w:t>
                  </w:r>
                  <w:r>
                    <w:rPr>
                      <w:rFonts w:hint="default" w:ascii="Times New Roman" w:hAnsi="Times New Roman" w:eastAsia="宋体" w:cs="Times New Roman"/>
                      <w:b w:val="0"/>
                      <w:bCs/>
                      <w:color w:val="000000"/>
                      <w:kern w:val="0"/>
                      <w:sz w:val="21"/>
                      <w:szCs w:val="21"/>
                      <w:vertAlign w:val="superscript"/>
                      <w:lang w:val="en-US" w:eastAsia="zh-CN" w:bidi="ar"/>
                    </w:rPr>
                    <w:t>3</w:t>
                  </w:r>
                  <w:r>
                    <w:rPr>
                      <w:rFonts w:hint="default" w:ascii="Times New Roman" w:hAnsi="Times New Roman" w:eastAsia="宋体" w:cs="Times New Roman"/>
                      <w:b w:val="0"/>
                      <w:bCs/>
                      <w:color w:val="000000"/>
                      <w:kern w:val="0"/>
                      <w:sz w:val="21"/>
                      <w:szCs w:val="21"/>
                      <w:lang w:val="en-US" w:eastAsia="zh-CN" w:bidi="ar"/>
                    </w:rPr>
                    <w:t>）</w:t>
                  </w:r>
                </w:p>
              </w:tc>
              <w:tc>
                <w:tcPr>
                  <w:tcW w:w="3187" w:type="dxa"/>
                  <w:vAlign w:val="center"/>
                </w:tcPr>
                <w:p>
                  <w:pPr>
                    <w:keepNext w:val="0"/>
                    <w:keepLines w:val="0"/>
                    <w:widowControl/>
                    <w:suppressLineNumbers w:val="0"/>
                    <w:jc w:val="center"/>
                    <w:rPr>
                      <w:rFonts w:hint="default" w:ascii="Times New Roman" w:hAnsi="Times New Roman" w:eastAsia="宋体" w:cs="Times New Roman"/>
                      <w:b w:val="0"/>
                      <w:bCs/>
                      <w:kern w:val="0"/>
                      <w:sz w:val="21"/>
                      <w:szCs w:val="21"/>
                      <w:vertAlign w:val="baseline"/>
                      <w:lang w:val="en-US" w:eastAsia="zh-CN"/>
                    </w:rPr>
                  </w:pPr>
                  <w:r>
                    <w:rPr>
                      <w:rFonts w:hint="default" w:ascii="Times New Roman" w:hAnsi="Times New Roman" w:eastAsia="宋体" w:cs="Times New Roman"/>
                      <w:b w:val="0"/>
                      <w:bCs/>
                      <w:color w:val="000000"/>
                      <w:kern w:val="0"/>
                      <w:sz w:val="21"/>
                      <w:szCs w:val="21"/>
                      <w:lang w:val="en-US" w:eastAsia="zh-CN" w:bidi="ar"/>
                    </w:rPr>
                    <w:t>H</w:t>
                  </w:r>
                  <w:r>
                    <w:rPr>
                      <w:rFonts w:hint="default" w:ascii="Times New Roman" w:hAnsi="Times New Roman" w:eastAsia="宋体" w:cs="Times New Roman"/>
                      <w:b w:val="0"/>
                      <w:bCs/>
                      <w:color w:val="000000"/>
                      <w:kern w:val="0"/>
                      <w:sz w:val="21"/>
                      <w:szCs w:val="21"/>
                      <w:vertAlign w:val="subscript"/>
                      <w:lang w:val="en-US" w:eastAsia="zh-CN" w:bidi="ar"/>
                    </w:rPr>
                    <w:t>2</w:t>
                  </w:r>
                  <w:r>
                    <w:rPr>
                      <w:rFonts w:hint="default" w:ascii="Times New Roman" w:hAnsi="Times New Roman" w:eastAsia="宋体" w:cs="Times New Roman"/>
                      <w:b w:val="0"/>
                      <w:bCs/>
                      <w:color w:val="000000"/>
                      <w:kern w:val="0"/>
                      <w:sz w:val="21"/>
                      <w:szCs w:val="21"/>
                      <w:lang w:val="en-US" w:eastAsia="zh-CN" w:bidi="ar"/>
                    </w:rPr>
                    <w:t>S 浓度（mg/m</w:t>
                  </w:r>
                  <w:r>
                    <w:rPr>
                      <w:rFonts w:hint="default" w:ascii="Times New Roman" w:hAnsi="Times New Roman" w:eastAsia="宋体" w:cs="Times New Roman"/>
                      <w:b w:val="0"/>
                      <w:bCs/>
                      <w:color w:val="000000"/>
                      <w:kern w:val="0"/>
                      <w:sz w:val="21"/>
                      <w:szCs w:val="21"/>
                      <w:vertAlign w:val="superscript"/>
                      <w:lang w:val="en-US" w:eastAsia="zh-CN" w:bidi="ar"/>
                    </w:rPr>
                    <w:t>3</w:t>
                  </w:r>
                  <w:r>
                    <w:rPr>
                      <w:rFonts w:hint="default" w:ascii="Times New Roman" w:hAnsi="Times New Roman" w:eastAsia="宋体" w:cs="Times New Roman"/>
                      <w:b w:val="0"/>
                      <w:bCs/>
                      <w:color w:val="000000"/>
                      <w:kern w:val="0"/>
                      <w:sz w:val="21"/>
                      <w:szCs w:val="21"/>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1</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0.1</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0.0005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2</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0.5</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2.5</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1.0</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3</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2</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3.5</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5</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4</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10</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5</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40</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86" w:type="dxa"/>
                  <w:vAlign w:val="center"/>
                </w:tcPr>
                <w:p>
                  <w:pPr>
                    <w:pStyle w:val="88"/>
                    <w:numPr>
                      <w:ilvl w:val="0"/>
                      <w:numId w:val="0"/>
                    </w:numPr>
                    <w:spacing w:line="240" w:lineRule="auto"/>
                    <w:jc w:val="center"/>
                    <w:rPr>
                      <w:rFonts w:hint="eastAsia"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臭气特征</w:t>
                  </w:r>
                </w:p>
              </w:tc>
              <w:tc>
                <w:tcPr>
                  <w:tcW w:w="3186"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刺激臭</w:t>
                  </w:r>
                </w:p>
              </w:tc>
              <w:tc>
                <w:tcPr>
                  <w:tcW w:w="3187" w:type="dxa"/>
                  <w:vAlign w:val="center"/>
                </w:tcPr>
                <w:p>
                  <w:pPr>
                    <w:pStyle w:val="88"/>
                    <w:numPr>
                      <w:ilvl w:val="0"/>
                      <w:numId w:val="0"/>
                    </w:numPr>
                    <w:spacing w:line="240" w:lineRule="auto"/>
                    <w:jc w:val="center"/>
                    <w:rPr>
                      <w:rFonts w:hint="default" w:ascii="Times New Roman" w:hAnsi="Times New Roman" w:eastAsia="宋体" w:cs="Times New Roman"/>
                      <w:b w:val="0"/>
                      <w:bCs/>
                      <w:kern w:val="0"/>
                      <w:sz w:val="21"/>
                      <w:szCs w:val="21"/>
                      <w:vertAlign w:val="baseline"/>
                      <w:lang w:val="en-US" w:eastAsia="zh-CN"/>
                    </w:rPr>
                  </w:pPr>
                  <w:r>
                    <w:rPr>
                      <w:rFonts w:hint="eastAsia" w:ascii="Times New Roman" w:hAnsi="Times New Roman" w:eastAsia="宋体" w:cs="Times New Roman"/>
                      <w:b w:val="0"/>
                      <w:bCs/>
                      <w:kern w:val="0"/>
                      <w:sz w:val="21"/>
                      <w:szCs w:val="21"/>
                      <w:vertAlign w:val="baseline"/>
                      <w:lang w:val="en-US" w:eastAsia="zh-CN"/>
                    </w:rPr>
                    <w:t>鸡蛋臭</w:t>
                  </w:r>
                </w:p>
              </w:tc>
            </w:tr>
          </w:tbl>
          <w:p>
            <w:pPr>
              <w:pStyle w:val="88"/>
              <w:numPr>
                <w:ilvl w:val="0"/>
                <w:numId w:val="0"/>
              </w:numPr>
              <w:ind w:firstLine="480" w:firstLineChars="200"/>
              <w:rPr>
                <w:rFonts w:hint="default" w:hAnsi="Times New Roman" w:cs="Times New Roman" w:eastAsiaTheme="minorEastAsia"/>
                <w:kern w:val="0"/>
                <w:sz w:val="24"/>
                <w:szCs w:val="24"/>
                <w:lang w:val="en-US" w:eastAsia="zh-CN"/>
              </w:rPr>
            </w:pPr>
            <w:r>
              <w:rPr>
                <w:rFonts w:hint="default" w:hAnsi="Times New Roman" w:cs="Times New Roman" w:eastAsiaTheme="minorEastAsia"/>
                <w:kern w:val="0"/>
                <w:sz w:val="24"/>
                <w:szCs w:val="24"/>
                <w:lang w:val="en-US" w:eastAsia="zh-CN"/>
              </w:rPr>
              <w:t>臭气强度评价法讲臭气强度分为6级，</w:t>
            </w:r>
            <w:r>
              <w:rPr>
                <w:rFonts w:hint="eastAsia" w:hAnsi="Times New Roman" w:cs="Times New Roman" w:eastAsiaTheme="minorEastAsia"/>
                <w:kern w:val="0"/>
                <w:sz w:val="24"/>
                <w:szCs w:val="24"/>
                <w:lang w:val="en-US" w:eastAsia="zh-CN"/>
              </w:rPr>
              <w:t>类比同类项目</w:t>
            </w:r>
            <w:r>
              <w:rPr>
                <w:rFonts w:hint="default" w:hAnsi="Times New Roman" w:cs="Times New Roman" w:eastAsiaTheme="minorEastAsia"/>
                <w:kern w:val="0"/>
                <w:sz w:val="24"/>
                <w:szCs w:val="24"/>
                <w:lang w:val="en-US" w:eastAsia="zh-CN"/>
              </w:rPr>
              <w:t>清淤工程，采用类比法分析臭味强度，底泥臭气强度详见下表。</w:t>
            </w:r>
          </w:p>
          <w:p>
            <w:pPr>
              <w:pStyle w:val="88"/>
              <w:numPr>
                <w:ilvl w:val="0"/>
                <w:numId w:val="0"/>
              </w:numPr>
              <w:jc w:val="center"/>
              <w:rPr>
                <w:rFonts w:hint="default" w:hAnsi="Times New Roman" w:cs="Times New Roman" w:eastAsiaTheme="minorEastAsia"/>
                <w:b/>
                <w:bCs/>
                <w:kern w:val="0"/>
                <w:sz w:val="24"/>
                <w:szCs w:val="24"/>
                <w:lang w:val="en-US" w:eastAsia="zh-CN"/>
              </w:rPr>
            </w:pPr>
            <w:r>
              <w:rPr>
                <w:rFonts w:hint="eastAsia" w:hAnsi="Times New Roman" w:cs="Times New Roman" w:eastAsiaTheme="minorEastAsia"/>
                <w:b/>
                <w:bCs/>
                <w:kern w:val="0"/>
                <w:sz w:val="24"/>
                <w:szCs w:val="24"/>
                <w:lang w:val="en-US" w:eastAsia="zh-CN"/>
              </w:rPr>
              <w:t>表5.1-4   底泥臭气强度一览表</w:t>
            </w:r>
          </w:p>
          <w:tbl>
            <w:tblPr>
              <w:tblStyle w:val="27"/>
              <w:tblW w:w="955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11"/>
              <w:gridCol w:w="1912"/>
              <w:gridCol w:w="1912"/>
              <w:gridCol w:w="1912"/>
              <w:gridCol w:w="19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1" w:type="dxa"/>
                  <w:vMerge w:val="restar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距离</w:t>
                  </w:r>
                </w:p>
              </w:tc>
              <w:tc>
                <w:tcPr>
                  <w:tcW w:w="1912" w:type="dxa"/>
                  <w:vMerge w:val="restar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臭气感觉强度</w:t>
                  </w:r>
                </w:p>
              </w:tc>
              <w:tc>
                <w:tcPr>
                  <w:tcW w:w="1912" w:type="dxa"/>
                  <w:vMerge w:val="restar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级别</w:t>
                  </w:r>
                </w:p>
              </w:tc>
              <w:tc>
                <w:tcPr>
                  <w:tcW w:w="3824" w:type="dxa"/>
                  <w:gridSpan w:val="2"/>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恶臭物质浓度mg/m</w:t>
                  </w:r>
                  <w:r>
                    <w:rPr>
                      <w:rFonts w:hint="eastAsia" w:hAnsi="Times New Roman" w:cs="Times New Roman" w:eastAsiaTheme="minorEastAsia"/>
                      <w:kern w:val="0"/>
                      <w:sz w:val="21"/>
                      <w:szCs w:val="21"/>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1" w:type="dxa"/>
                  <w:vMerge w:val="continue"/>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p>
              </w:tc>
              <w:tc>
                <w:tcPr>
                  <w:tcW w:w="1912" w:type="dxa"/>
                  <w:vMerge w:val="continue"/>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p>
              </w:tc>
              <w:tc>
                <w:tcPr>
                  <w:tcW w:w="1912" w:type="dxa"/>
                  <w:vMerge w:val="continue"/>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NH</w:t>
                  </w:r>
                  <w:r>
                    <w:rPr>
                      <w:rFonts w:hint="eastAsia" w:hAnsi="Times New Roman" w:cs="Times New Roman" w:eastAsiaTheme="minorEastAsia"/>
                      <w:kern w:val="0"/>
                      <w:sz w:val="21"/>
                      <w:szCs w:val="21"/>
                      <w:vertAlign w:val="subscript"/>
                      <w:lang w:val="en-US" w:eastAsia="zh-CN"/>
                    </w:rPr>
                    <w:t>3</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H</w:t>
                  </w:r>
                  <w:r>
                    <w:rPr>
                      <w:rFonts w:hint="eastAsia" w:hAnsi="Times New Roman" w:cs="Times New Roman" w:eastAsiaTheme="minorEastAsia"/>
                      <w:kern w:val="0"/>
                      <w:sz w:val="21"/>
                      <w:szCs w:val="21"/>
                      <w:vertAlign w:val="subscript"/>
                      <w:lang w:val="en-US" w:eastAsia="zh-CN"/>
                    </w:rPr>
                    <w:t>2</w:t>
                  </w:r>
                  <w:r>
                    <w:rPr>
                      <w:rFonts w:hint="eastAsia" w:hAnsi="Times New Roman" w:cs="Times New Roman" w:eastAsiaTheme="minorEastAsia"/>
                      <w:kern w:val="0"/>
                      <w:sz w:val="21"/>
                      <w:szCs w:val="21"/>
                      <w:vertAlign w:val="baseline"/>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1"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堆放区</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有较明显臭味</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3级</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2</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1"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堆放区30m</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轻微</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2级</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0.5</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1"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堆放区80m</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极微</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1级</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0.1</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0.0005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11"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100m外</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无</w:t>
                  </w:r>
                </w:p>
              </w:tc>
              <w:tc>
                <w:tcPr>
                  <w:tcW w:w="1912" w:type="dxa"/>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0级</w:t>
                  </w:r>
                </w:p>
              </w:tc>
              <w:tc>
                <w:tcPr>
                  <w:tcW w:w="3824" w:type="dxa"/>
                  <w:gridSpan w:val="2"/>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无臭味</w:t>
                  </w:r>
                </w:p>
              </w:tc>
            </w:tr>
          </w:tbl>
          <w:p>
            <w:pPr>
              <w:pStyle w:val="90"/>
              <w:numPr>
                <w:ilvl w:val="0"/>
                <w:numId w:val="12"/>
              </w:numPr>
              <w:spacing w:line="360" w:lineRule="auto"/>
              <w:ind w:firstLine="480" w:firstLineChars="200"/>
              <w:jc w:val="both"/>
              <w:rPr>
                <w:rFonts w:hint="default" w:ascii="Times New Roman" w:hAnsi="Times New Roman" w:cs="Times New Roman" w:eastAsiaTheme="minorEastAsia"/>
                <w:b w:val="0"/>
                <w:bCs/>
                <w:sz w:val="24"/>
                <w:szCs w:val="24"/>
              </w:rPr>
            </w:pPr>
            <w:r>
              <w:rPr>
                <w:rFonts w:hint="default" w:ascii="Times New Roman" w:hAnsi="Times New Roman" w:cs="Times New Roman" w:eastAsiaTheme="minorEastAsia"/>
                <w:b w:val="0"/>
                <w:bCs/>
                <w:sz w:val="24"/>
                <w:szCs w:val="24"/>
              </w:rPr>
              <w:t>废水</w:t>
            </w:r>
          </w:p>
          <w:p>
            <w:pPr>
              <w:pStyle w:val="91"/>
              <w:ind w:firstLine="480" w:firstLineChars="200"/>
              <w:rPr>
                <w:rFonts w:hint="eastAsia" w:ascii="Times New Roman" w:hAnsi="Times New Roman" w:eastAsia="宋体" w:cs="Times New Roman"/>
                <w:b w:val="0"/>
                <w:sz w:val="24"/>
                <w:szCs w:val="24"/>
                <w:lang w:eastAsia="zh-CN"/>
              </w:rPr>
            </w:pPr>
            <w:r>
              <w:rPr>
                <w:rFonts w:hint="eastAsia" w:ascii="Times New Roman" w:hAnsi="Times New Roman" w:cs="Times New Roman" w:eastAsiaTheme="minorEastAsia"/>
                <w:b w:val="0"/>
                <w:sz w:val="24"/>
                <w:szCs w:val="24"/>
                <w:lang w:val="en-US" w:eastAsia="zh-CN"/>
              </w:rPr>
              <w:t>工程</w:t>
            </w:r>
            <w:r>
              <w:rPr>
                <w:rFonts w:hint="default" w:ascii="Times New Roman" w:hAnsi="Times New Roman" w:cs="Times New Roman" w:eastAsiaTheme="minorEastAsia"/>
                <w:b w:val="0"/>
                <w:sz w:val="24"/>
                <w:szCs w:val="24"/>
              </w:rPr>
              <w:t>施工期间，施工人员分散租用附近民房，无工地食堂、宿舍，施工期没有生活废水。</w:t>
            </w:r>
            <w:r>
              <w:rPr>
                <w:rFonts w:hint="eastAsia" w:ascii="Times New Roman"/>
                <w:b w:val="0"/>
                <w:sz w:val="24"/>
              </w:rPr>
              <w:t>施工期废水主要是</w:t>
            </w:r>
            <w:r>
              <w:rPr>
                <w:rFonts w:hint="eastAsia" w:ascii="Times New Roman"/>
                <w:b w:val="0"/>
                <w:sz w:val="24"/>
                <w:lang w:eastAsia="zh-CN"/>
              </w:rPr>
              <w:t>施工废水、管道闭水试验废水</w:t>
            </w:r>
            <w:r>
              <w:rPr>
                <w:rFonts w:hint="eastAsia" w:ascii="Times New Roman"/>
                <w:b w:val="0"/>
                <w:sz w:val="24"/>
                <w:lang w:val="en-US" w:eastAsia="zh-CN"/>
              </w:rPr>
              <w:t>以及</w:t>
            </w:r>
            <w:r>
              <w:rPr>
                <w:rFonts w:hint="eastAsia" w:ascii="Times New Roman"/>
                <w:b w:val="0"/>
                <w:sz w:val="24"/>
              </w:rPr>
              <w:t>基坑废水</w:t>
            </w:r>
            <w:r>
              <w:rPr>
                <w:rFonts w:hint="eastAsia" w:ascii="Times New Roman"/>
                <w:b w:val="0"/>
                <w:sz w:val="24"/>
                <w:lang w:eastAsia="zh-CN"/>
              </w:rPr>
              <w:t>。</w:t>
            </w:r>
          </w:p>
          <w:p>
            <w:pPr>
              <w:pStyle w:val="90"/>
              <w:numPr>
                <w:ilvl w:val="0"/>
                <w:numId w:val="0"/>
              </w:numPr>
              <w:spacing w:line="360" w:lineRule="auto"/>
              <w:ind w:firstLine="480" w:firstLineChars="200"/>
              <w:jc w:val="both"/>
              <w:rPr>
                <w:rFonts w:hint="eastAsia" w:ascii="Times New Roman" w:hAnsi="Times New Roman" w:cs="Times New Roman" w:eastAsiaTheme="minorEastAsia"/>
                <w:b w:val="0"/>
                <w:bCs/>
                <w:sz w:val="24"/>
                <w:szCs w:val="24"/>
                <w:lang w:eastAsia="zh-CN"/>
              </w:rPr>
            </w:pPr>
            <w:r>
              <w:rPr>
                <w:rFonts w:hint="eastAsia" w:cs="Times New Roman" w:eastAsiaTheme="minorEastAsia"/>
                <w:b w:val="0"/>
                <w:bCs/>
                <w:sz w:val="24"/>
                <w:szCs w:val="24"/>
                <w:lang w:eastAsia="zh-CN"/>
              </w:rPr>
              <w:t>（</w:t>
            </w:r>
            <w:r>
              <w:rPr>
                <w:rFonts w:hint="eastAsia" w:cs="Times New Roman" w:eastAsiaTheme="minorEastAsia"/>
                <w:b w:val="0"/>
                <w:bCs/>
                <w:sz w:val="24"/>
                <w:szCs w:val="24"/>
                <w:lang w:val="en-US" w:eastAsia="zh-CN"/>
              </w:rPr>
              <w:t>1</w:t>
            </w:r>
            <w:r>
              <w:rPr>
                <w:rFonts w:hint="eastAsia" w:cs="Times New Roman" w:eastAsiaTheme="minorEastAsia"/>
                <w:b w:val="0"/>
                <w:bCs/>
                <w:sz w:val="24"/>
                <w:szCs w:val="24"/>
                <w:lang w:eastAsia="zh-CN"/>
              </w:rPr>
              <w:t>）施工废水</w:t>
            </w:r>
          </w:p>
          <w:p>
            <w:pPr>
              <w:pStyle w:val="90"/>
              <w:numPr>
                <w:ilvl w:val="0"/>
                <w:numId w:val="0"/>
              </w:numPr>
              <w:spacing w:line="360" w:lineRule="auto"/>
              <w:ind w:firstLine="480" w:firstLineChars="200"/>
              <w:jc w:val="both"/>
              <w:rPr>
                <w:rFonts w:hint="default" w:ascii="Times New Roman" w:hAnsi="Times New Roman" w:cs="Times New Roman" w:eastAsiaTheme="minorEastAsia"/>
                <w:b w:val="0"/>
                <w:bCs/>
                <w:sz w:val="24"/>
                <w:szCs w:val="24"/>
                <w:lang w:val="en-US" w:eastAsia="zh-CN"/>
              </w:rPr>
            </w:pPr>
            <w:r>
              <w:rPr>
                <w:rFonts w:hint="default" w:ascii="Times New Roman" w:hAnsi="Times New Roman" w:cs="Times New Roman" w:eastAsiaTheme="minorEastAsia"/>
                <w:b w:val="0"/>
                <w:bCs/>
                <w:sz w:val="24"/>
                <w:szCs w:val="24"/>
                <w:lang w:val="en-US" w:eastAsia="zh-CN"/>
              </w:rPr>
              <w:t>施工废水包括车辆、机械设备、石料及管道的清洗废水，这部分废水产生量小，主要污染物为 SS 和石油类，根据类比资料，石油类浓度约 8mg/L。根据类比调查，施工期废水悬浮物的浓度为 500～1300mg/L，经沉淀等初步处理后，悬浮物浓度急剧降低，静置数天后可回用于场地洒水降尘。</w:t>
            </w:r>
          </w:p>
          <w:p>
            <w:pPr>
              <w:pStyle w:val="90"/>
              <w:numPr>
                <w:ilvl w:val="0"/>
                <w:numId w:val="0"/>
              </w:numPr>
              <w:spacing w:line="360" w:lineRule="auto"/>
              <w:ind w:firstLine="480" w:firstLineChars="200"/>
              <w:jc w:val="both"/>
              <w:rPr>
                <w:rFonts w:hint="default" w:ascii="Times New Roman" w:hAnsi="Times New Roman" w:cs="Times New Roman" w:eastAsiaTheme="minorEastAsia"/>
                <w:b w:val="0"/>
                <w:bCs/>
                <w:sz w:val="24"/>
                <w:szCs w:val="24"/>
                <w:lang w:val="en-US" w:eastAsia="zh-CN"/>
              </w:rPr>
            </w:pPr>
            <w:r>
              <w:rPr>
                <w:rFonts w:hint="eastAsia" w:cs="Times New Roman" w:eastAsiaTheme="minorEastAsia"/>
                <w:b w:val="0"/>
                <w:bCs/>
                <w:sz w:val="24"/>
                <w:szCs w:val="24"/>
                <w:lang w:val="en-US" w:eastAsia="zh-CN"/>
              </w:rPr>
              <w:t>（2）</w:t>
            </w:r>
            <w:r>
              <w:rPr>
                <w:rFonts w:hint="eastAsia" w:ascii="Times New Roman"/>
                <w:b w:val="0"/>
                <w:sz w:val="24"/>
                <w:lang w:eastAsia="zh-CN"/>
              </w:rPr>
              <w:t>管道闭水试验废水</w:t>
            </w:r>
          </w:p>
          <w:p>
            <w:pPr>
              <w:pStyle w:val="90"/>
              <w:numPr>
                <w:ilvl w:val="0"/>
                <w:numId w:val="0"/>
              </w:numPr>
              <w:spacing w:line="360" w:lineRule="auto"/>
              <w:ind w:firstLine="480" w:firstLineChars="200"/>
              <w:jc w:val="both"/>
              <w:rPr>
                <w:rFonts w:hint="default" w:ascii="Times New Roman" w:hAnsi="Times New Roman" w:cs="Times New Roman" w:eastAsiaTheme="minorEastAsia"/>
                <w:b w:val="0"/>
                <w:bCs/>
                <w:sz w:val="24"/>
                <w:szCs w:val="24"/>
                <w:lang w:val="en-US" w:eastAsia="zh-CN"/>
              </w:rPr>
            </w:pPr>
            <w:r>
              <w:rPr>
                <w:rFonts w:hint="default" w:ascii="Times New Roman" w:hAnsi="Times New Roman" w:cs="Times New Roman" w:eastAsiaTheme="minorEastAsia"/>
                <w:b w:val="0"/>
                <w:bCs/>
                <w:sz w:val="24"/>
                <w:szCs w:val="24"/>
                <w:lang w:val="en-US" w:eastAsia="zh-CN"/>
              </w:rPr>
              <w:t>闭水试验时用水需要在管道内保留 24h 后排放，闭水试验用水</w:t>
            </w:r>
            <w:r>
              <w:rPr>
                <w:rFonts w:hint="eastAsia" w:cs="Times New Roman" w:eastAsiaTheme="minorEastAsia"/>
                <w:b w:val="0"/>
                <w:bCs/>
                <w:sz w:val="24"/>
                <w:szCs w:val="24"/>
                <w:lang w:val="en-US" w:eastAsia="zh-CN"/>
              </w:rPr>
              <w:t>产生量较少，收集后</w:t>
            </w:r>
            <w:r>
              <w:rPr>
                <w:rFonts w:hint="default" w:ascii="Times New Roman" w:hAnsi="Times New Roman" w:cs="Times New Roman" w:eastAsiaTheme="minorEastAsia"/>
                <w:b w:val="0"/>
                <w:bCs/>
                <w:sz w:val="24"/>
                <w:szCs w:val="24"/>
                <w:lang w:val="en-US" w:eastAsia="zh-CN"/>
              </w:rPr>
              <w:t>回用于场地洒水降尘。</w:t>
            </w:r>
          </w:p>
          <w:p>
            <w:pPr>
              <w:pStyle w:val="90"/>
              <w:numPr>
                <w:ilvl w:val="0"/>
                <w:numId w:val="0"/>
              </w:numPr>
              <w:spacing w:line="360" w:lineRule="auto"/>
              <w:ind w:firstLine="480" w:firstLineChars="200"/>
              <w:jc w:val="both"/>
              <w:rPr>
                <w:rFonts w:hint="eastAsia" w:cs="Times New Roman" w:eastAsiaTheme="minorEastAsia"/>
                <w:b w:val="0"/>
                <w:bCs/>
                <w:sz w:val="24"/>
                <w:szCs w:val="24"/>
                <w:lang w:val="en-US" w:eastAsia="zh-CN"/>
              </w:rPr>
            </w:pPr>
            <w:r>
              <w:rPr>
                <w:rFonts w:hint="eastAsia" w:cs="Times New Roman" w:eastAsiaTheme="minorEastAsia"/>
                <w:b w:val="0"/>
                <w:bCs/>
                <w:sz w:val="24"/>
                <w:szCs w:val="24"/>
                <w:lang w:val="en-US" w:eastAsia="zh-CN"/>
              </w:rPr>
              <w:t>（3）基坑废水</w:t>
            </w:r>
          </w:p>
          <w:p>
            <w:pPr>
              <w:pStyle w:val="90"/>
              <w:numPr>
                <w:ilvl w:val="0"/>
                <w:numId w:val="0"/>
              </w:numPr>
              <w:spacing w:line="360" w:lineRule="auto"/>
              <w:ind w:firstLine="480" w:firstLineChars="200"/>
              <w:jc w:val="both"/>
              <w:rPr>
                <w:rFonts w:hint="default" w:cs="Times New Roman" w:eastAsiaTheme="minorEastAsia"/>
                <w:b w:val="0"/>
                <w:bCs/>
                <w:sz w:val="24"/>
                <w:szCs w:val="24"/>
                <w:lang w:val="en-US" w:eastAsia="zh-CN"/>
              </w:rPr>
            </w:pPr>
            <w:r>
              <w:rPr>
                <w:rFonts w:hint="default" w:cs="Times New Roman" w:eastAsiaTheme="minorEastAsia"/>
                <w:b w:val="0"/>
                <w:bCs/>
                <w:sz w:val="24"/>
                <w:szCs w:val="24"/>
                <w:lang w:val="en-US" w:eastAsia="zh-CN"/>
              </w:rPr>
              <w:t>基坑排水分为建筑物工程的初期排水和施工中的经常性排水，一般排入下游河道或周边沟渠。本工程基坑排水主要为地下渗水和降雨，其水质取决于地下水和地表水水质，主要污染源是 SS，经沉淀池稍静置后即可回用于施工场地洒水抑尘，对周边水环境影响较小。</w:t>
            </w:r>
          </w:p>
          <w:p>
            <w:pPr>
              <w:pStyle w:val="90"/>
              <w:numPr>
                <w:ilvl w:val="0"/>
                <w:numId w:val="12"/>
              </w:numPr>
              <w:spacing w:line="360" w:lineRule="auto"/>
              <w:ind w:firstLine="480" w:firstLineChars="200"/>
              <w:jc w:val="both"/>
              <w:rPr>
                <w:rFonts w:hint="default" w:ascii="Times New Roman" w:hAnsi="Times New Roman" w:cs="Times New Roman" w:eastAsiaTheme="minorEastAsia"/>
                <w:b w:val="0"/>
                <w:bCs/>
                <w:sz w:val="24"/>
                <w:szCs w:val="24"/>
              </w:rPr>
            </w:pPr>
            <w:r>
              <w:rPr>
                <w:rFonts w:hint="default" w:ascii="Times New Roman" w:hAnsi="Times New Roman" w:cs="Times New Roman" w:eastAsiaTheme="minorEastAsia"/>
                <w:b w:val="0"/>
                <w:bCs/>
                <w:sz w:val="24"/>
                <w:szCs w:val="24"/>
              </w:rPr>
              <w:t>噪声</w:t>
            </w:r>
          </w:p>
          <w:p>
            <w:pPr>
              <w:pStyle w:val="15"/>
              <w:spacing w:before="0" w:line="360" w:lineRule="auto"/>
              <w:ind w:firstLine="480" w:firstLineChars="200"/>
              <w:rPr>
                <w:rFonts w:hint="default" w:ascii="Times New Roman" w:hAnsi="Times New Roman" w:cs="Times New Roman" w:eastAsiaTheme="minorEastAsia"/>
                <w:b w:val="0"/>
                <w:bCs/>
                <w:sz w:val="24"/>
                <w:szCs w:val="24"/>
              </w:rPr>
            </w:pPr>
            <w:r>
              <w:rPr>
                <w:rFonts w:hint="default" w:ascii="Times New Roman" w:hAnsi="Times New Roman" w:cs="Times New Roman" w:eastAsiaTheme="minorEastAsia"/>
                <w:b w:val="0"/>
                <w:bCs/>
                <w:sz w:val="24"/>
                <w:szCs w:val="24"/>
              </w:rPr>
              <w:t>施工期噪声主要来自施工的机械设备等机械动力噪声及车辆运输产生交通噪声，影响范围为工程以及运输道路沿线周围100米以内的区域。</w:t>
            </w:r>
            <w:r>
              <w:rPr>
                <w:rFonts w:hint="default" w:ascii="Times New Roman" w:hAnsi="Times New Roman" w:cs="Times New Roman"/>
                <w:sz w:val="24"/>
                <w:szCs w:val="24"/>
              </w:rPr>
              <w:t>机械运行时在距声源1m处的噪声值在</w:t>
            </w:r>
            <w:r>
              <w:rPr>
                <w:rFonts w:hint="eastAsia" w:ascii="Times New Roman" w:hAnsi="Times New Roman" w:cs="Times New Roman"/>
                <w:sz w:val="24"/>
                <w:szCs w:val="24"/>
                <w:lang w:val="en-US" w:eastAsia="zh-CN"/>
              </w:rPr>
              <w:t>72</w:t>
            </w:r>
            <w:r>
              <w:rPr>
                <w:rFonts w:hint="default" w:ascii="Times New Roman" w:hAnsi="Times New Roman" w:cs="Times New Roman"/>
                <w:sz w:val="24"/>
                <w:szCs w:val="24"/>
              </w:rPr>
              <w:t>-1</w:t>
            </w:r>
            <w:r>
              <w:rPr>
                <w:rFonts w:hint="eastAsia" w:ascii="Times New Roman" w:hAnsi="Times New Roman" w:cs="Times New Roman"/>
                <w:sz w:val="24"/>
                <w:szCs w:val="24"/>
                <w:lang w:val="en-US" w:eastAsia="zh-CN"/>
              </w:rPr>
              <w:t>05</w:t>
            </w:r>
            <w:r>
              <w:rPr>
                <w:rFonts w:hint="default" w:ascii="Times New Roman" w:hAnsi="Times New Roman" w:cs="Times New Roman"/>
                <w:sz w:val="24"/>
                <w:szCs w:val="24"/>
              </w:rPr>
              <w:t>dB（A）左右，详见下表。</w:t>
            </w:r>
          </w:p>
          <w:p>
            <w:pPr>
              <w:pStyle w:val="90"/>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表</w:t>
            </w:r>
            <w:r>
              <w:rPr>
                <w:rFonts w:hint="eastAsia" w:cs="Times New Roman" w:eastAsiaTheme="minorEastAsia"/>
                <w:sz w:val="24"/>
                <w:szCs w:val="24"/>
                <w:lang w:val="en-US" w:eastAsia="zh-CN"/>
              </w:rPr>
              <w:t>5.1</w:t>
            </w:r>
            <w:r>
              <w:rPr>
                <w:rFonts w:hint="default" w:ascii="Times New Roman" w:hAnsi="Times New Roman" w:cs="Times New Roman" w:eastAsiaTheme="minorEastAsia"/>
                <w:sz w:val="24"/>
                <w:szCs w:val="24"/>
              </w:rPr>
              <w:t>-</w:t>
            </w:r>
            <w:r>
              <w:rPr>
                <w:rFonts w:hint="eastAsia" w:cs="Times New Roman" w:eastAsiaTheme="minorEastAsia"/>
                <w:sz w:val="24"/>
                <w:szCs w:val="24"/>
                <w:lang w:val="en-US" w:eastAsia="zh-CN"/>
              </w:rPr>
              <w:t xml:space="preserve">5  </w:t>
            </w:r>
            <w:r>
              <w:rPr>
                <w:rFonts w:hint="default" w:ascii="Times New Roman" w:hAnsi="Times New Roman" w:cs="Times New Roman" w:eastAsiaTheme="minorEastAsia"/>
                <w:sz w:val="24"/>
                <w:szCs w:val="24"/>
              </w:rPr>
              <w:t xml:space="preserve"> 本</w:t>
            </w:r>
            <w:r>
              <w:rPr>
                <w:rFonts w:hint="eastAsia" w:cs="Times New Roman" w:eastAsiaTheme="minorEastAsia"/>
                <w:sz w:val="24"/>
                <w:szCs w:val="24"/>
                <w:lang w:val="en-US" w:eastAsia="zh-CN"/>
              </w:rPr>
              <w:t>工程</w:t>
            </w:r>
            <w:r>
              <w:rPr>
                <w:rFonts w:hint="default" w:ascii="Times New Roman" w:hAnsi="Times New Roman" w:cs="Times New Roman" w:eastAsiaTheme="minorEastAsia"/>
                <w:sz w:val="24"/>
                <w:szCs w:val="24"/>
              </w:rPr>
              <w:t>主要施工机械噪声值  单位：dB(A)</w:t>
            </w:r>
          </w:p>
          <w:tbl>
            <w:tblPr>
              <w:tblStyle w:val="26"/>
              <w:tblW w:w="95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6"/>
              <w:gridCol w:w="1984"/>
              <w:gridCol w:w="3742"/>
              <w:gridCol w:w="28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1016"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序号</w:t>
                  </w:r>
                </w:p>
              </w:tc>
              <w:tc>
                <w:tcPr>
                  <w:tcW w:w="1984" w:type="dxa"/>
                  <w:noWrap w:val="0"/>
                  <w:vAlign w:val="center"/>
                </w:tcPr>
                <w:p>
                  <w:pPr>
                    <w:pStyle w:val="88"/>
                    <w:spacing w:line="240" w:lineRule="auto"/>
                    <w:ind w:firstLine="0" w:firstLineChars="0"/>
                    <w:jc w:val="center"/>
                    <w:rPr>
                      <w:rFonts w:hint="eastAsia" w:hAnsi="Times New Roman" w:eastAsia="宋体" w:cs="Times New Roman"/>
                      <w:sz w:val="21"/>
                      <w:szCs w:val="21"/>
                      <w:u w:val="single"/>
                      <w:lang w:eastAsia="zh-CN"/>
                    </w:rPr>
                  </w:pPr>
                  <w:r>
                    <w:rPr>
                      <w:rFonts w:hint="eastAsia" w:hAnsi="Times New Roman" w:cs="Times New Roman"/>
                      <w:sz w:val="21"/>
                      <w:szCs w:val="21"/>
                      <w:u w:val="single"/>
                      <w:lang w:eastAsia="zh-CN"/>
                    </w:rPr>
                    <w:t>种类</w:t>
                  </w:r>
                </w:p>
              </w:tc>
              <w:tc>
                <w:tcPr>
                  <w:tcW w:w="3742" w:type="dxa"/>
                  <w:noWrap w:val="0"/>
                  <w:vAlign w:val="center"/>
                </w:tcPr>
                <w:p>
                  <w:pPr>
                    <w:pStyle w:val="88"/>
                    <w:spacing w:line="240" w:lineRule="auto"/>
                    <w:ind w:firstLine="0" w:firstLineChars="0"/>
                    <w:jc w:val="center"/>
                    <w:rPr>
                      <w:rFonts w:hAnsi="Times New Roman" w:cs="Times New Roman"/>
                      <w:sz w:val="21"/>
                      <w:szCs w:val="21"/>
                      <w:u w:val="single"/>
                    </w:rPr>
                  </w:pPr>
                  <w:r>
                    <w:rPr>
                      <w:rFonts w:hAnsi="Times New Roman" w:cs="Times New Roman"/>
                      <w:sz w:val="21"/>
                      <w:szCs w:val="21"/>
                      <w:u w:val="single"/>
                    </w:rPr>
                    <w:t>施工机械A声级范围（15m处）</w:t>
                  </w:r>
                </w:p>
              </w:tc>
              <w:tc>
                <w:tcPr>
                  <w:tcW w:w="2807" w:type="dxa"/>
                  <w:noWrap w:val="0"/>
                  <w:vAlign w:val="center"/>
                </w:tcPr>
                <w:p>
                  <w:pPr>
                    <w:pStyle w:val="88"/>
                    <w:spacing w:line="240" w:lineRule="auto"/>
                    <w:ind w:firstLine="0" w:firstLineChars="0"/>
                    <w:jc w:val="center"/>
                    <w:rPr>
                      <w:rFonts w:hint="eastAsia" w:hAnsi="Times New Roman" w:eastAsia="宋体" w:cs="Times New Roman"/>
                      <w:sz w:val="21"/>
                      <w:szCs w:val="21"/>
                      <w:u w:val="single"/>
                      <w:lang w:eastAsia="zh-CN"/>
                    </w:rPr>
                  </w:pPr>
                  <w:r>
                    <w:rPr>
                      <w:rFonts w:hint="eastAsia" w:hAnsi="Times New Roman" w:cs="Times New Roman"/>
                      <w:sz w:val="21"/>
                      <w:szCs w:val="21"/>
                      <w:u w:val="single"/>
                      <w:lang w:eastAsia="zh-CN"/>
                    </w:rPr>
                    <w:t>型号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1</w:t>
                  </w:r>
                </w:p>
              </w:tc>
              <w:tc>
                <w:tcPr>
                  <w:tcW w:w="1984" w:type="dxa"/>
                  <w:noWrap w:val="0"/>
                  <w:vAlign w:val="center"/>
                </w:tcPr>
                <w:p>
                  <w:pPr>
                    <w:adjustRightInd w:val="0"/>
                    <w:snapToGrid w:val="0"/>
                    <w:spacing w:line="240" w:lineRule="auto"/>
                    <w:ind w:firstLine="0" w:firstLineChars="0"/>
                    <w:jc w:val="center"/>
                    <w:rPr>
                      <w:sz w:val="21"/>
                      <w:szCs w:val="21"/>
                      <w:u w:val="single"/>
                    </w:rPr>
                  </w:pPr>
                  <w:r>
                    <w:rPr>
                      <w:rFonts w:hint="eastAsia"/>
                      <w:sz w:val="21"/>
                      <w:szCs w:val="21"/>
                      <w:u w:val="single"/>
                      <w:lang w:val="en-US" w:eastAsia="zh-CN"/>
                    </w:rPr>
                    <w:t>液压</w:t>
                  </w:r>
                  <w:r>
                    <w:rPr>
                      <w:sz w:val="21"/>
                      <w:szCs w:val="21"/>
                      <w:u w:val="single"/>
                    </w:rPr>
                    <w:t>挖掘机</w:t>
                  </w:r>
                </w:p>
              </w:tc>
              <w:tc>
                <w:tcPr>
                  <w:tcW w:w="3742"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72-98</w:t>
                  </w:r>
                </w:p>
              </w:tc>
              <w:tc>
                <w:tcPr>
                  <w:tcW w:w="2807" w:type="dxa"/>
                  <w:noWrap w:val="0"/>
                  <w:vAlign w:val="center"/>
                </w:tcPr>
                <w:p>
                  <w:pPr>
                    <w:adjustRightInd w:val="0"/>
                    <w:snapToGrid w:val="0"/>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DX230LC-9C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2</w:t>
                  </w:r>
                </w:p>
              </w:tc>
              <w:tc>
                <w:tcPr>
                  <w:tcW w:w="1984"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推土机</w:t>
                  </w:r>
                </w:p>
              </w:tc>
              <w:tc>
                <w:tcPr>
                  <w:tcW w:w="3742"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75-94</w:t>
                  </w:r>
                </w:p>
              </w:tc>
              <w:tc>
                <w:tcPr>
                  <w:tcW w:w="2807" w:type="dxa"/>
                  <w:noWrap w:val="0"/>
                  <w:vAlign w:val="center"/>
                </w:tcPr>
                <w:p>
                  <w:pPr>
                    <w:adjustRightInd w:val="0"/>
                    <w:snapToGrid w:val="0"/>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HD18MS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3</w:t>
                  </w:r>
                </w:p>
              </w:tc>
              <w:tc>
                <w:tcPr>
                  <w:tcW w:w="1984" w:type="dxa"/>
                  <w:noWrap w:val="0"/>
                  <w:vAlign w:val="center"/>
                </w:tcPr>
                <w:p>
                  <w:pPr>
                    <w:adjustRightInd w:val="0"/>
                    <w:snapToGrid w:val="0"/>
                    <w:spacing w:line="240" w:lineRule="auto"/>
                    <w:ind w:firstLine="0" w:firstLineChars="0"/>
                    <w:jc w:val="center"/>
                    <w:rPr>
                      <w:rFonts w:hint="eastAsia"/>
                      <w:sz w:val="21"/>
                      <w:szCs w:val="21"/>
                      <w:u w:val="single"/>
                    </w:rPr>
                  </w:pPr>
                  <w:r>
                    <w:rPr>
                      <w:sz w:val="21"/>
                      <w:szCs w:val="21"/>
                      <w:u w:val="single"/>
                    </w:rPr>
                    <w:t>汽车</w:t>
                  </w:r>
                </w:p>
              </w:tc>
              <w:tc>
                <w:tcPr>
                  <w:tcW w:w="3742"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82-9</w:t>
                  </w:r>
                  <w:r>
                    <w:rPr>
                      <w:rFonts w:hint="eastAsia"/>
                      <w:sz w:val="21"/>
                      <w:szCs w:val="21"/>
                      <w:u w:val="single"/>
                    </w:rPr>
                    <w:t>0</w:t>
                  </w:r>
                </w:p>
              </w:tc>
              <w:tc>
                <w:tcPr>
                  <w:tcW w:w="2807" w:type="dxa"/>
                  <w:noWrap w:val="0"/>
                  <w:vAlign w:val="center"/>
                </w:tcPr>
                <w:p>
                  <w:pPr>
                    <w:adjustRightInd w:val="0"/>
                    <w:snapToGrid w:val="0"/>
                    <w:spacing w:line="240" w:lineRule="auto"/>
                    <w:ind w:firstLine="0" w:firstLineChars="0"/>
                    <w:jc w:val="center"/>
                    <w:rPr>
                      <w:rFonts w:hint="eastAsia" w:eastAsia="宋体"/>
                      <w:sz w:val="21"/>
                      <w:szCs w:val="21"/>
                      <w:u w:val="single"/>
                      <w:lang w:val="en-US" w:eastAsia="zh-CN"/>
                    </w:rPr>
                  </w:pPr>
                  <w:r>
                    <w:rPr>
                      <w:rFonts w:hint="eastAsia"/>
                      <w:sz w:val="21"/>
                      <w:szCs w:val="21"/>
                      <w:u w:val="singl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4</w:t>
                  </w:r>
                </w:p>
              </w:tc>
              <w:tc>
                <w:tcPr>
                  <w:tcW w:w="1984" w:type="dxa"/>
                  <w:noWrap w:val="0"/>
                  <w:vAlign w:val="center"/>
                </w:tcPr>
                <w:p>
                  <w:pPr>
                    <w:adjustRightInd w:val="0"/>
                    <w:snapToGrid w:val="0"/>
                    <w:spacing w:line="240" w:lineRule="auto"/>
                    <w:ind w:firstLine="0" w:firstLineChars="0"/>
                    <w:jc w:val="center"/>
                    <w:rPr>
                      <w:sz w:val="21"/>
                      <w:szCs w:val="21"/>
                      <w:u w:val="single"/>
                    </w:rPr>
                  </w:pPr>
                  <w:r>
                    <w:rPr>
                      <w:rFonts w:hint="eastAsia"/>
                      <w:sz w:val="21"/>
                      <w:szCs w:val="21"/>
                      <w:u w:val="single"/>
                    </w:rPr>
                    <w:t>起重机</w:t>
                  </w:r>
                </w:p>
              </w:tc>
              <w:tc>
                <w:tcPr>
                  <w:tcW w:w="3742"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75</w:t>
                  </w:r>
                  <w:r>
                    <w:rPr>
                      <w:sz w:val="21"/>
                      <w:szCs w:val="21"/>
                      <w:u w:val="single"/>
                    </w:rPr>
                    <w:t>-</w:t>
                  </w:r>
                  <w:r>
                    <w:rPr>
                      <w:rFonts w:hint="eastAsia"/>
                      <w:sz w:val="21"/>
                      <w:szCs w:val="21"/>
                      <w:u w:val="single"/>
                    </w:rPr>
                    <w:t>85</w:t>
                  </w:r>
                </w:p>
              </w:tc>
              <w:tc>
                <w:tcPr>
                  <w:tcW w:w="2807" w:type="dxa"/>
                  <w:noWrap w:val="0"/>
                  <w:vAlign w:val="center"/>
                </w:tcPr>
                <w:p>
                  <w:pPr>
                    <w:adjustRightInd w:val="0"/>
                    <w:snapToGrid w:val="0"/>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LDA型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5</w:t>
                  </w:r>
                </w:p>
              </w:tc>
              <w:tc>
                <w:tcPr>
                  <w:tcW w:w="1984"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搅拌机</w:t>
                  </w:r>
                </w:p>
              </w:tc>
              <w:tc>
                <w:tcPr>
                  <w:tcW w:w="3742"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74-95</w:t>
                  </w:r>
                </w:p>
              </w:tc>
              <w:tc>
                <w:tcPr>
                  <w:tcW w:w="2807" w:type="dxa"/>
                  <w:noWrap w:val="0"/>
                  <w:vAlign w:val="center"/>
                </w:tcPr>
                <w:p>
                  <w:pPr>
                    <w:adjustRightInd w:val="0"/>
                    <w:snapToGrid w:val="0"/>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3.6立方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6</w:t>
                  </w:r>
                </w:p>
              </w:tc>
              <w:tc>
                <w:tcPr>
                  <w:tcW w:w="1984"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ascii="Times New Roman" w:hAnsi="Times New Roman" w:cs="Times New Roman"/>
                      <w:kern w:val="2"/>
                      <w:sz w:val="21"/>
                      <w:szCs w:val="21"/>
                      <w:u w:val="single"/>
                      <w:lang w:val="en-US" w:eastAsia="zh-CN" w:bidi="ar-SA"/>
                    </w:rPr>
                    <w:t>小型振动碾</w:t>
                  </w:r>
                </w:p>
              </w:tc>
              <w:tc>
                <w:tcPr>
                  <w:tcW w:w="3742"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93-105</w:t>
                  </w:r>
                </w:p>
              </w:tc>
              <w:tc>
                <w:tcPr>
                  <w:tcW w:w="2807" w:type="dxa"/>
                  <w:noWrap w:val="0"/>
                  <w:vAlign w:val="center"/>
                </w:tcPr>
                <w:p>
                  <w:pPr>
                    <w:adjustRightInd w:val="0"/>
                    <w:snapToGrid w:val="0"/>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12T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7</w:t>
                  </w:r>
                </w:p>
              </w:tc>
              <w:tc>
                <w:tcPr>
                  <w:tcW w:w="1984" w:type="dxa"/>
                  <w:noWrap w:val="0"/>
                  <w:vAlign w:val="center"/>
                </w:tcPr>
                <w:p>
                  <w:pPr>
                    <w:adjustRightInd w:val="0"/>
                    <w:snapToGrid w:val="0"/>
                    <w:spacing w:line="240" w:lineRule="auto"/>
                    <w:ind w:firstLine="0" w:firstLineChars="0"/>
                    <w:jc w:val="center"/>
                    <w:rPr>
                      <w:rFonts w:hint="eastAsia"/>
                      <w:sz w:val="21"/>
                      <w:szCs w:val="21"/>
                      <w:u w:val="single"/>
                    </w:rPr>
                  </w:pPr>
                  <w:r>
                    <w:rPr>
                      <w:sz w:val="21"/>
                      <w:szCs w:val="21"/>
                      <w:u w:val="single"/>
                    </w:rPr>
                    <w:t>夯实机</w:t>
                  </w:r>
                </w:p>
              </w:tc>
              <w:tc>
                <w:tcPr>
                  <w:tcW w:w="3742"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75-9</w:t>
                  </w:r>
                  <w:r>
                    <w:rPr>
                      <w:rFonts w:hint="eastAsia"/>
                      <w:sz w:val="21"/>
                      <w:szCs w:val="21"/>
                      <w:u w:val="single"/>
                    </w:rPr>
                    <w:t>0</w:t>
                  </w:r>
                </w:p>
              </w:tc>
              <w:tc>
                <w:tcPr>
                  <w:tcW w:w="2807" w:type="dxa"/>
                  <w:noWrap w:val="0"/>
                  <w:vAlign w:val="center"/>
                </w:tcPr>
                <w:p>
                  <w:pPr>
                    <w:adjustRightInd w:val="0"/>
                    <w:snapToGrid w:val="0"/>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国产汽油机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6" w:type="dxa"/>
                  <w:noWrap w:val="0"/>
                  <w:vAlign w:val="center"/>
                </w:tcPr>
                <w:p>
                  <w:pPr>
                    <w:adjustRightInd w:val="0"/>
                    <w:snapToGrid w:val="0"/>
                    <w:spacing w:line="240" w:lineRule="auto"/>
                    <w:ind w:firstLine="0" w:firstLineChars="0"/>
                    <w:jc w:val="center"/>
                    <w:rPr>
                      <w:rFonts w:hint="eastAsia"/>
                      <w:sz w:val="21"/>
                      <w:szCs w:val="21"/>
                      <w:u w:val="single"/>
                    </w:rPr>
                  </w:pPr>
                  <w:r>
                    <w:rPr>
                      <w:rFonts w:hint="eastAsia"/>
                      <w:sz w:val="21"/>
                      <w:szCs w:val="21"/>
                      <w:u w:val="single"/>
                    </w:rPr>
                    <w:t>8</w:t>
                  </w:r>
                </w:p>
              </w:tc>
              <w:tc>
                <w:tcPr>
                  <w:tcW w:w="1984" w:type="dxa"/>
                  <w:noWrap w:val="0"/>
                  <w:vAlign w:val="center"/>
                </w:tcPr>
                <w:p>
                  <w:pPr>
                    <w:adjustRightInd w:val="0"/>
                    <w:snapToGrid w:val="0"/>
                    <w:spacing w:line="240" w:lineRule="auto"/>
                    <w:ind w:firstLine="0" w:firstLineChars="0"/>
                    <w:jc w:val="center"/>
                    <w:rPr>
                      <w:sz w:val="21"/>
                      <w:szCs w:val="21"/>
                      <w:u w:val="single"/>
                    </w:rPr>
                  </w:pPr>
                  <w:r>
                    <w:rPr>
                      <w:sz w:val="21"/>
                      <w:szCs w:val="21"/>
                      <w:u w:val="single"/>
                    </w:rPr>
                    <w:t>水泵</w:t>
                  </w:r>
                </w:p>
              </w:tc>
              <w:tc>
                <w:tcPr>
                  <w:tcW w:w="3742" w:type="dxa"/>
                  <w:noWrap w:val="0"/>
                  <w:vAlign w:val="center"/>
                </w:tcPr>
                <w:p>
                  <w:pPr>
                    <w:adjustRightInd w:val="0"/>
                    <w:snapToGrid w:val="0"/>
                    <w:spacing w:line="240" w:lineRule="auto"/>
                    <w:ind w:firstLine="0" w:firstLineChars="0"/>
                    <w:jc w:val="center"/>
                    <w:rPr>
                      <w:rFonts w:hint="eastAsia"/>
                      <w:sz w:val="21"/>
                      <w:szCs w:val="21"/>
                      <w:u w:val="single"/>
                    </w:rPr>
                  </w:pPr>
                  <w:r>
                    <w:rPr>
                      <w:sz w:val="21"/>
                      <w:szCs w:val="21"/>
                      <w:u w:val="single"/>
                    </w:rPr>
                    <w:t>89-103</w:t>
                  </w:r>
                </w:p>
              </w:tc>
              <w:tc>
                <w:tcPr>
                  <w:tcW w:w="2807" w:type="dxa"/>
                  <w:noWrap w:val="0"/>
                  <w:vAlign w:val="center"/>
                </w:tcPr>
                <w:p>
                  <w:pPr>
                    <w:adjustRightInd w:val="0"/>
                    <w:snapToGrid w:val="0"/>
                    <w:spacing w:line="240" w:lineRule="auto"/>
                    <w:ind w:firstLine="0" w:firstLineChars="0"/>
                    <w:jc w:val="center"/>
                    <w:rPr>
                      <w:rFonts w:hint="eastAsia" w:eastAsia="宋体"/>
                      <w:sz w:val="21"/>
                      <w:szCs w:val="21"/>
                      <w:u w:val="single"/>
                      <w:lang w:val="en-US" w:eastAsia="zh-CN"/>
                    </w:rPr>
                  </w:pPr>
                  <w:r>
                    <w:rPr>
                      <w:rFonts w:hint="eastAsia"/>
                      <w:sz w:val="21"/>
                      <w:szCs w:val="21"/>
                      <w:u w:val="single"/>
                      <w:lang w:val="en-US" w:eastAsia="zh-CN"/>
                    </w:rPr>
                    <w:t>/</w:t>
                  </w:r>
                </w:p>
              </w:tc>
            </w:tr>
          </w:tbl>
          <w:p>
            <w:pPr>
              <w:pStyle w:val="15"/>
              <w:spacing w:before="0" w:line="360" w:lineRule="auto"/>
              <w:ind w:firstLine="480" w:firstLineChars="200"/>
              <w:rPr>
                <w:rFonts w:hint="default" w:ascii="Times New Roman" w:hAnsi="Times New Roman" w:cs="Times New Roman" w:eastAsiaTheme="minorEastAsia"/>
                <w:b w:val="0"/>
                <w:bCs/>
                <w:sz w:val="24"/>
                <w:szCs w:val="24"/>
              </w:rPr>
            </w:pPr>
            <w:r>
              <w:rPr>
                <w:b w:val="0"/>
                <w:sz w:val="24"/>
                <w:szCs w:val="24"/>
              </w:rPr>
              <w:t>根据现场调查，工程区</w:t>
            </w:r>
            <w:r>
              <w:rPr>
                <w:rFonts w:hint="default" w:ascii="Times New Roman" w:hAnsi="Times New Roman" w:cs="Times New Roman"/>
                <w:b w:val="0"/>
                <w:sz w:val="24"/>
                <w:szCs w:val="24"/>
              </w:rPr>
              <w:t>周围</w:t>
            </w:r>
            <w:r>
              <w:rPr>
                <w:rFonts w:hint="default" w:ascii="Times New Roman" w:hAnsi="Times New Roman" w:cs="Times New Roman"/>
                <w:b w:val="0"/>
                <w:sz w:val="24"/>
                <w:szCs w:val="24"/>
                <w:lang w:val="en-US" w:eastAsia="zh-CN"/>
              </w:rPr>
              <w:t>2</w:t>
            </w:r>
            <w:r>
              <w:rPr>
                <w:rFonts w:hint="default" w:ascii="Times New Roman" w:hAnsi="Times New Roman" w:cs="Times New Roman"/>
                <w:b w:val="0"/>
                <w:sz w:val="24"/>
                <w:szCs w:val="24"/>
              </w:rPr>
              <w:t>00米内</w:t>
            </w:r>
            <w:r>
              <w:rPr>
                <w:rFonts w:hint="default" w:ascii="Times New Roman" w:hAnsi="Times New Roman" w:cs="Times New Roman"/>
                <w:b w:val="0"/>
                <w:sz w:val="24"/>
                <w:szCs w:val="24"/>
                <w:lang w:val="en-US" w:eastAsia="zh-CN"/>
              </w:rPr>
              <w:t>有居民点</w:t>
            </w:r>
            <w:r>
              <w:rPr>
                <w:rFonts w:hint="default" w:ascii="Times New Roman" w:hAnsi="Times New Roman" w:cs="Times New Roman"/>
                <w:b w:val="0"/>
                <w:sz w:val="24"/>
                <w:szCs w:val="24"/>
              </w:rPr>
              <w:t>，施工噪声对</w:t>
            </w:r>
            <w:r>
              <w:rPr>
                <w:rFonts w:hint="default" w:ascii="Times New Roman" w:hAnsi="Times New Roman" w:cs="Times New Roman"/>
                <w:b w:val="0"/>
                <w:sz w:val="24"/>
                <w:szCs w:val="24"/>
                <w:lang w:val="en-US" w:eastAsia="zh-CN"/>
              </w:rPr>
              <w:t>周围环境影响产生一定影响</w:t>
            </w:r>
            <w:r>
              <w:rPr>
                <w:rFonts w:hint="default" w:ascii="Times New Roman" w:hAnsi="Times New Roman" w:cs="Times New Roman"/>
                <w:b w:val="0"/>
                <w:sz w:val="24"/>
                <w:szCs w:val="24"/>
              </w:rPr>
              <w:t>。交通噪声由汽车在运输和装卸过程中产生，运输车辆噪声对道路沿线的居民有一定的影响，其噪声是短期的、暂时的，且具有局部性</w:t>
            </w:r>
            <w:r>
              <w:rPr>
                <w:rFonts w:hint="default" w:ascii="Times New Roman" w:hAnsi="Times New Roman" w:cs="Times New Roman"/>
                <w:b w:val="0"/>
                <w:sz w:val="24"/>
                <w:szCs w:val="24"/>
                <w:lang w:val="en-US" w:eastAsia="zh-CN"/>
              </w:rPr>
              <w:t>，</w:t>
            </w:r>
            <w:r>
              <w:rPr>
                <w:rFonts w:hint="default" w:ascii="Times New Roman" w:hAnsi="Times New Roman" w:cs="Times New Roman"/>
                <w:sz w:val="24"/>
                <w:szCs w:val="24"/>
              </w:rPr>
              <w:t>将随着施工期的结束而消失。</w:t>
            </w:r>
          </w:p>
          <w:p>
            <w:pPr>
              <w:pStyle w:val="90"/>
              <w:numPr>
                <w:ilvl w:val="0"/>
                <w:numId w:val="12"/>
              </w:numPr>
              <w:spacing w:line="360" w:lineRule="auto"/>
              <w:ind w:firstLine="480" w:firstLineChars="200"/>
              <w:jc w:val="both"/>
              <w:rPr>
                <w:b w:val="0"/>
                <w:sz w:val="24"/>
                <w:szCs w:val="24"/>
              </w:rPr>
            </w:pPr>
            <w:r>
              <w:rPr>
                <w:b w:val="0"/>
                <w:sz w:val="24"/>
                <w:szCs w:val="24"/>
              </w:rPr>
              <w:t>固体废物</w:t>
            </w:r>
          </w:p>
          <w:p>
            <w:pPr>
              <w:pStyle w:val="90"/>
              <w:keepNext w:val="0"/>
              <w:keepLines w:val="0"/>
              <w:pageBreakBefore w:val="0"/>
              <w:widowControl/>
              <w:kinsoku/>
              <w:wordWrap/>
              <w:overflowPunct/>
              <w:topLinePunct w:val="0"/>
              <w:autoSpaceDE/>
              <w:autoSpaceDN/>
              <w:bidi w:val="0"/>
              <w:adjustRightInd/>
              <w:snapToGrid/>
              <w:spacing w:line="360" w:lineRule="auto"/>
              <w:ind w:left="0" w:leftChars="0" w:firstLine="480" w:firstLineChars="200"/>
              <w:jc w:val="both"/>
              <w:textAlignment w:val="auto"/>
              <w:outlineLvl w:val="9"/>
              <w:rPr>
                <w:rFonts w:hint="eastAsia"/>
                <w:b w:val="0"/>
                <w:bCs/>
                <w:sz w:val="24"/>
                <w:szCs w:val="24"/>
                <w:lang w:eastAsia="zh-CN"/>
              </w:rPr>
            </w:pPr>
            <w:r>
              <w:rPr>
                <w:rFonts w:hint="eastAsia"/>
                <w:b w:val="0"/>
                <w:bCs/>
                <w:sz w:val="24"/>
                <w:szCs w:val="24"/>
                <w:lang w:eastAsia="zh-CN"/>
              </w:rPr>
              <w:t>本项目不设施工营地，施工期固体废物主要包括弃渣（土方及建筑垃圾）和淤泥。</w:t>
            </w:r>
          </w:p>
          <w:p>
            <w:pPr>
              <w:pStyle w:val="90"/>
              <w:keepNext w:val="0"/>
              <w:keepLines w:val="0"/>
              <w:pageBreakBefore w:val="0"/>
              <w:widowControl/>
              <w:kinsoku/>
              <w:wordWrap/>
              <w:overflowPunct/>
              <w:topLinePunct w:val="0"/>
              <w:autoSpaceDE/>
              <w:autoSpaceDN/>
              <w:bidi w:val="0"/>
              <w:adjustRightInd/>
              <w:snapToGrid/>
              <w:spacing w:line="360" w:lineRule="auto"/>
              <w:ind w:left="0" w:leftChars="0" w:firstLine="480" w:firstLineChars="200"/>
              <w:jc w:val="both"/>
              <w:textAlignment w:val="auto"/>
              <w:outlineLvl w:val="9"/>
              <w:rPr>
                <w:rFonts w:hint="eastAsia" w:eastAsia="宋体"/>
                <w:b w:val="0"/>
                <w:sz w:val="24"/>
                <w:szCs w:val="24"/>
                <w:lang w:eastAsia="zh-CN"/>
              </w:rPr>
            </w:pPr>
            <w:r>
              <w:rPr>
                <w:b w:val="0"/>
                <w:sz w:val="24"/>
                <w:szCs w:val="24"/>
              </w:rPr>
              <w:t>（1）</w:t>
            </w:r>
            <w:r>
              <w:rPr>
                <w:rFonts w:hint="eastAsia"/>
                <w:b w:val="0"/>
                <w:sz w:val="24"/>
                <w:szCs w:val="24"/>
                <w:lang w:eastAsia="zh-CN"/>
              </w:rPr>
              <w:t>弃渣</w:t>
            </w:r>
          </w:p>
          <w:p>
            <w:pPr>
              <w:pStyle w:val="90"/>
              <w:keepNext w:val="0"/>
              <w:keepLines w:val="0"/>
              <w:pageBreakBefore w:val="0"/>
              <w:widowControl/>
              <w:kinsoku/>
              <w:wordWrap/>
              <w:overflowPunct/>
              <w:topLinePunct w:val="0"/>
              <w:autoSpaceDE/>
              <w:autoSpaceDN/>
              <w:bidi w:val="0"/>
              <w:adjustRightInd/>
              <w:snapToGrid/>
              <w:spacing w:line="360" w:lineRule="auto"/>
              <w:ind w:left="0" w:leftChars="0" w:firstLine="480" w:firstLineChars="200"/>
              <w:jc w:val="both"/>
              <w:textAlignment w:val="auto"/>
              <w:outlineLvl w:val="9"/>
              <w:rPr>
                <w:b w:val="0"/>
                <w:sz w:val="24"/>
                <w:szCs w:val="24"/>
              </w:rPr>
            </w:pPr>
            <w:r>
              <w:rPr>
                <w:rFonts w:hint="eastAsia"/>
                <w:b w:val="0"/>
                <w:sz w:val="24"/>
                <w:szCs w:val="24"/>
                <w:lang w:val="en-US" w:eastAsia="zh-CN"/>
              </w:rPr>
              <w:t>施工期间将涉及到土地开挖、管道敷设、材料运输、基础工程、房层建筑等工程，在此期间将有一定数量的废弃建筑材料如砂石、石灰、混凝土、废砖、土石方等。经类比分析，以一般建设项目土建阶段碎砖、过剩混凝土等建筑垃圾的产生量为</w:t>
            </w:r>
            <w:r>
              <w:rPr>
                <w:b w:val="0"/>
                <w:sz w:val="24"/>
                <w:szCs w:val="24"/>
                <w:lang w:val="en-US" w:eastAsia="zh-CN"/>
              </w:rPr>
              <w:t>10kg/m</w:t>
            </w:r>
            <w:r>
              <w:rPr>
                <w:rFonts w:hint="default"/>
                <w:b w:val="0"/>
                <w:sz w:val="24"/>
                <w:szCs w:val="24"/>
                <w:vertAlign w:val="superscript"/>
                <w:lang w:val="en-US" w:eastAsia="zh-CN"/>
              </w:rPr>
              <w:t>2</w:t>
            </w:r>
            <w:r>
              <w:rPr>
                <w:rFonts w:hint="eastAsia"/>
                <w:b w:val="0"/>
                <w:sz w:val="24"/>
                <w:szCs w:val="24"/>
                <w:lang w:val="en-US" w:eastAsia="zh-CN"/>
              </w:rPr>
              <w:t>计，根据设计资料，预计项目整个土建施工期建筑垃圾的产生量约330</w:t>
            </w:r>
            <w:r>
              <w:rPr>
                <w:rFonts w:hint="default"/>
                <w:b w:val="0"/>
                <w:sz w:val="24"/>
                <w:szCs w:val="24"/>
                <w:lang w:val="en-US" w:eastAsia="zh-CN"/>
              </w:rPr>
              <w:t>t</w:t>
            </w:r>
            <w:r>
              <w:rPr>
                <w:rFonts w:hint="eastAsia"/>
                <w:b w:val="0"/>
                <w:sz w:val="24"/>
                <w:szCs w:val="24"/>
                <w:lang w:val="en-US" w:eastAsia="zh-CN"/>
              </w:rPr>
              <w:t>。项目施工期土石方主要用于回填，并尽可能用于回填地基及绿化和筑路用。不能用于回填的建筑垃圾及弃土统一收集后需外运至政府指定地点堆放。</w:t>
            </w:r>
          </w:p>
          <w:p>
            <w:pPr>
              <w:pStyle w:val="90"/>
              <w:keepNext w:val="0"/>
              <w:keepLines w:val="0"/>
              <w:pageBreakBefore w:val="0"/>
              <w:widowControl/>
              <w:kinsoku/>
              <w:wordWrap/>
              <w:overflowPunct/>
              <w:topLinePunct w:val="0"/>
              <w:autoSpaceDE/>
              <w:autoSpaceDN/>
              <w:bidi w:val="0"/>
              <w:adjustRightInd/>
              <w:snapToGrid/>
              <w:spacing w:line="360" w:lineRule="auto"/>
              <w:ind w:left="0" w:leftChars="0" w:firstLine="480" w:firstLineChars="200"/>
              <w:jc w:val="both"/>
              <w:textAlignment w:val="auto"/>
              <w:outlineLvl w:val="9"/>
              <w:rPr>
                <w:rFonts w:hint="eastAsia" w:eastAsia="宋体"/>
                <w:b w:val="0"/>
                <w:sz w:val="24"/>
                <w:szCs w:val="24"/>
                <w:lang w:eastAsia="zh-CN"/>
              </w:rPr>
            </w:pPr>
            <w:r>
              <w:rPr>
                <w:b w:val="0"/>
                <w:sz w:val="24"/>
                <w:szCs w:val="24"/>
              </w:rPr>
              <w:t>（2）</w:t>
            </w:r>
            <w:r>
              <w:rPr>
                <w:rFonts w:hint="eastAsia"/>
                <w:b w:val="0"/>
                <w:sz w:val="24"/>
                <w:szCs w:val="24"/>
                <w:lang w:eastAsia="zh-CN"/>
              </w:rPr>
              <w:t>清淤产生的淤泥</w:t>
            </w:r>
          </w:p>
          <w:p>
            <w:pPr>
              <w:topLinePunct/>
              <w:spacing w:line="360" w:lineRule="auto"/>
              <w:ind w:firstLine="480" w:firstLineChars="200"/>
              <w:rPr>
                <w:rFonts w:hint="eastAsia"/>
                <w:sz w:val="24"/>
                <w:szCs w:val="24"/>
                <w:u w:val="none"/>
                <w:lang w:eastAsia="zh-CN"/>
              </w:rPr>
            </w:pPr>
            <w:r>
              <w:rPr>
                <w:rFonts w:hint="eastAsia"/>
                <w:sz w:val="24"/>
                <w:szCs w:val="24"/>
                <w:u w:val="none"/>
                <w:lang w:eastAsia="zh-CN"/>
              </w:rPr>
              <w:t>根据设计资料，</w:t>
            </w:r>
            <w:r>
              <w:rPr>
                <w:rFonts w:hint="default" w:ascii="Times New Roman" w:hAnsi="Times New Roman" w:cs="Times New Roman"/>
                <w:color w:val="auto"/>
                <w:kern w:val="2"/>
                <w:sz w:val="24"/>
                <w:szCs w:val="24"/>
                <w:u w:val="single"/>
                <w:vertAlign w:val="baseline"/>
                <w:lang w:val="en-US" w:eastAsia="zh-CN" w:bidi="ar-SA"/>
              </w:rPr>
              <w:t>底泥清淤方式采用</w:t>
            </w:r>
            <w:r>
              <w:rPr>
                <w:rFonts w:hint="eastAsia" w:ascii="Times New Roman" w:hAnsi="Times New Roman" w:cs="Times New Roman"/>
                <w:color w:val="auto"/>
                <w:kern w:val="2"/>
                <w:sz w:val="24"/>
                <w:szCs w:val="24"/>
                <w:u w:val="single"/>
                <w:vertAlign w:val="baseline"/>
                <w:lang w:val="en-US" w:eastAsia="zh-CN" w:bidi="ar-SA"/>
              </w:rPr>
              <w:t>干式清淤，即将水塘排干后使用高压水枪冲刷底泥后用泥浆泵输送至土工管袋，对淤泥进行脱水；因子清淤过程产生的淤泥不设堆放场地，直接由泵吸入土工管袋进行脱水。</w:t>
            </w:r>
            <w:r>
              <w:rPr>
                <w:rFonts w:hint="eastAsia" w:cs="Times New Roman"/>
                <w:color w:val="auto"/>
                <w:kern w:val="2"/>
                <w:sz w:val="24"/>
                <w:szCs w:val="24"/>
                <w:u w:val="single"/>
                <w:vertAlign w:val="baseline"/>
                <w:lang w:val="en-US" w:eastAsia="zh-CN" w:bidi="ar-SA"/>
              </w:rPr>
              <w:t>脱水后</w:t>
            </w:r>
          </w:p>
          <w:p>
            <w:pPr>
              <w:pStyle w:val="35"/>
              <w:keepNext w:val="0"/>
              <w:keepLines w:val="0"/>
              <w:pageBreakBefore w:val="0"/>
              <w:widowControl w:val="0"/>
              <w:numPr>
                <w:ilvl w:val="0"/>
                <w:numId w:val="0"/>
              </w:numPr>
              <w:kinsoku/>
              <w:wordWrap/>
              <w:overflowPunct/>
              <w:topLinePunct w:val="0"/>
              <w:autoSpaceDE w:val="0"/>
              <w:autoSpaceDN w:val="0"/>
              <w:bidi w:val="0"/>
              <w:adjustRightInd/>
              <w:snapToGrid/>
              <w:spacing w:line="360" w:lineRule="auto"/>
              <w:ind w:leftChars="0" w:firstLine="480" w:firstLineChars="200"/>
              <w:textAlignment w:val="auto"/>
              <w:outlineLvl w:val="9"/>
              <w:rPr>
                <w:rFonts w:hint="default" w:ascii="Times New Roman" w:hAnsi="Times New Roman" w:cs="Times New Roman"/>
                <w:color w:val="auto"/>
                <w:kern w:val="2"/>
                <w:sz w:val="24"/>
                <w:szCs w:val="24"/>
                <w:u w:val="single"/>
                <w:vertAlign w:val="baseline"/>
                <w:lang w:val="en-US" w:eastAsia="zh-CN" w:bidi="ar-SA"/>
              </w:rPr>
            </w:pPr>
            <w:r>
              <w:rPr>
                <w:rFonts w:hint="default" w:ascii="Times New Roman" w:hAnsi="Times New Roman" w:cs="Times New Roman"/>
                <w:sz w:val="24"/>
                <w:szCs w:val="24"/>
                <w:u w:val="single"/>
                <w:lang w:eastAsia="zh-CN"/>
              </w:rPr>
              <w:t>项目清淤过程产生的淤泥量约为</w:t>
            </w:r>
            <w:r>
              <w:rPr>
                <w:rFonts w:hint="default" w:ascii="Times New Roman" w:hAnsi="Times New Roman" w:cs="Times New Roman"/>
                <w:sz w:val="24"/>
                <w:szCs w:val="24"/>
                <w:u w:val="single"/>
                <w:lang w:val="en-US" w:eastAsia="zh-CN"/>
              </w:rPr>
              <w:t>18700m</w:t>
            </w:r>
            <w:r>
              <w:rPr>
                <w:rFonts w:hint="default" w:ascii="Times New Roman" w:hAnsi="Times New Roman" w:cs="Times New Roman"/>
                <w:sz w:val="24"/>
                <w:szCs w:val="24"/>
                <w:u w:val="single"/>
                <w:vertAlign w:val="superscript"/>
                <w:lang w:val="en-US" w:eastAsia="zh-CN"/>
              </w:rPr>
              <w:t>3</w:t>
            </w:r>
            <w:r>
              <w:rPr>
                <w:rFonts w:hint="default" w:ascii="Times New Roman" w:hAnsi="Times New Roman" w:cs="Times New Roman"/>
                <w:sz w:val="24"/>
                <w:szCs w:val="24"/>
                <w:u w:val="single"/>
                <w:vertAlign w:val="baseline"/>
                <w:lang w:val="en-US" w:eastAsia="zh-CN"/>
              </w:rPr>
              <w:t>，</w:t>
            </w:r>
            <w:r>
              <w:rPr>
                <w:rFonts w:hint="default" w:ascii="Times New Roman" w:hAnsi="Times New Roman" w:cs="Times New Roman"/>
                <w:sz w:val="24"/>
                <w:u w:val="single"/>
                <w:lang w:eastAsia="zh-CN"/>
              </w:rPr>
              <w:t>项目拟</w:t>
            </w:r>
            <w:r>
              <w:rPr>
                <w:rFonts w:hint="default" w:ascii="Times New Roman" w:hAnsi="Times New Roman" w:cs="Times New Roman"/>
                <w:color w:val="auto"/>
                <w:kern w:val="2"/>
                <w:sz w:val="24"/>
                <w:szCs w:val="24"/>
                <w:u w:val="single"/>
                <w:vertAlign w:val="baseline"/>
                <w:lang w:val="en-US" w:eastAsia="zh-CN" w:bidi="ar-SA"/>
              </w:rPr>
              <w:t>采用土工管袋脱水的方法对淤泥进行脱水，土工管袋内淤泥通过压滤后含水率可从90%下降到60%以下，则淤泥量可降低至4675m</w:t>
            </w:r>
            <w:r>
              <w:rPr>
                <w:rFonts w:hint="default" w:ascii="Times New Roman" w:hAnsi="Times New Roman" w:cs="Times New Roman"/>
                <w:color w:val="auto"/>
                <w:kern w:val="2"/>
                <w:sz w:val="24"/>
                <w:szCs w:val="24"/>
                <w:u w:val="single"/>
                <w:vertAlign w:val="superscript"/>
                <w:lang w:val="en-US" w:eastAsia="zh-CN" w:bidi="ar-SA"/>
              </w:rPr>
              <w:t>3</w:t>
            </w:r>
            <w:r>
              <w:rPr>
                <w:rFonts w:hint="default" w:ascii="Times New Roman" w:hAnsi="Times New Roman" w:cs="Times New Roman"/>
                <w:color w:val="auto"/>
                <w:kern w:val="2"/>
                <w:sz w:val="24"/>
                <w:szCs w:val="24"/>
                <w:u w:val="single"/>
                <w:vertAlign w:val="baseline"/>
                <w:lang w:val="en-US" w:eastAsia="zh-CN" w:bidi="ar-SA"/>
              </w:rPr>
              <w:t>以下，淤泥内水分含量达到护坡中心填土要求时作为护坡中心填土使用。</w:t>
            </w:r>
          </w:p>
          <w:p>
            <w:pPr>
              <w:topLinePunct/>
              <w:spacing w:line="360" w:lineRule="auto"/>
              <w:ind w:firstLine="480" w:firstLineChars="200"/>
              <w:rPr>
                <w:rFonts w:hint="eastAsia" w:eastAsia="宋体"/>
                <w:b w:val="0"/>
                <w:sz w:val="24"/>
                <w:szCs w:val="24"/>
                <w:u w:val="none"/>
                <w:lang w:eastAsia="zh-CN"/>
              </w:rPr>
            </w:pPr>
            <w:r>
              <w:rPr>
                <w:b w:val="0"/>
                <w:sz w:val="24"/>
                <w:szCs w:val="24"/>
                <w:u w:val="none"/>
              </w:rPr>
              <w:t>5、</w:t>
            </w:r>
            <w:r>
              <w:rPr>
                <w:rFonts w:hint="eastAsia"/>
                <w:b w:val="0"/>
                <w:sz w:val="24"/>
                <w:szCs w:val="24"/>
                <w:u w:val="none"/>
                <w:lang w:eastAsia="zh-CN"/>
              </w:rPr>
              <w:t>生态影响</w:t>
            </w:r>
          </w:p>
          <w:p>
            <w:pPr>
              <w:pStyle w:val="90"/>
              <w:spacing w:line="360" w:lineRule="auto"/>
              <w:ind w:firstLine="480" w:firstLineChars="200"/>
              <w:jc w:val="both"/>
              <w:rPr>
                <w:b w:val="0"/>
                <w:sz w:val="24"/>
                <w:szCs w:val="24"/>
                <w:u w:val="none"/>
              </w:rPr>
            </w:pPr>
            <w:r>
              <w:rPr>
                <w:b w:val="0"/>
                <w:sz w:val="24"/>
                <w:szCs w:val="24"/>
                <w:u w:val="none"/>
              </w:rPr>
              <w:t>本项目施工过程中，开挖填筑及其他相关施工活动，都将对地表造成扰动，改变原有地形地貌，破坏地表植被，使地表裸露，在降雨径流的作用下，导致项目区的水土流失加剧，破坏生态环境。</w:t>
            </w:r>
          </w:p>
          <w:p>
            <w:pPr>
              <w:pStyle w:val="89"/>
              <w:outlineLvl w:val="9"/>
              <w:rPr>
                <w:rFonts w:hint="eastAsia" w:ascii="Times New Roman" w:hAnsi="Times New Roman" w:eastAsia="宋体" w:cs="Times New Roman"/>
                <w:b/>
                <w:bCs/>
                <w:sz w:val="24"/>
                <w:szCs w:val="24"/>
                <w:lang w:val="en-US" w:eastAsia="zh-CN"/>
              </w:rPr>
            </w:pPr>
            <w:bookmarkStart w:id="74" w:name="_Toc18463"/>
            <w:bookmarkStart w:id="75" w:name="_Toc11897"/>
            <w:r>
              <w:rPr>
                <w:rFonts w:hint="eastAsia" w:ascii="Times New Roman" w:hAnsi="Times New Roman" w:eastAsia="宋体" w:cs="Times New Roman"/>
                <w:b/>
                <w:bCs/>
                <w:sz w:val="24"/>
                <w:szCs w:val="24"/>
                <w:lang w:val="en-US" w:eastAsia="zh-CN"/>
              </w:rPr>
              <w:t>5.</w:t>
            </w:r>
            <w:r>
              <w:rPr>
                <w:rFonts w:hint="eastAsia" w:ascii="Times New Roman" w:hAnsi="Times New Roman" w:cs="Times New Roman"/>
                <w:b/>
                <w:bCs/>
                <w:sz w:val="24"/>
                <w:szCs w:val="24"/>
                <w:lang w:val="en-US" w:eastAsia="zh-CN"/>
              </w:rPr>
              <w:t>2</w:t>
            </w:r>
            <w:r>
              <w:rPr>
                <w:rFonts w:hint="eastAsia" w:ascii="Times New Roman" w:hAnsi="Times New Roman" w:eastAsia="宋体" w:cs="Times New Roman"/>
                <w:b/>
                <w:bCs/>
                <w:sz w:val="24"/>
                <w:szCs w:val="24"/>
                <w:lang w:val="en-US" w:eastAsia="zh-CN"/>
              </w:rPr>
              <w:t>营运期污染分析</w:t>
            </w:r>
            <w:bookmarkEnd w:id="74"/>
            <w:bookmarkEnd w:id="75"/>
          </w:p>
          <w:p>
            <w:pPr>
              <w:keepNext w:val="0"/>
              <w:keepLines w:val="0"/>
              <w:widowControl/>
              <w:suppressLineNumbers w:val="0"/>
              <w:spacing w:line="360" w:lineRule="auto"/>
              <w:ind w:firstLine="480" w:firstLineChars="200"/>
              <w:jc w:val="left"/>
              <w:rPr>
                <w:sz w:val="24"/>
                <w:szCs w:val="24"/>
              </w:rPr>
            </w:pPr>
            <w:r>
              <w:rPr>
                <w:rFonts w:hint="eastAsia" w:ascii="宋体" w:hAnsi="宋体" w:eastAsia="宋体" w:cs="宋体"/>
                <w:color w:val="000000"/>
                <w:kern w:val="0"/>
                <w:sz w:val="24"/>
                <w:szCs w:val="24"/>
                <w:lang w:val="en-US" w:eastAsia="zh-CN" w:bidi="ar"/>
              </w:rPr>
              <w:t>项目营运期，管网敷设于地下，无污染物产生，不会对周围环境产生影响。本项目污水处理站及泵站均不设管理用房，无人值守，仅需定期巡查，故不产生生活污水和生活垃圾。项目运营期主要污染源为奇家社区污水处理站污水散发的恶臭、设备运行产生的噪声和固废。</w:t>
            </w:r>
          </w:p>
          <w:p>
            <w:pPr>
              <w:pStyle w:val="89"/>
              <w:numPr>
                <w:ilvl w:val="0"/>
                <w:numId w:val="13"/>
              </w:numPr>
              <w:spacing w:line="360" w:lineRule="auto"/>
              <w:ind w:firstLine="480" w:firstLineChars="200"/>
              <w:outlineLvl w:val="9"/>
              <w:rPr>
                <w:rFonts w:hint="eastAsia"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营运期废气污染源分析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rPr>
            </w:pPr>
            <w:r>
              <w:rPr>
                <w:rFonts w:hint="eastAsia" w:ascii="Times New Roman" w:hAnsi="Times New Roman"/>
                <w:b w:val="0"/>
                <w:kern w:val="0"/>
                <w:sz w:val="24"/>
                <w:szCs w:val="24"/>
                <w:lang w:val="en-US" w:eastAsia="zh-CN"/>
              </w:rPr>
              <w:t>项目运营期产生的废气主要是恶臭物质，主要来自三格式化粪池、提升井、PTA</w:t>
            </w:r>
            <w:r>
              <w:rPr>
                <w:rFonts w:hint="eastAsia" w:ascii="Times New Roman" w:hAnsi="Times New Roman"/>
                <w:b w:val="0"/>
                <w:kern w:val="0"/>
                <w:sz w:val="24"/>
                <w:szCs w:val="24"/>
                <w:vertAlign w:val="superscript"/>
                <w:lang w:val="en-US" w:eastAsia="zh-CN"/>
              </w:rPr>
              <w:t>2</w:t>
            </w:r>
            <w:r>
              <w:rPr>
                <w:rFonts w:hint="eastAsia" w:ascii="Times New Roman" w:hAnsi="Times New Roman"/>
                <w:b w:val="0"/>
                <w:kern w:val="0"/>
                <w:sz w:val="24"/>
                <w:szCs w:val="24"/>
                <w:lang w:val="en-US" w:eastAsia="zh-CN"/>
              </w:rPr>
              <w:t>O一体化污水综合处理装置等运行过程中产生的硫化氢、氨等臭气，属无组织排放源。根据美国环境保护署对污水处理厂恶臭污染物产生情况的研究，每去除1g的BOD</w:t>
            </w:r>
            <w:r>
              <w:rPr>
                <w:rFonts w:hint="eastAsia" w:ascii="Times New Roman" w:hAnsi="Times New Roman"/>
                <w:b w:val="0"/>
                <w:kern w:val="0"/>
                <w:sz w:val="24"/>
                <w:szCs w:val="24"/>
                <w:vertAlign w:val="subscript"/>
                <w:lang w:val="en-US" w:eastAsia="zh-CN"/>
              </w:rPr>
              <w:t>5</w:t>
            </w:r>
            <w:r>
              <w:rPr>
                <w:rFonts w:hint="eastAsia" w:ascii="Times New Roman" w:hAnsi="Times New Roman"/>
                <w:b w:val="0"/>
                <w:kern w:val="0"/>
                <w:sz w:val="24"/>
                <w:szCs w:val="24"/>
                <w:lang w:val="en-US" w:eastAsia="zh-CN"/>
              </w:rPr>
              <w:t>可产生0.0031g的NH</w:t>
            </w:r>
            <w:r>
              <w:rPr>
                <w:rFonts w:hint="eastAsia" w:ascii="Times New Roman" w:hAnsi="Times New Roman"/>
                <w:b w:val="0"/>
                <w:kern w:val="0"/>
                <w:sz w:val="24"/>
                <w:szCs w:val="24"/>
                <w:vertAlign w:val="subscript"/>
                <w:lang w:val="en-US" w:eastAsia="zh-CN"/>
              </w:rPr>
              <w:t>3</w:t>
            </w:r>
            <w:r>
              <w:rPr>
                <w:rFonts w:hint="eastAsia" w:ascii="Times New Roman" w:hAnsi="Times New Roman"/>
                <w:b w:val="0"/>
                <w:kern w:val="0"/>
                <w:sz w:val="24"/>
                <w:szCs w:val="24"/>
                <w:lang w:val="en-US" w:eastAsia="zh-CN"/>
              </w:rPr>
              <w:t>、0.00012g的H</w:t>
            </w:r>
            <w:r>
              <w:rPr>
                <w:rFonts w:hint="eastAsia" w:ascii="Times New Roman" w:hAnsi="Times New Roman"/>
                <w:b w:val="0"/>
                <w:kern w:val="0"/>
                <w:sz w:val="24"/>
                <w:szCs w:val="24"/>
                <w:vertAlign w:val="subscript"/>
                <w:lang w:val="en-US" w:eastAsia="zh-CN"/>
              </w:rPr>
              <w:t>2</w:t>
            </w:r>
            <w:r>
              <w:rPr>
                <w:rFonts w:hint="eastAsia" w:ascii="Times New Roman" w:hAnsi="Times New Roman"/>
                <w:b w:val="0"/>
                <w:kern w:val="0"/>
                <w:sz w:val="24"/>
                <w:szCs w:val="24"/>
                <w:lang w:val="en-US" w:eastAsia="zh-CN"/>
              </w:rPr>
              <w:t>S。本项目建成后日处理量为220 t废水，根据项目废水进出水水质设计指标，</w:t>
            </w:r>
            <w:r>
              <w:rPr>
                <w:rFonts w:hint="default" w:ascii="Times New Roman" w:hAnsi="Times New Roman" w:eastAsia="宋体" w:cs="Times New Roman"/>
                <w:b w:val="0"/>
                <w:bCs w:val="0"/>
                <w:color w:val="auto"/>
                <w:sz w:val="24"/>
                <w:u w:val="none"/>
              </w:rPr>
              <w:t>处理BOD</w:t>
            </w:r>
            <w:r>
              <w:rPr>
                <w:rFonts w:hint="default" w:ascii="Times New Roman" w:hAnsi="Times New Roman" w:eastAsia="宋体" w:cs="Times New Roman"/>
                <w:b w:val="0"/>
                <w:bCs w:val="0"/>
                <w:color w:val="auto"/>
                <w:sz w:val="24"/>
                <w:u w:val="none"/>
                <w:vertAlign w:val="subscript"/>
              </w:rPr>
              <w:t>5</w:t>
            </w:r>
            <w:r>
              <w:rPr>
                <w:rFonts w:hint="default" w:ascii="Times New Roman" w:hAnsi="Times New Roman" w:eastAsia="宋体" w:cs="Times New Roman"/>
                <w:b w:val="0"/>
                <w:bCs w:val="0"/>
                <w:color w:val="auto"/>
                <w:sz w:val="24"/>
                <w:u w:val="none"/>
              </w:rPr>
              <w:t xml:space="preserve"> </w:t>
            </w:r>
            <w:r>
              <w:rPr>
                <w:rFonts w:hint="eastAsia" w:cs="Times New Roman"/>
                <w:b w:val="0"/>
                <w:bCs w:val="0"/>
                <w:color w:val="auto"/>
                <w:sz w:val="24"/>
                <w:u w:val="none"/>
                <w:lang w:val="en-US" w:eastAsia="zh-CN"/>
              </w:rPr>
              <w:t>28.1</w:t>
            </w:r>
            <w:r>
              <w:rPr>
                <w:rFonts w:hint="default" w:ascii="Times New Roman" w:hAnsi="Times New Roman" w:eastAsia="宋体" w:cs="Times New Roman"/>
                <w:b w:val="0"/>
                <w:bCs w:val="0"/>
                <w:color w:val="auto"/>
                <w:sz w:val="24"/>
                <w:u w:val="none"/>
              </w:rPr>
              <w:t>t/a，则污水处理站NH</w:t>
            </w:r>
            <w:r>
              <w:rPr>
                <w:rFonts w:hint="default" w:ascii="Times New Roman" w:hAnsi="Times New Roman" w:eastAsia="宋体" w:cs="Times New Roman"/>
                <w:b w:val="0"/>
                <w:bCs w:val="0"/>
                <w:color w:val="auto"/>
                <w:sz w:val="24"/>
                <w:u w:val="none"/>
                <w:vertAlign w:val="subscript"/>
              </w:rPr>
              <w:t>3</w:t>
            </w:r>
            <w:r>
              <w:rPr>
                <w:rFonts w:hint="default" w:ascii="Times New Roman" w:hAnsi="Times New Roman" w:eastAsia="宋体" w:cs="Times New Roman"/>
                <w:b w:val="0"/>
                <w:bCs w:val="0"/>
                <w:color w:val="auto"/>
                <w:sz w:val="24"/>
                <w:u w:val="none"/>
              </w:rPr>
              <w:t>、H</w:t>
            </w:r>
            <w:r>
              <w:rPr>
                <w:rFonts w:hint="default" w:ascii="Times New Roman" w:hAnsi="Times New Roman" w:eastAsia="宋体" w:cs="Times New Roman"/>
                <w:b w:val="0"/>
                <w:bCs w:val="0"/>
                <w:color w:val="auto"/>
                <w:sz w:val="24"/>
                <w:u w:val="none"/>
                <w:vertAlign w:val="subscript"/>
              </w:rPr>
              <w:t>2</w:t>
            </w:r>
            <w:r>
              <w:rPr>
                <w:rFonts w:hint="default" w:ascii="Times New Roman" w:hAnsi="Times New Roman" w:eastAsia="宋体" w:cs="Times New Roman"/>
                <w:b w:val="0"/>
                <w:bCs w:val="0"/>
                <w:color w:val="auto"/>
                <w:sz w:val="24"/>
                <w:u w:val="none"/>
              </w:rPr>
              <w:t>S产生量约为0.</w:t>
            </w:r>
            <w:r>
              <w:rPr>
                <w:rFonts w:hint="eastAsia" w:eastAsia="宋体" w:cs="Times New Roman"/>
                <w:b w:val="0"/>
                <w:bCs w:val="0"/>
                <w:color w:val="auto"/>
                <w:sz w:val="24"/>
                <w:u w:val="none"/>
                <w:lang w:val="en-US" w:eastAsia="zh-CN"/>
              </w:rPr>
              <w:t>0</w:t>
            </w:r>
            <w:r>
              <w:rPr>
                <w:rFonts w:hint="eastAsia" w:cs="Times New Roman"/>
                <w:b w:val="0"/>
                <w:bCs w:val="0"/>
                <w:color w:val="auto"/>
                <w:sz w:val="24"/>
                <w:u w:val="none"/>
                <w:lang w:val="en-US" w:eastAsia="zh-CN"/>
              </w:rPr>
              <w:t>87</w:t>
            </w:r>
            <w:r>
              <w:rPr>
                <w:rFonts w:hint="default" w:ascii="Times New Roman" w:hAnsi="Times New Roman" w:eastAsia="宋体" w:cs="Times New Roman"/>
                <w:b w:val="0"/>
                <w:bCs w:val="0"/>
                <w:color w:val="auto"/>
                <w:sz w:val="24"/>
                <w:u w:val="none"/>
              </w:rPr>
              <w:t>t/a、0.0</w:t>
            </w:r>
            <w:r>
              <w:rPr>
                <w:rFonts w:hint="eastAsia" w:eastAsia="宋体" w:cs="Times New Roman"/>
                <w:b w:val="0"/>
                <w:bCs w:val="0"/>
                <w:color w:val="auto"/>
                <w:sz w:val="24"/>
                <w:u w:val="none"/>
                <w:lang w:val="en-US" w:eastAsia="zh-CN"/>
              </w:rPr>
              <w:t>0</w:t>
            </w:r>
            <w:r>
              <w:rPr>
                <w:rFonts w:hint="eastAsia" w:cs="Times New Roman"/>
                <w:b w:val="0"/>
                <w:bCs w:val="0"/>
                <w:color w:val="auto"/>
                <w:sz w:val="24"/>
                <w:u w:val="none"/>
                <w:lang w:val="en-US" w:eastAsia="zh-CN"/>
              </w:rPr>
              <w:t>34</w:t>
            </w:r>
            <w:r>
              <w:rPr>
                <w:rFonts w:hint="default" w:ascii="Times New Roman" w:hAnsi="Times New Roman" w:eastAsia="宋体" w:cs="Times New Roman"/>
                <w:b w:val="0"/>
                <w:bCs w:val="0"/>
                <w:color w:val="auto"/>
                <w:sz w:val="24"/>
                <w:u w:val="none"/>
              </w:rPr>
              <w:t>t/a。通过对恶臭产生单元采取喷洒除臭剂等措施，恶臭处理效率为80%，处理后排放量为NH</w:t>
            </w:r>
            <w:r>
              <w:rPr>
                <w:rFonts w:hint="default" w:ascii="Times New Roman" w:hAnsi="Times New Roman" w:eastAsia="宋体" w:cs="Times New Roman"/>
                <w:b w:val="0"/>
                <w:bCs w:val="0"/>
                <w:color w:val="auto"/>
                <w:sz w:val="24"/>
                <w:u w:val="none"/>
                <w:vertAlign w:val="subscript"/>
              </w:rPr>
              <w:t>3</w:t>
            </w:r>
            <w:r>
              <w:rPr>
                <w:rFonts w:hint="eastAsia" w:cs="Times New Roman"/>
                <w:b w:val="0"/>
                <w:bCs w:val="0"/>
                <w:color w:val="auto"/>
                <w:sz w:val="24"/>
                <w:u w:val="none"/>
                <w:lang w:val="en-US" w:eastAsia="zh-CN"/>
              </w:rPr>
              <w:t>17.4</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r>
              <w:rPr>
                <w:rFonts w:hint="default" w:ascii="Times New Roman" w:hAnsi="Times New Roman" w:eastAsia="宋体" w:cs="Times New Roman"/>
                <w:b w:val="0"/>
                <w:bCs w:val="0"/>
                <w:color w:val="auto"/>
                <w:sz w:val="24"/>
                <w:u w:val="none"/>
              </w:rPr>
              <w:t>（0.00</w:t>
            </w:r>
            <w:r>
              <w:rPr>
                <w:rFonts w:hint="eastAsia" w:cs="Times New Roman"/>
                <w:b w:val="0"/>
                <w:bCs w:val="0"/>
                <w:color w:val="auto"/>
                <w:sz w:val="24"/>
                <w:u w:val="none"/>
                <w:lang w:val="en-US" w:eastAsia="zh-CN"/>
              </w:rPr>
              <w:t>2</w:t>
            </w:r>
            <w:r>
              <w:rPr>
                <w:rFonts w:hint="default" w:ascii="Times New Roman" w:hAnsi="Times New Roman" w:eastAsia="宋体" w:cs="Times New Roman"/>
                <w:b w:val="0"/>
                <w:bCs w:val="0"/>
                <w:color w:val="auto"/>
                <w:sz w:val="24"/>
                <w:u w:val="none"/>
              </w:rPr>
              <w:t>kg/h）、H</w:t>
            </w:r>
            <w:r>
              <w:rPr>
                <w:rFonts w:hint="default" w:ascii="Times New Roman" w:hAnsi="Times New Roman" w:eastAsia="宋体" w:cs="Times New Roman"/>
                <w:b w:val="0"/>
                <w:bCs w:val="0"/>
                <w:color w:val="auto"/>
                <w:sz w:val="24"/>
                <w:u w:val="none"/>
                <w:vertAlign w:val="subscript"/>
              </w:rPr>
              <w:t>2</w:t>
            </w:r>
            <w:r>
              <w:rPr>
                <w:rFonts w:hint="default" w:ascii="Times New Roman" w:hAnsi="Times New Roman" w:eastAsia="宋体" w:cs="Times New Roman"/>
                <w:b w:val="0"/>
                <w:bCs w:val="0"/>
                <w:color w:val="auto"/>
                <w:sz w:val="24"/>
                <w:u w:val="none"/>
              </w:rPr>
              <w:t>S</w:t>
            </w:r>
            <w:r>
              <w:rPr>
                <w:rFonts w:hint="eastAsia" w:cs="Times New Roman"/>
                <w:b w:val="0"/>
                <w:bCs w:val="0"/>
                <w:color w:val="auto"/>
                <w:sz w:val="24"/>
                <w:u w:val="none"/>
                <w:lang w:val="en-US" w:eastAsia="zh-CN"/>
              </w:rPr>
              <w:t>6.8</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r>
              <w:rPr>
                <w:rFonts w:hint="default" w:ascii="Times New Roman" w:hAnsi="Times New Roman" w:eastAsia="宋体" w:cs="Times New Roman"/>
                <w:b w:val="0"/>
                <w:bCs w:val="0"/>
                <w:color w:val="auto"/>
                <w:sz w:val="24"/>
                <w:u w:val="none"/>
              </w:rPr>
              <w:t>（0.000</w:t>
            </w:r>
            <w:r>
              <w:rPr>
                <w:rFonts w:hint="eastAsia" w:eastAsia="宋体" w:cs="Times New Roman"/>
                <w:b w:val="0"/>
                <w:bCs w:val="0"/>
                <w:color w:val="auto"/>
                <w:sz w:val="24"/>
                <w:u w:val="none"/>
                <w:lang w:val="en-US" w:eastAsia="zh-CN"/>
              </w:rPr>
              <w:t>7</w:t>
            </w:r>
            <w:r>
              <w:rPr>
                <w:rFonts w:hint="eastAsia" w:cs="Times New Roman"/>
                <w:b w:val="0"/>
                <w:bCs w:val="0"/>
                <w:color w:val="auto"/>
                <w:sz w:val="24"/>
                <w:u w:val="none"/>
                <w:lang w:val="en-US" w:eastAsia="zh-CN"/>
              </w:rPr>
              <w:t>8</w:t>
            </w:r>
            <w:r>
              <w:rPr>
                <w:rFonts w:hint="default" w:ascii="Times New Roman" w:hAnsi="Times New Roman" w:eastAsia="宋体" w:cs="Times New Roman"/>
                <w:b w:val="0"/>
                <w:bCs w:val="0"/>
                <w:color w:val="auto"/>
                <w:sz w:val="24"/>
                <w:u w:val="none"/>
              </w:rPr>
              <w:t>kg/h）。</w:t>
            </w:r>
          </w:p>
          <w:p>
            <w:pPr>
              <w:pStyle w:val="89"/>
              <w:numPr>
                <w:ilvl w:val="0"/>
                <w:numId w:val="13"/>
              </w:numPr>
              <w:spacing w:line="360" w:lineRule="auto"/>
              <w:ind w:firstLine="480" w:firstLineChars="200"/>
              <w:outlineLvl w:val="9"/>
              <w:rPr>
                <w:rFonts w:hint="eastAsia"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营运期废水污染源分析</w:t>
            </w:r>
          </w:p>
          <w:p>
            <w:pPr>
              <w:pStyle w:val="89"/>
              <w:numPr>
                <w:ilvl w:val="0"/>
                <w:numId w:val="0"/>
              </w:numPr>
              <w:spacing w:line="360" w:lineRule="auto"/>
              <w:ind w:firstLine="480"/>
              <w:outlineLvl w:val="9"/>
              <w:rPr>
                <w:rFonts w:hint="eastAsia" w:ascii="Times New Roman" w:hAnsi="Times New Roman"/>
                <w:b w:val="0"/>
                <w:kern w:val="0"/>
                <w:sz w:val="24"/>
                <w:szCs w:val="24"/>
                <w:u w:val="single"/>
                <w:lang w:val="en-US" w:eastAsia="zh-CN"/>
              </w:rPr>
            </w:pPr>
            <w:r>
              <w:rPr>
                <w:rFonts w:hint="eastAsia" w:ascii="Times New Roman" w:hAnsi="Times New Roman"/>
                <w:b w:val="0"/>
                <w:kern w:val="0"/>
                <w:sz w:val="24"/>
                <w:szCs w:val="24"/>
                <w:u w:val="single"/>
                <w:lang w:val="en-US" w:eastAsia="zh-CN"/>
              </w:rPr>
              <w:t>项目目营运期，管网敷设于地下，无废水产生。本项目污水处理站及泵站均不设管理用房，无人值守，仅需定期巡查，故不产生生活污水。营运期废水主要为新建奇家社区污水处理站一座，收集奇家社区居民生活污水，污水处理站处理能力为220t/d，经处理后达《城镇污水处理厂污染物排放标准》（GB18918-2002）一级标准的A标准，排入小溪，最终汇入南港河。</w:t>
            </w:r>
          </w:p>
          <w:p>
            <w:pPr>
              <w:pStyle w:val="89"/>
              <w:numPr>
                <w:ilvl w:val="0"/>
                <w:numId w:val="0"/>
              </w:numPr>
              <w:spacing w:line="360" w:lineRule="auto"/>
              <w:ind w:firstLine="480"/>
              <w:outlineLvl w:val="9"/>
              <w:rPr>
                <w:rFonts w:hint="default" w:ascii="Times New Roman" w:hAnsi="Times New Roman"/>
                <w:b w:val="0"/>
                <w:kern w:val="0"/>
                <w:sz w:val="24"/>
                <w:szCs w:val="24"/>
                <w:u w:val="single"/>
                <w:lang w:val="en-US" w:eastAsia="zh-CN"/>
              </w:rPr>
            </w:pPr>
            <w:r>
              <w:rPr>
                <w:rFonts w:hint="eastAsia" w:ascii="Times New Roman" w:hAnsi="Times New Roman"/>
                <w:b w:val="0"/>
                <w:kern w:val="0"/>
                <w:sz w:val="24"/>
                <w:szCs w:val="24"/>
                <w:u w:val="single"/>
                <w:lang w:val="en-US" w:eastAsia="zh-CN"/>
              </w:rPr>
              <w:t>项目面源污染控制工程中主要对廖家巷湿塘、颐养院湿塘和奥敏游泳馆湿塘进行整治，拟设置5个小型污水处理站，对湿塘周边未纳入管网的生活污水进行处理，5个小型污水处理站处理能力分别为3t/d、5t/d、5t/d、3t/d、5t/d，经处理达标后就近排入湿塘。</w:t>
            </w:r>
          </w:p>
          <w:p>
            <w:pPr>
              <w:pStyle w:val="89"/>
              <w:numPr>
                <w:ilvl w:val="0"/>
                <w:numId w:val="13"/>
              </w:numPr>
              <w:spacing w:line="360" w:lineRule="auto"/>
              <w:ind w:firstLine="480" w:firstLineChars="200"/>
              <w:outlineLvl w:val="9"/>
              <w:rPr>
                <w:rFonts w:hint="eastAsia"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营运期噪声污染源分析</w:t>
            </w:r>
          </w:p>
          <w:p>
            <w:pPr>
              <w:spacing w:line="360" w:lineRule="auto"/>
              <w:ind w:firstLine="480" w:firstLineChars="200"/>
              <w:rPr>
                <w:sz w:val="24"/>
                <w:szCs w:val="24"/>
                <w:u w:val="single"/>
              </w:rPr>
            </w:pPr>
            <w:r>
              <w:rPr>
                <w:sz w:val="24"/>
                <w:szCs w:val="24"/>
                <w:u w:val="single"/>
              </w:rPr>
              <w:t>污水处理厂的噪声主要来源于污水泵房和</w:t>
            </w:r>
            <w:r>
              <w:rPr>
                <w:rFonts w:hint="eastAsia"/>
                <w:sz w:val="24"/>
                <w:szCs w:val="24"/>
                <w:u w:val="single"/>
              </w:rPr>
              <w:t>风机等设备</w:t>
            </w:r>
            <w:r>
              <w:rPr>
                <w:sz w:val="24"/>
                <w:szCs w:val="24"/>
                <w:u w:val="single"/>
              </w:rPr>
              <w:t>，设备</w:t>
            </w:r>
            <w:r>
              <w:rPr>
                <w:rFonts w:hint="eastAsia"/>
                <w:sz w:val="24"/>
                <w:szCs w:val="24"/>
                <w:u w:val="single"/>
              </w:rPr>
              <w:t>噪声</w:t>
            </w:r>
            <w:r>
              <w:rPr>
                <w:sz w:val="24"/>
                <w:szCs w:val="24"/>
                <w:u w:val="single"/>
              </w:rPr>
              <w:t>强度详见表</w:t>
            </w:r>
            <w:r>
              <w:rPr>
                <w:rFonts w:hint="eastAsia"/>
                <w:sz w:val="24"/>
                <w:szCs w:val="24"/>
                <w:u w:val="single"/>
              </w:rPr>
              <w:t>5.</w:t>
            </w:r>
            <w:r>
              <w:rPr>
                <w:rFonts w:hint="eastAsia"/>
                <w:sz w:val="24"/>
                <w:szCs w:val="24"/>
                <w:u w:val="single"/>
                <w:lang w:val="en-US" w:eastAsia="zh-CN"/>
              </w:rPr>
              <w:t>2-1</w:t>
            </w:r>
            <w:r>
              <w:rPr>
                <w:sz w:val="24"/>
                <w:szCs w:val="24"/>
                <w:u w:val="single"/>
              </w:rPr>
              <w:t>。</w:t>
            </w:r>
          </w:p>
          <w:p>
            <w:pPr>
              <w:pStyle w:val="99"/>
              <w:spacing w:line="240" w:lineRule="auto"/>
              <w:rPr>
                <w:b/>
                <w:bCs/>
                <w:kern w:val="2"/>
                <w:sz w:val="24"/>
                <w:szCs w:val="24"/>
                <w:u w:val="single"/>
              </w:rPr>
            </w:pPr>
            <w:r>
              <w:rPr>
                <w:b/>
                <w:bCs/>
                <w:kern w:val="2"/>
                <w:sz w:val="24"/>
                <w:szCs w:val="24"/>
                <w:u w:val="single"/>
              </w:rPr>
              <w:t>表5</w:t>
            </w:r>
            <w:r>
              <w:rPr>
                <w:rFonts w:hint="eastAsia"/>
                <w:b/>
                <w:bCs/>
                <w:kern w:val="2"/>
                <w:sz w:val="24"/>
                <w:szCs w:val="24"/>
                <w:u w:val="single"/>
              </w:rPr>
              <w:t>.</w:t>
            </w:r>
            <w:r>
              <w:rPr>
                <w:rFonts w:hint="eastAsia"/>
                <w:b/>
                <w:bCs/>
                <w:kern w:val="2"/>
                <w:sz w:val="24"/>
                <w:szCs w:val="24"/>
                <w:u w:val="single"/>
                <w:lang w:val="en-US" w:eastAsia="zh-CN"/>
              </w:rPr>
              <w:t>2-1</w:t>
            </w:r>
            <w:r>
              <w:rPr>
                <w:b/>
                <w:bCs/>
                <w:kern w:val="2"/>
                <w:sz w:val="24"/>
                <w:szCs w:val="24"/>
                <w:u w:val="single"/>
              </w:rPr>
              <w:t xml:space="preserve">   </w:t>
            </w:r>
            <w:r>
              <w:rPr>
                <w:rFonts w:hint="eastAsia"/>
                <w:b/>
                <w:bCs/>
                <w:kern w:val="2"/>
                <w:sz w:val="24"/>
                <w:szCs w:val="24"/>
                <w:u w:val="single"/>
              </w:rPr>
              <w:t>项目营运期主要噪声设备噪声源强一览表</w:t>
            </w:r>
          </w:p>
          <w:tbl>
            <w:tblPr>
              <w:tblStyle w:val="26"/>
              <w:tblW w:w="9545"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3108"/>
              <w:gridCol w:w="1648"/>
              <w:gridCol w:w="478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40" w:hRule="atLeast"/>
                <w:jc w:val="center"/>
              </w:trPr>
              <w:tc>
                <w:tcPr>
                  <w:tcW w:w="3108" w:type="dxa"/>
                  <w:vAlign w:val="center"/>
                </w:tcPr>
                <w:p>
                  <w:pPr>
                    <w:tabs>
                      <w:tab w:val="center" w:pos="4153"/>
                    </w:tabs>
                    <w:jc w:val="center"/>
                    <w:rPr>
                      <w:bCs/>
                      <w:u w:val="single"/>
                    </w:rPr>
                  </w:pPr>
                  <w:r>
                    <w:rPr>
                      <w:bCs/>
                      <w:u w:val="single"/>
                    </w:rPr>
                    <w:t>噪声源</w:t>
                  </w:r>
                </w:p>
              </w:tc>
              <w:tc>
                <w:tcPr>
                  <w:tcW w:w="1648" w:type="dxa"/>
                  <w:vAlign w:val="center"/>
                </w:tcPr>
                <w:p>
                  <w:pPr>
                    <w:tabs>
                      <w:tab w:val="center" w:pos="4153"/>
                    </w:tabs>
                    <w:jc w:val="center"/>
                    <w:rPr>
                      <w:bCs/>
                      <w:u w:val="single"/>
                    </w:rPr>
                  </w:pPr>
                  <w:r>
                    <w:rPr>
                      <w:bCs/>
                      <w:u w:val="single"/>
                    </w:rPr>
                    <w:t>声级dB（A）</w:t>
                  </w:r>
                </w:p>
              </w:tc>
              <w:tc>
                <w:tcPr>
                  <w:tcW w:w="4789" w:type="dxa"/>
                  <w:vAlign w:val="center"/>
                </w:tcPr>
                <w:p>
                  <w:pPr>
                    <w:tabs>
                      <w:tab w:val="center" w:pos="4153"/>
                    </w:tabs>
                    <w:jc w:val="center"/>
                    <w:rPr>
                      <w:bCs/>
                      <w:u w:val="single"/>
                    </w:rPr>
                  </w:pPr>
                  <w:r>
                    <w:rPr>
                      <w:bCs/>
                      <w:u w:val="single"/>
                    </w:rPr>
                    <w:t>治理措施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40" w:hRule="atLeast"/>
                <w:jc w:val="center"/>
              </w:trPr>
              <w:tc>
                <w:tcPr>
                  <w:tcW w:w="3108" w:type="dxa"/>
                  <w:vAlign w:val="center"/>
                </w:tcPr>
                <w:p>
                  <w:pPr>
                    <w:tabs>
                      <w:tab w:val="center" w:pos="4153"/>
                    </w:tabs>
                    <w:jc w:val="center"/>
                    <w:rPr>
                      <w:bCs/>
                      <w:u w:val="single"/>
                    </w:rPr>
                  </w:pPr>
                  <w:r>
                    <w:rPr>
                      <w:rFonts w:hint="eastAsia"/>
                      <w:bCs/>
                      <w:u w:val="single"/>
                    </w:rPr>
                    <w:t>污水泵</w:t>
                  </w:r>
                </w:p>
              </w:tc>
              <w:tc>
                <w:tcPr>
                  <w:tcW w:w="1648" w:type="dxa"/>
                  <w:vAlign w:val="center"/>
                </w:tcPr>
                <w:p>
                  <w:pPr>
                    <w:tabs>
                      <w:tab w:val="center" w:pos="4153"/>
                    </w:tabs>
                    <w:jc w:val="center"/>
                    <w:rPr>
                      <w:bCs/>
                      <w:u w:val="single"/>
                    </w:rPr>
                  </w:pPr>
                  <w:r>
                    <w:rPr>
                      <w:rFonts w:hint="eastAsia"/>
                      <w:u w:val="single"/>
                    </w:rPr>
                    <w:t>90</w:t>
                  </w:r>
                </w:p>
              </w:tc>
              <w:tc>
                <w:tcPr>
                  <w:tcW w:w="4789" w:type="dxa"/>
                  <w:vMerge w:val="restart"/>
                  <w:vAlign w:val="center"/>
                </w:tcPr>
                <w:p>
                  <w:pPr>
                    <w:jc w:val="center"/>
                    <w:rPr>
                      <w:bCs/>
                      <w:u w:val="single"/>
                    </w:rPr>
                  </w:pPr>
                  <w:r>
                    <w:rPr>
                      <w:bCs/>
                      <w:u w:val="single"/>
                    </w:rPr>
                    <w:t>选用低噪声设备，基础减震和车间隔声</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cantSplit/>
                <w:trHeight w:val="340" w:hRule="atLeast"/>
                <w:jc w:val="center"/>
              </w:trPr>
              <w:tc>
                <w:tcPr>
                  <w:tcW w:w="3108" w:type="dxa"/>
                  <w:vAlign w:val="center"/>
                </w:tcPr>
                <w:p>
                  <w:pPr>
                    <w:tabs>
                      <w:tab w:val="center" w:pos="4153"/>
                    </w:tabs>
                    <w:jc w:val="center"/>
                    <w:rPr>
                      <w:bCs/>
                      <w:u w:val="single"/>
                    </w:rPr>
                  </w:pPr>
                  <w:r>
                    <w:rPr>
                      <w:bCs/>
                      <w:u w:val="single"/>
                    </w:rPr>
                    <w:t>风机</w:t>
                  </w:r>
                </w:p>
              </w:tc>
              <w:tc>
                <w:tcPr>
                  <w:tcW w:w="1648" w:type="dxa"/>
                  <w:vAlign w:val="center"/>
                </w:tcPr>
                <w:p>
                  <w:pPr>
                    <w:tabs>
                      <w:tab w:val="center" w:pos="4153"/>
                    </w:tabs>
                    <w:jc w:val="center"/>
                    <w:rPr>
                      <w:u w:val="single"/>
                    </w:rPr>
                  </w:pPr>
                  <w:r>
                    <w:rPr>
                      <w:rFonts w:hint="eastAsia"/>
                      <w:u w:val="single"/>
                    </w:rPr>
                    <w:t>80</w:t>
                  </w:r>
                </w:p>
              </w:tc>
              <w:tc>
                <w:tcPr>
                  <w:tcW w:w="4789" w:type="dxa"/>
                  <w:vMerge w:val="continue"/>
                  <w:vAlign w:val="center"/>
                </w:tcPr>
                <w:p>
                  <w:pPr>
                    <w:jc w:val="center"/>
                    <w:rPr>
                      <w:bCs/>
                      <w:u w:val="single"/>
                    </w:rPr>
                  </w:pPr>
                </w:p>
              </w:tc>
            </w:tr>
          </w:tbl>
          <w:p>
            <w:pPr>
              <w:pStyle w:val="89"/>
              <w:numPr>
                <w:ilvl w:val="0"/>
                <w:numId w:val="13"/>
              </w:numPr>
              <w:spacing w:line="360" w:lineRule="auto"/>
              <w:ind w:firstLine="480" w:firstLineChars="200"/>
              <w:outlineLvl w:val="9"/>
              <w:rPr>
                <w:rFonts w:hint="eastAsia"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营运期固废污染源分析</w:t>
            </w:r>
          </w:p>
          <w:p>
            <w:pPr>
              <w:pStyle w:val="89"/>
              <w:spacing w:line="360" w:lineRule="auto"/>
              <w:ind w:firstLine="480" w:firstLineChars="200"/>
              <w:outlineLvl w:val="9"/>
              <w:rPr>
                <w:rFonts w:hint="eastAsia" w:ascii="Times New Roman" w:hAnsi="Times New Roman" w:eastAsia="宋体"/>
                <w:b w:val="0"/>
                <w:kern w:val="0"/>
                <w:sz w:val="24"/>
                <w:szCs w:val="24"/>
                <w:lang w:eastAsia="zh-CN"/>
              </w:rPr>
            </w:pPr>
            <w:r>
              <w:rPr>
                <w:rFonts w:hint="eastAsia" w:ascii="Times New Roman" w:hAnsi="Times New Roman"/>
                <w:b w:val="0"/>
                <w:kern w:val="0"/>
                <w:sz w:val="24"/>
                <w:szCs w:val="24"/>
                <w:lang w:eastAsia="zh-CN"/>
              </w:rPr>
              <w:t>项目营运期固废主要为奇家社区污水处理站产生的污泥，剩余污泥每天产生量（含水率80%）约为22kg/10</w:t>
            </w:r>
            <w:r>
              <w:rPr>
                <w:rFonts w:hint="eastAsia" w:ascii="Times New Roman" w:hAnsi="Times New Roman"/>
                <w:b w:val="0"/>
                <w:kern w:val="0"/>
                <w:sz w:val="24"/>
                <w:szCs w:val="24"/>
                <w:vertAlign w:val="superscript"/>
                <w:lang w:eastAsia="zh-CN"/>
              </w:rPr>
              <w:t>3</w:t>
            </w:r>
            <w:r>
              <w:rPr>
                <w:rFonts w:hint="eastAsia" w:ascii="Times New Roman" w:hAnsi="Times New Roman"/>
                <w:b w:val="0"/>
                <w:kern w:val="0"/>
                <w:sz w:val="24"/>
                <w:szCs w:val="24"/>
                <w:lang w:eastAsia="zh-CN"/>
              </w:rPr>
              <w:t>m</w:t>
            </w:r>
            <w:r>
              <w:rPr>
                <w:rFonts w:hint="eastAsia" w:ascii="Times New Roman" w:hAnsi="Times New Roman"/>
                <w:b w:val="0"/>
                <w:kern w:val="0"/>
                <w:sz w:val="24"/>
                <w:szCs w:val="24"/>
                <w:vertAlign w:val="superscript"/>
                <w:lang w:eastAsia="zh-CN"/>
              </w:rPr>
              <w:t>3</w:t>
            </w:r>
            <w:r>
              <w:rPr>
                <w:rFonts w:hint="eastAsia" w:ascii="Times New Roman" w:hAnsi="Times New Roman"/>
                <w:b w:val="0"/>
                <w:kern w:val="0"/>
                <w:sz w:val="24"/>
                <w:szCs w:val="24"/>
                <w:lang w:eastAsia="zh-CN"/>
              </w:rPr>
              <w:t>污水。本项目污水规模为</w:t>
            </w:r>
            <w:r>
              <w:rPr>
                <w:rFonts w:hint="eastAsia" w:ascii="Times New Roman" w:hAnsi="Times New Roman"/>
                <w:b w:val="0"/>
                <w:kern w:val="0"/>
                <w:sz w:val="24"/>
                <w:szCs w:val="24"/>
                <w:lang w:val="en-US" w:eastAsia="zh-CN"/>
              </w:rPr>
              <w:t>22</w:t>
            </w:r>
            <w:r>
              <w:rPr>
                <w:rFonts w:hint="eastAsia" w:ascii="Times New Roman" w:hAnsi="Times New Roman"/>
                <w:b w:val="0"/>
                <w:kern w:val="0"/>
                <w:sz w:val="24"/>
                <w:szCs w:val="24"/>
                <w:lang w:eastAsia="zh-CN"/>
              </w:rPr>
              <w:t>0m</w:t>
            </w:r>
            <w:r>
              <w:rPr>
                <w:rFonts w:hint="eastAsia" w:ascii="Times New Roman" w:hAnsi="Times New Roman"/>
                <w:b w:val="0"/>
                <w:kern w:val="0"/>
                <w:sz w:val="24"/>
                <w:szCs w:val="24"/>
                <w:vertAlign w:val="superscript"/>
                <w:lang w:eastAsia="zh-CN"/>
              </w:rPr>
              <w:t>3</w:t>
            </w:r>
            <w:r>
              <w:rPr>
                <w:rFonts w:hint="eastAsia" w:ascii="Times New Roman" w:hAnsi="Times New Roman"/>
                <w:b w:val="0"/>
                <w:kern w:val="0"/>
                <w:sz w:val="24"/>
                <w:szCs w:val="24"/>
                <w:lang w:eastAsia="zh-CN"/>
              </w:rPr>
              <w:t>/d、污泥含水率为80%，则本项目建成后污泥产生量约为</w:t>
            </w:r>
            <w:r>
              <w:rPr>
                <w:rFonts w:hint="eastAsia" w:ascii="Times New Roman" w:hAnsi="Times New Roman"/>
                <w:b w:val="0"/>
                <w:kern w:val="0"/>
                <w:sz w:val="24"/>
                <w:szCs w:val="24"/>
                <w:lang w:val="en-US" w:eastAsia="zh-CN"/>
              </w:rPr>
              <w:t>4.84</w:t>
            </w:r>
            <w:r>
              <w:rPr>
                <w:rFonts w:hint="eastAsia" w:ascii="Times New Roman" w:hAnsi="Times New Roman"/>
                <w:b w:val="0"/>
                <w:kern w:val="0"/>
                <w:sz w:val="24"/>
                <w:szCs w:val="24"/>
                <w:lang w:eastAsia="zh-CN"/>
              </w:rPr>
              <w:t>kg/d，合</w:t>
            </w:r>
            <w:r>
              <w:rPr>
                <w:rFonts w:hint="eastAsia" w:ascii="Times New Roman" w:hAnsi="Times New Roman"/>
                <w:b w:val="0"/>
                <w:kern w:val="0"/>
                <w:sz w:val="24"/>
                <w:szCs w:val="24"/>
                <w:lang w:val="en-US" w:eastAsia="zh-CN"/>
              </w:rPr>
              <w:t>1.8</w:t>
            </w:r>
            <w:r>
              <w:rPr>
                <w:rFonts w:hint="eastAsia" w:ascii="Times New Roman" w:hAnsi="Times New Roman"/>
                <w:b w:val="0"/>
                <w:kern w:val="0"/>
                <w:sz w:val="24"/>
                <w:szCs w:val="24"/>
                <w:lang w:eastAsia="zh-CN"/>
              </w:rPr>
              <w:t>t/a。污泥在污泥储存池内暂存后定期外运至罗家坡污水处理厂集中处置。</w:t>
            </w:r>
          </w:p>
          <w:p>
            <w:pPr>
              <w:pStyle w:val="89"/>
              <w:spacing w:line="360" w:lineRule="auto"/>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kern w:val="0"/>
                <w:sz w:val="24"/>
                <w:szCs w:val="24"/>
              </w:rPr>
            </w:pPr>
          </w:p>
          <w:p>
            <w:pPr>
              <w:pStyle w:val="89"/>
              <w:ind w:firstLine="480" w:firstLineChars="200"/>
              <w:outlineLvl w:val="9"/>
              <w:rPr>
                <w:rFonts w:ascii="Times New Roman" w:hAnsi="Times New Roman"/>
                <w:b w:val="0"/>
                <w:sz w:val="24"/>
                <w:szCs w:val="24"/>
              </w:rPr>
            </w:pPr>
          </w:p>
          <w:p>
            <w:pPr>
              <w:pStyle w:val="8"/>
              <w:keepNext w:val="0"/>
              <w:keepLines w:val="0"/>
              <w:pageBreakBefore w:val="0"/>
              <w:widowControl w:val="0"/>
              <w:kinsoku/>
              <w:wordWrap/>
              <w:overflowPunct w:val="0"/>
              <w:topLinePunct w:val="0"/>
              <w:autoSpaceDE w:val="0"/>
              <w:autoSpaceDN w:val="0"/>
              <w:bidi w:val="0"/>
              <w:adjustRightInd/>
              <w:snapToGrid/>
              <w:spacing w:line="360" w:lineRule="auto"/>
              <w:ind w:left="0" w:leftChars="0" w:right="0" w:rightChars="0" w:firstLine="480" w:firstLineChars="200"/>
              <w:jc w:val="both"/>
              <w:textAlignment w:val="auto"/>
              <w:outlineLvl w:val="9"/>
              <w:rPr>
                <w:rFonts w:hint="default" w:ascii="Times New Roman" w:hAnsi="Times New Roman" w:cs="Times New Roman"/>
                <w:color w:val="auto"/>
                <w:sz w:val="24"/>
                <w:szCs w:val="24"/>
              </w:rPr>
            </w:pPr>
          </w:p>
          <w:p>
            <w:pPr>
              <w:pStyle w:val="25"/>
              <w:ind w:left="0" w:leftChars="0" w:firstLine="0" w:firstLineChars="0"/>
              <w:rPr>
                <w:color w:val="auto"/>
                <w:spacing w:val="4"/>
              </w:rPr>
            </w:pPr>
          </w:p>
          <w:p>
            <w:pPr>
              <w:pStyle w:val="25"/>
              <w:ind w:left="0" w:leftChars="0" w:firstLine="0" w:firstLineChars="0"/>
              <w:rPr>
                <w:color w:val="auto"/>
                <w:spacing w:val="4"/>
              </w:rPr>
            </w:pPr>
          </w:p>
          <w:p>
            <w:pPr>
              <w:pStyle w:val="25"/>
              <w:ind w:left="0" w:leftChars="0" w:firstLine="0" w:firstLineChars="0"/>
              <w:rPr>
                <w:color w:val="auto"/>
                <w:spacing w:val="4"/>
              </w:rPr>
            </w:pPr>
          </w:p>
          <w:p>
            <w:pPr>
              <w:pStyle w:val="25"/>
              <w:ind w:left="0" w:leftChars="0" w:firstLine="0" w:firstLineChars="0"/>
              <w:rPr>
                <w:color w:val="auto"/>
                <w:spacing w:val="4"/>
              </w:rPr>
            </w:pPr>
          </w:p>
        </w:tc>
      </w:tr>
    </w:tbl>
    <w:p>
      <w:pPr>
        <w:pStyle w:val="37"/>
        <w:pageBreakBefore/>
        <w:numPr>
          <w:ilvl w:val="0"/>
          <w:numId w:val="14"/>
        </w:numPr>
        <w:tabs>
          <w:tab w:val="clear" w:pos="1800"/>
        </w:tabs>
        <w:rPr>
          <w:rFonts w:eastAsia="宋体"/>
          <w:color w:val="auto"/>
        </w:rPr>
      </w:pPr>
      <w:bookmarkStart w:id="76" w:name="_Toc4613"/>
      <w:bookmarkStart w:id="77" w:name="_Toc6896"/>
      <w:r>
        <w:rPr>
          <w:rFonts w:eastAsia="宋体"/>
          <w:color w:val="auto"/>
        </w:rPr>
        <w:t>项目主要污染物产生及预计排放情况</w:t>
      </w:r>
      <w:bookmarkEnd w:id="76"/>
      <w:bookmarkEnd w:id="77"/>
    </w:p>
    <w:tbl>
      <w:tblPr>
        <w:tblStyle w:val="26"/>
        <w:tblW w:w="9775" w:type="dxa"/>
        <w:jc w:val="center"/>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Layout w:type="fixed"/>
        <w:tblCellMar>
          <w:top w:w="0" w:type="dxa"/>
          <w:left w:w="108" w:type="dxa"/>
          <w:bottom w:w="0" w:type="dxa"/>
          <w:right w:w="108" w:type="dxa"/>
        </w:tblCellMar>
      </w:tblPr>
      <w:tblGrid>
        <w:gridCol w:w="573"/>
        <w:gridCol w:w="575"/>
        <w:gridCol w:w="1705"/>
        <w:gridCol w:w="1096"/>
        <w:gridCol w:w="3289"/>
        <w:gridCol w:w="2537"/>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1148" w:type="dxa"/>
            <w:gridSpan w:val="2"/>
            <w:tcBorders>
              <w:tl2br w:val="nil"/>
              <w:tr2bl w:val="nil"/>
            </w:tcBorders>
            <w:noWrap w:val="0"/>
            <w:vAlign w:val="center"/>
          </w:tcPr>
          <w:p>
            <w:pPr>
              <w:jc w:val="center"/>
              <w:rPr>
                <w:sz w:val="24"/>
                <w:szCs w:val="24"/>
              </w:rPr>
            </w:pPr>
            <w:r>
              <w:rPr>
                <w:sz w:val="24"/>
                <w:szCs w:val="24"/>
              </w:rPr>
              <w:t>内容</w:t>
            </w:r>
          </w:p>
          <w:p>
            <w:pPr>
              <w:jc w:val="center"/>
              <w:rPr>
                <w:sz w:val="24"/>
                <w:szCs w:val="24"/>
              </w:rPr>
            </w:pPr>
            <w:r>
              <w:rPr>
                <w:sz w:val="24"/>
                <w:szCs w:val="24"/>
              </w:rPr>
              <w:t>类型</w:t>
            </w:r>
          </w:p>
        </w:tc>
        <w:tc>
          <w:tcPr>
            <w:tcW w:w="1705" w:type="dxa"/>
            <w:tcBorders>
              <w:tl2br w:val="nil"/>
              <w:tr2bl w:val="nil"/>
            </w:tcBorders>
            <w:noWrap w:val="0"/>
            <w:vAlign w:val="center"/>
          </w:tcPr>
          <w:p>
            <w:pPr>
              <w:jc w:val="center"/>
              <w:rPr>
                <w:sz w:val="24"/>
                <w:szCs w:val="24"/>
              </w:rPr>
            </w:pPr>
            <w:r>
              <w:rPr>
                <w:sz w:val="24"/>
                <w:szCs w:val="24"/>
              </w:rPr>
              <w:t>排放源</w:t>
            </w:r>
          </w:p>
          <w:p>
            <w:pPr>
              <w:jc w:val="center"/>
              <w:rPr>
                <w:sz w:val="24"/>
                <w:szCs w:val="24"/>
              </w:rPr>
            </w:pPr>
            <w:r>
              <w:rPr>
                <w:sz w:val="24"/>
                <w:szCs w:val="24"/>
              </w:rPr>
              <w:t>（编号）</w:t>
            </w:r>
          </w:p>
        </w:tc>
        <w:tc>
          <w:tcPr>
            <w:tcW w:w="1096" w:type="dxa"/>
            <w:tcBorders>
              <w:tl2br w:val="nil"/>
              <w:tr2bl w:val="nil"/>
            </w:tcBorders>
            <w:noWrap w:val="0"/>
            <w:vAlign w:val="center"/>
          </w:tcPr>
          <w:p>
            <w:pPr>
              <w:jc w:val="center"/>
              <w:rPr>
                <w:sz w:val="24"/>
                <w:szCs w:val="24"/>
              </w:rPr>
            </w:pPr>
            <w:r>
              <w:rPr>
                <w:sz w:val="24"/>
                <w:szCs w:val="24"/>
              </w:rPr>
              <w:t>污染物</w:t>
            </w:r>
          </w:p>
          <w:p>
            <w:pPr>
              <w:jc w:val="center"/>
              <w:rPr>
                <w:sz w:val="24"/>
                <w:szCs w:val="24"/>
              </w:rPr>
            </w:pPr>
            <w:r>
              <w:rPr>
                <w:sz w:val="24"/>
                <w:szCs w:val="24"/>
              </w:rPr>
              <w:t>名称</w:t>
            </w:r>
          </w:p>
        </w:tc>
        <w:tc>
          <w:tcPr>
            <w:tcW w:w="3289" w:type="dxa"/>
            <w:tcBorders>
              <w:tl2br w:val="nil"/>
              <w:tr2bl w:val="nil"/>
            </w:tcBorders>
            <w:noWrap w:val="0"/>
            <w:vAlign w:val="center"/>
          </w:tcPr>
          <w:p>
            <w:pPr>
              <w:jc w:val="center"/>
              <w:rPr>
                <w:sz w:val="24"/>
                <w:szCs w:val="24"/>
              </w:rPr>
            </w:pPr>
            <w:r>
              <w:rPr>
                <w:sz w:val="24"/>
                <w:szCs w:val="24"/>
              </w:rPr>
              <w:t>处理前产生浓度及产生量</w:t>
            </w:r>
          </w:p>
          <w:p>
            <w:pPr>
              <w:jc w:val="center"/>
              <w:rPr>
                <w:sz w:val="24"/>
                <w:szCs w:val="24"/>
              </w:rPr>
            </w:pPr>
            <w:r>
              <w:rPr>
                <w:sz w:val="24"/>
                <w:szCs w:val="24"/>
              </w:rPr>
              <w:t>（单位）</w:t>
            </w:r>
          </w:p>
        </w:tc>
        <w:tc>
          <w:tcPr>
            <w:tcW w:w="2537" w:type="dxa"/>
            <w:tcBorders>
              <w:tl2br w:val="nil"/>
              <w:tr2bl w:val="nil"/>
            </w:tcBorders>
            <w:noWrap w:val="0"/>
            <w:vAlign w:val="center"/>
          </w:tcPr>
          <w:p>
            <w:pPr>
              <w:jc w:val="center"/>
              <w:rPr>
                <w:sz w:val="24"/>
                <w:szCs w:val="24"/>
              </w:rPr>
            </w:pPr>
            <w:r>
              <w:rPr>
                <w:sz w:val="24"/>
                <w:szCs w:val="24"/>
              </w:rPr>
              <w:t>排放浓度及排放量</w:t>
            </w:r>
          </w:p>
          <w:p>
            <w:pPr>
              <w:jc w:val="center"/>
              <w:rPr>
                <w:sz w:val="24"/>
                <w:szCs w:val="24"/>
              </w:rPr>
            </w:pPr>
            <w:r>
              <w:rPr>
                <w:sz w:val="24"/>
                <w:szCs w:val="24"/>
              </w:rPr>
              <w:t>（单位）</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restart"/>
            <w:tcBorders>
              <w:tl2br w:val="nil"/>
              <w:tr2bl w:val="nil"/>
            </w:tcBorders>
            <w:noWrap w:val="0"/>
            <w:vAlign w:val="center"/>
          </w:tcPr>
          <w:p>
            <w:pPr>
              <w:jc w:val="center"/>
              <w:rPr>
                <w:spacing w:val="6"/>
                <w:sz w:val="24"/>
                <w:szCs w:val="24"/>
              </w:rPr>
            </w:pPr>
            <w:r>
              <w:rPr>
                <w:spacing w:val="6"/>
                <w:sz w:val="24"/>
                <w:szCs w:val="24"/>
              </w:rPr>
              <w:t>大气污染物</w:t>
            </w:r>
          </w:p>
        </w:tc>
        <w:tc>
          <w:tcPr>
            <w:tcW w:w="575" w:type="dxa"/>
            <w:vMerge w:val="restart"/>
            <w:tcBorders>
              <w:tl2br w:val="nil"/>
              <w:tr2bl w:val="nil"/>
            </w:tcBorders>
            <w:noWrap w:val="0"/>
            <w:vAlign w:val="center"/>
          </w:tcPr>
          <w:p>
            <w:pPr>
              <w:jc w:val="center"/>
              <w:rPr>
                <w:spacing w:val="6"/>
                <w:sz w:val="24"/>
                <w:szCs w:val="24"/>
              </w:rPr>
            </w:pPr>
            <w:r>
              <w:rPr>
                <w:spacing w:val="6"/>
                <w:sz w:val="24"/>
                <w:szCs w:val="24"/>
              </w:rPr>
              <w:t>施工期</w:t>
            </w:r>
          </w:p>
        </w:tc>
        <w:tc>
          <w:tcPr>
            <w:tcW w:w="1705" w:type="dxa"/>
            <w:vMerge w:val="restart"/>
            <w:tcBorders>
              <w:tl2br w:val="nil"/>
              <w:tr2bl w:val="nil"/>
            </w:tcBorders>
            <w:noWrap w:val="0"/>
            <w:vAlign w:val="center"/>
          </w:tcPr>
          <w:p>
            <w:pPr>
              <w:jc w:val="center"/>
              <w:rPr>
                <w:spacing w:val="6"/>
                <w:sz w:val="24"/>
                <w:szCs w:val="24"/>
              </w:rPr>
            </w:pPr>
            <w:r>
              <w:rPr>
                <w:spacing w:val="6"/>
                <w:sz w:val="24"/>
                <w:szCs w:val="24"/>
              </w:rPr>
              <w:t>建筑机械燃油废气、汽车尾气</w:t>
            </w:r>
          </w:p>
        </w:tc>
        <w:tc>
          <w:tcPr>
            <w:tcW w:w="1096" w:type="dxa"/>
            <w:tcBorders>
              <w:bottom w:val="single" w:color="000000" w:sz="2" w:space="0"/>
              <w:tl2br w:val="nil"/>
              <w:tr2bl w:val="nil"/>
            </w:tcBorders>
            <w:noWrap w:val="0"/>
            <w:vAlign w:val="center"/>
          </w:tcPr>
          <w:p>
            <w:pPr>
              <w:spacing w:line="360" w:lineRule="auto"/>
              <w:ind w:firstLine="0" w:firstLineChars="0"/>
              <w:jc w:val="center"/>
              <w:rPr>
                <w:spacing w:val="6"/>
                <w:sz w:val="24"/>
                <w:szCs w:val="24"/>
              </w:rPr>
            </w:pPr>
            <w:r>
              <w:rPr>
                <w:sz w:val="24"/>
                <w:szCs w:val="24"/>
              </w:rPr>
              <w:t>NO</w:t>
            </w:r>
            <w:r>
              <w:rPr>
                <w:sz w:val="24"/>
                <w:szCs w:val="24"/>
                <w:vertAlign w:val="subscript"/>
              </w:rPr>
              <w:t>X</w:t>
            </w:r>
          </w:p>
        </w:tc>
        <w:tc>
          <w:tcPr>
            <w:tcW w:w="3289" w:type="dxa"/>
            <w:tcBorders>
              <w:bottom w:val="single" w:color="000000" w:sz="2" w:space="0"/>
              <w:tl2br w:val="nil"/>
              <w:tr2bl w:val="nil"/>
            </w:tcBorders>
            <w:noWrap w:val="0"/>
            <w:vAlign w:val="center"/>
          </w:tcPr>
          <w:p>
            <w:pPr>
              <w:spacing w:line="360" w:lineRule="auto"/>
              <w:ind w:firstLine="0" w:firstLineChars="0"/>
              <w:jc w:val="center"/>
              <w:rPr>
                <w:spacing w:val="6"/>
                <w:sz w:val="24"/>
                <w:szCs w:val="24"/>
              </w:rPr>
            </w:pPr>
            <w:r>
              <w:rPr>
                <w:rFonts w:hint="eastAsia"/>
                <w:sz w:val="24"/>
                <w:szCs w:val="24"/>
                <w:lang w:val="en-US" w:eastAsia="zh-CN"/>
              </w:rPr>
              <w:t>14.8</w:t>
            </w:r>
            <w:r>
              <w:rPr>
                <w:sz w:val="24"/>
                <w:szCs w:val="24"/>
              </w:rPr>
              <w:t>kg/d</w:t>
            </w:r>
          </w:p>
        </w:tc>
        <w:tc>
          <w:tcPr>
            <w:tcW w:w="2537" w:type="dxa"/>
            <w:tcBorders>
              <w:bottom w:val="single" w:color="000000" w:sz="2" w:space="0"/>
              <w:tl2br w:val="nil"/>
              <w:tr2bl w:val="nil"/>
            </w:tcBorders>
            <w:noWrap w:val="0"/>
            <w:vAlign w:val="center"/>
          </w:tcPr>
          <w:p>
            <w:pPr>
              <w:spacing w:line="360" w:lineRule="auto"/>
              <w:ind w:firstLine="0" w:firstLineChars="0"/>
              <w:jc w:val="center"/>
              <w:rPr>
                <w:spacing w:val="6"/>
                <w:sz w:val="24"/>
                <w:szCs w:val="24"/>
              </w:rPr>
            </w:pPr>
            <w:r>
              <w:rPr>
                <w:rFonts w:hint="eastAsia"/>
                <w:sz w:val="24"/>
                <w:szCs w:val="24"/>
                <w:lang w:val="en-US" w:eastAsia="zh-CN"/>
              </w:rPr>
              <w:t>14.8</w:t>
            </w:r>
            <w:r>
              <w:rPr>
                <w:sz w:val="24"/>
                <w:szCs w:val="24"/>
              </w:rPr>
              <w:t>kg/d</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spacing w:val="6"/>
                <w:sz w:val="24"/>
                <w:szCs w:val="24"/>
              </w:rPr>
            </w:pPr>
          </w:p>
        </w:tc>
        <w:tc>
          <w:tcPr>
            <w:tcW w:w="1705" w:type="dxa"/>
            <w:vMerge w:val="continue"/>
            <w:tcBorders>
              <w:tl2br w:val="nil"/>
              <w:tr2bl w:val="nil"/>
            </w:tcBorders>
            <w:noWrap w:val="0"/>
            <w:vAlign w:val="center"/>
          </w:tcPr>
          <w:p>
            <w:pPr>
              <w:jc w:val="center"/>
              <w:rPr>
                <w:spacing w:val="6"/>
                <w:sz w:val="24"/>
                <w:szCs w:val="24"/>
              </w:rPr>
            </w:pPr>
          </w:p>
        </w:tc>
        <w:tc>
          <w:tcPr>
            <w:tcW w:w="1096" w:type="dxa"/>
            <w:tcBorders>
              <w:top w:val="single" w:color="000000" w:sz="2" w:space="0"/>
              <w:bottom w:val="single" w:color="000000" w:sz="2" w:space="0"/>
              <w:tl2br w:val="nil"/>
              <w:tr2bl w:val="nil"/>
            </w:tcBorders>
            <w:noWrap w:val="0"/>
            <w:vAlign w:val="center"/>
          </w:tcPr>
          <w:p>
            <w:pPr>
              <w:spacing w:line="360" w:lineRule="auto"/>
              <w:ind w:firstLine="0" w:firstLineChars="0"/>
              <w:jc w:val="center"/>
              <w:rPr>
                <w:spacing w:val="6"/>
                <w:sz w:val="24"/>
                <w:szCs w:val="24"/>
              </w:rPr>
            </w:pPr>
            <w:r>
              <w:rPr>
                <w:sz w:val="24"/>
                <w:szCs w:val="24"/>
              </w:rPr>
              <w:t>CO</w:t>
            </w:r>
          </w:p>
        </w:tc>
        <w:tc>
          <w:tcPr>
            <w:tcW w:w="3289" w:type="dxa"/>
            <w:tcBorders>
              <w:top w:val="single" w:color="000000" w:sz="2" w:space="0"/>
              <w:bottom w:val="single" w:color="000000" w:sz="2" w:space="0"/>
              <w:tl2br w:val="nil"/>
              <w:tr2bl w:val="nil"/>
            </w:tcBorders>
            <w:noWrap w:val="0"/>
            <w:vAlign w:val="center"/>
          </w:tcPr>
          <w:p>
            <w:pPr>
              <w:spacing w:line="360" w:lineRule="auto"/>
              <w:ind w:firstLine="0" w:firstLineChars="0"/>
              <w:jc w:val="center"/>
              <w:rPr>
                <w:spacing w:val="6"/>
                <w:sz w:val="24"/>
                <w:szCs w:val="24"/>
              </w:rPr>
            </w:pPr>
            <w:r>
              <w:rPr>
                <w:rFonts w:hint="eastAsia"/>
                <w:sz w:val="24"/>
                <w:szCs w:val="24"/>
                <w:lang w:val="en-US" w:eastAsia="zh-CN"/>
              </w:rPr>
              <w:t>1.08</w:t>
            </w:r>
            <w:r>
              <w:rPr>
                <w:sz w:val="24"/>
                <w:szCs w:val="24"/>
              </w:rPr>
              <w:t>kg/d</w:t>
            </w:r>
          </w:p>
        </w:tc>
        <w:tc>
          <w:tcPr>
            <w:tcW w:w="2537" w:type="dxa"/>
            <w:tcBorders>
              <w:top w:val="single" w:color="000000" w:sz="2" w:space="0"/>
              <w:bottom w:val="single" w:color="000000" w:sz="2" w:space="0"/>
              <w:tl2br w:val="nil"/>
              <w:tr2bl w:val="nil"/>
            </w:tcBorders>
            <w:noWrap w:val="0"/>
            <w:vAlign w:val="center"/>
          </w:tcPr>
          <w:p>
            <w:pPr>
              <w:spacing w:line="360" w:lineRule="auto"/>
              <w:ind w:firstLine="0" w:firstLineChars="0"/>
              <w:jc w:val="center"/>
              <w:rPr>
                <w:spacing w:val="6"/>
                <w:sz w:val="24"/>
                <w:szCs w:val="24"/>
              </w:rPr>
            </w:pPr>
            <w:r>
              <w:rPr>
                <w:rFonts w:hint="eastAsia"/>
                <w:sz w:val="24"/>
                <w:szCs w:val="24"/>
                <w:lang w:val="en-US" w:eastAsia="zh-CN"/>
              </w:rPr>
              <w:t>1.08</w:t>
            </w:r>
            <w:r>
              <w:rPr>
                <w:sz w:val="24"/>
                <w:szCs w:val="24"/>
              </w:rPr>
              <w:t>kg/d</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spacing w:val="6"/>
                <w:sz w:val="24"/>
                <w:szCs w:val="24"/>
              </w:rPr>
            </w:pPr>
          </w:p>
        </w:tc>
        <w:tc>
          <w:tcPr>
            <w:tcW w:w="1705" w:type="dxa"/>
            <w:vMerge w:val="continue"/>
            <w:tcBorders>
              <w:tl2br w:val="nil"/>
              <w:tr2bl w:val="nil"/>
            </w:tcBorders>
            <w:noWrap w:val="0"/>
            <w:vAlign w:val="center"/>
          </w:tcPr>
          <w:p>
            <w:pPr>
              <w:jc w:val="center"/>
              <w:rPr>
                <w:spacing w:val="6"/>
                <w:sz w:val="24"/>
                <w:szCs w:val="24"/>
              </w:rPr>
            </w:pPr>
          </w:p>
        </w:tc>
        <w:tc>
          <w:tcPr>
            <w:tcW w:w="1096" w:type="dxa"/>
            <w:tcBorders>
              <w:top w:val="single" w:color="000000" w:sz="2" w:space="0"/>
              <w:tl2br w:val="nil"/>
              <w:tr2bl w:val="nil"/>
            </w:tcBorders>
            <w:noWrap w:val="0"/>
            <w:vAlign w:val="center"/>
          </w:tcPr>
          <w:p>
            <w:pPr>
              <w:spacing w:line="360" w:lineRule="auto"/>
              <w:ind w:firstLine="0" w:firstLineChars="0"/>
              <w:jc w:val="center"/>
              <w:rPr>
                <w:spacing w:val="6"/>
                <w:sz w:val="24"/>
                <w:szCs w:val="24"/>
              </w:rPr>
            </w:pPr>
            <w:r>
              <w:rPr>
                <w:sz w:val="24"/>
                <w:szCs w:val="24"/>
              </w:rPr>
              <w:t>THC</w:t>
            </w:r>
          </w:p>
        </w:tc>
        <w:tc>
          <w:tcPr>
            <w:tcW w:w="3289" w:type="dxa"/>
            <w:tcBorders>
              <w:top w:val="single" w:color="000000" w:sz="2" w:space="0"/>
              <w:tl2br w:val="nil"/>
              <w:tr2bl w:val="nil"/>
            </w:tcBorders>
            <w:noWrap w:val="0"/>
            <w:vAlign w:val="center"/>
          </w:tcPr>
          <w:p>
            <w:pPr>
              <w:spacing w:line="360" w:lineRule="auto"/>
              <w:ind w:firstLine="0" w:firstLineChars="0"/>
              <w:jc w:val="center"/>
              <w:rPr>
                <w:spacing w:val="6"/>
                <w:sz w:val="24"/>
                <w:szCs w:val="24"/>
              </w:rPr>
            </w:pPr>
            <w:r>
              <w:rPr>
                <w:rFonts w:hint="eastAsia"/>
                <w:sz w:val="24"/>
                <w:szCs w:val="24"/>
                <w:lang w:val="en-US" w:eastAsia="zh-CN"/>
              </w:rPr>
              <w:t>1.48</w:t>
            </w:r>
            <w:r>
              <w:rPr>
                <w:sz w:val="24"/>
                <w:szCs w:val="24"/>
              </w:rPr>
              <w:t>kg/d</w:t>
            </w:r>
          </w:p>
        </w:tc>
        <w:tc>
          <w:tcPr>
            <w:tcW w:w="2537" w:type="dxa"/>
            <w:tcBorders>
              <w:top w:val="single" w:color="000000" w:sz="2" w:space="0"/>
              <w:tl2br w:val="nil"/>
              <w:tr2bl w:val="nil"/>
            </w:tcBorders>
            <w:noWrap w:val="0"/>
            <w:vAlign w:val="center"/>
          </w:tcPr>
          <w:p>
            <w:pPr>
              <w:spacing w:line="360" w:lineRule="auto"/>
              <w:ind w:firstLine="0" w:firstLineChars="0"/>
              <w:jc w:val="center"/>
              <w:rPr>
                <w:spacing w:val="6"/>
                <w:sz w:val="24"/>
                <w:szCs w:val="24"/>
              </w:rPr>
            </w:pPr>
            <w:r>
              <w:rPr>
                <w:rFonts w:hint="eastAsia"/>
                <w:sz w:val="24"/>
                <w:szCs w:val="24"/>
                <w:lang w:val="en-US" w:eastAsia="zh-CN"/>
              </w:rPr>
              <w:t>1.48</w:t>
            </w:r>
            <w:r>
              <w:rPr>
                <w:sz w:val="24"/>
                <w:szCs w:val="24"/>
              </w:rPr>
              <w:t>kg/d</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spacing w:val="6"/>
                <w:sz w:val="24"/>
                <w:szCs w:val="24"/>
              </w:rPr>
            </w:pPr>
          </w:p>
        </w:tc>
        <w:tc>
          <w:tcPr>
            <w:tcW w:w="1705" w:type="dxa"/>
            <w:tcBorders>
              <w:tl2br w:val="nil"/>
              <w:tr2bl w:val="nil"/>
            </w:tcBorders>
            <w:noWrap w:val="0"/>
            <w:vAlign w:val="center"/>
          </w:tcPr>
          <w:p>
            <w:pPr>
              <w:jc w:val="center"/>
              <w:rPr>
                <w:rFonts w:ascii="Times New Roman" w:hAnsi="Times New Roman" w:eastAsia="宋体" w:cs="Times New Roman"/>
                <w:kern w:val="2"/>
                <w:sz w:val="24"/>
                <w:szCs w:val="24"/>
                <w:lang w:val="en-US" w:eastAsia="zh-CN" w:bidi="ar-SA"/>
              </w:rPr>
            </w:pPr>
            <w:r>
              <w:rPr>
                <w:sz w:val="24"/>
                <w:szCs w:val="24"/>
              </w:rPr>
              <w:t>扬尘</w:t>
            </w:r>
          </w:p>
        </w:tc>
        <w:tc>
          <w:tcPr>
            <w:tcW w:w="1096" w:type="dxa"/>
            <w:tcBorders>
              <w:top w:val="single" w:color="000000" w:sz="2" w:space="0"/>
              <w:tl2br w:val="nil"/>
              <w:tr2bl w:val="nil"/>
            </w:tcBorders>
            <w:noWrap w:val="0"/>
            <w:vAlign w:val="center"/>
          </w:tcPr>
          <w:p>
            <w:pPr>
              <w:jc w:val="center"/>
              <w:rPr>
                <w:rFonts w:ascii="Times New Roman" w:hAnsi="Times New Roman" w:eastAsia="宋体" w:cs="Times New Roman"/>
                <w:spacing w:val="6"/>
                <w:kern w:val="2"/>
                <w:sz w:val="24"/>
                <w:szCs w:val="24"/>
                <w:lang w:val="en-US" w:eastAsia="zh-CN" w:bidi="ar-SA"/>
              </w:rPr>
            </w:pPr>
            <w:r>
              <w:rPr>
                <w:spacing w:val="6"/>
                <w:sz w:val="24"/>
                <w:szCs w:val="24"/>
              </w:rPr>
              <w:t>TSP</w:t>
            </w:r>
          </w:p>
        </w:tc>
        <w:tc>
          <w:tcPr>
            <w:tcW w:w="3289" w:type="dxa"/>
            <w:tcBorders>
              <w:top w:val="single" w:color="000000" w:sz="2" w:space="0"/>
              <w:tl2br w:val="nil"/>
              <w:tr2bl w:val="nil"/>
            </w:tcBorders>
            <w:noWrap w:val="0"/>
            <w:vAlign w:val="center"/>
          </w:tcPr>
          <w:p>
            <w:pPr>
              <w:jc w:val="center"/>
              <w:rPr>
                <w:rFonts w:hint="eastAsia" w:ascii="Times New Roman" w:hAnsi="Times New Roman" w:eastAsia="宋体" w:cs="Times New Roman"/>
                <w:spacing w:val="6"/>
                <w:kern w:val="2"/>
                <w:sz w:val="24"/>
                <w:szCs w:val="24"/>
                <w:lang w:val="en-US" w:eastAsia="zh-CN" w:bidi="ar-SA"/>
              </w:rPr>
            </w:pPr>
            <w:r>
              <w:rPr>
                <w:spacing w:val="6"/>
                <w:sz w:val="24"/>
                <w:szCs w:val="24"/>
              </w:rPr>
              <w:t>少量，无组织排放</w:t>
            </w:r>
          </w:p>
        </w:tc>
        <w:tc>
          <w:tcPr>
            <w:tcW w:w="2537" w:type="dxa"/>
            <w:tcBorders>
              <w:top w:val="single" w:color="000000" w:sz="2" w:space="0"/>
              <w:tl2br w:val="nil"/>
              <w:tr2bl w:val="nil"/>
            </w:tcBorders>
            <w:noWrap w:val="0"/>
            <w:vAlign w:val="center"/>
          </w:tcPr>
          <w:p>
            <w:pPr>
              <w:jc w:val="center"/>
              <w:rPr>
                <w:rFonts w:hint="eastAsia" w:ascii="Times New Roman" w:hAnsi="Times New Roman" w:eastAsia="宋体" w:cs="Times New Roman"/>
                <w:spacing w:val="6"/>
                <w:kern w:val="2"/>
                <w:sz w:val="24"/>
                <w:szCs w:val="24"/>
                <w:lang w:val="en-US" w:eastAsia="zh-CN" w:bidi="ar-SA"/>
              </w:rPr>
            </w:pPr>
            <w:r>
              <w:rPr>
                <w:spacing w:val="6"/>
                <w:sz w:val="24"/>
                <w:szCs w:val="24"/>
              </w:rPr>
              <w:t>少量，无组织排放</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z w:val="24"/>
                <w:szCs w:val="24"/>
              </w:rPr>
            </w:pPr>
          </w:p>
        </w:tc>
        <w:tc>
          <w:tcPr>
            <w:tcW w:w="575" w:type="dxa"/>
            <w:vMerge w:val="continue"/>
            <w:tcBorders>
              <w:tl2br w:val="nil"/>
              <w:tr2bl w:val="nil"/>
            </w:tcBorders>
            <w:noWrap w:val="0"/>
            <w:vAlign w:val="center"/>
          </w:tcPr>
          <w:p>
            <w:pPr>
              <w:jc w:val="center"/>
              <w:rPr>
                <w:sz w:val="24"/>
                <w:szCs w:val="24"/>
              </w:rPr>
            </w:pPr>
          </w:p>
        </w:tc>
        <w:tc>
          <w:tcPr>
            <w:tcW w:w="1705" w:type="dxa"/>
            <w:tcBorders>
              <w:tl2br w:val="nil"/>
              <w:tr2bl w:val="nil"/>
            </w:tcBorders>
            <w:noWrap w:val="0"/>
            <w:vAlign w:val="center"/>
          </w:tcPr>
          <w:p>
            <w:pPr>
              <w:jc w:val="center"/>
              <w:rPr>
                <w:rFonts w:hint="eastAsia" w:eastAsia="宋体"/>
                <w:sz w:val="24"/>
                <w:szCs w:val="24"/>
                <w:lang w:val="en-US" w:eastAsia="zh-CN"/>
              </w:rPr>
            </w:pPr>
            <w:r>
              <w:rPr>
                <w:rFonts w:hint="eastAsia"/>
                <w:sz w:val="24"/>
                <w:szCs w:val="24"/>
                <w:lang w:val="en-US" w:eastAsia="zh-CN"/>
              </w:rPr>
              <w:t>清淤</w:t>
            </w:r>
          </w:p>
        </w:tc>
        <w:tc>
          <w:tcPr>
            <w:tcW w:w="1096" w:type="dxa"/>
            <w:tcBorders>
              <w:tl2br w:val="nil"/>
              <w:tr2bl w:val="nil"/>
            </w:tcBorders>
            <w:noWrap w:val="0"/>
            <w:vAlign w:val="center"/>
          </w:tcPr>
          <w:p>
            <w:pPr>
              <w:jc w:val="center"/>
              <w:rPr>
                <w:rFonts w:hint="eastAsia" w:eastAsia="宋体"/>
                <w:spacing w:val="6"/>
                <w:sz w:val="24"/>
                <w:szCs w:val="24"/>
                <w:lang w:val="en-US" w:eastAsia="zh-CN"/>
              </w:rPr>
            </w:pPr>
            <w:r>
              <w:rPr>
                <w:rFonts w:hint="default" w:ascii="Times New Roman" w:hAnsi="Times New Roman" w:cs="Times New Roman"/>
                <w:sz w:val="24"/>
              </w:rPr>
              <w:t>NH</w:t>
            </w:r>
            <w:r>
              <w:rPr>
                <w:rFonts w:hint="default" w:ascii="Times New Roman" w:hAnsi="Times New Roman" w:cs="Times New Roman"/>
                <w:sz w:val="24"/>
                <w:vertAlign w:val="subscript"/>
              </w:rPr>
              <w:t>3</w:t>
            </w:r>
            <w:r>
              <w:rPr>
                <w:rFonts w:hint="default" w:ascii="Times New Roman" w:hAnsi="Times New Roman" w:cs="Times New Roman"/>
                <w:sz w:val="24"/>
              </w:rPr>
              <w:t>、H</w:t>
            </w:r>
            <w:r>
              <w:rPr>
                <w:rFonts w:hint="default" w:ascii="Times New Roman" w:hAnsi="Times New Roman" w:cs="Times New Roman"/>
                <w:sz w:val="24"/>
                <w:vertAlign w:val="subscript"/>
              </w:rPr>
              <w:t>2</w:t>
            </w:r>
            <w:r>
              <w:rPr>
                <w:rFonts w:hint="default" w:ascii="Times New Roman" w:hAnsi="Times New Roman" w:cs="Times New Roman"/>
                <w:sz w:val="24"/>
              </w:rPr>
              <w:t>S</w:t>
            </w:r>
          </w:p>
        </w:tc>
        <w:tc>
          <w:tcPr>
            <w:tcW w:w="3289" w:type="dxa"/>
            <w:tcBorders>
              <w:tl2br w:val="nil"/>
              <w:tr2bl w:val="nil"/>
            </w:tcBorders>
            <w:noWrap w:val="0"/>
            <w:vAlign w:val="center"/>
          </w:tcPr>
          <w:p>
            <w:pPr>
              <w:jc w:val="center"/>
              <w:rPr>
                <w:rFonts w:hint="eastAsia" w:ascii="Times New Roman" w:hAnsi="Times New Roman" w:eastAsia="宋体" w:cs="Times New Roman"/>
                <w:spacing w:val="6"/>
                <w:kern w:val="2"/>
                <w:sz w:val="24"/>
                <w:szCs w:val="24"/>
                <w:lang w:val="en-US" w:eastAsia="zh-CN" w:bidi="ar-SA"/>
              </w:rPr>
            </w:pPr>
            <w:r>
              <w:rPr>
                <w:spacing w:val="6"/>
                <w:sz w:val="24"/>
                <w:szCs w:val="24"/>
              </w:rPr>
              <w:t>少量，无组织排放</w:t>
            </w:r>
          </w:p>
        </w:tc>
        <w:tc>
          <w:tcPr>
            <w:tcW w:w="2537" w:type="dxa"/>
            <w:tcBorders>
              <w:tl2br w:val="nil"/>
              <w:tr2bl w:val="nil"/>
            </w:tcBorders>
            <w:noWrap w:val="0"/>
            <w:vAlign w:val="center"/>
          </w:tcPr>
          <w:p>
            <w:pPr>
              <w:jc w:val="center"/>
              <w:rPr>
                <w:rFonts w:hint="eastAsia" w:ascii="Times New Roman" w:hAnsi="Times New Roman" w:eastAsia="宋体" w:cs="Times New Roman"/>
                <w:spacing w:val="6"/>
                <w:kern w:val="2"/>
                <w:sz w:val="24"/>
                <w:szCs w:val="24"/>
                <w:lang w:val="en-US" w:eastAsia="zh-CN" w:bidi="ar-SA"/>
              </w:rPr>
            </w:pPr>
            <w:r>
              <w:rPr>
                <w:spacing w:val="6"/>
                <w:sz w:val="24"/>
                <w:szCs w:val="24"/>
              </w:rPr>
              <w:t>少量，无组织排放</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z w:val="24"/>
                <w:szCs w:val="24"/>
              </w:rPr>
            </w:pPr>
          </w:p>
        </w:tc>
        <w:tc>
          <w:tcPr>
            <w:tcW w:w="575" w:type="dxa"/>
            <w:vMerge w:val="restart"/>
            <w:tcBorders>
              <w:tl2br w:val="nil"/>
              <w:tr2bl w:val="nil"/>
            </w:tcBorders>
            <w:noWrap w:val="0"/>
            <w:vAlign w:val="center"/>
          </w:tcPr>
          <w:p>
            <w:pPr>
              <w:jc w:val="center"/>
              <w:rPr>
                <w:rFonts w:hint="eastAsia" w:eastAsia="宋体"/>
                <w:sz w:val="24"/>
                <w:szCs w:val="24"/>
                <w:lang w:eastAsia="zh-CN"/>
              </w:rPr>
            </w:pPr>
            <w:r>
              <w:rPr>
                <w:rFonts w:hint="eastAsia"/>
                <w:sz w:val="24"/>
                <w:szCs w:val="24"/>
                <w:lang w:eastAsia="zh-CN"/>
              </w:rPr>
              <w:t>营运期</w:t>
            </w:r>
          </w:p>
        </w:tc>
        <w:tc>
          <w:tcPr>
            <w:tcW w:w="1705" w:type="dxa"/>
            <w:vMerge w:val="restart"/>
            <w:tcBorders>
              <w:tl2br w:val="nil"/>
              <w:tr2bl w:val="nil"/>
            </w:tcBorders>
            <w:noWrap w:val="0"/>
            <w:vAlign w:val="center"/>
          </w:tcPr>
          <w:p>
            <w:pPr>
              <w:jc w:val="center"/>
              <w:rPr>
                <w:rFonts w:hint="eastAsia"/>
                <w:sz w:val="24"/>
                <w:szCs w:val="24"/>
                <w:lang w:val="en-US" w:eastAsia="zh-CN"/>
              </w:rPr>
            </w:pPr>
            <w:r>
              <w:rPr>
                <w:rFonts w:hint="eastAsia"/>
                <w:sz w:val="24"/>
                <w:szCs w:val="24"/>
                <w:lang w:val="en-US" w:eastAsia="zh-CN"/>
              </w:rPr>
              <w:t>污水处理站</w:t>
            </w:r>
          </w:p>
        </w:tc>
        <w:tc>
          <w:tcPr>
            <w:tcW w:w="1096" w:type="dxa"/>
            <w:tcBorders>
              <w:tl2br w:val="nil"/>
              <w:tr2bl w:val="nil"/>
            </w:tcBorders>
            <w:noWrap w:val="0"/>
            <w:vAlign w:val="center"/>
          </w:tcPr>
          <w:p>
            <w:pPr>
              <w:jc w:val="center"/>
              <w:rPr>
                <w:rFonts w:hint="default" w:ascii="Times New Roman" w:hAnsi="Times New Roman" w:cs="Times New Roman"/>
                <w:sz w:val="24"/>
              </w:rPr>
            </w:pPr>
            <w:r>
              <w:rPr>
                <w:rFonts w:hint="default" w:ascii="Times New Roman" w:hAnsi="Times New Roman" w:cs="Times New Roman"/>
                <w:sz w:val="24"/>
              </w:rPr>
              <w:t>NH</w:t>
            </w:r>
            <w:r>
              <w:rPr>
                <w:rFonts w:hint="default" w:ascii="Times New Roman" w:hAnsi="Times New Roman" w:cs="Times New Roman"/>
                <w:sz w:val="24"/>
                <w:vertAlign w:val="subscript"/>
              </w:rPr>
              <w:t>3</w:t>
            </w:r>
          </w:p>
        </w:tc>
        <w:tc>
          <w:tcPr>
            <w:tcW w:w="3289" w:type="dxa"/>
            <w:tcBorders>
              <w:tl2br w:val="nil"/>
              <w:tr2bl w:val="nil"/>
            </w:tcBorders>
            <w:noWrap w:val="0"/>
            <w:vAlign w:val="center"/>
          </w:tcPr>
          <w:p>
            <w:pPr>
              <w:jc w:val="center"/>
              <w:rPr>
                <w:spacing w:val="6"/>
                <w:sz w:val="24"/>
                <w:szCs w:val="24"/>
              </w:rPr>
            </w:pPr>
            <w:r>
              <w:rPr>
                <w:rFonts w:hint="eastAsia" w:cs="Times New Roman"/>
                <w:b w:val="0"/>
                <w:bCs w:val="0"/>
                <w:color w:val="auto"/>
                <w:sz w:val="24"/>
                <w:u w:val="none"/>
                <w:lang w:val="en-US" w:eastAsia="zh-CN"/>
              </w:rPr>
              <w:t>17.4</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p>
        </w:tc>
        <w:tc>
          <w:tcPr>
            <w:tcW w:w="2537" w:type="dxa"/>
            <w:tcBorders>
              <w:tl2br w:val="nil"/>
              <w:tr2bl w:val="nil"/>
            </w:tcBorders>
            <w:noWrap w:val="0"/>
            <w:vAlign w:val="center"/>
          </w:tcPr>
          <w:p>
            <w:pPr>
              <w:jc w:val="center"/>
              <w:rPr>
                <w:rFonts w:ascii="Times New Roman" w:hAnsi="Times New Roman" w:eastAsia="宋体" w:cs="Times New Roman"/>
                <w:spacing w:val="6"/>
                <w:kern w:val="2"/>
                <w:sz w:val="24"/>
                <w:szCs w:val="24"/>
                <w:lang w:val="en-US" w:eastAsia="zh-CN" w:bidi="ar-SA"/>
              </w:rPr>
            </w:pPr>
            <w:r>
              <w:rPr>
                <w:rFonts w:hint="eastAsia" w:cs="Times New Roman"/>
                <w:b w:val="0"/>
                <w:bCs w:val="0"/>
                <w:color w:val="auto"/>
                <w:sz w:val="24"/>
                <w:u w:val="none"/>
                <w:lang w:val="en-US" w:eastAsia="zh-CN"/>
              </w:rPr>
              <w:t>17.4</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bottom w:val="single" w:color="000000" w:sz="2" w:space="0"/>
              <w:tl2br w:val="nil"/>
              <w:tr2bl w:val="nil"/>
            </w:tcBorders>
            <w:noWrap w:val="0"/>
            <w:vAlign w:val="center"/>
          </w:tcPr>
          <w:p>
            <w:pPr>
              <w:jc w:val="center"/>
              <w:rPr>
                <w:sz w:val="24"/>
                <w:szCs w:val="24"/>
              </w:rPr>
            </w:pPr>
          </w:p>
        </w:tc>
        <w:tc>
          <w:tcPr>
            <w:tcW w:w="575" w:type="dxa"/>
            <w:vMerge w:val="continue"/>
            <w:tcBorders>
              <w:tl2br w:val="nil"/>
              <w:tr2bl w:val="nil"/>
            </w:tcBorders>
            <w:noWrap w:val="0"/>
            <w:vAlign w:val="center"/>
          </w:tcPr>
          <w:p>
            <w:pPr>
              <w:jc w:val="center"/>
              <w:rPr>
                <w:sz w:val="24"/>
                <w:szCs w:val="24"/>
              </w:rPr>
            </w:pPr>
          </w:p>
        </w:tc>
        <w:tc>
          <w:tcPr>
            <w:tcW w:w="1705" w:type="dxa"/>
            <w:vMerge w:val="continue"/>
            <w:tcBorders>
              <w:tl2br w:val="nil"/>
              <w:tr2bl w:val="nil"/>
            </w:tcBorders>
            <w:noWrap w:val="0"/>
            <w:vAlign w:val="center"/>
          </w:tcPr>
          <w:p>
            <w:pPr>
              <w:jc w:val="center"/>
              <w:rPr>
                <w:rFonts w:hint="eastAsia"/>
                <w:sz w:val="24"/>
                <w:szCs w:val="24"/>
                <w:lang w:val="en-US" w:eastAsia="zh-CN"/>
              </w:rPr>
            </w:pPr>
          </w:p>
        </w:tc>
        <w:tc>
          <w:tcPr>
            <w:tcW w:w="1096" w:type="dxa"/>
            <w:tcBorders>
              <w:tl2br w:val="nil"/>
              <w:tr2bl w:val="nil"/>
            </w:tcBorders>
            <w:noWrap w:val="0"/>
            <w:vAlign w:val="center"/>
          </w:tcPr>
          <w:p>
            <w:pPr>
              <w:jc w:val="center"/>
              <w:rPr>
                <w:rFonts w:hint="default" w:ascii="Times New Roman" w:hAnsi="Times New Roman" w:cs="Times New Roman"/>
                <w:sz w:val="24"/>
              </w:rPr>
            </w:pPr>
            <w:r>
              <w:rPr>
                <w:rFonts w:hint="default" w:ascii="Times New Roman" w:hAnsi="Times New Roman" w:cs="Times New Roman"/>
                <w:sz w:val="24"/>
              </w:rPr>
              <w:t>H</w:t>
            </w:r>
            <w:r>
              <w:rPr>
                <w:rFonts w:hint="default" w:ascii="Times New Roman" w:hAnsi="Times New Roman" w:cs="Times New Roman"/>
                <w:sz w:val="24"/>
                <w:vertAlign w:val="subscript"/>
              </w:rPr>
              <w:t>2</w:t>
            </w:r>
            <w:r>
              <w:rPr>
                <w:rFonts w:hint="default" w:ascii="Times New Roman" w:hAnsi="Times New Roman" w:cs="Times New Roman"/>
                <w:sz w:val="24"/>
              </w:rPr>
              <w:t>S</w:t>
            </w:r>
          </w:p>
        </w:tc>
        <w:tc>
          <w:tcPr>
            <w:tcW w:w="3289" w:type="dxa"/>
            <w:tcBorders>
              <w:tl2br w:val="nil"/>
              <w:tr2bl w:val="nil"/>
            </w:tcBorders>
            <w:noWrap w:val="0"/>
            <w:vAlign w:val="center"/>
          </w:tcPr>
          <w:p>
            <w:pPr>
              <w:jc w:val="center"/>
              <w:rPr>
                <w:spacing w:val="6"/>
                <w:sz w:val="24"/>
                <w:szCs w:val="24"/>
              </w:rPr>
            </w:pPr>
            <w:r>
              <w:rPr>
                <w:rFonts w:hint="eastAsia" w:cs="Times New Roman"/>
                <w:b w:val="0"/>
                <w:bCs w:val="0"/>
                <w:color w:val="auto"/>
                <w:sz w:val="24"/>
                <w:u w:val="none"/>
                <w:lang w:val="en-US" w:eastAsia="zh-CN"/>
              </w:rPr>
              <w:t>6.8</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p>
        </w:tc>
        <w:tc>
          <w:tcPr>
            <w:tcW w:w="2537" w:type="dxa"/>
            <w:tcBorders>
              <w:tl2br w:val="nil"/>
              <w:tr2bl w:val="nil"/>
            </w:tcBorders>
            <w:noWrap w:val="0"/>
            <w:vAlign w:val="center"/>
          </w:tcPr>
          <w:p>
            <w:pPr>
              <w:jc w:val="center"/>
              <w:rPr>
                <w:rFonts w:ascii="Times New Roman" w:hAnsi="Times New Roman" w:eastAsia="宋体" w:cs="Times New Roman"/>
                <w:spacing w:val="6"/>
                <w:kern w:val="2"/>
                <w:sz w:val="24"/>
                <w:szCs w:val="24"/>
                <w:lang w:val="en-US" w:eastAsia="zh-CN" w:bidi="ar-SA"/>
              </w:rPr>
            </w:pPr>
            <w:r>
              <w:rPr>
                <w:rFonts w:hint="eastAsia" w:cs="Times New Roman"/>
                <w:b w:val="0"/>
                <w:bCs w:val="0"/>
                <w:color w:val="auto"/>
                <w:sz w:val="24"/>
                <w:u w:val="none"/>
                <w:lang w:val="en-US" w:eastAsia="zh-CN"/>
              </w:rPr>
              <w:t>6.8</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restart"/>
            <w:tcBorders>
              <w:top w:val="single" w:color="000000" w:sz="2" w:space="0"/>
              <w:tl2br w:val="nil"/>
              <w:tr2bl w:val="nil"/>
            </w:tcBorders>
            <w:noWrap w:val="0"/>
            <w:vAlign w:val="center"/>
          </w:tcPr>
          <w:p>
            <w:pPr>
              <w:jc w:val="center"/>
              <w:rPr>
                <w:spacing w:val="6"/>
                <w:sz w:val="24"/>
                <w:szCs w:val="24"/>
              </w:rPr>
            </w:pPr>
            <w:r>
              <w:rPr>
                <w:spacing w:val="6"/>
                <w:sz w:val="24"/>
                <w:szCs w:val="24"/>
              </w:rPr>
              <w:t>水</w:t>
            </w:r>
          </w:p>
          <w:p>
            <w:pPr>
              <w:jc w:val="center"/>
              <w:rPr>
                <w:spacing w:val="6"/>
                <w:sz w:val="24"/>
                <w:szCs w:val="24"/>
              </w:rPr>
            </w:pPr>
            <w:r>
              <w:rPr>
                <w:spacing w:val="6"/>
                <w:sz w:val="24"/>
                <w:szCs w:val="24"/>
              </w:rPr>
              <w:t>污染</w:t>
            </w:r>
          </w:p>
          <w:p>
            <w:pPr>
              <w:jc w:val="center"/>
              <w:rPr>
                <w:spacing w:val="6"/>
                <w:sz w:val="24"/>
                <w:szCs w:val="24"/>
              </w:rPr>
            </w:pPr>
            <w:r>
              <w:rPr>
                <w:spacing w:val="6"/>
                <w:sz w:val="24"/>
                <w:szCs w:val="24"/>
              </w:rPr>
              <w:t>物</w:t>
            </w:r>
          </w:p>
        </w:tc>
        <w:tc>
          <w:tcPr>
            <w:tcW w:w="575" w:type="dxa"/>
            <w:vMerge w:val="restart"/>
            <w:tcBorders>
              <w:tl2br w:val="nil"/>
              <w:tr2bl w:val="nil"/>
            </w:tcBorders>
            <w:noWrap w:val="0"/>
            <w:vAlign w:val="center"/>
          </w:tcPr>
          <w:p>
            <w:pPr>
              <w:jc w:val="center"/>
              <w:rPr>
                <w:rFonts w:hint="eastAsia" w:eastAsia="宋体"/>
                <w:spacing w:val="6"/>
                <w:sz w:val="24"/>
                <w:szCs w:val="24"/>
                <w:lang w:eastAsia="zh-CN"/>
              </w:rPr>
            </w:pPr>
            <w:r>
              <w:rPr>
                <w:rFonts w:hint="eastAsia"/>
                <w:spacing w:val="6"/>
                <w:sz w:val="24"/>
                <w:szCs w:val="24"/>
                <w:lang w:eastAsia="zh-CN"/>
              </w:rPr>
              <w:t>施工期</w:t>
            </w:r>
          </w:p>
        </w:tc>
        <w:tc>
          <w:tcPr>
            <w:tcW w:w="1705" w:type="dxa"/>
            <w:tcBorders>
              <w:tl2br w:val="nil"/>
              <w:tr2bl w:val="nil"/>
            </w:tcBorders>
            <w:noWrap w:val="0"/>
            <w:vAlign w:val="center"/>
          </w:tcPr>
          <w:p>
            <w:pPr>
              <w:jc w:val="center"/>
              <w:rPr>
                <w:spacing w:val="6"/>
                <w:sz w:val="24"/>
                <w:szCs w:val="24"/>
              </w:rPr>
            </w:pPr>
            <w:r>
              <w:rPr>
                <w:rFonts w:hint="eastAsia"/>
                <w:spacing w:val="6"/>
                <w:sz w:val="24"/>
                <w:szCs w:val="24"/>
                <w:lang w:val="en-US" w:eastAsia="zh-CN"/>
              </w:rPr>
              <w:t>施工废水</w:t>
            </w:r>
          </w:p>
        </w:tc>
        <w:tc>
          <w:tcPr>
            <w:tcW w:w="1096" w:type="dxa"/>
            <w:tcBorders>
              <w:tl2br w:val="nil"/>
              <w:tr2bl w:val="nil"/>
            </w:tcBorders>
            <w:noWrap w:val="0"/>
            <w:vAlign w:val="center"/>
          </w:tcPr>
          <w:p>
            <w:pPr>
              <w:jc w:val="center"/>
              <w:rPr>
                <w:rFonts w:hint="eastAsia" w:eastAsia="宋体"/>
                <w:sz w:val="24"/>
                <w:szCs w:val="24"/>
                <w:lang w:eastAsia="zh-CN"/>
              </w:rPr>
            </w:pPr>
            <w:r>
              <w:rPr>
                <w:sz w:val="24"/>
                <w:szCs w:val="24"/>
              </w:rPr>
              <w:t>SS</w:t>
            </w:r>
            <w:r>
              <w:rPr>
                <w:rFonts w:hint="eastAsia"/>
                <w:sz w:val="24"/>
                <w:szCs w:val="24"/>
                <w:lang w:eastAsia="zh-CN"/>
              </w:rPr>
              <w:t>、</w:t>
            </w:r>
          </w:p>
          <w:p>
            <w:pPr>
              <w:jc w:val="center"/>
              <w:rPr>
                <w:sz w:val="24"/>
                <w:szCs w:val="24"/>
              </w:rPr>
            </w:pPr>
            <w:r>
              <w:rPr>
                <w:rFonts w:hint="eastAsia"/>
                <w:sz w:val="24"/>
                <w:szCs w:val="24"/>
              </w:rPr>
              <w:t>石油类</w:t>
            </w:r>
          </w:p>
        </w:tc>
        <w:tc>
          <w:tcPr>
            <w:tcW w:w="3289" w:type="dxa"/>
            <w:tcBorders>
              <w:tl2br w:val="nil"/>
              <w:tr2bl w:val="nil"/>
            </w:tcBorders>
            <w:noWrap w:val="0"/>
            <w:vAlign w:val="center"/>
          </w:tcPr>
          <w:p>
            <w:pPr>
              <w:jc w:val="center"/>
              <w:rPr>
                <w:rFonts w:hint="eastAsia"/>
                <w:sz w:val="24"/>
                <w:szCs w:val="24"/>
              </w:rPr>
            </w:pPr>
            <w:r>
              <w:rPr>
                <w:rFonts w:hint="eastAsia"/>
                <w:sz w:val="24"/>
                <w:szCs w:val="24"/>
                <w:lang w:val="en-US" w:eastAsia="zh-CN"/>
              </w:rPr>
              <w:t>少量</w:t>
            </w:r>
          </w:p>
        </w:tc>
        <w:tc>
          <w:tcPr>
            <w:tcW w:w="2537" w:type="dxa"/>
            <w:tcBorders>
              <w:tl2br w:val="nil"/>
              <w:tr2bl w:val="nil"/>
            </w:tcBorders>
            <w:noWrap w:val="0"/>
            <w:vAlign w:val="center"/>
          </w:tcPr>
          <w:p>
            <w:pPr>
              <w:jc w:val="center"/>
              <w:rPr>
                <w:sz w:val="24"/>
                <w:szCs w:val="24"/>
              </w:rPr>
            </w:pPr>
            <w:r>
              <w:rPr>
                <w:rFonts w:hint="eastAsia"/>
                <w:sz w:val="24"/>
                <w:szCs w:val="24"/>
              </w:rPr>
              <w:t>经</w:t>
            </w:r>
            <w:r>
              <w:rPr>
                <w:rFonts w:hint="eastAsia"/>
                <w:sz w:val="24"/>
                <w:szCs w:val="24"/>
                <w:lang w:val="en-US" w:eastAsia="zh-CN"/>
              </w:rPr>
              <w:t>隔油沉淀池</w:t>
            </w:r>
            <w:r>
              <w:rPr>
                <w:rFonts w:hint="eastAsia"/>
                <w:sz w:val="24"/>
                <w:szCs w:val="24"/>
              </w:rPr>
              <w:t>处理后回用于施工场地内及道路洒水抑尘</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spacing w:val="6"/>
                <w:sz w:val="24"/>
                <w:szCs w:val="24"/>
              </w:rPr>
            </w:pPr>
          </w:p>
        </w:tc>
        <w:tc>
          <w:tcPr>
            <w:tcW w:w="1705" w:type="dxa"/>
            <w:tcBorders>
              <w:tl2br w:val="nil"/>
              <w:tr2bl w:val="nil"/>
            </w:tcBorders>
            <w:noWrap w:val="0"/>
            <w:vAlign w:val="center"/>
          </w:tcPr>
          <w:p>
            <w:pPr>
              <w:jc w:val="center"/>
              <w:rPr>
                <w:rFonts w:hint="eastAsia"/>
                <w:spacing w:val="6"/>
                <w:sz w:val="24"/>
                <w:szCs w:val="24"/>
                <w:lang w:val="en-US" w:eastAsia="zh-CN"/>
              </w:rPr>
            </w:pPr>
            <w:r>
              <w:rPr>
                <w:rFonts w:hint="eastAsia" w:ascii="Times New Roman"/>
                <w:b w:val="0"/>
                <w:sz w:val="24"/>
                <w:lang w:eastAsia="zh-CN"/>
              </w:rPr>
              <w:t>管道闭水试验废水</w:t>
            </w:r>
          </w:p>
        </w:tc>
        <w:tc>
          <w:tcPr>
            <w:tcW w:w="1096" w:type="dxa"/>
            <w:tcBorders>
              <w:tl2br w:val="nil"/>
              <w:tr2bl w:val="nil"/>
            </w:tcBorders>
            <w:noWrap w:val="0"/>
            <w:vAlign w:val="center"/>
          </w:tcPr>
          <w:p>
            <w:pPr>
              <w:jc w:val="center"/>
              <w:rPr>
                <w:rFonts w:hint="eastAsia" w:eastAsia="宋体"/>
                <w:sz w:val="24"/>
                <w:szCs w:val="24"/>
                <w:lang w:eastAsia="zh-CN"/>
              </w:rPr>
            </w:pPr>
            <w:r>
              <w:rPr>
                <w:sz w:val="24"/>
                <w:szCs w:val="24"/>
              </w:rPr>
              <w:t>SS</w:t>
            </w:r>
            <w:r>
              <w:rPr>
                <w:rFonts w:hint="eastAsia"/>
                <w:sz w:val="24"/>
                <w:szCs w:val="24"/>
                <w:lang w:eastAsia="zh-CN"/>
              </w:rPr>
              <w:t>、</w:t>
            </w:r>
          </w:p>
          <w:p>
            <w:pPr>
              <w:jc w:val="center"/>
              <w:rPr>
                <w:rFonts w:hint="eastAsia"/>
                <w:sz w:val="24"/>
                <w:szCs w:val="24"/>
              </w:rPr>
            </w:pPr>
            <w:r>
              <w:rPr>
                <w:rFonts w:hint="eastAsia"/>
                <w:sz w:val="24"/>
                <w:szCs w:val="24"/>
              </w:rPr>
              <w:t>石油类</w:t>
            </w:r>
          </w:p>
        </w:tc>
        <w:tc>
          <w:tcPr>
            <w:tcW w:w="3289" w:type="dxa"/>
            <w:tcBorders>
              <w:tl2br w:val="nil"/>
              <w:tr2bl w:val="nil"/>
            </w:tcBorders>
            <w:noWrap w:val="0"/>
            <w:vAlign w:val="center"/>
          </w:tcPr>
          <w:p>
            <w:pPr>
              <w:jc w:val="center"/>
              <w:rPr>
                <w:rFonts w:hint="eastAsia"/>
                <w:sz w:val="24"/>
                <w:szCs w:val="24"/>
                <w:lang w:val="en-US" w:eastAsia="zh-CN"/>
              </w:rPr>
            </w:pPr>
            <w:r>
              <w:rPr>
                <w:rFonts w:hint="eastAsia"/>
                <w:sz w:val="24"/>
                <w:szCs w:val="24"/>
                <w:lang w:val="en-US" w:eastAsia="zh-CN"/>
              </w:rPr>
              <w:t>少量</w:t>
            </w:r>
          </w:p>
        </w:tc>
        <w:tc>
          <w:tcPr>
            <w:tcW w:w="2537" w:type="dxa"/>
            <w:tcBorders>
              <w:tl2br w:val="nil"/>
              <w:tr2bl w:val="nil"/>
            </w:tcBorders>
            <w:noWrap w:val="0"/>
            <w:vAlign w:val="center"/>
          </w:tcPr>
          <w:p>
            <w:pPr>
              <w:jc w:val="center"/>
              <w:rPr>
                <w:rFonts w:hint="eastAsia" w:eastAsia="宋体"/>
                <w:sz w:val="24"/>
                <w:szCs w:val="24"/>
                <w:lang w:eastAsia="zh-CN"/>
              </w:rPr>
            </w:pPr>
            <w:r>
              <w:rPr>
                <w:rFonts w:hint="eastAsia"/>
                <w:sz w:val="24"/>
                <w:szCs w:val="24"/>
                <w:lang w:eastAsia="zh-CN"/>
              </w:rPr>
              <w:t>回用于场地洒水抑尘</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spacing w:val="6"/>
                <w:sz w:val="24"/>
                <w:szCs w:val="24"/>
              </w:rPr>
            </w:pPr>
          </w:p>
        </w:tc>
        <w:tc>
          <w:tcPr>
            <w:tcW w:w="1705" w:type="dxa"/>
            <w:tcBorders>
              <w:tl2br w:val="nil"/>
              <w:tr2bl w:val="nil"/>
            </w:tcBorders>
            <w:noWrap w:val="0"/>
            <w:vAlign w:val="center"/>
          </w:tcPr>
          <w:p>
            <w:pPr>
              <w:jc w:val="center"/>
              <w:rPr>
                <w:rFonts w:hint="eastAsia"/>
                <w:spacing w:val="6"/>
                <w:sz w:val="24"/>
                <w:szCs w:val="24"/>
              </w:rPr>
            </w:pPr>
            <w:r>
              <w:rPr>
                <w:rFonts w:hint="eastAsia"/>
                <w:spacing w:val="6"/>
                <w:sz w:val="24"/>
                <w:szCs w:val="24"/>
              </w:rPr>
              <w:t>基坑废水</w:t>
            </w:r>
          </w:p>
        </w:tc>
        <w:tc>
          <w:tcPr>
            <w:tcW w:w="1096" w:type="dxa"/>
            <w:tcBorders>
              <w:tl2br w:val="nil"/>
              <w:tr2bl w:val="nil"/>
            </w:tcBorders>
            <w:noWrap w:val="0"/>
            <w:vAlign w:val="center"/>
          </w:tcPr>
          <w:p>
            <w:pPr>
              <w:jc w:val="center"/>
              <w:rPr>
                <w:sz w:val="24"/>
                <w:szCs w:val="24"/>
              </w:rPr>
            </w:pPr>
            <w:r>
              <w:rPr>
                <w:sz w:val="24"/>
                <w:szCs w:val="24"/>
              </w:rPr>
              <w:t>SS</w:t>
            </w:r>
          </w:p>
        </w:tc>
        <w:tc>
          <w:tcPr>
            <w:tcW w:w="3289" w:type="dxa"/>
            <w:tcBorders>
              <w:tl2br w:val="nil"/>
              <w:tr2bl w:val="nil"/>
            </w:tcBorders>
            <w:noWrap w:val="0"/>
            <w:vAlign w:val="center"/>
          </w:tcPr>
          <w:p>
            <w:pPr>
              <w:jc w:val="center"/>
              <w:rPr>
                <w:rFonts w:hint="eastAsia" w:eastAsia="宋体"/>
                <w:sz w:val="24"/>
                <w:szCs w:val="24"/>
                <w:lang w:eastAsia="zh-CN"/>
              </w:rPr>
            </w:pPr>
            <w:r>
              <w:rPr>
                <w:rFonts w:hint="eastAsia"/>
                <w:sz w:val="24"/>
                <w:szCs w:val="24"/>
                <w:lang w:eastAsia="zh-CN"/>
              </w:rPr>
              <w:t>少量</w:t>
            </w:r>
          </w:p>
        </w:tc>
        <w:tc>
          <w:tcPr>
            <w:tcW w:w="2537" w:type="dxa"/>
            <w:tcBorders>
              <w:tl2br w:val="nil"/>
              <w:tr2bl w:val="nil"/>
            </w:tcBorders>
            <w:noWrap w:val="0"/>
            <w:vAlign w:val="center"/>
          </w:tcPr>
          <w:p>
            <w:pPr>
              <w:jc w:val="center"/>
              <w:rPr>
                <w:sz w:val="24"/>
                <w:szCs w:val="24"/>
              </w:rPr>
            </w:pPr>
            <w:r>
              <w:rPr>
                <w:rFonts w:hint="eastAsia"/>
                <w:sz w:val="24"/>
                <w:szCs w:val="24"/>
              </w:rPr>
              <w:t>经沉淀处理后回用于施工场地内及道路洒水抑尘</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restart"/>
            <w:tcBorders>
              <w:tl2br w:val="nil"/>
              <w:tr2bl w:val="nil"/>
            </w:tcBorders>
            <w:noWrap w:val="0"/>
            <w:vAlign w:val="center"/>
          </w:tcPr>
          <w:p>
            <w:pPr>
              <w:jc w:val="center"/>
              <w:rPr>
                <w:rFonts w:hint="eastAsia" w:eastAsia="宋体"/>
                <w:spacing w:val="6"/>
                <w:sz w:val="24"/>
                <w:szCs w:val="24"/>
                <w:lang w:eastAsia="zh-CN"/>
              </w:rPr>
            </w:pPr>
            <w:r>
              <w:rPr>
                <w:rFonts w:hint="eastAsia"/>
                <w:spacing w:val="6"/>
                <w:sz w:val="24"/>
                <w:szCs w:val="24"/>
                <w:lang w:eastAsia="zh-CN"/>
              </w:rPr>
              <w:t>运营期</w:t>
            </w:r>
          </w:p>
        </w:tc>
        <w:tc>
          <w:tcPr>
            <w:tcW w:w="1705" w:type="dxa"/>
            <w:vMerge w:val="restart"/>
            <w:tcBorders>
              <w:tl2br w:val="nil"/>
              <w:tr2bl w:val="nil"/>
            </w:tcBorders>
            <w:noWrap w:val="0"/>
            <w:vAlign w:val="center"/>
          </w:tcPr>
          <w:p>
            <w:pPr>
              <w:jc w:val="center"/>
              <w:rPr>
                <w:rFonts w:hint="default" w:eastAsia="宋体"/>
                <w:spacing w:val="6"/>
                <w:sz w:val="24"/>
                <w:szCs w:val="24"/>
                <w:lang w:val="en-US" w:eastAsia="zh-CN"/>
              </w:rPr>
            </w:pPr>
            <w:r>
              <w:rPr>
                <w:rFonts w:hint="eastAsia"/>
                <w:spacing w:val="6"/>
                <w:sz w:val="24"/>
                <w:szCs w:val="24"/>
                <w:lang w:eastAsia="zh-CN"/>
              </w:rPr>
              <w:t>奇家社区污水处理站</w:t>
            </w:r>
            <w:r>
              <w:rPr>
                <w:rFonts w:hint="eastAsia"/>
                <w:spacing w:val="6"/>
                <w:sz w:val="24"/>
                <w:szCs w:val="24"/>
                <w:lang w:val="en-US" w:eastAsia="zh-CN"/>
              </w:rPr>
              <w:t>80300t/a</w:t>
            </w:r>
          </w:p>
        </w:tc>
        <w:tc>
          <w:tcPr>
            <w:tcW w:w="1096" w:type="dxa"/>
            <w:tcBorders>
              <w:tl2br w:val="nil"/>
              <w:tr2bl w:val="nil"/>
            </w:tcBorders>
            <w:noWrap w:val="0"/>
            <w:vAlign w:val="center"/>
          </w:tcPr>
          <w:p>
            <w:pPr>
              <w:jc w:val="center"/>
              <w:rPr>
                <w:sz w:val="24"/>
                <w:szCs w:val="24"/>
              </w:rPr>
            </w:pPr>
            <w:r>
              <w:rPr>
                <w:snapToGrid w:val="0"/>
                <w:sz w:val="24"/>
                <w:szCs w:val="24"/>
              </w:rPr>
              <w:t>COD</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4</w:t>
            </w:r>
            <w:r>
              <w:rPr>
                <w:rFonts w:hint="eastAsia"/>
                <w:sz w:val="24"/>
                <w:szCs w:val="24"/>
              </w:rPr>
              <w:t>0</w:t>
            </w:r>
            <w:r>
              <w:rPr>
                <w:sz w:val="24"/>
                <w:szCs w:val="24"/>
              </w:rPr>
              <w:t>0mg/L</w:t>
            </w:r>
            <w:r>
              <w:rPr>
                <w:rFonts w:hint="eastAsia"/>
                <w:sz w:val="24"/>
                <w:szCs w:val="24"/>
              </w:rPr>
              <w:t>，</w:t>
            </w:r>
            <w:r>
              <w:rPr>
                <w:rFonts w:hint="eastAsia"/>
                <w:sz w:val="24"/>
                <w:szCs w:val="24"/>
                <w:lang w:val="en-US" w:eastAsia="zh-CN"/>
              </w:rPr>
              <w:t>32.1</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5</w:t>
            </w:r>
            <w:r>
              <w:rPr>
                <w:sz w:val="24"/>
                <w:szCs w:val="24"/>
              </w:rPr>
              <w:t>0mg/L</w:t>
            </w:r>
            <w:r>
              <w:rPr>
                <w:rFonts w:hint="eastAsia"/>
                <w:sz w:val="24"/>
                <w:szCs w:val="24"/>
              </w:rPr>
              <w:t>，</w:t>
            </w:r>
            <w:r>
              <w:rPr>
                <w:rFonts w:hint="eastAsia"/>
                <w:sz w:val="24"/>
                <w:szCs w:val="24"/>
                <w:lang w:val="en-US" w:eastAsia="zh-CN"/>
              </w:rPr>
              <w:t>4.0</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4"/>
                <w:szCs w:val="24"/>
                <w:lang w:val="en-US" w:eastAsia="zh-CN" w:bidi="ar-SA"/>
              </w:rPr>
            </w:pPr>
            <w:r>
              <w:rPr>
                <w:snapToGrid w:val="0"/>
                <w:sz w:val="24"/>
                <w:szCs w:val="24"/>
              </w:rPr>
              <w:t>NH</w:t>
            </w:r>
            <w:r>
              <w:rPr>
                <w:snapToGrid w:val="0"/>
                <w:sz w:val="24"/>
                <w:szCs w:val="24"/>
                <w:vertAlign w:val="subscript"/>
              </w:rPr>
              <w:t>3</w:t>
            </w:r>
            <w:r>
              <w:rPr>
                <w:snapToGrid w:val="0"/>
                <w:sz w:val="24"/>
                <w:szCs w:val="24"/>
              </w:rPr>
              <w:t>-N</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4</w:t>
            </w:r>
            <w:r>
              <w:rPr>
                <w:sz w:val="24"/>
                <w:szCs w:val="24"/>
              </w:rPr>
              <w:t>0mg/L</w:t>
            </w:r>
            <w:r>
              <w:rPr>
                <w:rFonts w:hint="eastAsia"/>
                <w:sz w:val="24"/>
                <w:szCs w:val="24"/>
              </w:rPr>
              <w:t>，</w:t>
            </w:r>
            <w:r>
              <w:rPr>
                <w:rFonts w:hint="eastAsia"/>
                <w:sz w:val="24"/>
                <w:szCs w:val="24"/>
                <w:lang w:val="en-US" w:eastAsia="zh-CN"/>
              </w:rPr>
              <w:t>3.2</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5</w:t>
            </w:r>
            <w:r>
              <w:rPr>
                <w:sz w:val="24"/>
                <w:szCs w:val="24"/>
              </w:rPr>
              <w:t>mg/L</w:t>
            </w:r>
            <w:r>
              <w:rPr>
                <w:rFonts w:hint="eastAsia"/>
                <w:sz w:val="24"/>
                <w:szCs w:val="24"/>
              </w:rPr>
              <w:t>，</w:t>
            </w:r>
            <w:r>
              <w:rPr>
                <w:rFonts w:hint="eastAsia"/>
                <w:sz w:val="24"/>
                <w:szCs w:val="24"/>
                <w:lang w:val="en-US" w:eastAsia="zh-CN"/>
              </w:rPr>
              <w:t>0.4</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4"/>
                <w:szCs w:val="24"/>
                <w:lang w:val="en-US" w:eastAsia="zh-CN" w:bidi="ar-SA"/>
              </w:rPr>
            </w:pPr>
            <w:r>
              <w:rPr>
                <w:rFonts w:hint="eastAsia"/>
                <w:snapToGrid w:val="0"/>
                <w:sz w:val="24"/>
                <w:szCs w:val="24"/>
              </w:rPr>
              <w:t>总氮</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rPr>
              <w:t>5</w:t>
            </w:r>
            <w:r>
              <w:rPr>
                <w:sz w:val="24"/>
                <w:szCs w:val="24"/>
              </w:rPr>
              <w:t>0mg/L</w:t>
            </w:r>
            <w:r>
              <w:rPr>
                <w:rFonts w:hint="eastAsia"/>
                <w:sz w:val="24"/>
                <w:szCs w:val="24"/>
              </w:rPr>
              <w:t>，</w:t>
            </w:r>
            <w:r>
              <w:rPr>
                <w:rFonts w:hint="eastAsia"/>
                <w:sz w:val="24"/>
                <w:szCs w:val="24"/>
                <w:lang w:val="en-US" w:eastAsia="zh-CN"/>
              </w:rPr>
              <w:t>4.0</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rPr>
              <w:t>1</w:t>
            </w:r>
            <w:r>
              <w:rPr>
                <w:rFonts w:hint="eastAsia"/>
                <w:sz w:val="24"/>
                <w:szCs w:val="24"/>
                <w:lang w:val="en-US" w:eastAsia="zh-CN"/>
              </w:rPr>
              <w:t>5</w:t>
            </w:r>
            <w:r>
              <w:rPr>
                <w:sz w:val="24"/>
                <w:szCs w:val="24"/>
              </w:rPr>
              <w:t>mg/L</w:t>
            </w:r>
            <w:r>
              <w:rPr>
                <w:rFonts w:hint="eastAsia"/>
                <w:sz w:val="24"/>
                <w:szCs w:val="24"/>
              </w:rPr>
              <w:t>，</w:t>
            </w:r>
            <w:r>
              <w:rPr>
                <w:rFonts w:hint="eastAsia"/>
                <w:sz w:val="24"/>
                <w:szCs w:val="24"/>
                <w:lang w:val="en-US" w:eastAsia="zh-CN"/>
              </w:rPr>
              <w:t>1.2</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4"/>
                <w:szCs w:val="24"/>
                <w:lang w:val="en-US" w:eastAsia="zh-CN" w:bidi="ar-SA"/>
              </w:rPr>
            </w:pPr>
            <w:r>
              <w:rPr>
                <w:rFonts w:hint="eastAsia"/>
                <w:snapToGrid w:val="0"/>
                <w:sz w:val="24"/>
                <w:szCs w:val="24"/>
              </w:rPr>
              <w:t>总磷</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7</w:t>
            </w:r>
            <w:r>
              <w:rPr>
                <w:sz w:val="24"/>
                <w:szCs w:val="24"/>
              </w:rPr>
              <w:t>mg/L</w:t>
            </w:r>
            <w:r>
              <w:rPr>
                <w:rFonts w:hint="eastAsia"/>
                <w:sz w:val="24"/>
                <w:szCs w:val="24"/>
              </w:rPr>
              <w:t>，</w:t>
            </w:r>
            <w:r>
              <w:rPr>
                <w:rFonts w:hint="eastAsia"/>
                <w:sz w:val="24"/>
                <w:szCs w:val="24"/>
                <w:lang w:val="en-US" w:eastAsia="zh-CN"/>
              </w:rPr>
              <w:t>0.56</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0.5</w:t>
            </w:r>
            <w:r>
              <w:rPr>
                <w:sz w:val="24"/>
                <w:szCs w:val="24"/>
              </w:rPr>
              <w:t>mg/L</w:t>
            </w:r>
            <w:r>
              <w:rPr>
                <w:rFonts w:hint="eastAsia"/>
                <w:sz w:val="24"/>
                <w:szCs w:val="24"/>
              </w:rPr>
              <w:t>，0.</w:t>
            </w:r>
            <w:r>
              <w:rPr>
                <w:rFonts w:hint="eastAsia"/>
                <w:sz w:val="24"/>
                <w:szCs w:val="24"/>
                <w:lang w:val="en-US" w:eastAsia="zh-CN"/>
              </w:rPr>
              <w:t>04</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restart"/>
            <w:tcBorders>
              <w:tl2br w:val="nil"/>
              <w:tr2bl w:val="nil"/>
            </w:tcBorders>
            <w:noWrap w:val="0"/>
            <w:vAlign w:val="center"/>
          </w:tcPr>
          <w:p>
            <w:pPr>
              <w:jc w:val="center"/>
              <w:rPr>
                <w:rFonts w:hint="eastAsia" w:eastAsia="宋体"/>
                <w:spacing w:val="6"/>
                <w:sz w:val="24"/>
                <w:szCs w:val="24"/>
                <w:lang w:eastAsia="zh-CN"/>
              </w:rPr>
            </w:pPr>
            <w:r>
              <w:rPr>
                <w:rFonts w:hint="eastAsia"/>
                <w:spacing w:val="6"/>
                <w:sz w:val="24"/>
                <w:szCs w:val="24"/>
                <w:lang w:eastAsia="zh-CN"/>
              </w:rPr>
              <w:t>面源工程</w:t>
            </w:r>
            <w:r>
              <w:rPr>
                <w:rFonts w:hint="eastAsia"/>
                <w:spacing w:val="6"/>
                <w:sz w:val="24"/>
                <w:szCs w:val="24"/>
                <w:lang w:val="en-US" w:eastAsia="zh-CN"/>
              </w:rPr>
              <w:t>5座</w:t>
            </w:r>
            <w:r>
              <w:rPr>
                <w:rFonts w:hint="eastAsia"/>
                <w:spacing w:val="6"/>
                <w:sz w:val="24"/>
                <w:szCs w:val="24"/>
                <w:lang w:eastAsia="zh-CN"/>
              </w:rPr>
              <w:t>小型污水处理站（共</w:t>
            </w:r>
            <w:r>
              <w:rPr>
                <w:rFonts w:hint="eastAsia"/>
                <w:spacing w:val="6"/>
                <w:sz w:val="24"/>
                <w:szCs w:val="24"/>
                <w:lang w:val="en-US" w:eastAsia="zh-CN"/>
              </w:rPr>
              <w:t>7665t/a</w:t>
            </w:r>
            <w:r>
              <w:rPr>
                <w:rFonts w:hint="eastAsia"/>
                <w:spacing w:val="6"/>
                <w:sz w:val="24"/>
                <w:szCs w:val="24"/>
                <w:lang w:eastAsia="zh-CN"/>
              </w:rPr>
              <w:t>）</w:t>
            </w: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1"/>
                <w:szCs w:val="21"/>
                <w:lang w:val="en-US" w:eastAsia="zh-CN" w:bidi="ar-SA"/>
              </w:rPr>
            </w:pPr>
            <w:r>
              <w:rPr>
                <w:snapToGrid w:val="0"/>
                <w:sz w:val="21"/>
                <w:szCs w:val="21"/>
              </w:rPr>
              <w:t>COD</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35</w:t>
            </w:r>
            <w:r>
              <w:rPr>
                <w:sz w:val="24"/>
                <w:szCs w:val="24"/>
              </w:rPr>
              <w:t>0mg/L</w:t>
            </w:r>
            <w:r>
              <w:rPr>
                <w:rFonts w:hint="eastAsia"/>
                <w:sz w:val="24"/>
                <w:szCs w:val="24"/>
              </w:rPr>
              <w:t>，</w:t>
            </w:r>
            <w:r>
              <w:rPr>
                <w:rFonts w:hint="eastAsia"/>
                <w:sz w:val="24"/>
                <w:szCs w:val="24"/>
                <w:lang w:val="en-US" w:eastAsia="zh-CN"/>
              </w:rPr>
              <w:t>2.68</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1</w:t>
            </w:r>
            <w:r>
              <w:rPr>
                <w:rFonts w:hint="eastAsia"/>
                <w:sz w:val="24"/>
                <w:szCs w:val="24"/>
              </w:rPr>
              <w:t>0</w:t>
            </w:r>
            <w:r>
              <w:rPr>
                <w:sz w:val="24"/>
                <w:szCs w:val="24"/>
              </w:rPr>
              <w:t>0mg/L</w:t>
            </w:r>
            <w:r>
              <w:rPr>
                <w:rFonts w:hint="eastAsia"/>
                <w:sz w:val="24"/>
                <w:szCs w:val="24"/>
              </w:rPr>
              <w:t>，</w:t>
            </w:r>
            <w:r>
              <w:rPr>
                <w:rFonts w:hint="eastAsia"/>
                <w:sz w:val="24"/>
                <w:szCs w:val="24"/>
                <w:lang w:val="en-US" w:eastAsia="zh-CN"/>
              </w:rPr>
              <w:t>0.77</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1"/>
                <w:szCs w:val="21"/>
                <w:lang w:val="en-US" w:eastAsia="zh-CN" w:bidi="ar-SA"/>
              </w:rPr>
            </w:pPr>
            <w:r>
              <w:rPr>
                <w:snapToGrid w:val="0"/>
                <w:sz w:val="21"/>
                <w:szCs w:val="21"/>
              </w:rPr>
              <w:t>BOD</w:t>
            </w:r>
            <w:r>
              <w:rPr>
                <w:snapToGrid w:val="0"/>
                <w:sz w:val="21"/>
                <w:szCs w:val="21"/>
                <w:vertAlign w:val="subscript"/>
              </w:rPr>
              <w:t>5</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2</w:t>
            </w:r>
            <w:r>
              <w:rPr>
                <w:rFonts w:hint="eastAsia"/>
                <w:sz w:val="24"/>
                <w:szCs w:val="24"/>
              </w:rPr>
              <w:t>0</w:t>
            </w:r>
            <w:r>
              <w:rPr>
                <w:sz w:val="24"/>
                <w:szCs w:val="24"/>
              </w:rPr>
              <w:t>0mg/L</w:t>
            </w:r>
            <w:r>
              <w:rPr>
                <w:rFonts w:hint="eastAsia"/>
                <w:sz w:val="24"/>
                <w:szCs w:val="24"/>
              </w:rPr>
              <w:t>，</w:t>
            </w:r>
            <w:r>
              <w:rPr>
                <w:rFonts w:hint="eastAsia"/>
                <w:sz w:val="24"/>
                <w:szCs w:val="24"/>
                <w:lang w:val="en-US" w:eastAsia="zh-CN"/>
              </w:rPr>
              <w:t>1.53</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2</w:t>
            </w:r>
            <w:r>
              <w:rPr>
                <w:sz w:val="24"/>
                <w:szCs w:val="24"/>
              </w:rPr>
              <w:t>0mg/L</w:t>
            </w:r>
            <w:r>
              <w:rPr>
                <w:rFonts w:hint="eastAsia"/>
                <w:sz w:val="24"/>
                <w:szCs w:val="24"/>
              </w:rPr>
              <w:t>，</w:t>
            </w:r>
            <w:r>
              <w:rPr>
                <w:rFonts w:hint="eastAsia"/>
                <w:sz w:val="24"/>
                <w:szCs w:val="24"/>
                <w:lang w:val="en-US" w:eastAsia="zh-CN"/>
              </w:rPr>
              <w:t>0.15</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1"/>
                <w:szCs w:val="21"/>
                <w:lang w:val="en-US" w:eastAsia="zh-CN" w:bidi="ar-SA"/>
              </w:rPr>
            </w:pPr>
            <w:r>
              <w:rPr>
                <w:snapToGrid w:val="0"/>
                <w:sz w:val="21"/>
                <w:szCs w:val="21"/>
              </w:rPr>
              <w:t>SS</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2</w:t>
            </w:r>
            <w:r>
              <w:rPr>
                <w:rFonts w:hint="eastAsia"/>
                <w:sz w:val="24"/>
                <w:szCs w:val="24"/>
              </w:rPr>
              <w:t>0</w:t>
            </w:r>
            <w:r>
              <w:rPr>
                <w:sz w:val="24"/>
                <w:szCs w:val="24"/>
              </w:rPr>
              <w:t>0mg/L</w:t>
            </w:r>
            <w:r>
              <w:rPr>
                <w:rFonts w:hint="eastAsia"/>
                <w:sz w:val="24"/>
                <w:szCs w:val="24"/>
              </w:rPr>
              <w:t>，</w:t>
            </w:r>
            <w:r>
              <w:rPr>
                <w:rFonts w:hint="eastAsia"/>
                <w:sz w:val="24"/>
                <w:szCs w:val="24"/>
                <w:lang w:val="en-US" w:eastAsia="zh-CN"/>
              </w:rPr>
              <w:t>1.53</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7</w:t>
            </w:r>
            <w:r>
              <w:rPr>
                <w:sz w:val="24"/>
                <w:szCs w:val="24"/>
              </w:rPr>
              <w:t>0mg/L</w:t>
            </w:r>
            <w:r>
              <w:rPr>
                <w:rFonts w:hint="eastAsia"/>
                <w:sz w:val="24"/>
                <w:szCs w:val="24"/>
              </w:rPr>
              <w:t>，</w:t>
            </w:r>
            <w:r>
              <w:rPr>
                <w:rFonts w:hint="eastAsia"/>
                <w:sz w:val="24"/>
                <w:szCs w:val="24"/>
                <w:lang w:val="en-US" w:eastAsia="zh-CN"/>
              </w:rPr>
              <w:t>0.54</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ascii="Times New Roman" w:hAnsi="Times New Roman" w:eastAsia="宋体" w:cs="Times New Roman"/>
                <w:snapToGrid w:val="0"/>
                <w:kern w:val="2"/>
                <w:sz w:val="21"/>
                <w:szCs w:val="21"/>
                <w:lang w:val="en-US" w:eastAsia="zh-CN" w:bidi="ar-SA"/>
              </w:rPr>
            </w:pPr>
            <w:r>
              <w:rPr>
                <w:snapToGrid w:val="0"/>
                <w:sz w:val="21"/>
                <w:szCs w:val="21"/>
              </w:rPr>
              <w:t>NH</w:t>
            </w:r>
            <w:r>
              <w:rPr>
                <w:snapToGrid w:val="0"/>
                <w:sz w:val="21"/>
                <w:szCs w:val="21"/>
                <w:vertAlign w:val="subscript"/>
              </w:rPr>
              <w:t>3</w:t>
            </w:r>
            <w:r>
              <w:rPr>
                <w:snapToGrid w:val="0"/>
                <w:sz w:val="21"/>
                <w:szCs w:val="21"/>
              </w:rPr>
              <w:t>-N</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3</w:t>
            </w:r>
            <w:r>
              <w:rPr>
                <w:sz w:val="24"/>
                <w:szCs w:val="24"/>
              </w:rPr>
              <w:t>0mg/L</w:t>
            </w:r>
            <w:r>
              <w:rPr>
                <w:rFonts w:hint="eastAsia"/>
                <w:sz w:val="24"/>
                <w:szCs w:val="24"/>
              </w:rPr>
              <w:t>，</w:t>
            </w:r>
            <w:r>
              <w:rPr>
                <w:rFonts w:hint="eastAsia"/>
                <w:sz w:val="24"/>
                <w:szCs w:val="24"/>
                <w:lang w:val="en-US" w:eastAsia="zh-CN"/>
              </w:rPr>
              <w:t>0.23</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15</w:t>
            </w:r>
            <w:r>
              <w:rPr>
                <w:sz w:val="24"/>
                <w:szCs w:val="24"/>
              </w:rPr>
              <w:t>mg/L</w:t>
            </w:r>
            <w:r>
              <w:rPr>
                <w:rFonts w:hint="eastAsia"/>
                <w:sz w:val="24"/>
                <w:szCs w:val="24"/>
              </w:rPr>
              <w:t>，</w:t>
            </w:r>
            <w:r>
              <w:rPr>
                <w:rFonts w:hint="eastAsia"/>
                <w:sz w:val="24"/>
                <w:szCs w:val="24"/>
                <w:lang w:val="en-US" w:eastAsia="zh-CN"/>
              </w:rPr>
              <w:t>0.11</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rFonts w:hint="eastAsia"/>
                <w:spacing w:val="6"/>
                <w:sz w:val="24"/>
                <w:szCs w:val="24"/>
                <w:lang w:eastAsia="zh-CN"/>
              </w:rPr>
            </w:pPr>
          </w:p>
        </w:tc>
        <w:tc>
          <w:tcPr>
            <w:tcW w:w="1705" w:type="dxa"/>
            <w:vMerge w:val="continue"/>
            <w:tcBorders>
              <w:tl2br w:val="nil"/>
              <w:tr2bl w:val="nil"/>
            </w:tcBorders>
            <w:noWrap w:val="0"/>
            <w:vAlign w:val="center"/>
          </w:tcPr>
          <w:p>
            <w:pPr>
              <w:jc w:val="center"/>
              <w:rPr>
                <w:rFonts w:hint="eastAsia"/>
                <w:spacing w:val="6"/>
                <w:sz w:val="24"/>
                <w:szCs w:val="24"/>
              </w:rPr>
            </w:pPr>
          </w:p>
        </w:tc>
        <w:tc>
          <w:tcPr>
            <w:tcW w:w="1096" w:type="dxa"/>
            <w:tcBorders>
              <w:tl2br w:val="nil"/>
              <w:tr2bl w:val="nil"/>
            </w:tcBorders>
            <w:noWrap w:val="0"/>
            <w:vAlign w:val="center"/>
          </w:tcPr>
          <w:p>
            <w:pPr>
              <w:jc w:val="center"/>
              <w:rPr>
                <w:rFonts w:hint="eastAsia" w:eastAsia="宋体"/>
                <w:sz w:val="24"/>
                <w:szCs w:val="24"/>
                <w:lang w:eastAsia="zh-CN"/>
              </w:rPr>
            </w:pPr>
            <w:r>
              <w:rPr>
                <w:rFonts w:hint="eastAsia"/>
                <w:sz w:val="24"/>
                <w:szCs w:val="24"/>
                <w:lang w:eastAsia="zh-CN"/>
              </w:rPr>
              <w:t>动植物油</w:t>
            </w:r>
          </w:p>
        </w:tc>
        <w:tc>
          <w:tcPr>
            <w:tcW w:w="3289" w:type="dxa"/>
            <w:tcBorders>
              <w:tl2br w:val="nil"/>
              <w:tr2bl w:val="nil"/>
            </w:tcBorders>
            <w:noWrap w:val="0"/>
            <w:vAlign w:val="center"/>
          </w:tcPr>
          <w:p>
            <w:pPr>
              <w:jc w:val="center"/>
              <w:rPr>
                <w:rFonts w:hint="eastAsia"/>
                <w:sz w:val="24"/>
                <w:szCs w:val="24"/>
                <w:lang w:eastAsia="zh-CN"/>
              </w:rPr>
            </w:pPr>
            <w:r>
              <w:rPr>
                <w:rFonts w:hint="eastAsia"/>
                <w:sz w:val="24"/>
                <w:szCs w:val="24"/>
                <w:lang w:val="en-US" w:eastAsia="zh-CN"/>
              </w:rPr>
              <w:t>3</w:t>
            </w:r>
            <w:r>
              <w:rPr>
                <w:sz w:val="24"/>
                <w:szCs w:val="24"/>
              </w:rPr>
              <w:t>0mg/L</w:t>
            </w:r>
            <w:r>
              <w:rPr>
                <w:rFonts w:hint="eastAsia"/>
                <w:sz w:val="24"/>
                <w:szCs w:val="24"/>
              </w:rPr>
              <w:t>，</w:t>
            </w:r>
            <w:r>
              <w:rPr>
                <w:rFonts w:hint="eastAsia"/>
                <w:sz w:val="24"/>
                <w:szCs w:val="24"/>
                <w:lang w:val="en-US" w:eastAsia="zh-CN"/>
              </w:rPr>
              <w:t>0.23</w:t>
            </w:r>
            <w:r>
              <w:rPr>
                <w:rFonts w:hint="eastAsia"/>
                <w:snapToGrid w:val="0"/>
                <w:sz w:val="24"/>
                <w:szCs w:val="24"/>
              </w:rPr>
              <w:t>t</w:t>
            </w:r>
            <w:r>
              <w:rPr>
                <w:snapToGrid w:val="0"/>
                <w:sz w:val="24"/>
                <w:szCs w:val="24"/>
              </w:rPr>
              <w:t>/a</w:t>
            </w:r>
          </w:p>
        </w:tc>
        <w:tc>
          <w:tcPr>
            <w:tcW w:w="2537" w:type="dxa"/>
            <w:tcBorders>
              <w:tl2br w:val="nil"/>
              <w:tr2bl w:val="nil"/>
            </w:tcBorders>
            <w:noWrap w:val="0"/>
            <w:vAlign w:val="center"/>
          </w:tcPr>
          <w:p>
            <w:pPr>
              <w:jc w:val="center"/>
              <w:rPr>
                <w:rFonts w:hint="eastAsia"/>
                <w:sz w:val="24"/>
                <w:szCs w:val="24"/>
              </w:rPr>
            </w:pPr>
            <w:r>
              <w:rPr>
                <w:rFonts w:hint="eastAsia"/>
                <w:sz w:val="24"/>
                <w:szCs w:val="24"/>
                <w:lang w:val="en-US" w:eastAsia="zh-CN"/>
              </w:rPr>
              <w:t>1</w:t>
            </w:r>
            <w:r>
              <w:rPr>
                <w:sz w:val="24"/>
                <w:szCs w:val="24"/>
              </w:rPr>
              <w:t>0mg/L</w:t>
            </w:r>
            <w:r>
              <w:rPr>
                <w:rFonts w:hint="eastAsia"/>
                <w:sz w:val="24"/>
                <w:szCs w:val="24"/>
              </w:rPr>
              <w:t>，</w:t>
            </w:r>
            <w:r>
              <w:rPr>
                <w:rFonts w:hint="eastAsia"/>
                <w:sz w:val="24"/>
                <w:szCs w:val="24"/>
                <w:lang w:val="en-US" w:eastAsia="zh-CN"/>
              </w:rPr>
              <w:t>0.077</w:t>
            </w:r>
            <w:r>
              <w:rPr>
                <w:rFonts w:hint="eastAsia"/>
                <w:snapToGrid w:val="0"/>
                <w:sz w:val="24"/>
                <w:szCs w:val="24"/>
              </w:rPr>
              <w:t>t</w:t>
            </w:r>
            <w:r>
              <w:rPr>
                <w:snapToGrid w:val="0"/>
                <w:sz w:val="24"/>
                <w:szCs w:val="24"/>
              </w:rPr>
              <w:t>/a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restart"/>
            <w:tcBorders>
              <w:top w:val="single" w:color="000000" w:sz="2" w:space="0"/>
              <w:tl2br w:val="nil"/>
              <w:tr2bl w:val="nil"/>
            </w:tcBorders>
            <w:noWrap w:val="0"/>
            <w:vAlign w:val="center"/>
          </w:tcPr>
          <w:p>
            <w:pPr>
              <w:jc w:val="center"/>
              <w:rPr>
                <w:spacing w:val="6"/>
                <w:sz w:val="24"/>
                <w:szCs w:val="24"/>
              </w:rPr>
            </w:pPr>
            <w:r>
              <w:rPr>
                <w:spacing w:val="6"/>
                <w:sz w:val="24"/>
                <w:szCs w:val="24"/>
              </w:rPr>
              <w:t>固体废物</w:t>
            </w:r>
          </w:p>
        </w:tc>
        <w:tc>
          <w:tcPr>
            <w:tcW w:w="575" w:type="dxa"/>
            <w:vMerge w:val="restart"/>
            <w:tcBorders>
              <w:tl2br w:val="nil"/>
              <w:tr2bl w:val="nil"/>
            </w:tcBorders>
            <w:noWrap w:val="0"/>
            <w:vAlign w:val="center"/>
          </w:tcPr>
          <w:p>
            <w:pPr>
              <w:jc w:val="center"/>
              <w:rPr>
                <w:spacing w:val="6"/>
                <w:sz w:val="24"/>
                <w:szCs w:val="24"/>
              </w:rPr>
            </w:pPr>
            <w:r>
              <w:rPr>
                <w:rFonts w:hint="eastAsia"/>
                <w:spacing w:val="6"/>
                <w:sz w:val="24"/>
                <w:szCs w:val="24"/>
                <w:lang w:eastAsia="zh-CN"/>
              </w:rPr>
              <w:t>施工期</w:t>
            </w:r>
          </w:p>
        </w:tc>
        <w:tc>
          <w:tcPr>
            <w:tcW w:w="1705" w:type="dxa"/>
            <w:tcBorders>
              <w:tl2br w:val="nil"/>
              <w:tr2bl w:val="nil"/>
            </w:tcBorders>
            <w:noWrap w:val="0"/>
            <w:vAlign w:val="center"/>
          </w:tcPr>
          <w:p>
            <w:pPr>
              <w:jc w:val="center"/>
              <w:rPr>
                <w:rFonts w:hint="eastAsia" w:eastAsia="宋体"/>
                <w:spacing w:val="6"/>
                <w:sz w:val="24"/>
                <w:szCs w:val="24"/>
                <w:lang w:val="en-US" w:eastAsia="zh-CN"/>
              </w:rPr>
            </w:pPr>
            <w:r>
              <w:rPr>
                <w:rFonts w:hint="eastAsia"/>
                <w:spacing w:val="6"/>
                <w:sz w:val="24"/>
                <w:szCs w:val="24"/>
                <w:lang w:val="en-US" w:eastAsia="zh-CN"/>
              </w:rPr>
              <w:t>施工过程</w:t>
            </w:r>
          </w:p>
        </w:tc>
        <w:tc>
          <w:tcPr>
            <w:tcW w:w="1096" w:type="dxa"/>
            <w:tcBorders>
              <w:tl2br w:val="nil"/>
              <w:tr2bl w:val="nil"/>
            </w:tcBorders>
            <w:noWrap w:val="0"/>
            <w:vAlign w:val="center"/>
          </w:tcPr>
          <w:p>
            <w:pPr>
              <w:jc w:val="center"/>
              <w:rPr>
                <w:rFonts w:hint="eastAsia" w:eastAsia="宋体"/>
                <w:spacing w:val="6"/>
                <w:sz w:val="24"/>
                <w:szCs w:val="24"/>
                <w:lang w:val="en-US" w:eastAsia="zh-CN"/>
              </w:rPr>
            </w:pPr>
            <w:r>
              <w:rPr>
                <w:rFonts w:hint="eastAsia"/>
                <w:spacing w:val="6"/>
                <w:sz w:val="24"/>
                <w:szCs w:val="24"/>
                <w:lang w:val="en-US" w:eastAsia="zh-CN"/>
              </w:rPr>
              <w:t>建筑垃圾</w:t>
            </w:r>
          </w:p>
        </w:tc>
        <w:tc>
          <w:tcPr>
            <w:tcW w:w="3289" w:type="dxa"/>
            <w:tcBorders>
              <w:tl2br w:val="nil"/>
              <w:tr2bl w:val="nil"/>
            </w:tcBorders>
            <w:noWrap w:val="0"/>
            <w:vAlign w:val="center"/>
          </w:tcPr>
          <w:p>
            <w:pPr>
              <w:jc w:val="center"/>
              <w:rPr>
                <w:rFonts w:hint="eastAsia" w:eastAsia="宋体"/>
                <w:spacing w:val="6"/>
                <w:sz w:val="24"/>
                <w:szCs w:val="24"/>
                <w:lang w:val="en-US" w:eastAsia="zh-CN"/>
              </w:rPr>
            </w:pPr>
            <w:r>
              <w:rPr>
                <w:rFonts w:hint="eastAsia"/>
                <w:spacing w:val="6"/>
                <w:sz w:val="24"/>
                <w:szCs w:val="24"/>
                <w:lang w:val="en-US" w:eastAsia="zh-CN"/>
              </w:rPr>
              <w:t>330t</w:t>
            </w:r>
          </w:p>
        </w:tc>
        <w:tc>
          <w:tcPr>
            <w:tcW w:w="2537" w:type="dxa"/>
            <w:tcBorders>
              <w:tl2br w:val="nil"/>
              <w:tr2bl w:val="nil"/>
            </w:tcBorders>
            <w:noWrap w:val="0"/>
            <w:vAlign w:val="center"/>
          </w:tcPr>
          <w:p>
            <w:pPr>
              <w:jc w:val="center"/>
              <w:rPr>
                <w:spacing w:val="6"/>
                <w:sz w:val="24"/>
                <w:szCs w:val="24"/>
              </w:rPr>
            </w:pPr>
            <w:r>
              <w:rPr>
                <w:rFonts w:hint="eastAsia"/>
                <w:b w:val="0"/>
                <w:bCs/>
                <w:sz w:val="24"/>
                <w:szCs w:val="24"/>
                <w:lang w:val="en-US" w:eastAsia="zh-CN"/>
              </w:rPr>
              <w:t>由渣土部门统一调配</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tl2br w:val="nil"/>
              <w:tr2bl w:val="nil"/>
            </w:tcBorders>
            <w:noWrap w:val="0"/>
            <w:vAlign w:val="center"/>
          </w:tcPr>
          <w:p>
            <w:pPr>
              <w:jc w:val="center"/>
              <w:rPr>
                <w:spacing w:val="6"/>
                <w:sz w:val="24"/>
                <w:szCs w:val="24"/>
              </w:rPr>
            </w:pPr>
          </w:p>
        </w:tc>
        <w:tc>
          <w:tcPr>
            <w:tcW w:w="575" w:type="dxa"/>
            <w:vMerge w:val="continue"/>
            <w:tcBorders>
              <w:tl2br w:val="nil"/>
              <w:tr2bl w:val="nil"/>
            </w:tcBorders>
            <w:noWrap w:val="0"/>
            <w:vAlign w:val="center"/>
          </w:tcPr>
          <w:p>
            <w:pPr>
              <w:jc w:val="center"/>
              <w:rPr>
                <w:spacing w:val="6"/>
                <w:sz w:val="24"/>
                <w:szCs w:val="24"/>
              </w:rPr>
            </w:pPr>
          </w:p>
        </w:tc>
        <w:tc>
          <w:tcPr>
            <w:tcW w:w="1705" w:type="dxa"/>
            <w:tcBorders>
              <w:tl2br w:val="nil"/>
              <w:tr2bl w:val="nil"/>
            </w:tcBorders>
            <w:noWrap w:val="0"/>
            <w:vAlign w:val="center"/>
          </w:tcPr>
          <w:p>
            <w:pPr>
              <w:jc w:val="center"/>
              <w:rPr>
                <w:rFonts w:hint="eastAsia" w:eastAsia="宋体"/>
                <w:spacing w:val="6"/>
                <w:sz w:val="24"/>
                <w:szCs w:val="24"/>
                <w:lang w:eastAsia="zh-CN"/>
              </w:rPr>
            </w:pPr>
            <w:r>
              <w:rPr>
                <w:rFonts w:hint="eastAsia"/>
                <w:spacing w:val="6"/>
                <w:sz w:val="24"/>
                <w:szCs w:val="24"/>
                <w:lang w:eastAsia="zh-CN"/>
              </w:rPr>
              <w:t>清淤过程</w:t>
            </w:r>
          </w:p>
        </w:tc>
        <w:tc>
          <w:tcPr>
            <w:tcW w:w="1096" w:type="dxa"/>
            <w:tcBorders>
              <w:tl2br w:val="nil"/>
              <w:tr2bl w:val="nil"/>
            </w:tcBorders>
            <w:noWrap w:val="0"/>
            <w:vAlign w:val="center"/>
          </w:tcPr>
          <w:p>
            <w:pPr>
              <w:jc w:val="center"/>
              <w:rPr>
                <w:spacing w:val="6"/>
                <w:sz w:val="24"/>
                <w:szCs w:val="24"/>
              </w:rPr>
            </w:pPr>
            <w:r>
              <w:rPr>
                <w:rFonts w:hint="eastAsia"/>
                <w:spacing w:val="6"/>
                <w:sz w:val="24"/>
                <w:szCs w:val="24"/>
                <w:lang w:eastAsia="zh-CN"/>
              </w:rPr>
              <w:t>淤泥</w:t>
            </w:r>
          </w:p>
        </w:tc>
        <w:tc>
          <w:tcPr>
            <w:tcW w:w="3289" w:type="dxa"/>
            <w:tcBorders>
              <w:tl2br w:val="nil"/>
              <w:tr2bl w:val="nil"/>
            </w:tcBorders>
            <w:noWrap w:val="0"/>
            <w:vAlign w:val="center"/>
          </w:tcPr>
          <w:p>
            <w:pPr>
              <w:jc w:val="center"/>
              <w:rPr>
                <w:sz w:val="24"/>
                <w:szCs w:val="24"/>
              </w:rPr>
            </w:pPr>
            <w:r>
              <w:rPr>
                <w:rFonts w:hint="eastAsia" w:ascii="Times New Roman" w:hAnsi="Times New Roman" w:cs="Times New Roman"/>
                <w:color w:val="auto"/>
                <w:kern w:val="2"/>
                <w:sz w:val="24"/>
                <w:szCs w:val="24"/>
                <w:vertAlign w:val="baseline"/>
                <w:lang w:val="en-US" w:eastAsia="zh-CN" w:bidi="ar-SA"/>
              </w:rPr>
              <w:t>4675</w:t>
            </w:r>
            <w:r>
              <w:rPr>
                <w:sz w:val="24"/>
                <w:szCs w:val="24"/>
              </w:rPr>
              <w:t>m</w:t>
            </w:r>
            <w:r>
              <w:rPr>
                <w:sz w:val="24"/>
                <w:szCs w:val="24"/>
                <w:vertAlign w:val="superscript"/>
              </w:rPr>
              <w:t>3</w:t>
            </w:r>
          </w:p>
        </w:tc>
        <w:tc>
          <w:tcPr>
            <w:tcW w:w="2537" w:type="dxa"/>
            <w:tcBorders>
              <w:tl2br w:val="nil"/>
              <w:tr2bl w:val="nil"/>
            </w:tcBorders>
            <w:noWrap w:val="0"/>
            <w:vAlign w:val="center"/>
          </w:tcPr>
          <w:p>
            <w:pPr>
              <w:jc w:val="center"/>
              <w:rPr>
                <w:sz w:val="24"/>
                <w:szCs w:val="24"/>
                <w:lang w:val="en-US"/>
              </w:rPr>
            </w:pPr>
            <w:r>
              <w:rPr>
                <w:rFonts w:hint="eastAsia"/>
                <w:sz w:val="24"/>
                <w:szCs w:val="24"/>
                <w:lang w:val="en-US" w:eastAsia="zh-CN"/>
              </w:rPr>
              <w:t>脱水后回用于场地平整护坡</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bottom w:val="single" w:color="000000" w:sz="2" w:space="0"/>
              <w:tl2br w:val="nil"/>
              <w:tr2bl w:val="nil"/>
            </w:tcBorders>
            <w:noWrap w:val="0"/>
            <w:vAlign w:val="center"/>
          </w:tcPr>
          <w:p>
            <w:pPr>
              <w:jc w:val="center"/>
              <w:rPr>
                <w:spacing w:val="6"/>
                <w:sz w:val="24"/>
                <w:szCs w:val="24"/>
              </w:rPr>
            </w:pPr>
          </w:p>
        </w:tc>
        <w:tc>
          <w:tcPr>
            <w:tcW w:w="575" w:type="dxa"/>
            <w:tcBorders>
              <w:tl2br w:val="nil"/>
              <w:tr2bl w:val="nil"/>
            </w:tcBorders>
            <w:noWrap w:val="0"/>
            <w:vAlign w:val="center"/>
          </w:tcPr>
          <w:p>
            <w:pPr>
              <w:jc w:val="center"/>
              <w:rPr>
                <w:spacing w:val="6"/>
                <w:sz w:val="24"/>
                <w:szCs w:val="24"/>
              </w:rPr>
            </w:pPr>
            <w:r>
              <w:rPr>
                <w:rFonts w:hint="eastAsia"/>
                <w:spacing w:val="6"/>
                <w:sz w:val="24"/>
                <w:szCs w:val="24"/>
                <w:lang w:eastAsia="zh-CN"/>
              </w:rPr>
              <w:t>运营期</w:t>
            </w:r>
          </w:p>
        </w:tc>
        <w:tc>
          <w:tcPr>
            <w:tcW w:w="1705" w:type="dxa"/>
            <w:tcBorders>
              <w:tl2br w:val="nil"/>
              <w:tr2bl w:val="nil"/>
            </w:tcBorders>
            <w:noWrap w:val="0"/>
            <w:vAlign w:val="center"/>
          </w:tcPr>
          <w:p>
            <w:pPr>
              <w:jc w:val="center"/>
              <w:rPr>
                <w:rFonts w:hint="eastAsia"/>
                <w:spacing w:val="6"/>
                <w:sz w:val="24"/>
                <w:szCs w:val="24"/>
                <w:lang w:eastAsia="zh-CN"/>
              </w:rPr>
            </w:pPr>
            <w:r>
              <w:rPr>
                <w:rFonts w:hint="eastAsia"/>
                <w:spacing w:val="6"/>
                <w:sz w:val="24"/>
                <w:szCs w:val="24"/>
                <w:lang w:eastAsia="zh-CN"/>
              </w:rPr>
              <w:t>污水站废水处理</w:t>
            </w:r>
          </w:p>
        </w:tc>
        <w:tc>
          <w:tcPr>
            <w:tcW w:w="1096" w:type="dxa"/>
            <w:tcBorders>
              <w:tl2br w:val="nil"/>
              <w:tr2bl w:val="nil"/>
            </w:tcBorders>
            <w:noWrap w:val="0"/>
            <w:vAlign w:val="center"/>
          </w:tcPr>
          <w:p>
            <w:pPr>
              <w:jc w:val="center"/>
              <w:rPr>
                <w:rFonts w:hint="eastAsia"/>
                <w:spacing w:val="6"/>
                <w:sz w:val="24"/>
                <w:szCs w:val="24"/>
                <w:lang w:eastAsia="zh-CN"/>
              </w:rPr>
            </w:pPr>
            <w:r>
              <w:rPr>
                <w:rFonts w:hint="eastAsia"/>
                <w:spacing w:val="6"/>
                <w:sz w:val="24"/>
                <w:szCs w:val="24"/>
                <w:lang w:eastAsia="zh-CN"/>
              </w:rPr>
              <w:t>污泥</w:t>
            </w:r>
          </w:p>
        </w:tc>
        <w:tc>
          <w:tcPr>
            <w:tcW w:w="3289" w:type="dxa"/>
            <w:tcBorders>
              <w:tl2br w:val="nil"/>
              <w:tr2bl w:val="nil"/>
            </w:tcBorders>
            <w:noWrap w:val="0"/>
            <w:vAlign w:val="center"/>
          </w:tcPr>
          <w:p>
            <w:pPr>
              <w:jc w:val="center"/>
              <w:rPr>
                <w:rFonts w:hint="default" w:ascii="Times New Roman" w:hAnsi="Times New Roman" w:cs="Times New Roman"/>
                <w:color w:val="auto"/>
                <w:kern w:val="2"/>
                <w:sz w:val="24"/>
                <w:szCs w:val="24"/>
                <w:vertAlign w:val="baseline"/>
                <w:lang w:val="en-US" w:eastAsia="zh-CN" w:bidi="ar-SA"/>
              </w:rPr>
            </w:pPr>
            <w:r>
              <w:rPr>
                <w:rFonts w:hint="eastAsia" w:ascii="Times New Roman" w:hAnsi="Times New Roman" w:cs="Times New Roman"/>
                <w:color w:val="auto"/>
                <w:kern w:val="2"/>
                <w:sz w:val="24"/>
                <w:szCs w:val="24"/>
                <w:vertAlign w:val="baseline"/>
                <w:lang w:val="en-US" w:eastAsia="zh-CN" w:bidi="ar-SA"/>
              </w:rPr>
              <w:t>1.8t/a</w:t>
            </w:r>
          </w:p>
        </w:tc>
        <w:tc>
          <w:tcPr>
            <w:tcW w:w="2537" w:type="dxa"/>
            <w:tcBorders>
              <w:tl2br w:val="nil"/>
              <w:tr2bl w:val="nil"/>
            </w:tcBorders>
            <w:noWrap w:val="0"/>
            <w:vAlign w:val="center"/>
          </w:tcPr>
          <w:p>
            <w:pPr>
              <w:jc w:val="center"/>
              <w:rPr>
                <w:rFonts w:hint="eastAsia"/>
                <w:sz w:val="24"/>
                <w:szCs w:val="24"/>
                <w:lang w:val="en-US" w:eastAsia="zh-CN"/>
              </w:rPr>
            </w:pPr>
            <w:r>
              <w:rPr>
                <w:rFonts w:hint="eastAsia"/>
                <w:sz w:val="24"/>
                <w:szCs w:val="24"/>
                <w:lang w:val="en-US" w:eastAsia="zh-CN"/>
              </w:rPr>
              <w:t>定期外运</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restart"/>
            <w:tcBorders>
              <w:top w:val="single" w:color="000000" w:sz="2" w:space="0"/>
              <w:tl2br w:val="nil"/>
              <w:tr2bl w:val="nil"/>
            </w:tcBorders>
            <w:noWrap w:val="0"/>
            <w:vAlign w:val="center"/>
          </w:tcPr>
          <w:p>
            <w:pPr>
              <w:jc w:val="center"/>
              <w:rPr>
                <w:spacing w:val="6"/>
                <w:sz w:val="24"/>
                <w:szCs w:val="24"/>
              </w:rPr>
            </w:pPr>
            <w:r>
              <w:rPr>
                <w:rFonts w:hint="eastAsia"/>
                <w:spacing w:val="6"/>
                <w:sz w:val="24"/>
                <w:szCs w:val="24"/>
              </w:rPr>
              <w:t>噪声</w:t>
            </w:r>
          </w:p>
        </w:tc>
        <w:tc>
          <w:tcPr>
            <w:tcW w:w="575" w:type="dxa"/>
            <w:tcBorders>
              <w:tl2br w:val="nil"/>
              <w:tr2bl w:val="nil"/>
            </w:tcBorders>
            <w:noWrap w:val="0"/>
            <w:vAlign w:val="center"/>
          </w:tcPr>
          <w:p>
            <w:pPr>
              <w:jc w:val="center"/>
              <w:rPr>
                <w:rFonts w:hint="eastAsia" w:eastAsia="宋体"/>
                <w:spacing w:val="6"/>
                <w:sz w:val="24"/>
                <w:szCs w:val="24"/>
                <w:lang w:eastAsia="zh-CN"/>
              </w:rPr>
            </w:pPr>
            <w:r>
              <w:rPr>
                <w:rFonts w:hint="eastAsia"/>
                <w:spacing w:val="6"/>
                <w:sz w:val="24"/>
                <w:szCs w:val="24"/>
                <w:lang w:eastAsia="zh-CN"/>
              </w:rPr>
              <w:t>施工期</w:t>
            </w:r>
          </w:p>
        </w:tc>
        <w:tc>
          <w:tcPr>
            <w:tcW w:w="8627" w:type="dxa"/>
            <w:gridSpan w:val="4"/>
            <w:tcBorders>
              <w:tl2br w:val="nil"/>
              <w:tr2bl w:val="nil"/>
            </w:tcBorders>
            <w:noWrap w:val="0"/>
            <w:vAlign w:val="center"/>
          </w:tcPr>
          <w:p>
            <w:pPr>
              <w:jc w:val="center"/>
              <w:rPr>
                <w:color w:val="auto"/>
                <w:sz w:val="24"/>
                <w:szCs w:val="24"/>
              </w:rPr>
            </w:pPr>
            <w:r>
              <w:rPr>
                <w:rFonts w:hint="eastAsia"/>
                <w:color w:val="auto"/>
                <w:sz w:val="24"/>
                <w:szCs w:val="24"/>
              </w:rPr>
              <w:t>主要是施工机械产生的噪声，噪声源强在</w:t>
            </w:r>
            <w:r>
              <w:rPr>
                <w:rFonts w:hint="eastAsia"/>
                <w:color w:val="auto"/>
                <w:sz w:val="24"/>
                <w:szCs w:val="24"/>
                <w:lang w:val="en-US" w:eastAsia="zh-CN"/>
              </w:rPr>
              <w:t>72-105</w:t>
            </w:r>
            <w:r>
              <w:rPr>
                <w:color w:val="auto"/>
                <w:sz w:val="24"/>
                <w:szCs w:val="24"/>
              </w:rPr>
              <w:t>dB</w:t>
            </w:r>
            <w:r>
              <w:rPr>
                <w:rFonts w:hint="eastAsia"/>
                <w:color w:val="auto"/>
                <w:sz w:val="24"/>
                <w:szCs w:val="24"/>
              </w:rPr>
              <w:t>（</w:t>
            </w:r>
            <w:r>
              <w:rPr>
                <w:color w:val="auto"/>
                <w:sz w:val="24"/>
                <w:szCs w:val="24"/>
              </w:rPr>
              <w:t>A</w:t>
            </w:r>
            <w:r>
              <w:rPr>
                <w:rFonts w:hint="eastAsia"/>
                <w:color w:val="auto"/>
                <w:sz w:val="24"/>
                <w:szCs w:val="24"/>
              </w:rPr>
              <w:t>）之间</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573" w:type="dxa"/>
            <w:vMerge w:val="continue"/>
            <w:tcBorders>
              <w:bottom w:val="single" w:color="000000" w:sz="2" w:space="0"/>
              <w:tl2br w:val="nil"/>
              <w:tr2bl w:val="nil"/>
            </w:tcBorders>
            <w:noWrap w:val="0"/>
            <w:vAlign w:val="center"/>
          </w:tcPr>
          <w:p>
            <w:pPr>
              <w:jc w:val="center"/>
              <w:rPr>
                <w:spacing w:val="6"/>
                <w:sz w:val="24"/>
                <w:szCs w:val="24"/>
              </w:rPr>
            </w:pPr>
          </w:p>
        </w:tc>
        <w:tc>
          <w:tcPr>
            <w:tcW w:w="575" w:type="dxa"/>
            <w:tcBorders>
              <w:tl2br w:val="nil"/>
              <w:tr2bl w:val="nil"/>
            </w:tcBorders>
            <w:noWrap w:val="0"/>
            <w:vAlign w:val="center"/>
          </w:tcPr>
          <w:p>
            <w:pPr>
              <w:jc w:val="center"/>
              <w:rPr>
                <w:rFonts w:hint="eastAsia" w:eastAsia="宋体"/>
                <w:spacing w:val="6"/>
                <w:sz w:val="24"/>
                <w:szCs w:val="24"/>
                <w:lang w:eastAsia="zh-CN"/>
              </w:rPr>
            </w:pPr>
            <w:r>
              <w:rPr>
                <w:rFonts w:hint="eastAsia"/>
                <w:spacing w:val="6"/>
                <w:sz w:val="24"/>
                <w:szCs w:val="24"/>
                <w:lang w:eastAsia="zh-CN"/>
              </w:rPr>
              <w:t>营运期</w:t>
            </w:r>
          </w:p>
        </w:tc>
        <w:tc>
          <w:tcPr>
            <w:tcW w:w="8627" w:type="dxa"/>
            <w:gridSpan w:val="4"/>
            <w:tcBorders>
              <w:tl2br w:val="nil"/>
              <w:tr2bl w:val="nil"/>
            </w:tcBorders>
            <w:noWrap w:val="0"/>
            <w:vAlign w:val="center"/>
          </w:tcPr>
          <w:p>
            <w:pPr>
              <w:jc w:val="center"/>
              <w:rPr>
                <w:rFonts w:hint="eastAsia" w:eastAsia="宋体"/>
                <w:color w:val="auto"/>
                <w:sz w:val="24"/>
                <w:szCs w:val="24"/>
                <w:lang w:eastAsia="zh-CN"/>
              </w:rPr>
            </w:pPr>
            <w:r>
              <w:rPr>
                <w:rFonts w:hint="eastAsia"/>
                <w:color w:val="auto"/>
                <w:sz w:val="24"/>
                <w:szCs w:val="24"/>
              </w:rPr>
              <w:t>来源于污水泵房和风机等设备</w:t>
            </w:r>
            <w:r>
              <w:rPr>
                <w:rFonts w:hint="eastAsia"/>
                <w:color w:val="auto"/>
                <w:sz w:val="24"/>
                <w:szCs w:val="24"/>
                <w:lang w:eastAsia="zh-CN"/>
              </w:rPr>
              <w:t>，</w:t>
            </w:r>
            <w:r>
              <w:rPr>
                <w:rFonts w:hint="eastAsia"/>
                <w:color w:val="auto"/>
                <w:sz w:val="24"/>
                <w:szCs w:val="24"/>
              </w:rPr>
              <w:t>噪声源强在</w:t>
            </w:r>
            <w:r>
              <w:rPr>
                <w:rFonts w:hint="eastAsia"/>
                <w:color w:val="auto"/>
                <w:sz w:val="24"/>
                <w:szCs w:val="24"/>
                <w:lang w:val="en-US" w:eastAsia="zh-CN"/>
              </w:rPr>
              <w:t>80-90</w:t>
            </w:r>
            <w:r>
              <w:rPr>
                <w:color w:val="auto"/>
                <w:sz w:val="24"/>
                <w:szCs w:val="24"/>
              </w:rPr>
              <w:t>dB</w:t>
            </w:r>
            <w:r>
              <w:rPr>
                <w:rFonts w:hint="eastAsia"/>
                <w:color w:val="auto"/>
                <w:sz w:val="24"/>
                <w:szCs w:val="24"/>
              </w:rPr>
              <w:t>（</w:t>
            </w:r>
            <w:r>
              <w:rPr>
                <w:color w:val="auto"/>
                <w:sz w:val="24"/>
                <w:szCs w:val="24"/>
              </w:rPr>
              <w:t>A</w:t>
            </w:r>
            <w:r>
              <w:rPr>
                <w:rFonts w:hint="eastAsia"/>
                <w:color w:val="auto"/>
                <w:sz w:val="24"/>
                <w:szCs w:val="24"/>
              </w:rPr>
              <w:t>）之间</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0" w:hRule="atLeast"/>
          <w:jc w:val="center"/>
        </w:trPr>
        <w:tc>
          <w:tcPr>
            <w:tcW w:w="9775" w:type="dxa"/>
            <w:gridSpan w:val="6"/>
            <w:tcBorders>
              <w:tl2br w:val="nil"/>
              <w:tr2bl w:val="nil"/>
            </w:tcBorders>
            <w:noWrap w:val="0"/>
            <w:vAlign w:val="center"/>
          </w:tcPr>
          <w:p>
            <w:pPr>
              <w:spacing w:line="360" w:lineRule="auto"/>
              <w:jc w:val="both"/>
              <w:rPr>
                <w:sz w:val="24"/>
                <w:szCs w:val="24"/>
              </w:rPr>
            </w:pPr>
            <w:r>
              <w:rPr>
                <w:sz w:val="24"/>
                <w:szCs w:val="24"/>
              </w:rPr>
              <w:t>主要生态影响（不够时可附另页）：</w:t>
            </w:r>
          </w:p>
          <w:p>
            <w:pPr>
              <w:pStyle w:val="92"/>
              <w:spacing w:line="360" w:lineRule="auto"/>
              <w:ind w:firstLine="480"/>
              <w:rPr>
                <w:rFonts w:hint="eastAsia" w:cs="Times New Roman"/>
                <w:kern w:val="0"/>
                <w:sz w:val="24"/>
                <w:szCs w:val="24"/>
                <w:lang w:val="en-US" w:eastAsia="zh-CN"/>
              </w:rPr>
            </w:pPr>
            <w:r>
              <w:rPr>
                <w:rFonts w:hint="eastAsia" w:cs="Times New Roman"/>
                <w:kern w:val="0"/>
                <w:sz w:val="24"/>
                <w:szCs w:val="24"/>
                <w:lang w:val="en-US" w:eastAsia="zh-CN"/>
              </w:rPr>
              <w:t>项目施工期的主要生态问题是场地的平整、施工材料的堆放、施工人员活动、土地开挖等对局部区域植被有一定的破坏；土地开挖后，表土疏松，遇上大雨天，会造成一定程度的水土流失。施工期的影响是局部的、轻微的和可逆的，施工结束影响消失。项目营运期对生态无显著影响。</w:t>
            </w: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hint="eastAsia" w:cs="Times New Roman"/>
                <w:kern w:val="0"/>
                <w:sz w:val="24"/>
                <w:szCs w:val="24"/>
                <w:lang w:val="en-US" w:eastAsia="zh-CN"/>
              </w:rPr>
            </w:pPr>
          </w:p>
          <w:p>
            <w:pPr>
              <w:pStyle w:val="92"/>
              <w:spacing w:line="360" w:lineRule="auto"/>
              <w:ind w:firstLine="480"/>
              <w:rPr>
                <w:rFonts w:cs="Times New Roman"/>
                <w:kern w:val="0"/>
                <w:sz w:val="24"/>
                <w:szCs w:val="24"/>
              </w:rPr>
            </w:pPr>
          </w:p>
          <w:p>
            <w:pPr>
              <w:pStyle w:val="21"/>
              <w:jc w:val="center"/>
              <w:rPr>
                <w:rFonts w:hint="eastAsia"/>
              </w:rPr>
            </w:pPr>
          </w:p>
          <w:p>
            <w:pPr>
              <w:jc w:val="center"/>
              <w:rPr>
                <w:rFonts w:hint="eastAsia"/>
              </w:rPr>
            </w:pPr>
          </w:p>
          <w:p>
            <w:pPr>
              <w:pStyle w:val="21"/>
              <w:jc w:val="center"/>
              <w:rPr>
                <w:rFonts w:hint="eastAsia"/>
              </w:rPr>
            </w:pPr>
          </w:p>
          <w:p>
            <w:pPr>
              <w:jc w:val="center"/>
              <w:rPr>
                <w:rFonts w:hint="eastAsia"/>
              </w:rPr>
            </w:pPr>
          </w:p>
          <w:p>
            <w:pPr>
              <w:pStyle w:val="21"/>
              <w:jc w:val="center"/>
              <w:rPr>
                <w:rFonts w:hint="eastAsia"/>
              </w:rPr>
            </w:pPr>
          </w:p>
          <w:p>
            <w:pPr>
              <w:jc w:val="center"/>
              <w:rPr>
                <w:rFonts w:hint="eastAsia"/>
              </w:rPr>
            </w:pPr>
          </w:p>
          <w:p>
            <w:pPr>
              <w:pStyle w:val="21"/>
              <w:jc w:val="center"/>
              <w:rPr>
                <w:rFonts w:hint="eastAsia"/>
              </w:rPr>
            </w:pPr>
          </w:p>
          <w:p>
            <w:pPr>
              <w:jc w:val="center"/>
              <w:rPr>
                <w:rFonts w:hint="eastAsia"/>
              </w:rPr>
            </w:pPr>
          </w:p>
          <w:p>
            <w:pPr>
              <w:pStyle w:val="21"/>
              <w:jc w:val="center"/>
              <w:rPr>
                <w:rFonts w:hint="eastAsia"/>
              </w:rPr>
            </w:pPr>
          </w:p>
          <w:p>
            <w:pPr>
              <w:jc w:val="center"/>
              <w:rPr>
                <w:rFonts w:hint="eastAsia"/>
              </w:rPr>
            </w:pPr>
          </w:p>
          <w:p>
            <w:pPr>
              <w:pStyle w:val="21"/>
              <w:jc w:val="center"/>
            </w:pPr>
          </w:p>
        </w:tc>
      </w:tr>
    </w:tbl>
    <w:p>
      <w:pPr>
        <w:pStyle w:val="37"/>
        <w:pageBreakBefore/>
        <w:tabs>
          <w:tab w:val="clear" w:pos="1800"/>
        </w:tabs>
        <w:rPr>
          <w:rFonts w:eastAsia="宋体"/>
          <w:color w:val="auto"/>
        </w:rPr>
      </w:pPr>
      <w:bookmarkStart w:id="78" w:name="_Toc31712"/>
      <w:bookmarkStart w:id="79" w:name="_Toc10333"/>
      <w:r>
        <w:rPr>
          <w:rFonts w:eastAsia="宋体"/>
          <w:color w:val="auto"/>
        </w:rPr>
        <w:t>七、环境影响分析</w:t>
      </w:r>
      <w:bookmarkEnd w:id="78"/>
      <w:bookmarkEnd w:id="79"/>
    </w:p>
    <w:tbl>
      <w:tblPr>
        <w:tblStyle w:val="26"/>
        <w:tblW w:w="9775" w:type="dxa"/>
        <w:tblInd w:w="0" w:type="dxa"/>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Layout w:type="autofit"/>
        <w:tblCellMar>
          <w:top w:w="0" w:type="dxa"/>
          <w:left w:w="108" w:type="dxa"/>
          <w:bottom w:w="0" w:type="dxa"/>
          <w:right w:w="108" w:type="dxa"/>
        </w:tblCellMar>
      </w:tblPr>
      <w:tblGrid>
        <w:gridCol w:w="9775"/>
      </w:tblGrid>
      <w:tr>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90" w:hRule="atLeast"/>
        </w:trPr>
        <w:tc>
          <w:tcPr>
            <w:tcW w:w="9775" w:type="dxa"/>
            <w:tcBorders>
              <w:tl2br w:val="nil"/>
              <w:tr2bl w:val="nil"/>
            </w:tcBorders>
            <w:vAlign w:val="center"/>
          </w:tcPr>
          <w:p>
            <w:pPr>
              <w:keepNext w:val="0"/>
              <w:keepLines w:val="0"/>
              <w:pageBreakBefore w:val="0"/>
              <w:widowControl w:val="0"/>
              <w:tabs>
                <w:tab w:val="left" w:pos="360"/>
              </w:tabs>
              <w:kinsoku/>
              <w:wordWrap/>
              <w:overflowPunct/>
              <w:topLinePunct w:val="0"/>
              <w:autoSpaceDE/>
              <w:autoSpaceDN/>
              <w:bidi w:val="0"/>
              <w:adjustRightInd/>
              <w:snapToGrid/>
              <w:spacing w:line="360" w:lineRule="auto"/>
              <w:ind w:left="0" w:leftChars="0" w:right="0" w:rightChars="0"/>
              <w:jc w:val="both"/>
              <w:textAlignment w:val="auto"/>
              <w:outlineLvl w:val="9"/>
              <w:rPr>
                <w:rFonts w:hint="default" w:ascii="Times New Roman" w:hAnsi="Times New Roman" w:eastAsia="宋体" w:cs="Times New Roman"/>
                <w:b/>
                <w:snapToGrid w:val="0"/>
                <w:color w:val="auto"/>
                <w:sz w:val="24"/>
              </w:rPr>
            </w:pPr>
            <w:bookmarkStart w:id="80" w:name="_Toc250640528"/>
            <w:bookmarkStart w:id="81" w:name="_Toc226948402"/>
            <w:bookmarkStart w:id="82" w:name="_Toc260819613"/>
            <w:r>
              <w:rPr>
                <w:rFonts w:hint="eastAsia"/>
                <w:b/>
                <w:snapToGrid w:val="0"/>
                <w:color w:val="auto"/>
                <w:sz w:val="24"/>
                <w:lang w:val="en-US" w:eastAsia="zh-CN"/>
              </w:rPr>
              <w:t>7.1</w:t>
            </w:r>
            <w:r>
              <w:rPr>
                <w:rFonts w:hint="default" w:ascii="Times New Roman" w:hAnsi="Times New Roman" w:eastAsia="宋体" w:cs="Times New Roman"/>
                <w:b/>
                <w:snapToGrid w:val="0"/>
                <w:color w:val="auto"/>
                <w:sz w:val="24"/>
              </w:rPr>
              <w:t>施工期环境影响分析</w:t>
            </w:r>
            <w:bookmarkEnd w:id="80"/>
            <w:bookmarkEnd w:id="81"/>
            <w:bookmarkEnd w:id="82"/>
          </w:p>
          <w:p>
            <w:pPr>
              <w:pStyle w:val="35"/>
              <w:spacing w:line="360" w:lineRule="auto"/>
              <w:rPr>
                <w:rFonts w:hint="default" w:ascii="Times New Roman" w:hAnsi="宋体" w:eastAsia="宋体" w:cs="Times New Roman"/>
                <w:b/>
                <w:color w:val="auto"/>
                <w:sz w:val="24"/>
                <w:szCs w:val="24"/>
                <w:lang w:val="en-US" w:eastAsia="zh-CN"/>
              </w:rPr>
            </w:pPr>
            <w:bookmarkStart w:id="83" w:name="_Toc260819614"/>
            <w:r>
              <w:rPr>
                <w:rFonts w:hint="eastAsia" w:ascii="Times New Roman" w:hAnsi="宋体" w:eastAsia="宋体" w:cs="Times New Roman"/>
                <w:b/>
                <w:color w:val="auto"/>
                <w:sz w:val="24"/>
                <w:szCs w:val="24"/>
                <w:lang w:val="en-US" w:eastAsia="zh-CN"/>
              </w:rPr>
              <w:t>7.1.1</w:t>
            </w:r>
            <w:r>
              <w:rPr>
                <w:rFonts w:hint="default" w:ascii="Times New Roman" w:hAnsi="宋体" w:eastAsia="宋体" w:cs="Times New Roman"/>
                <w:b/>
                <w:color w:val="auto"/>
                <w:sz w:val="24"/>
                <w:szCs w:val="24"/>
                <w:lang w:val="en-US" w:eastAsia="zh-CN"/>
              </w:rPr>
              <w:t>大气环境影响分析</w:t>
            </w:r>
          </w:p>
          <w:p>
            <w:pPr>
              <w:pStyle w:val="92"/>
              <w:numPr>
                <w:ilvl w:val="0"/>
                <w:numId w:val="0"/>
              </w:numPr>
              <w:spacing w:line="360" w:lineRule="auto"/>
              <w:ind w:firstLine="480" w:firstLineChars="200"/>
              <w:rPr>
                <w:rFonts w:cs="Times New Roman"/>
                <w:kern w:val="0"/>
                <w:sz w:val="24"/>
                <w:szCs w:val="24"/>
              </w:rPr>
            </w:pPr>
            <w:r>
              <w:rPr>
                <w:rFonts w:hint="eastAsia" w:cs="Times New Roman"/>
                <w:kern w:val="0"/>
                <w:sz w:val="24"/>
                <w:szCs w:val="24"/>
              </w:rPr>
              <w:t>项目施工对环境空气的污染主要来自于施工扬尘、车辆及施工机械尾气、淤泥恶臭。</w:t>
            </w:r>
          </w:p>
          <w:p>
            <w:pPr>
              <w:pStyle w:val="92"/>
              <w:numPr>
                <w:ilvl w:val="0"/>
                <w:numId w:val="15"/>
              </w:numPr>
              <w:spacing w:line="360" w:lineRule="auto"/>
              <w:ind w:firstLine="480"/>
              <w:rPr>
                <w:rFonts w:cs="Times New Roman"/>
                <w:kern w:val="0"/>
                <w:sz w:val="24"/>
                <w:szCs w:val="24"/>
              </w:rPr>
            </w:pPr>
            <w:r>
              <w:rPr>
                <w:rFonts w:cs="Times New Roman"/>
                <w:kern w:val="0"/>
                <w:sz w:val="24"/>
                <w:szCs w:val="24"/>
              </w:rPr>
              <w:t>施工扬尘</w:t>
            </w:r>
          </w:p>
          <w:p>
            <w:pPr>
              <w:pStyle w:val="92"/>
              <w:spacing w:line="360" w:lineRule="auto"/>
              <w:ind w:firstLine="480"/>
              <w:rPr>
                <w:rFonts w:cs="Times New Roman"/>
                <w:kern w:val="0"/>
                <w:sz w:val="24"/>
                <w:szCs w:val="24"/>
              </w:rPr>
            </w:pPr>
            <w:r>
              <w:rPr>
                <w:rFonts w:cs="Times New Roman"/>
                <w:kern w:val="0"/>
                <w:sz w:val="24"/>
                <w:szCs w:val="24"/>
              </w:rPr>
              <w:t>施工扬尘来源于多项粉尘无组织排放源：建筑场地的平整清理，土方挖掘填埋，物料堆存，建筑材料的装卸、搬运、使用，以及运料车辆的出入等，都易产生扬尘污染。</w:t>
            </w:r>
          </w:p>
          <w:p>
            <w:pPr>
              <w:pStyle w:val="92"/>
              <w:spacing w:line="360" w:lineRule="auto"/>
              <w:ind w:firstLine="480"/>
              <w:rPr>
                <w:rFonts w:cs="Times New Roman"/>
                <w:kern w:val="0"/>
                <w:sz w:val="24"/>
                <w:szCs w:val="24"/>
              </w:rPr>
            </w:pPr>
            <w:r>
              <w:rPr>
                <w:rFonts w:cs="Times New Roman"/>
                <w:kern w:val="0"/>
                <w:sz w:val="24"/>
                <w:szCs w:val="24"/>
              </w:rPr>
              <w:t>①施工扬尘</w:t>
            </w:r>
          </w:p>
          <w:p>
            <w:pPr>
              <w:pStyle w:val="92"/>
              <w:spacing w:line="360" w:lineRule="auto"/>
              <w:ind w:firstLine="480"/>
              <w:rPr>
                <w:rFonts w:cs="Times New Roman"/>
                <w:kern w:val="0"/>
                <w:sz w:val="24"/>
                <w:szCs w:val="24"/>
              </w:rPr>
            </w:pPr>
            <w:r>
              <w:rPr>
                <w:rFonts w:cs="Times New Roman"/>
                <w:kern w:val="0"/>
                <w:sz w:val="24"/>
                <w:szCs w:val="24"/>
              </w:rPr>
              <w:t>由于土石方挖掘破坏了地表的原有结构，会造成地面扬尘污染环境，但扬尘量的大小与施工现场条件、管理水平、机械化程度及施工季节、土质及天气条件等诸多因素有关。一般情况，根据监测经验，建筑施工扬尘均比较严重，当风速为2.4m/s时，工地内TSP浓度为上风向对照点的1.5</w:t>
            </w:r>
            <w:r>
              <w:rPr>
                <w:rFonts w:hint="eastAsia" w:cs="Times New Roman"/>
                <w:kern w:val="0"/>
                <w:sz w:val="24"/>
                <w:szCs w:val="24"/>
              </w:rPr>
              <w:t>~</w:t>
            </w:r>
            <w:r>
              <w:rPr>
                <w:rFonts w:cs="Times New Roman"/>
                <w:kern w:val="0"/>
                <w:sz w:val="24"/>
                <w:szCs w:val="24"/>
              </w:rPr>
              <w:t>2.3倍；建筑施工扬尘的影响范围一般为其下风向150m之内，被影响地区TSP浓度在0.45</w:t>
            </w:r>
            <w:r>
              <w:rPr>
                <w:rFonts w:hint="eastAsia" w:cs="Times New Roman"/>
                <w:kern w:val="0"/>
                <w:sz w:val="24"/>
                <w:szCs w:val="24"/>
              </w:rPr>
              <w:t>~</w:t>
            </w:r>
            <w:r>
              <w:rPr>
                <w:rFonts w:cs="Times New Roman"/>
                <w:kern w:val="0"/>
                <w:sz w:val="24"/>
                <w:szCs w:val="24"/>
              </w:rPr>
              <w:t>0.55mg/m</w:t>
            </w:r>
            <w:r>
              <w:rPr>
                <w:rFonts w:cs="Times New Roman"/>
                <w:kern w:val="0"/>
                <w:sz w:val="24"/>
                <w:szCs w:val="24"/>
                <w:vertAlign w:val="superscript"/>
              </w:rPr>
              <w:t>3</w:t>
            </w:r>
            <w:r>
              <w:rPr>
                <w:rFonts w:cs="Times New Roman"/>
                <w:kern w:val="0"/>
                <w:sz w:val="24"/>
                <w:szCs w:val="24"/>
              </w:rPr>
              <w:t>之间，为上风向对照点的1.5倍，相当于大气环境质量标准的1.5倍左右。</w:t>
            </w:r>
          </w:p>
          <w:p>
            <w:pPr>
              <w:pStyle w:val="92"/>
              <w:spacing w:line="360" w:lineRule="auto"/>
              <w:ind w:firstLine="480"/>
              <w:rPr>
                <w:rFonts w:cs="Times New Roman"/>
                <w:kern w:val="0"/>
                <w:sz w:val="24"/>
                <w:szCs w:val="24"/>
              </w:rPr>
            </w:pPr>
            <w:r>
              <w:rPr>
                <w:rFonts w:cs="Times New Roman"/>
                <w:kern w:val="0"/>
                <w:sz w:val="24"/>
                <w:szCs w:val="24"/>
              </w:rPr>
              <w:t>一般情况下，施工工地在自然风作用下产生的扬尘所影响的范围是100m以内。如果在施工期间对车辆行驶的路面实施洒水抑尘，每天洒水4</w:t>
            </w:r>
            <w:r>
              <w:rPr>
                <w:rFonts w:hint="eastAsia" w:cs="Times New Roman"/>
                <w:kern w:val="0"/>
                <w:sz w:val="24"/>
                <w:szCs w:val="24"/>
              </w:rPr>
              <w:t>~</w:t>
            </w:r>
            <w:r>
              <w:rPr>
                <w:rFonts w:cs="Times New Roman"/>
                <w:kern w:val="0"/>
                <w:sz w:val="24"/>
                <w:szCs w:val="24"/>
              </w:rPr>
              <w:t>5次，可使扬尘减</w:t>
            </w:r>
            <w:r>
              <w:rPr>
                <w:rFonts w:hint="eastAsia" w:cs="Times New Roman"/>
                <w:kern w:val="0"/>
                <w:sz w:val="24"/>
                <w:szCs w:val="24"/>
                <w:lang w:val="en-US" w:eastAsia="zh-CN"/>
              </w:rPr>
              <w:t>少</w:t>
            </w:r>
            <w:r>
              <w:rPr>
                <w:rFonts w:cs="Times New Roman"/>
                <w:kern w:val="0"/>
                <w:sz w:val="24"/>
                <w:szCs w:val="24"/>
              </w:rPr>
              <w:t>70%</w:t>
            </w:r>
            <w:r>
              <w:rPr>
                <w:rFonts w:hint="eastAsia" w:cs="Times New Roman"/>
                <w:kern w:val="0"/>
                <w:sz w:val="24"/>
                <w:szCs w:val="24"/>
              </w:rPr>
              <w:t>~</w:t>
            </w:r>
            <w:r>
              <w:rPr>
                <w:rFonts w:cs="Times New Roman"/>
                <w:kern w:val="0"/>
                <w:sz w:val="24"/>
                <w:szCs w:val="24"/>
              </w:rPr>
              <w:t>80%左右。下表</w:t>
            </w:r>
            <w:r>
              <w:rPr>
                <w:rFonts w:hint="eastAsia" w:cs="Times New Roman"/>
                <w:kern w:val="0"/>
                <w:sz w:val="24"/>
                <w:szCs w:val="24"/>
                <w:lang w:val="en-US" w:eastAsia="zh-CN"/>
              </w:rPr>
              <w:t>7.1</w:t>
            </w:r>
            <w:r>
              <w:rPr>
                <w:rFonts w:cs="Times New Roman"/>
                <w:kern w:val="0"/>
                <w:sz w:val="24"/>
                <w:szCs w:val="24"/>
              </w:rPr>
              <w:t>-1为施工场地洒水抑尘试验结果。</w:t>
            </w:r>
          </w:p>
          <w:p>
            <w:pPr>
              <w:pStyle w:val="92"/>
              <w:spacing w:line="360" w:lineRule="auto"/>
              <w:ind w:firstLine="0" w:firstLineChars="0"/>
              <w:jc w:val="center"/>
              <w:rPr>
                <w:rFonts w:cs="Times New Roman"/>
                <w:b/>
                <w:bCs/>
                <w:kern w:val="0"/>
                <w:sz w:val="24"/>
                <w:szCs w:val="24"/>
              </w:rPr>
            </w:pPr>
            <w:r>
              <w:rPr>
                <w:rFonts w:cs="Times New Roman"/>
                <w:b/>
                <w:bCs/>
                <w:kern w:val="0"/>
                <w:sz w:val="24"/>
                <w:szCs w:val="24"/>
              </w:rPr>
              <w:t>表</w:t>
            </w:r>
            <w:r>
              <w:rPr>
                <w:rFonts w:hint="eastAsia" w:cs="Times New Roman"/>
                <w:b/>
                <w:bCs/>
                <w:kern w:val="0"/>
                <w:sz w:val="24"/>
                <w:szCs w:val="24"/>
                <w:lang w:val="en-US" w:eastAsia="zh-CN"/>
              </w:rPr>
              <w:t>7.1</w:t>
            </w:r>
            <w:r>
              <w:rPr>
                <w:rFonts w:cs="Times New Roman"/>
                <w:b/>
                <w:bCs/>
                <w:kern w:val="0"/>
                <w:sz w:val="24"/>
                <w:szCs w:val="24"/>
              </w:rPr>
              <w:t>-1 施工场地洒水抑尘试验结果</w:t>
            </w:r>
          </w:p>
          <w:tbl>
            <w:tblPr>
              <w:tblStyle w:val="26"/>
              <w:tblW w:w="94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71"/>
              <w:gridCol w:w="1571"/>
              <w:gridCol w:w="1571"/>
              <w:gridCol w:w="1571"/>
              <w:gridCol w:w="1571"/>
              <w:gridCol w:w="1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42" w:type="dxa"/>
                  <w:gridSpan w:val="2"/>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距离（m）</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5</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20</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50</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71" w:type="dxa"/>
                  <w:vMerge w:val="restart"/>
                  <w:noWrap w:val="0"/>
                  <w:vAlign w:val="top"/>
                </w:tcPr>
                <w:p>
                  <w:pPr>
                    <w:pStyle w:val="92"/>
                    <w:adjustRightInd w:val="0"/>
                    <w:snapToGrid w:val="0"/>
                    <w:spacing w:line="240" w:lineRule="auto"/>
                    <w:ind w:firstLine="0" w:firstLineChars="0"/>
                    <w:rPr>
                      <w:rFonts w:cs="Times New Roman"/>
                      <w:kern w:val="0"/>
                      <w:sz w:val="21"/>
                      <w:szCs w:val="21"/>
                    </w:rPr>
                  </w:pPr>
                  <w:r>
                    <w:rPr>
                      <w:rFonts w:cs="Times New Roman"/>
                      <w:sz w:val="21"/>
                      <w:szCs w:val="21"/>
                    </w:rPr>
                    <w:t>TSP小时平均浓度（mg/m</w:t>
                  </w:r>
                  <w:r>
                    <w:rPr>
                      <w:rFonts w:cs="Times New Roman"/>
                      <w:sz w:val="21"/>
                      <w:szCs w:val="21"/>
                      <w:vertAlign w:val="superscript"/>
                    </w:rPr>
                    <w:t>3</w:t>
                  </w:r>
                  <w:r>
                    <w:rPr>
                      <w:rFonts w:cs="Times New Roman"/>
                      <w:sz w:val="21"/>
                      <w:szCs w:val="21"/>
                    </w:rPr>
                    <w:t>）</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不洒水</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10.14</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2.89</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1.15</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 xml:space="preserve"> 0.86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71" w:type="dxa"/>
                  <w:vMerge w:val="continue"/>
                  <w:noWrap w:val="0"/>
                  <w:vAlign w:val="top"/>
                </w:tcPr>
                <w:p>
                  <w:pPr>
                    <w:pStyle w:val="92"/>
                    <w:adjustRightInd w:val="0"/>
                    <w:snapToGrid w:val="0"/>
                    <w:spacing w:line="240" w:lineRule="auto"/>
                    <w:ind w:firstLine="0" w:firstLineChars="0"/>
                    <w:jc w:val="center"/>
                    <w:rPr>
                      <w:rFonts w:cs="Times New Roman"/>
                      <w:kern w:val="0"/>
                      <w:sz w:val="21"/>
                      <w:szCs w:val="21"/>
                    </w:rPr>
                  </w:pP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洒水</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2.01</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1.40</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0.67</w:t>
                  </w:r>
                </w:p>
              </w:tc>
              <w:tc>
                <w:tcPr>
                  <w:tcW w:w="1571"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 xml:space="preserve"> 0.60</w:t>
                  </w:r>
                </w:p>
              </w:tc>
            </w:tr>
          </w:tbl>
          <w:p>
            <w:pPr>
              <w:pStyle w:val="92"/>
              <w:spacing w:line="360" w:lineRule="auto"/>
              <w:ind w:firstLine="480"/>
              <w:rPr>
                <w:rFonts w:cs="Times New Roman"/>
                <w:kern w:val="0"/>
                <w:sz w:val="24"/>
                <w:szCs w:val="24"/>
              </w:rPr>
            </w:pPr>
            <w:r>
              <w:rPr>
                <w:rFonts w:cs="Times New Roman"/>
                <w:kern w:val="0"/>
                <w:sz w:val="24"/>
                <w:szCs w:val="24"/>
              </w:rPr>
              <w:t>由表7-1可知：每天洒水4</w:t>
            </w:r>
            <w:r>
              <w:rPr>
                <w:rFonts w:hint="eastAsia" w:cs="Times New Roman"/>
                <w:kern w:val="0"/>
                <w:sz w:val="24"/>
                <w:szCs w:val="24"/>
              </w:rPr>
              <w:t>~</w:t>
            </w:r>
            <w:r>
              <w:rPr>
                <w:rFonts w:cs="Times New Roman"/>
                <w:kern w:val="0"/>
                <w:sz w:val="24"/>
                <w:szCs w:val="24"/>
              </w:rPr>
              <w:t>5次进行抑尘，可有效地控制施工扬尘，可将TSP的污染距离缩小到20m</w:t>
            </w:r>
            <w:r>
              <w:rPr>
                <w:rFonts w:hint="eastAsia" w:cs="Times New Roman"/>
                <w:kern w:val="0"/>
                <w:sz w:val="24"/>
                <w:szCs w:val="24"/>
              </w:rPr>
              <w:t>~</w:t>
            </w:r>
            <w:r>
              <w:rPr>
                <w:rFonts w:cs="Times New Roman"/>
                <w:kern w:val="0"/>
                <w:sz w:val="24"/>
                <w:szCs w:val="24"/>
              </w:rPr>
              <w:t>50m</w:t>
            </w:r>
            <w:r>
              <w:rPr>
                <w:rFonts w:hint="eastAsia" w:cs="Times New Roman"/>
                <w:kern w:val="0"/>
                <w:sz w:val="24"/>
                <w:szCs w:val="24"/>
                <w:lang w:eastAsia="zh-CN"/>
              </w:rPr>
              <w:t>，</w:t>
            </w:r>
            <w:r>
              <w:rPr>
                <w:rFonts w:cs="Times New Roman"/>
                <w:kern w:val="0"/>
                <w:sz w:val="24"/>
                <w:szCs w:val="24"/>
              </w:rPr>
              <w:t>因此，为控制施工期扬尘对周围环境的影响，在项目区施工过程中，制定并落实相应的粉尘与扬尘污染控制措施，采取路面清扫、路面洒水、车速限制、易扬尘物质密封运输等措施，以减少施工扬尘对周围环境的影响。</w:t>
            </w:r>
          </w:p>
          <w:p>
            <w:pPr>
              <w:pStyle w:val="92"/>
              <w:spacing w:line="360" w:lineRule="auto"/>
              <w:ind w:firstLine="480"/>
              <w:rPr>
                <w:rFonts w:cs="Times New Roman"/>
                <w:kern w:val="0"/>
                <w:sz w:val="24"/>
                <w:szCs w:val="24"/>
              </w:rPr>
            </w:pPr>
            <w:r>
              <w:rPr>
                <w:rFonts w:cs="Times New Roman"/>
                <w:kern w:val="0"/>
                <w:sz w:val="24"/>
                <w:szCs w:val="24"/>
              </w:rPr>
              <w:t>②运输扬尘</w:t>
            </w:r>
          </w:p>
          <w:p>
            <w:pPr>
              <w:pStyle w:val="92"/>
              <w:spacing w:line="360" w:lineRule="auto"/>
              <w:ind w:firstLine="480"/>
              <w:rPr>
                <w:rFonts w:cs="Times New Roman"/>
                <w:kern w:val="0"/>
                <w:sz w:val="24"/>
                <w:szCs w:val="24"/>
              </w:rPr>
            </w:pPr>
            <w:r>
              <w:rPr>
                <w:rFonts w:cs="Times New Roman"/>
                <w:kern w:val="0"/>
                <w:sz w:val="24"/>
                <w:szCs w:val="24"/>
              </w:rPr>
              <w:t>车辆行驶产生的扬尘占总扬尘的60%，车辆行驶产生的扬尘，在完全干燥情况下，可按下列经验公式计算：</w:t>
            </w:r>
          </w:p>
          <w:p>
            <w:pPr>
              <w:pStyle w:val="92"/>
              <w:spacing w:line="360" w:lineRule="auto"/>
              <w:ind w:firstLine="0" w:firstLineChars="0"/>
              <w:jc w:val="center"/>
              <w:rPr>
                <w:rFonts w:cs="Times New Roman"/>
                <w:kern w:val="0"/>
                <w:sz w:val="24"/>
                <w:szCs w:val="24"/>
              </w:rPr>
            </w:pPr>
            <w:r>
              <w:rPr>
                <w:rFonts w:cs="Times New Roman"/>
                <w:kern w:val="0"/>
                <w:sz w:val="24"/>
                <w:szCs w:val="24"/>
              </w:rPr>
              <w:t>Q＝0.123(V/5)(W/6.8)</w:t>
            </w:r>
            <w:r>
              <w:rPr>
                <w:rFonts w:cs="Times New Roman"/>
                <w:kern w:val="0"/>
                <w:sz w:val="24"/>
                <w:szCs w:val="24"/>
                <w:vertAlign w:val="superscript"/>
              </w:rPr>
              <w:t>0.85</w:t>
            </w:r>
            <w:r>
              <w:rPr>
                <w:rFonts w:cs="Times New Roman"/>
                <w:kern w:val="0"/>
                <w:sz w:val="24"/>
                <w:szCs w:val="24"/>
              </w:rPr>
              <w:t>(P/0.5)</w:t>
            </w:r>
            <w:r>
              <w:rPr>
                <w:rFonts w:cs="Times New Roman"/>
                <w:kern w:val="0"/>
                <w:sz w:val="24"/>
                <w:szCs w:val="24"/>
                <w:vertAlign w:val="superscript"/>
              </w:rPr>
              <w:t>0.75</w:t>
            </w:r>
          </w:p>
          <w:p>
            <w:pPr>
              <w:pStyle w:val="92"/>
              <w:spacing w:line="360" w:lineRule="auto"/>
              <w:ind w:firstLine="480"/>
              <w:rPr>
                <w:rFonts w:cs="Times New Roman"/>
                <w:kern w:val="0"/>
                <w:sz w:val="24"/>
                <w:szCs w:val="24"/>
              </w:rPr>
            </w:pPr>
            <w:r>
              <w:rPr>
                <w:rFonts w:cs="Times New Roman"/>
                <w:kern w:val="0"/>
                <w:sz w:val="24"/>
                <w:szCs w:val="24"/>
              </w:rPr>
              <w:t>式中：Q——汽车行驶时的扬尘，kg/km•辆；</w:t>
            </w:r>
          </w:p>
          <w:p>
            <w:pPr>
              <w:pStyle w:val="92"/>
              <w:spacing w:line="360" w:lineRule="auto"/>
              <w:ind w:firstLine="1200" w:firstLineChars="500"/>
              <w:rPr>
                <w:rFonts w:cs="Times New Roman"/>
                <w:kern w:val="0"/>
                <w:sz w:val="24"/>
                <w:szCs w:val="24"/>
              </w:rPr>
            </w:pPr>
            <w:r>
              <w:rPr>
                <w:rFonts w:cs="Times New Roman"/>
                <w:kern w:val="0"/>
                <w:sz w:val="24"/>
                <w:szCs w:val="24"/>
              </w:rPr>
              <w:t>V——汽车速度，km/h；</w:t>
            </w:r>
          </w:p>
          <w:p>
            <w:pPr>
              <w:pStyle w:val="92"/>
              <w:spacing w:line="360" w:lineRule="auto"/>
              <w:ind w:firstLine="1200" w:firstLineChars="500"/>
              <w:rPr>
                <w:rFonts w:cs="Times New Roman"/>
                <w:kern w:val="0"/>
                <w:sz w:val="24"/>
                <w:szCs w:val="24"/>
              </w:rPr>
            </w:pPr>
            <w:r>
              <w:rPr>
                <w:rFonts w:cs="Times New Roman"/>
                <w:kern w:val="0"/>
                <w:sz w:val="24"/>
                <w:szCs w:val="24"/>
              </w:rPr>
              <w:t>W——汽车载重量，t；</w:t>
            </w:r>
          </w:p>
          <w:p>
            <w:pPr>
              <w:pStyle w:val="92"/>
              <w:spacing w:line="360" w:lineRule="auto"/>
              <w:ind w:firstLine="1200" w:firstLineChars="500"/>
              <w:rPr>
                <w:rFonts w:cs="Times New Roman"/>
                <w:kern w:val="0"/>
                <w:sz w:val="24"/>
                <w:szCs w:val="24"/>
              </w:rPr>
            </w:pPr>
            <w:r>
              <w:rPr>
                <w:rFonts w:cs="Times New Roman"/>
                <w:kern w:val="0"/>
                <w:sz w:val="24"/>
                <w:szCs w:val="24"/>
              </w:rPr>
              <w:t>P——道路表面粉尘量，kg/m</w:t>
            </w:r>
            <w:r>
              <w:rPr>
                <w:rFonts w:cs="Times New Roman"/>
                <w:kern w:val="0"/>
                <w:sz w:val="24"/>
                <w:szCs w:val="24"/>
                <w:vertAlign w:val="superscript"/>
              </w:rPr>
              <w:t>2</w:t>
            </w:r>
            <w:r>
              <w:rPr>
                <w:rFonts w:cs="Times New Roman"/>
                <w:kern w:val="0"/>
                <w:sz w:val="24"/>
                <w:szCs w:val="24"/>
              </w:rPr>
              <w:t>。</w:t>
            </w:r>
          </w:p>
          <w:p>
            <w:pPr>
              <w:pStyle w:val="92"/>
              <w:spacing w:line="360" w:lineRule="auto"/>
              <w:ind w:firstLine="480"/>
              <w:rPr>
                <w:rFonts w:cs="Times New Roman"/>
                <w:kern w:val="0"/>
                <w:sz w:val="24"/>
                <w:szCs w:val="24"/>
              </w:rPr>
            </w:pPr>
            <w:r>
              <w:rPr>
                <w:rFonts w:cs="Times New Roman"/>
                <w:kern w:val="0"/>
                <w:sz w:val="24"/>
                <w:szCs w:val="24"/>
              </w:rPr>
              <w:t>下表中为10t卡车通过一段长度为1km的路面时，不同路面清洁程度，不同行驶情况下的扬尘量。</w:t>
            </w:r>
          </w:p>
          <w:p>
            <w:pPr>
              <w:pStyle w:val="92"/>
              <w:spacing w:line="360" w:lineRule="auto"/>
              <w:ind w:firstLine="0" w:firstLineChars="0"/>
              <w:jc w:val="center"/>
              <w:rPr>
                <w:rFonts w:cs="Times New Roman"/>
                <w:b/>
                <w:bCs/>
                <w:kern w:val="0"/>
                <w:sz w:val="24"/>
                <w:szCs w:val="24"/>
              </w:rPr>
            </w:pPr>
            <w:r>
              <w:rPr>
                <w:rFonts w:cs="Times New Roman"/>
                <w:b/>
                <w:bCs/>
                <w:kern w:val="0"/>
                <w:sz w:val="24"/>
                <w:szCs w:val="24"/>
              </w:rPr>
              <w:t>表</w:t>
            </w:r>
            <w:r>
              <w:rPr>
                <w:rFonts w:hint="eastAsia" w:cs="Times New Roman"/>
                <w:b/>
                <w:bCs/>
                <w:kern w:val="0"/>
                <w:sz w:val="24"/>
                <w:szCs w:val="24"/>
                <w:lang w:val="en-US" w:eastAsia="zh-CN"/>
              </w:rPr>
              <w:t>7.1</w:t>
            </w:r>
            <w:r>
              <w:rPr>
                <w:rFonts w:cs="Times New Roman"/>
                <w:b/>
                <w:bCs/>
                <w:kern w:val="0"/>
                <w:sz w:val="24"/>
                <w:szCs w:val="24"/>
              </w:rPr>
              <w:t>-2 在不同车速和地面清洁程度的汽车扬尘 单位：kg/辆 km</w:t>
            </w:r>
          </w:p>
          <w:tbl>
            <w:tblPr>
              <w:tblStyle w:val="26"/>
              <w:tblW w:w="94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49"/>
              <w:gridCol w:w="1643"/>
              <w:gridCol w:w="1346"/>
              <w:gridCol w:w="1347"/>
              <w:gridCol w:w="1347"/>
              <w:gridCol w:w="1347"/>
              <w:gridCol w:w="13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049" w:type="dxa"/>
                  <w:tcBorders>
                    <w:tl2br w:val="single" w:color="auto" w:sz="4" w:space="0"/>
                  </w:tcBorders>
                  <w:noWrap w:val="0"/>
                  <w:vAlign w:val="top"/>
                </w:tcPr>
                <w:p>
                  <w:pPr>
                    <w:pStyle w:val="92"/>
                    <w:adjustRightInd w:val="0"/>
                    <w:snapToGrid w:val="0"/>
                    <w:spacing w:line="240" w:lineRule="auto"/>
                    <w:ind w:firstLine="0" w:firstLineChars="0"/>
                    <w:jc w:val="right"/>
                    <w:rPr>
                      <w:rFonts w:cs="Times New Roman"/>
                      <w:kern w:val="0"/>
                      <w:sz w:val="21"/>
                      <w:szCs w:val="21"/>
                    </w:rPr>
                  </w:pPr>
                  <w:r>
                    <w:rPr>
                      <w:rFonts w:cs="Times New Roman"/>
                      <w:kern w:val="0"/>
                      <w:sz w:val="21"/>
                      <w:szCs w:val="21"/>
                    </w:rPr>
                    <w:t xml:space="preserve">  P</w:t>
                  </w:r>
                </w:p>
                <w:p>
                  <w:pPr>
                    <w:pStyle w:val="92"/>
                    <w:adjustRightInd w:val="0"/>
                    <w:snapToGrid w:val="0"/>
                    <w:spacing w:line="240" w:lineRule="auto"/>
                    <w:ind w:firstLine="0" w:firstLineChars="0"/>
                    <w:rPr>
                      <w:rFonts w:cs="Times New Roman"/>
                      <w:kern w:val="0"/>
                      <w:sz w:val="21"/>
                      <w:szCs w:val="21"/>
                    </w:rPr>
                  </w:pPr>
                  <w:r>
                    <w:rPr>
                      <w:rFonts w:cs="Times New Roman"/>
                      <w:kern w:val="0"/>
                      <w:sz w:val="21"/>
                      <w:szCs w:val="21"/>
                    </w:rPr>
                    <w:t>车速</w:t>
                  </w:r>
                </w:p>
              </w:tc>
              <w:tc>
                <w:tcPr>
                  <w:tcW w:w="1643" w:type="dxa"/>
                  <w:noWrap w:val="0"/>
                  <w:vAlign w:val="center"/>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w:t>
                  </w:r>
                </w:p>
              </w:tc>
              <w:tc>
                <w:tcPr>
                  <w:tcW w:w="1346" w:type="dxa"/>
                  <w:noWrap w:val="0"/>
                  <w:vAlign w:val="center"/>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0.2</w:t>
                  </w:r>
                </w:p>
              </w:tc>
              <w:tc>
                <w:tcPr>
                  <w:tcW w:w="1347" w:type="dxa"/>
                  <w:noWrap w:val="0"/>
                  <w:vAlign w:val="center"/>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0.3</w:t>
                  </w:r>
                </w:p>
              </w:tc>
              <w:tc>
                <w:tcPr>
                  <w:tcW w:w="1347" w:type="dxa"/>
                  <w:noWrap w:val="0"/>
                  <w:vAlign w:val="center"/>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0.4</w:t>
                  </w:r>
                </w:p>
              </w:tc>
              <w:tc>
                <w:tcPr>
                  <w:tcW w:w="1347" w:type="dxa"/>
                  <w:noWrap w:val="0"/>
                  <w:vAlign w:val="center"/>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0.5</w:t>
                  </w:r>
                </w:p>
              </w:tc>
              <w:tc>
                <w:tcPr>
                  <w:tcW w:w="1347" w:type="dxa"/>
                  <w:noWrap w:val="0"/>
                  <w:vAlign w:val="center"/>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049"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 xml:space="preserve">5(km/h) </w:t>
                  </w:r>
                </w:p>
              </w:tc>
              <w:tc>
                <w:tcPr>
                  <w:tcW w:w="1643"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0.051</w:t>
                  </w:r>
                </w:p>
              </w:tc>
              <w:tc>
                <w:tcPr>
                  <w:tcW w:w="1346"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0.086</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0.116</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0.144</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0.171</w:t>
                  </w:r>
                </w:p>
              </w:tc>
              <w:tc>
                <w:tcPr>
                  <w:tcW w:w="1347" w:type="dxa"/>
                  <w:noWrap w:val="0"/>
                  <w:vAlign w:val="top"/>
                </w:tcPr>
                <w:p>
                  <w:pPr>
                    <w:pStyle w:val="92"/>
                    <w:adjustRightInd w:val="0"/>
                    <w:snapToGrid w:val="0"/>
                    <w:spacing w:line="240" w:lineRule="auto"/>
                    <w:ind w:firstLine="0" w:firstLineChars="0"/>
                    <w:rPr>
                      <w:rFonts w:cs="Times New Roman"/>
                      <w:kern w:val="0"/>
                      <w:sz w:val="21"/>
                      <w:szCs w:val="21"/>
                    </w:rPr>
                  </w:pPr>
                  <w:r>
                    <w:rPr>
                      <w:rFonts w:cs="Times New Roman"/>
                      <w:kern w:val="0"/>
                      <w:sz w:val="21"/>
                      <w:szCs w:val="21"/>
                    </w:rPr>
                    <w:t xml:space="preserve">   0.287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049"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10(km/h)</w:t>
                  </w:r>
                </w:p>
              </w:tc>
              <w:tc>
                <w:tcPr>
                  <w:tcW w:w="1643"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0.102</w:t>
                  </w:r>
                </w:p>
              </w:tc>
              <w:tc>
                <w:tcPr>
                  <w:tcW w:w="1346"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0.171</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0.232</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0.289</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0.341</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0.574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049"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15(km/h)</w:t>
                  </w:r>
                </w:p>
              </w:tc>
              <w:tc>
                <w:tcPr>
                  <w:tcW w:w="1643"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0.153</w:t>
                  </w:r>
                </w:p>
              </w:tc>
              <w:tc>
                <w:tcPr>
                  <w:tcW w:w="1346"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0.257</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0.349</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0.433</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0.512</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0.861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049"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20(km/h)</w:t>
                  </w:r>
                </w:p>
              </w:tc>
              <w:tc>
                <w:tcPr>
                  <w:tcW w:w="1643"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0.255</w:t>
                  </w:r>
                </w:p>
              </w:tc>
              <w:tc>
                <w:tcPr>
                  <w:tcW w:w="1346"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0.429</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0.582</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0.722</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0.853</w:t>
                  </w:r>
                </w:p>
              </w:tc>
              <w:tc>
                <w:tcPr>
                  <w:tcW w:w="1347" w:type="dxa"/>
                  <w:noWrap w:val="0"/>
                  <w:vAlign w:val="top"/>
                </w:tcPr>
                <w:p>
                  <w:pPr>
                    <w:pStyle w:val="92"/>
                    <w:adjustRightInd w:val="0"/>
                    <w:snapToGrid w:val="0"/>
                    <w:spacing w:line="240" w:lineRule="auto"/>
                    <w:ind w:firstLine="0" w:firstLineChars="0"/>
                    <w:jc w:val="center"/>
                    <w:rPr>
                      <w:rFonts w:cs="Times New Roman"/>
                      <w:kern w:val="0"/>
                      <w:sz w:val="21"/>
                      <w:szCs w:val="21"/>
                    </w:rPr>
                  </w:pPr>
                  <w:r>
                    <w:rPr>
                      <w:rFonts w:cs="Times New Roman"/>
                      <w:kern w:val="0"/>
                      <w:sz w:val="21"/>
                      <w:szCs w:val="21"/>
                    </w:rPr>
                    <w:t>1.435</w:t>
                  </w:r>
                </w:p>
              </w:tc>
            </w:tr>
          </w:tbl>
          <w:p>
            <w:pPr>
              <w:pStyle w:val="92"/>
              <w:spacing w:line="360" w:lineRule="auto"/>
              <w:ind w:firstLine="480"/>
              <w:rPr>
                <w:rFonts w:cs="Times New Roman"/>
                <w:kern w:val="0"/>
                <w:sz w:val="24"/>
                <w:szCs w:val="24"/>
              </w:rPr>
            </w:pPr>
            <w:r>
              <w:rPr>
                <w:rFonts w:cs="Times New Roman"/>
                <w:kern w:val="0"/>
                <w:sz w:val="24"/>
                <w:szCs w:val="24"/>
              </w:rPr>
              <w:t>由上表可见，在同样路面清洁程度条件下，车速越快，扬尘量越大；而在同样车速情况下，路面越脏，则扬尘量越大。因此限速行驶及保持路面的清洁是减少汽车扬尘的有效办法。</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rPr>
            </w:pPr>
            <w:r>
              <w:rPr>
                <w:rFonts w:ascii="Times New Roman" w:hAnsi="Times New Roman" w:eastAsia="宋体" w:cs="Times New Roman"/>
                <w:sz w:val="24"/>
                <w:szCs w:val="24"/>
              </w:rPr>
              <w:t>为使建设项目在建设期间对周围环境的影响减少到尽可能小的限度，建议采取以下防护措施：</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①</w:t>
            </w:r>
            <w:r>
              <w:rPr>
                <w:rFonts w:ascii="Times New Roman" w:hAnsi="Times New Roman" w:eastAsia="宋体" w:cs="Times New Roman"/>
                <w:sz w:val="24"/>
                <w:szCs w:val="24"/>
                <w:u w:val="single"/>
              </w:rPr>
              <w:t>施工设置围档，尤其在易产尘处。</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②</w:t>
            </w:r>
            <w:r>
              <w:rPr>
                <w:rFonts w:ascii="Times New Roman" w:hAnsi="Times New Roman" w:eastAsia="宋体" w:cs="Times New Roman"/>
                <w:sz w:val="24"/>
                <w:szCs w:val="24"/>
                <w:u w:val="single"/>
              </w:rPr>
              <w:t>开挖、钻孔过程中，洒水使作业保持一定的湿度；回填土方时，在表层土质干燥时应适当洒水，防止粉尘飞扬。</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③</w:t>
            </w:r>
            <w:r>
              <w:rPr>
                <w:rFonts w:ascii="Times New Roman" w:hAnsi="Times New Roman" w:eastAsia="宋体" w:cs="Times New Roman"/>
                <w:sz w:val="24"/>
                <w:szCs w:val="24"/>
                <w:u w:val="single"/>
              </w:rPr>
              <w:t>加强回填土方堆放场的管理，要制定土方表面压实、定期喷水、覆盖等措施；不需要的泥土，建筑材料弃渣应及时运走，不宜长时间堆积。</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④</w:t>
            </w:r>
            <w:r>
              <w:rPr>
                <w:rFonts w:ascii="Times New Roman" w:hAnsi="Times New Roman" w:eastAsia="宋体" w:cs="Times New Roman"/>
                <w:sz w:val="24"/>
                <w:szCs w:val="24"/>
                <w:u w:val="single"/>
              </w:rPr>
              <w:t>运土卡车及建筑材料运输车应按规定配置防撒装备，装载不宜过满，保证运输过程中不散落；并规划好运输车辆的运行路线与时间，尽量避免在繁华区、交通集中区和居民住宅等敏感区行驶。</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⑤</w:t>
            </w:r>
            <w:r>
              <w:rPr>
                <w:rFonts w:ascii="Times New Roman" w:hAnsi="Times New Roman" w:eastAsia="宋体" w:cs="Times New Roman"/>
                <w:sz w:val="24"/>
                <w:szCs w:val="24"/>
                <w:u w:val="single"/>
              </w:rPr>
              <w:t>运输车辆加蓬盖，且出装、卸场地前将先冲洗干净，减少车轮、底盘等携带泥土散落路面。</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⑥</w:t>
            </w:r>
            <w:r>
              <w:rPr>
                <w:rFonts w:ascii="Times New Roman" w:hAnsi="Times New Roman" w:eastAsia="宋体" w:cs="Times New Roman"/>
                <w:sz w:val="24"/>
                <w:szCs w:val="24"/>
                <w:u w:val="single"/>
              </w:rPr>
              <w:t>对运输过程中洒落在路面上的泥土要及时清扫，以减少运行过程中的扬尘。</w:t>
            </w:r>
          </w:p>
          <w:p>
            <w:pPr>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⑦</w:t>
            </w:r>
            <w:r>
              <w:rPr>
                <w:rFonts w:ascii="Times New Roman" w:hAnsi="Times New Roman" w:eastAsia="宋体" w:cs="Times New Roman"/>
                <w:sz w:val="24"/>
                <w:szCs w:val="24"/>
                <w:u w:val="single"/>
              </w:rPr>
              <w:t>施工过程中，应严禁将废弃的建筑材料作为燃料燃烧。</w:t>
            </w:r>
          </w:p>
          <w:p>
            <w:pPr>
              <w:pStyle w:val="92"/>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ascii="Times New Roman" w:hAnsi="Times New Roman" w:eastAsia="宋体" w:cs="Times New Roman"/>
                <w:sz w:val="24"/>
                <w:szCs w:val="24"/>
                <w:u w:val="single"/>
              </w:rPr>
            </w:pPr>
            <w:r>
              <w:rPr>
                <w:rFonts w:hint="eastAsia" w:ascii="宋体" w:hAnsi="宋体" w:eastAsia="宋体" w:cs="宋体"/>
                <w:sz w:val="24"/>
                <w:szCs w:val="24"/>
                <w:u w:val="single"/>
              </w:rPr>
              <w:t>⑧</w:t>
            </w:r>
            <w:r>
              <w:rPr>
                <w:rFonts w:ascii="Times New Roman" w:hAnsi="Times New Roman" w:eastAsia="宋体" w:cs="Times New Roman"/>
                <w:sz w:val="24"/>
                <w:szCs w:val="24"/>
                <w:u w:val="single"/>
              </w:rPr>
              <w:t>施工结束时，应及时对施工占用场地恢复地面道路及植被。</w:t>
            </w:r>
          </w:p>
          <w:p>
            <w:pPr>
              <w:pStyle w:val="92"/>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s="Times New Roman"/>
                <w:sz w:val="24"/>
                <w:szCs w:val="24"/>
                <w:u w:val="single"/>
                <w:lang w:eastAsia="zh-CN"/>
              </w:rPr>
            </w:pPr>
            <w:r>
              <w:rPr>
                <w:rFonts w:hint="eastAsia" w:ascii="宋体" w:hAnsi="宋体" w:eastAsia="宋体" w:cs="宋体"/>
                <w:sz w:val="24"/>
                <w:szCs w:val="24"/>
                <w:u w:val="single"/>
              </w:rPr>
              <w:t>⑨</w:t>
            </w:r>
            <w:r>
              <w:rPr>
                <w:rFonts w:hint="eastAsia" w:cs="Times New Roman"/>
                <w:sz w:val="24"/>
                <w:szCs w:val="24"/>
                <w:u w:val="single"/>
                <w:lang w:eastAsia="zh-CN"/>
              </w:rPr>
              <w:t>施工区土方暂存、建筑材料堆放及搬运、车辆运输等产生的二次扬尘，对周围环境产生一定影响。由于本项目每条路段施工期持续时间较短，采取定期洒水；管沟、沟槽开挖后一般及时铺设管道，回土覆盖，并采取洒水抑尘措施。挖出的土一般不会长时间堆存，不会对周围环境产生明显影响。</w:t>
            </w:r>
          </w:p>
          <w:p>
            <w:pPr>
              <w:pStyle w:val="92"/>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cs="Times New Roman"/>
                <w:sz w:val="24"/>
                <w:szCs w:val="24"/>
                <w:u w:val="single"/>
                <w:lang w:eastAsia="zh-CN"/>
              </w:rPr>
            </w:pPr>
            <w:r>
              <w:rPr>
                <w:rFonts w:hint="eastAsia" w:cs="Times New Roman"/>
                <w:sz w:val="24"/>
                <w:szCs w:val="24"/>
                <w:u w:val="single"/>
                <w:lang w:eastAsia="zh-CN"/>
              </w:rPr>
              <w:t>⑩加强对施工人员的环保教育，提高全体施工人员的环保意识，坚持施工、科学施工，减少施工期的大气污染。</w:t>
            </w:r>
          </w:p>
          <w:p>
            <w:pPr>
              <w:pStyle w:val="92"/>
              <w:numPr>
                <w:ilvl w:val="0"/>
                <w:numId w:val="15"/>
              </w:numPr>
              <w:spacing w:line="360" w:lineRule="auto"/>
              <w:ind w:firstLine="480"/>
              <w:rPr>
                <w:rFonts w:cs="Times New Roman"/>
                <w:kern w:val="0"/>
                <w:sz w:val="24"/>
                <w:szCs w:val="24"/>
              </w:rPr>
            </w:pPr>
            <w:r>
              <w:rPr>
                <w:rFonts w:cs="Times New Roman"/>
                <w:kern w:val="0"/>
                <w:sz w:val="24"/>
                <w:szCs w:val="24"/>
              </w:rPr>
              <w:t>施工车辆尾气</w:t>
            </w:r>
          </w:p>
          <w:p>
            <w:pPr>
              <w:pStyle w:val="92"/>
              <w:spacing w:line="360" w:lineRule="auto"/>
              <w:ind w:firstLine="480"/>
              <w:rPr>
                <w:rFonts w:cs="Times New Roman"/>
                <w:kern w:val="0"/>
                <w:sz w:val="24"/>
                <w:szCs w:val="24"/>
              </w:rPr>
            </w:pPr>
            <w:r>
              <w:rPr>
                <w:rFonts w:cs="Times New Roman"/>
                <w:kern w:val="0"/>
                <w:sz w:val="24"/>
                <w:szCs w:val="24"/>
              </w:rPr>
              <w:t>工程土建施工高峰期用车以</w:t>
            </w:r>
            <w:r>
              <w:rPr>
                <w:rFonts w:hint="eastAsia" w:cs="Times New Roman"/>
                <w:kern w:val="0"/>
                <w:sz w:val="24"/>
                <w:szCs w:val="24"/>
                <w:lang w:val="en-US" w:eastAsia="zh-CN"/>
              </w:rPr>
              <w:t>1</w:t>
            </w:r>
            <w:r>
              <w:rPr>
                <w:rFonts w:cs="Times New Roman"/>
                <w:kern w:val="0"/>
                <w:sz w:val="24"/>
                <w:szCs w:val="24"/>
              </w:rPr>
              <w:t>0辆计，以每车1天耗油50L计算，则施工车辆每天排放的尾气中含CO</w:t>
            </w:r>
            <w:r>
              <w:rPr>
                <w:rFonts w:hint="eastAsia" w:cs="Times New Roman"/>
                <w:kern w:val="0"/>
                <w:sz w:val="24"/>
                <w:szCs w:val="24"/>
                <w:lang w:val="en-US" w:eastAsia="zh-CN"/>
              </w:rPr>
              <w:t>1.08</w:t>
            </w:r>
            <w:r>
              <w:rPr>
                <w:rFonts w:cs="Times New Roman"/>
                <w:kern w:val="0"/>
                <w:sz w:val="24"/>
                <w:szCs w:val="24"/>
              </w:rPr>
              <w:t>kg，THC</w:t>
            </w:r>
            <w:r>
              <w:rPr>
                <w:rFonts w:hint="eastAsia" w:cs="Times New Roman"/>
                <w:kern w:val="0"/>
                <w:sz w:val="24"/>
                <w:szCs w:val="24"/>
                <w:lang w:val="en-US" w:eastAsia="zh-CN"/>
              </w:rPr>
              <w:t>1.48</w:t>
            </w:r>
            <w:r>
              <w:rPr>
                <w:rFonts w:cs="Times New Roman"/>
                <w:kern w:val="0"/>
                <w:sz w:val="24"/>
                <w:szCs w:val="24"/>
              </w:rPr>
              <w:t>kg，NOx</w:t>
            </w:r>
            <w:r>
              <w:rPr>
                <w:rFonts w:hint="eastAsia" w:cs="Times New Roman"/>
                <w:kern w:val="0"/>
                <w:sz w:val="24"/>
                <w:szCs w:val="24"/>
                <w:lang w:val="en-US" w:eastAsia="zh-CN"/>
              </w:rPr>
              <w:t>14.8</w:t>
            </w:r>
            <w:r>
              <w:rPr>
                <w:rFonts w:cs="Times New Roman"/>
                <w:kern w:val="0"/>
                <w:sz w:val="24"/>
                <w:szCs w:val="24"/>
              </w:rPr>
              <w:t>kg。施工机械尾气排放对其大气环境质量有一定影响；车辆运输汽车尾气将对运输道路沿线居民空气环境产生一定的影响。</w:t>
            </w:r>
          </w:p>
          <w:p>
            <w:pPr>
              <w:pStyle w:val="92"/>
              <w:spacing w:line="360" w:lineRule="auto"/>
              <w:ind w:firstLine="480"/>
              <w:rPr>
                <w:rFonts w:cs="Times New Roman"/>
                <w:kern w:val="0"/>
                <w:sz w:val="24"/>
                <w:szCs w:val="24"/>
              </w:rPr>
            </w:pPr>
            <w:r>
              <w:rPr>
                <w:rFonts w:hint="eastAsia" w:cs="Times New Roman"/>
                <w:kern w:val="0"/>
                <w:sz w:val="24"/>
                <w:szCs w:val="24"/>
                <w:lang w:eastAsia="zh-CN"/>
              </w:rPr>
              <w:t>本次环评建议</w:t>
            </w:r>
            <w:r>
              <w:rPr>
                <w:rFonts w:cs="Times New Roman"/>
                <w:kern w:val="0"/>
                <w:sz w:val="24"/>
                <w:szCs w:val="24"/>
              </w:rPr>
              <w:t>加强大型施工机械和车辆的管理，执行定期检查维护制度。所有燃油机械和车辆尾气排放应执行《车用压燃式发动机和压燃式发动机汽车排气烟度排放限值及测量方法》（GB3847-2005），若其尾气不能达标排放，必须配置消烟除尘设备。施工机械使用无铅汽油等优质燃料。发动机耗油多、效率低、排放尾气严重超标的老旧车辆，应予更新。</w:t>
            </w:r>
          </w:p>
          <w:p>
            <w:pPr>
              <w:pStyle w:val="92"/>
              <w:numPr>
                <w:ilvl w:val="0"/>
                <w:numId w:val="15"/>
              </w:numPr>
              <w:spacing w:line="360" w:lineRule="auto"/>
              <w:ind w:left="0" w:leftChars="0" w:firstLine="480" w:firstLineChars="200"/>
              <w:rPr>
                <w:rFonts w:hint="eastAsia" w:cs="Times New Roman"/>
                <w:kern w:val="0"/>
                <w:sz w:val="24"/>
                <w:szCs w:val="24"/>
                <w:lang w:val="en-US" w:eastAsia="zh-CN"/>
              </w:rPr>
            </w:pPr>
            <w:r>
              <w:rPr>
                <w:rFonts w:hint="eastAsia" w:cs="Times New Roman"/>
                <w:kern w:val="0"/>
                <w:sz w:val="24"/>
                <w:szCs w:val="24"/>
                <w:lang w:val="en-US" w:eastAsia="zh-CN"/>
              </w:rPr>
              <w:t>清淤产生的恶臭</w:t>
            </w:r>
          </w:p>
          <w:p>
            <w:pPr>
              <w:pStyle w:val="92"/>
              <w:numPr>
                <w:ilvl w:val="0"/>
                <w:numId w:val="0"/>
              </w:numPr>
              <w:spacing w:line="360" w:lineRule="auto"/>
              <w:ind w:firstLine="480" w:firstLineChars="200"/>
              <w:rPr>
                <w:rFonts w:hint="eastAsia" w:cs="Times New Roman"/>
                <w:kern w:val="0"/>
                <w:sz w:val="24"/>
                <w:szCs w:val="24"/>
                <w:lang w:val="en-US" w:eastAsia="zh-CN"/>
              </w:rPr>
            </w:pPr>
            <w:r>
              <w:rPr>
                <w:rFonts w:hint="eastAsia" w:cs="Times New Roman"/>
                <w:kern w:val="0"/>
                <w:sz w:val="24"/>
                <w:szCs w:val="24"/>
                <w:lang w:val="en-US" w:eastAsia="zh-CN"/>
              </w:rPr>
              <w:t xml:space="preserve">本项目施工期产生的恶臭气体来自三处湿塘水体底泥，水体底泥脱水处理产生的恶臭气体多以无组织的自然扩散为主，散发到大气环境后又以气体、气溶胶和雾三种形式存在，故对其进行采样分析和定量预测相对而言是较困难的，加之施工时是敞开式，其排放量和影响程度及范围受气象条件、水温、水质、pH 值及操作与管理水平等多种因素的影响。采用类比法分析污染源强级别，污染源恶臭如下表所示。 </w:t>
            </w:r>
          </w:p>
          <w:p>
            <w:pPr>
              <w:pStyle w:val="92"/>
              <w:numPr>
                <w:ilvl w:val="0"/>
                <w:numId w:val="0"/>
              </w:numPr>
              <w:spacing w:line="360" w:lineRule="auto"/>
              <w:ind w:firstLine="482" w:firstLineChars="200"/>
              <w:jc w:val="center"/>
              <w:rPr>
                <w:rFonts w:hint="default" w:cs="Times New Roman"/>
                <w:b/>
                <w:bCs/>
                <w:kern w:val="0"/>
                <w:sz w:val="24"/>
                <w:szCs w:val="24"/>
                <w:lang w:val="en-US" w:eastAsia="zh-CN"/>
              </w:rPr>
            </w:pPr>
            <w:r>
              <w:rPr>
                <w:rFonts w:hint="eastAsia" w:cs="Times New Roman"/>
                <w:b/>
                <w:bCs/>
                <w:kern w:val="0"/>
                <w:sz w:val="24"/>
                <w:szCs w:val="24"/>
                <w:lang w:val="en-US" w:eastAsia="zh-CN"/>
              </w:rPr>
              <w:t>表7.1-3  底泥臭气强度</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79"/>
              <w:gridCol w:w="3183"/>
              <w:gridCol w:w="31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665" w:type="pct"/>
                  <w:vMerge w:val="restar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距离</w:t>
                  </w:r>
                </w:p>
              </w:tc>
              <w:tc>
                <w:tcPr>
                  <w:tcW w:w="1667" w:type="pct"/>
                  <w:vMerge w:val="restar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臭气感觉强度</w:t>
                  </w:r>
                </w:p>
              </w:tc>
              <w:tc>
                <w:tcPr>
                  <w:tcW w:w="1667" w:type="pct"/>
                  <w:vMerge w:val="restar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级别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665" w:type="pct"/>
                  <w:vMerge w:val="continue"/>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p>
              </w:tc>
              <w:tc>
                <w:tcPr>
                  <w:tcW w:w="1667" w:type="pct"/>
                  <w:vMerge w:val="continue"/>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p>
              </w:tc>
              <w:tc>
                <w:tcPr>
                  <w:tcW w:w="1667" w:type="pct"/>
                  <w:vMerge w:val="continue"/>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岸边</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有较明显臭味</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3级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岸边30m</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轻微</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2级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岸边80m</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极微</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1级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5"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100m外</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无</w:t>
                  </w:r>
                </w:p>
              </w:tc>
              <w:tc>
                <w:tcPr>
                  <w:tcW w:w="1667" w:type="pct"/>
                  <w:vAlign w:val="center"/>
                </w:tcPr>
                <w:p>
                  <w:pPr>
                    <w:pStyle w:val="88"/>
                    <w:numPr>
                      <w:ilvl w:val="0"/>
                      <w:numId w:val="0"/>
                    </w:numPr>
                    <w:spacing w:line="240" w:lineRule="auto"/>
                    <w:jc w:val="center"/>
                    <w:rPr>
                      <w:rFonts w:hint="default" w:hAnsi="Times New Roman" w:cs="Times New Roman" w:eastAsiaTheme="minorEastAsia"/>
                      <w:kern w:val="0"/>
                      <w:sz w:val="21"/>
                      <w:szCs w:val="21"/>
                      <w:vertAlign w:val="baseline"/>
                      <w:lang w:val="en-US" w:eastAsia="zh-CN"/>
                    </w:rPr>
                  </w:pPr>
                  <w:r>
                    <w:rPr>
                      <w:rFonts w:hint="eastAsia" w:hAnsi="Times New Roman" w:cs="Times New Roman" w:eastAsiaTheme="minorEastAsia"/>
                      <w:kern w:val="0"/>
                      <w:sz w:val="21"/>
                      <w:szCs w:val="21"/>
                      <w:vertAlign w:val="baseline"/>
                      <w:lang w:val="en-US" w:eastAsia="zh-CN"/>
                    </w:rPr>
                    <w:t>0级</w:t>
                  </w:r>
                </w:p>
              </w:tc>
            </w:tr>
          </w:tbl>
          <w:p>
            <w:pPr>
              <w:pStyle w:val="92"/>
              <w:numPr>
                <w:ilvl w:val="0"/>
                <w:numId w:val="0"/>
              </w:numPr>
              <w:spacing w:line="360" w:lineRule="auto"/>
              <w:ind w:firstLine="480" w:firstLineChars="200"/>
              <w:rPr>
                <w:rFonts w:hint="eastAsia" w:cs="Times New Roman"/>
                <w:kern w:val="0"/>
                <w:sz w:val="24"/>
                <w:szCs w:val="24"/>
                <w:lang w:val="en-US" w:eastAsia="zh-CN"/>
              </w:rPr>
            </w:pPr>
            <w:r>
              <w:rPr>
                <w:rFonts w:hint="eastAsia" w:cs="Times New Roman"/>
                <w:kern w:val="0"/>
                <w:sz w:val="24"/>
                <w:szCs w:val="24"/>
                <w:lang w:val="en-US" w:eastAsia="zh-CN"/>
              </w:rPr>
              <w:t xml:space="preserve">目前廖家巷湿塘、颐养院湿塘和奥敏游泳馆湿塘水质较差，表层底泥中有机质、氮、磷的含量较高，在厌氧条件下会形成硫化氢、氨气等恶臭气体。根据类比分析，清淤过程中将会有较明显的臭味，30m之外达到2级强度，有轻微臭味，低于恶臭强度的限制标准（2. 5-3.5 级）；80m之外基本无气味。 </w:t>
            </w:r>
          </w:p>
          <w:p>
            <w:pPr>
              <w:pStyle w:val="92"/>
              <w:numPr>
                <w:ilvl w:val="0"/>
                <w:numId w:val="0"/>
              </w:numPr>
              <w:spacing w:line="360" w:lineRule="auto"/>
              <w:ind w:firstLine="480" w:firstLineChars="200"/>
              <w:rPr>
                <w:rFonts w:hint="eastAsia" w:cs="Times New Roman"/>
                <w:kern w:val="0"/>
                <w:sz w:val="24"/>
                <w:szCs w:val="24"/>
                <w:lang w:val="en-US" w:eastAsia="zh-CN"/>
              </w:rPr>
            </w:pPr>
            <w:r>
              <w:rPr>
                <w:rFonts w:hint="eastAsia" w:cs="Times New Roman"/>
                <w:kern w:val="0"/>
                <w:sz w:val="24"/>
                <w:szCs w:val="24"/>
                <w:u w:val="single"/>
                <w:lang w:val="en-US" w:eastAsia="zh-CN"/>
              </w:rPr>
              <w:t>为避免臭气对环境的影响，项目必须强化清淤作业管理，脱水场地需建设围挡，使用除臭剂等，可减少清淤过程臭气的产生。</w:t>
            </w:r>
            <w:r>
              <w:rPr>
                <w:rFonts w:hint="eastAsia" w:cs="Times New Roman"/>
                <w:kern w:val="0"/>
                <w:sz w:val="24"/>
                <w:szCs w:val="24"/>
                <w:lang w:val="en-US" w:eastAsia="zh-CN"/>
              </w:rPr>
              <w:t>已脱水底泥达到</w:t>
            </w:r>
            <w:r>
              <w:rPr>
                <w:rFonts w:hint="eastAsia" w:ascii="Times New Roman" w:hAnsi="Times New Roman" w:cs="Times New Roman"/>
                <w:color w:val="auto"/>
                <w:kern w:val="2"/>
                <w:sz w:val="24"/>
                <w:szCs w:val="24"/>
                <w:u w:val="single"/>
                <w:vertAlign w:val="baseline"/>
                <w:lang w:val="en-US" w:eastAsia="zh-CN" w:bidi="ar-SA"/>
              </w:rPr>
              <w:t>护坡中心填土</w:t>
            </w:r>
            <w:r>
              <w:rPr>
                <w:rFonts w:hint="eastAsia" w:cs="Times New Roman"/>
                <w:color w:val="auto"/>
                <w:kern w:val="2"/>
                <w:sz w:val="24"/>
                <w:szCs w:val="24"/>
                <w:u w:val="single"/>
                <w:vertAlign w:val="baseline"/>
                <w:lang w:val="en-US" w:eastAsia="zh-CN" w:bidi="ar-SA"/>
              </w:rPr>
              <w:t>要求时作为护坡中心填土使用</w:t>
            </w:r>
            <w:r>
              <w:rPr>
                <w:rFonts w:hint="eastAsia" w:cs="Times New Roman"/>
                <w:kern w:val="0"/>
                <w:sz w:val="24"/>
                <w:szCs w:val="24"/>
                <w:lang w:val="en-US" w:eastAsia="zh-CN"/>
              </w:rPr>
              <w:t xml:space="preserve">。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虽然清淤工程会产生臭气浓度，但清淤过程是短暂的，清淤完成恶臭气体污染也随着消失，且清淤工程完成后，</w:t>
            </w:r>
            <w:r>
              <w:rPr>
                <w:rFonts w:hint="eastAsia" w:ascii="宋体" w:hAnsi="宋体" w:cs="宋体"/>
                <w:kern w:val="0"/>
                <w:sz w:val="24"/>
                <w:szCs w:val="24"/>
                <w:lang w:val="en-US" w:eastAsia="zh-CN"/>
              </w:rPr>
              <w:t>湿塘</w:t>
            </w:r>
            <w:r>
              <w:rPr>
                <w:rFonts w:hint="eastAsia" w:ascii="宋体" w:hAnsi="宋体" w:eastAsia="宋体" w:cs="宋体"/>
                <w:kern w:val="0"/>
                <w:sz w:val="24"/>
                <w:szCs w:val="24"/>
                <w:lang w:val="en-US" w:eastAsia="zh-CN"/>
              </w:rPr>
              <w:t>水质得到改善，两侧恶臭气体也减少，对周围环境和空气均有所改善。</w:t>
            </w:r>
          </w:p>
          <w:p>
            <w:pPr>
              <w:pStyle w:val="92"/>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kern w:val="0"/>
                <w:sz w:val="24"/>
                <w:szCs w:val="24"/>
                <w:u w:val="single"/>
                <w:lang w:val="en-US" w:eastAsia="zh-CN"/>
              </w:rPr>
            </w:pPr>
            <w:r>
              <w:rPr>
                <w:rFonts w:hint="default" w:ascii="Times New Roman" w:hAnsi="Times New Roman" w:cs="Times New Roman"/>
                <w:kern w:val="0"/>
                <w:sz w:val="24"/>
                <w:szCs w:val="24"/>
                <w:u w:val="single"/>
                <w:lang w:val="en-US" w:eastAsia="zh-CN"/>
              </w:rPr>
              <w:t xml:space="preserve">（4）为了进一步缓解施工期产生扬尘对居民点及敏感目标的影响，本环评要求施工单位必须严格按照《湖南省污染防治攻坚战三年行动计划(2018—2020年)》、《打赢蓝天保卫战三年行动计划》（国发〔2018〕22 号）、《防治城市扬尘污染技术规范》（HJ/T 393-2007），本项目还应采取下列扬尘污染防治措施：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 xml:space="preserve">①施工期间，施工单位应根据《建设工程施工现场管理规定》的规定设置现场平面布置图、工程概况牌、安全生产牌、消防保卫牌、文明施工牌、环境保护牌、管理人员名单及监督电话牌等。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 xml:space="preserve">②土方工程包括土的开挖、运输和填筑等施工过程，有时还需进行排水、降水、土壁支撑等准备工作。遇到干燥、易起尘的土方工程作业时，应辅以洒水压尘，尽量缩短起尘操作时间。遇到四级或四级以上大风天气，应停止土方作业，同时作业处覆以防尘网。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 xml:space="preserve">③施工工程中产生的弃土、弃料及其他建筑垃圾，应及时清运。若在工地内堆置超过一周的，则应采取定期喷水压尘，防止风蚀起尘及水蚀迁移。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④施工单位保洁责任区的范围应根据施工扬尘影响况确定，一般设在施工工地周围 20m 范围内。</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 xml:space="preserve">⑤施工期间，施工工地内及工地出口至铺装道路间的车行道路，应采取铺设钢板措施，并保持路面清洁，防止机动车扬尘。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 xml:space="preserve">⑥施工工地道路积尘可采用吸尘或水冲洗的方法清洁施工工地道路积尘，不得在未实施洒水等抑尘措施情况下进行直接清扫。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⑦施工期间，对于工地内裸露地面，晴朗天气时，视情况每周等时间隔洒水二至七次，扬尘严重时应加大洒水频率。</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eastAsia" w:ascii="宋体" w:hAnsi="宋体" w:cs="宋体"/>
                <w:kern w:val="0"/>
                <w:sz w:val="24"/>
                <w:szCs w:val="24"/>
                <w:u w:val="single"/>
                <w:lang w:val="en-US" w:eastAsia="zh-CN"/>
              </w:rPr>
            </w:pPr>
            <w:r>
              <w:rPr>
                <w:rFonts w:hint="eastAsia" w:ascii="宋体" w:hAnsi="宋体" w:cs="宋体"/>
                <w:kern w:val="0"/>
                <w:sz w:val="24"/>
                <w:szCs w:val="24"/>
                <w:u w:val="single"/>
                <w:lang w:val="en-US" w:eastAsia="zh-CN"/>
              </w:rPr>
              <w:t xml:space="preserve">⑧各工地应有专人负责逸散性材料、垃圾、渣土、裸地等密闭、覆盖、洒水作业以及车辆清洗作业等，并记录扬尘控制措施的实施情况。 </w:t>
            </w:r>
          </w:p>
          <w:p>
            <w:pPr>
              <w:pStyle w:val="92"/>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rFonts w:hint="default" w:ascii="宋体" w:hAnsi="宋体" w:eastAsia="宋体" w:cs="宋体"/>
                <w:kern w:val="0"/>
                <w:sz w:val="24"/>
                <w:szCs w:val="24"/>
                <w:u w:val="single"/>
                <w:lang w:val="en-US" w:eastAsia="zh-CN"/>
              </w:rPr>
            </w:pPr>
            <w:r>
              <w:rPr>
                <w:rFonts w:hint="eastAsia" w:ascii="宋体" w:hAnsi="宋体" w:cs="宋体"/>
                <w:kern w:val="0"/>
                <w:sz w:val="24"/>
                <w:szCs w:val="24"/>
                <w:u w:val="single"/>
                <w:lang w:val="en-US" w:eastAsia="zh-CN"/>
              </w:rPr>
              <w:t>⑨完工后及时清除建筑垃圾。</w:t>
            </w:r>
          </w:p>
          <w:p>
            <w:pPr>
              <w:pStyle w:val="92"/>
              <w:spacing w:line="360" w:lineRule="auto"/>
              <w:ind w:firstLine="480"/>
              <w:rPr>
                <w:rFonts w:cs="Times New Roman"/>
                <w:kern w:val="0"/>
                <w:sz w:val="24"/>
                <w:szCs w:val="24"/>
              </w:rPr>
            </w:pPr>
            <w:r>
              <w:rPr>
                <w:rFonts w:cs="Times New Roman"/>
                <w:kern w:val="0"/>
                <w:sz w:val="24"/>
                <w:szCs w:val="24"/>
              </w:rPr>
              <w:t>采取上述环评要求措施后，施工期大气环境污染物得到一定控制，对周边环境影响较小。</w:t>
            </w:r>
          </w:p>
          <w:p>
            <w:pPr>
              <w:pStyle w:val="35"/>
              <w:spacing w:line="360" w:lineRule="auto"/>
              <w:rPr>
                <w:rFonts w:hint="default" w:ascii="Times New Roman" w:hAnsi="宋体" w:eastAsia="宋体" w:cs="Times New Roman"/>
                <w:b/>
                <w:color w:val="auto"/>
                <w:sz w:val="24"/>
                <w:szCs w:val="24"/>
                <w:lang w:val="en-US" w:eastAsia="zh-CN"/>
              </w:rPr>
            </w:pPr>
            <w:r>
              <w:rPr>
                <w:rFonts w:hint="eastAsia" w:ascii="Times New Roman" w:hAnsi="宋体" w:eastAsia="宋体" w:cs="Times New Roman"/>
                <w:b/>
                <w:color w:val="auto"/>
                <w:sz w:val="24"/>
                <w:szCs w:val="24"/>
                <w:lang w:val="en-US" w:eastAsia="zh-CN"/>
              </w:rPr>
              <w:t>7.1.2</w:t>
            </w:r>
            <w:r>
              <w:rPr>
                <w:rFonts w:hint="default" w:ascii="Times New Roman" w:hAnsi="宋体" w:eastAsia="宋体" w:cs="Times New Roman"/>
                <w:b/>
                <w:color w:val="auto"/>
                <w:sz w:val="24"/>
                <w:szCs w:val="24"/>
                <w:lang w:val="en-US" w:eastAsia="zh-CN"/>
              </w:rPr>
              <w:t>水环境影响分析</w:t>
            </w:r>
          </w:p>
          <w:p>
            <w:pPr>
              <w:spacing w:line="360" w:lineRule="auto"/>
              <w:ind w:firstLine="480" w:firstLineChars="200"/>
              <w:rPr>
                <w:rFonts w:hint="eastAsia" w:eastAsia="宋体"/>
                <w:sz w:val="24"/>
                <w:lang w:val="en-US" w:eastAsia="zh-CN"/>
              </w:rPr>
            </w:pPr>
            <w:r>
              <w:rPr>
                <w:rFonts w:hint="eastAsia"/>
                <w:sz w:val="24"/>
                <w:lang w:eastAsia="zh-CN"/>
              </w:rPr>
              <w:t>（</w:t>
            </w:r>
            <w:r>
              <w:rPr>
                <w:rFonts w:hint="eastAsia"/>
                <w:sz w:val="24"/>
                <w:lang w:val="en-US" w:eastAsia="zh-CN"/>
              </w:rPr>
              <w:t>1</w:t>
            </w:r>
            <w:r>
              <w:rPr>
                <w:rFonts w:hint="eastAsia"/>
                <w:sz w:val="24"/>
                <w:lang w:eastAsia="zh-CN"/>
              </w:rPr>
              <w:t>）</w:t>
            </w:r>
            <w:r>
              <w:rPr>
                <w:rFonts w:hint="eastAsia"/>
                <w:sz w:val="24"/>
                <w:lang w:val="en-US" w:eastAsia="zh-CN"/>
              </w:rPr>
              <w:t>施工期水环境影响</w:t>
            </w:r>
          </w:p>
          <w:p>
            <w:pPr>
              <w:spacing w:line="360" w:lineRule="auto"/>
              <w:ind w:firstLine="480" w:firstLineChars="200"/>
              <w:rPr>
                <w:rFonts w:hint="eastAsia"/>
                <w:sz w:val="24"/>
                <w:u w:val="none"/>
              </w:rPr>
            </w:pPr>
            <w:r>
              <w:rPr>
                <w:rFonts w:hint="eastAsia"/>
                <w:sz w:val="24"/>
                <w:u w:val="none"/>
              </w:rPr>
              <w:t>项目使用商品混凝土，</w:t>
            </w:r>
            <w:r>
              <w:rPr>
                <w:rFonts w:hint="eastAsia"/>
                <w:sz w:val="24"/>
                <w:u w:val="none"/>
                <w:lang w:val="en-GB" w:eastAsia="zh-CN"/>
              </w:rPr>
              <w:t>本项目现场不设置混凝土拌和站，</w:t>
            </w:r>
            <w:r>
              <w:rPr>
                <w:rFonts w:hint="eastAsia"/>
                <w:sz w:val="24"/>
                <w:u w:val="none"/>
              </w:rPr>
              <w:t>无拌和站废水产生</w:t>
            </w:r>
            <w:r>
              <w:rPr>
                <w:rFonts w:hint="eastAsia"/>
                <w:sz w:val="24"/>
                <w:u w:val="none"/>
                <w:lang w:val="en-US" w:eastAsia="zh-CN"/>
              </w:rPr>
              <w:t>;</w:t>
            </w:r>
            <w:r>
              <w:rPr>
                <w:rFonts w:hint="eastAsia" w:ascii="Times New Roman" w:hAnsi="Times New Roman" w:cs="Times New Roman" w:eastAsiaTheme="minorEastAsia"/>
                <w:b w:val="0"/>
                <w:sz w:val="24"/>
                <w:szCs w:val="24"/>
                <w:lang w:val="en-US" w:eastAsia="zh-CN"/>
              </w:rPr>
              <w:t>工程</w:t>
            </w:r>
            <w:r>
              <w:rPr>
                <w:rFonts w:hint="default" w:ascii="Times New Roman" w:hAnsi="Times New Roman" w:cs="Times New Roman" w:eastAsiaTheme="minorEastAsia"/>
                <w:b w:val="0"/>
                <w:sz w:val="24"/>
                <w:szCs w:val="24"/>
              </w:rPr>
              <w:t>施工期间，施工人员分散租用附近民房，无工地食堂、宿舍，施工期没有生活废水</w:t>
            </w:r>
            <w:r>
              <w:rPr>
                <w:rFonts w:hint="eastAsia" w:cs="Times New Roman" w:eastAsiaTheme="minorEastAsia"/>
                <w:b w:val="0"/>
                <w:sz w:val="24"/>
                <w:szCs w:val="24"/>
                <w:lang w:eastAsia="zh-CN"/>
              </w:rPr>
              <w:t>产生。</w:t>
            </w:r>
            <w:r>
              <w:rPr>
                <w:rFonts w:hint="eastAsia"/>
                <w:sz w:val="24"/>
                <w:u w:val="none"/>
              </w:rPr>
              <w:t>施工期的污水</w:t>
            </w:r>
            <w:r>
              <w:rPr>
                <w:rFonts w:hint="eastAsia"/>
                <w:sz w:val="24"/>
                <w:u w:val="none"/>
                <w:lang w:eastAsia="zh-CN"/>
              </w:rPr>
              <w:t>主要为</w:t>
            </w:r>
            <w:r>
              <w:rPr>
                <w:rFonts w:hint="eastAsia" w:ascii="Times New Roman"/>
                <w:b w:val="0"/>
                <w:sz w:val="24"/>
                <w:lang w:eastAsia="zh-CN"/>
              </w:rPr>
              <w:t>施工废水、管道闭水试验废水</w:t>
            </w:r>
            <w:r>
              <w:rPr>
                <w:rFonts w:hint="eastAsia" w:ascii="Times New Roman"/>
                <w:b w:val="0"/>
                <w:sz w:val="24"/>
                <w:lang w:val="en-US" w:eastAsia="zh-CN"/>
              </w:rPr>
              <w:t>以及</w:t>
            </w:r>
            <w:r>
              <w:rPr>
                <w:rFonts w:hint="eastAsia" w:ascii="Times New Roman"/>
                <w:b w:val="0"/>
                <w:sz w:val="24"/>
              </w:rPr>
              <w:t>基坑废水</w:t>
            </w:r>
            <w:r>
              <w:rPr>
                <w:rFonts w:hint="eastAsia"/>
                <w:sz w:val="24"/>
                <w:u w:val="none"/>
              </w:rPr>
              <w:t>。</w:t>
            </w:r>
          </w:p>
          <w:p>
            <w:pPr>
              <w:spacing w:line="360" w:lineRule="auto"/>
              <w:ind w:firstLine="480" w:firstLineChars="200"/>
              <w:rPr>
                <w:rFonts w:hint="eastAsia" w:eastAsia="宋体"/>
                <w:sz w:val="24"/>
                <w:lang w:eastAsia="zh-CN"/>
              </w:rPr>
            </w:pPr>
            <w:r>
              <w:rPr>
                <w:rFonts w:hint="eastAsia" w:ascii="宋体" w:hAnsi="宋体" w:eastAsia="宋体" w:cs="宋体"/>
                <w:sz w:val="24"/>
              </w:rPr>
              <w:t>①</w:t>
            </w:r>
            <w:r>
              <w:rPr>
                <w:rFonts w:hint="eastAsia"/>
                <w:sz w:val="24"/>
              </w:rPr>
              <w:t>施工废水</w:t>
            </w:r>
            <w:r>
              <w:rPr>
                <w:rFonts w:hint="eastAsia"/>
                <w:sz w:val="24"/>
                <w:lang w:eastAsia="zh-CN"/>
              </w:rPr>
              <w:t>和基坑废水</w:t>
            </w:r>
          </w:p>
          <w:p>
            <w:pPr>
              <w:pStyle w:val="90"/>
              <w:numPr>
                <w:ilvl w:val="0"/>
                <w:numId w:val="0"/>
              </w:numPr>
              <w:spacing w:line="360" w:lineRule="auto"/>
              <w:ind w:firstLine="480" w:firstLineChars="200"/>
              <w:jc w:val="both"/>
              <w:rPr>
                <w:rFonts w:hint="default" w:ascii="Times New Roman" w:hAnsi="Times New Roman" w:cs="Times New Roman" w:eastAsiaTheme="minorEastAsia"/>
                <w:b w:val="0"/>
                <w:bCs/>
                <w:sz w:val="24"/>
                <w:szCs w:val="24"/>
                <w:lang w:val="en-US" w:eastAsia="zh-CN"/>
              </w:rPr>
            </w:pPr>
            <w:r>
              <w:rPr>
                <w:rFonts w:hint="default" w:ascii="Times New Roman" w:hAnsi="Times New Roman" w:cs="Times New Roman" w:eastAsiaTheme="minorEastAsia"/>
                <w:b w:val="0"/>
                <w:bCs/>
                <w:sz w:val="24"/>
                <w:szCs w:val="24"/>
                <w:lang w:val="en-US" w:eastAsia="zh-CN"/>
              </w:rPr>
              <w:t>施工废水包括车辆、机械设备、石料及管道的清洗废水，这部分废水产生量小，主要污染物为 SS 和石油类，根据类比资料，石油类浓度约 8mg/L。根据类比调查，施工期废水悬浮物的浓度为 500～1300mg/L，经沉淀等初步处理后，悬浮物浓度急剧降低，静置数天后可回用于场地洒水降尘。</w:t>
            </w:r>
          </w:p>
          <w:p>
            <w:pPr>
              <w:pStyle w:val="92"/>
              <w:spacing w:line="360" w:lineRule="auto"/>
              <w:ind w:firstLine="480"/>
              <w:rPr>
                <w:rFonts w:hint="eastAsia"/>
                <w:color w:val="000000"/>
                <w:sz w:val="24"/>
                <w:szCs w:val="24"/>
                <w:u w:val="none"/>
              </w:rPr>
            </w:pPr>
            <w:r>
              <w:rPr>
                <w:rFonts w:hint="default" w:cs="Times New Roman" w:eastAsiaTheme="minorEastAsia"/>
                <w:b w:val="0"/>
                <w:bCs/>
                <w:sz w:val="24"/>
                <w:szCs w:val="24"/>
                <w:lang w:val="en-US" w:eastAsia="zh-CN"/>
              </w:rPr>
              <w:t>基坑排水分为建筑物工程的初期排水和施工中的经常性排水，一般排入下游河道或周边沟渠。本工程基坑排水主要为地下渗水和降雨，其水质取决于地下水和地表水水质，主要污染源是 SS，经沉淀池稍静置后即可回用于施工场地洒水抑尘，对周边水环境影响较小。</w:t>
            </w:r>
          </w:p>
          <w:p>
            <w:pPr>
              <w:pStyle w:val="90"/>
              <w:numPr>
                <w:ilvl w:val="0"/>
                <w:numId w:val="0"/>
              </w:numPr>
              <w:spacing w:line="360" w:lineRule="auto"/>
              <w:ind w:firstLine="482" w:firstLineChars="200"/>
              <w:jc w:val="both"/>
              <w:rPr>
                <w:rFonts w:hint="default" w:ascii="Times New Roman" w:hAnsi="Times New Roman" w:eastAsia="宋体" w:cs="Times New Roman"/>
                <w:b w:val="0"/>
                <w:bCs/>
                <w:sz w:val="24"/>
                <w:szCs w:val="24"/>
                <w:lang w:val="en-US" w:eastAsia="zh-CN"/>
              </w:rPr>
            </w:pPr>
            <w:r>
              <w:rPr>
                <w:rFonts w:hint="default" w:ascii="Times New Roman" w:hAnsi="Times New Roman" w:eastAsia="宋体" w:cs="Times New Roman"/>
                <w:sz w:val="24"/>
              </w:rPr>
              <w:t>②</w:t>
            </w:r>
            <w:r>
              <w:rPr>
                <w:rFonts w:hint="default" w:ascii="Times New Roman" w:hAnsi="Times New Roman" w:eastAsia="宋体" w:cs="Times New Roman"/>
                <w:b w:val="0"/>
                <w:sz w:val="24"/>
                <w:lang w:eastAsia="zh-CN"/>
              </w:rPr>
              <w:t>管道闭水试验废水</w:t>
            </w:r>
          </w:p>
          <w:p>
            <w:pPr>
              <w:pStyle w:val="35"/>
              <w:spacing w:line="360" w:lineRule="auto"/>
              <w:ind w:firstLine="480" w:firstLineChars="200"/>
              <w:rPr>
                <w:rFonts w:hint="default" w:ascii="Times New Roman" w:hAnsi="Times New Roman" w:eastAsia="宋体" w:cs="Times New Roman"/>
                <w:sz w:val="24"/>
              </w:rPr>
            </w:pPr>
            <w:r>
              <w:rPr>
                <w:rFonts w:hint="default" w:ascii="Times New Roman" w:hAnsi="Times New Roman" w:eastAsia="宋体" w:cs="Times New Roman"/>
                <w:b w:val="0"/>
                <w:bCs/>
                <w:sz w:val="24"/>
                <w:szCs w:val="24"/>
                <w:lang w:val="en-US" w:eastAsia="zh-CN"/>
              </w:rPr>
              <w:t>闭水试验时用水需要在管道内保留 24h 后排放，闭水试验用水产生量较少，收集后回用于场地洒水降尘。</w:t>
            </w:r>
          </w:p>
          <w:p>
            <w:pPr>
              <w:pStyle w:val="35"/>
              <w:spacing w:line="360" w:lineRule="auto"/>
              <w:ind w:firstLine="480" w:firstLineChars="200"/>
              <w:rPr>
                <w:rFonts w:hint="eastAsia" w:ascii="Times New Roman"/>
                <w:b w:val="0"/>
                <w:sz w:val="24"/>
                <w:u w:val="none"/>
                <w:lang w:val="en-US" w:eastAsia="zh-CN"/>
              </w:rPr>
            </w:pPr>
            <w:r>
              <w:rPr>
                <w:rFonts w:hint="eastAsia" w:ascii="宋体" w:hAnsi="宋体" w:eastAsia="宋体" w:cs="宋体"/>
                <w:b w:val="0"/>
                <w:sz w:val="24"/>
                <w:u w:val="none"/>
                <w:lang w:val="en-US" w:eastAsia="zh-CN"/>
              </w:rPr>
              <w:t>③</w:t>
            </w:r>
            <w:r>
              <w:rPr>
                <w:rFonts w:hint="eastAsia" w:ascii="Times New Roman"/>
                <w:b w:val="0"/>
                <w:sz w:val="24"/>
                <w:u w:val="none"/>
                <w:lang w:val="en-US" w:eastAsia="zh-CN"/>
              </w:rPr>
              <w:t>清淤过程水环境影响</w:t>
            </w:r>
          </w:p>
          <w:p>
            <w:pPr>
              <w:pStyle w:val="35"/>
              <w:spacing w:line="360" w:lineRule="auto"/>
              <w:ind w:firstLine="480" w:firstLineChars="200"/>
              <w:rPr>
                <w:rFonts w:hint="eastAsia"/>
                <w:bCs/>
                <w:color w:val="auto"/>
                <w:sz w:val="24"/>
                <w:u w:val="none"/>
                <w:lang w:eastAsia="zh-CN"/>
              </w:rPr>
            </w:pPr>
            <w:r>
              <w:rPr>
                <w:rFonts w:hint="eastAsia"/>
                <w:bCs/>
                <w:color w:val="auto"/>
                <w:sz w:val="24"/>
                <w:u w:val="none"/>
                <w:lang w:eastAsia="zh-CN"/>
              </w:rPr>
              <w:t>底栖动物是长期水域底部泥沙中、石块或其他水体动物上活动的动物，清淤对其较大的影响是直接改变其生活环境，从而使其种类、数量、分布也产生一定的影响，底栖动物随着挖出的底泥流失，数量明显减少，局部平衡破坏，但随着时间的推移，局部平衡破坏后，由于生态效应作用，将会在较短时间内形成新的平衡，对底栖动物的影响不大。</w:t>
            </w:r>
          </w:p>
          <w:p>
            <w:pPr>
              <w:pStyle w:val="35"/>
              <w:spacing w:line="360" w:lineRule="auto"/>
              <w:ind w:firstLine="480" w:firstLineChars="200"/>
              <w:rPr>
                <w:rFonts w:hint="eastAsia" w:ascii="Times New Roman"/>
                <w:b w:val="0"/>
                <w:sz w:val="24"/>
                <w:u w:val="none"/>
                <w:lang w:eastAsia="zh-CN"/>
              </w:rPr>
            </w:pPr>
            <w:r>
              <w:rPr>
                <w:rFonts w:hint="eastAsia" w:ascii="Times New Roman"/>
                <w:b w:val="0"/>
                <w:sz w:val="24"/>
                <w:u w:val="none"/>
                <w:lang w:eastAsia="zh-CN"/>
              </w:rPr>
              <w:t>根据现场调查，本工程涉及的河段的底栖生物个数与数量均较少，其生物量不大，因此清淤施工对水环境的影响不大，对水生生物影响较小。</w:t>
            </w:r>
          </w:p>
          <w:p>
            <w:pPr>
              <w:pStyle w:val="35"/>
              <w:spacing w:line="360" w:lineRule="auto"/>
              <w:ind w:firstLine="480" w:firstLineChars="200"/>
              <w:rPr>
                <w:rFonts w:hint="eastAsia" w:ascii="Times New Roman"/>
                <w:b w:val="0"/>
                <w:sz w:val="24"/>
                <w:u w:val="none"/>
              </w:rPr>
            </w:pPr>
            <w:r>
              <w:rPr>
                <w:rFonts w:hint="eastAsia" w:ascii="Times New Roman"/>
                <w:b w:val="0"/>
                <w:sz w:val="24"/>
                <w:u w:val="none"/>
                <w:lang w:eastAsia="zh-CN"/>
              </w:rPr>
              <w:t>（</w:t>
            </w:r>
            <w:r>
              <w:rPr>
                <w:rFonts w:hint="eastAsia" w:ascii="Times New Roman"/>
                <w:b w:val="0"/>
                <w:sz w:val="24"/>
                <w:u w:val="none"/>
                <w:lang w:val="en-US" w:eastAsia="zh-CN"/>
              </w:rPr>
              <w:t>2</w:t>
            </w:r>
            <w:r>
              <w:rPr>
                <w:rFonts w:hint="eastAsia" w:ascii="Times New Roman"/>
                <w:b w:val="0"/>
                <w:sz w:val="24"/>
                <w:u w:val="none"/>
                <w:lang w:eastAsia="zh-CN"/>
              </w:rPr>
              <w:t>）</w:t>
            </w:r>
            <w:r>
              <w:rPr>
                <w:rFonts w:hint="eastAsia" w:ascii="Times New Roman"/>
                <w:b w:val="0"/>
                <w:sz w:val="24"/>
                <w:u w:val="none"/>
              </w:rPr>
              <w:t>水污染控制措施</w:t>
            </w:r>
          </w:p>
          <w:p>
            <w:pPr>
              <w:pStyle w:val="92"/>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宋体" w:cs="Times New Roman"/>
                <w:kern w:val="0"/>
                <w:sz w:val="24"/>
                <w:szCs w:val="24"/>
                <w:u w:val="none"/>
              </w:rPr>
            </w:pPr>
            <w:r>
              <w:rPr>
                <w:rFonts w:hint="eastAsia" w:ascii="宋体" w:hAnsi="宋体" w:eastAsia="宋体" w:cs="宋体"/>
                <w:kern w:val="0"/>
                <w:sz w:val="24"/>
                <w:szCs w:val="24"/>
                <w:u w:val="none"/>
              </w:rPr>
              <w:t>①</w:t>
            </w:r>
            <w:r>
              <w:rPr>
                <w:rFonts w:hint="default" w:ascii="Times New Roman" w:hAnsi="Times New Roman" w:eastAsia="宋体" w:cs="Times New Roman"/>
                <w:kern w:val="0"/>
                <w:sz w:val="24"/>
                <w:szCs w:val="24"/>
                <w:u w:val="none"/>
                <w:lang w:val="en-US" w:eastAsia="zh-CN"/>
              </w:rPr>
              <w:t xml:space="preserve">施工泥浆水（开挖作业面、雨水冲刷、场地及施工机械冲洗产生）、试压废水按施工段集中收集，在排水明沟末端设置平流式沉淀池，经沉淀降低悬浮物含量后进行场地回用，洒水降尘，或排至道路两侧雨水沟渠，不得随意排放。沉淀的废渣通过堆放后由环卫部门集中收集处置。施工机具及车辆清洗废水除油后方可排放。本项目施工废水频次较低，废水产生量较少，主要污染物有 COD、石油类、SS 。 </w:t>
            </w:r>
          </w:p>
          <w:p>
            <w:pPr>
              <w:pStyle w:val="92"/>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hAnsi="宋体" w:cs="Times New Roman"/>
                <w:kern w:val="0"/>
                <w:sz w:val="24"/>
                <w:szCs w:val="24"/>
                <w:u w:val="none"/>
              </w:rPr>
            </w:pPr>
            <w:r>
              <w:rPr>
                <w:rFonts w:hint="eastAsia" w:ascii="宋体" w:hAnsi="宋体" w:eastAsia="宋体" w:cs="宋体"/>
                <w:kern w:val="0"/>
                <w:sz w:val="24"/>
                <w:szCs w:val="24"/>
                <w:u w:val="none"/>
              </w:rPr>
              <w:t>②</w:t>
            </w:r>
            <w:r>
              <w:rPr>
                <w:rFonts w:hint="eastAsia" w:ascii="宋体" w:hAnsi="宋体" w:eastAsia="宋体" w:cs="宋体"/>
                <w:kern w:val="0"/>
                <w:sz w:val="24"/>
                <w:szCs w:val="24"/>
                <w:u w:val="none"/>
                <w:lang w:val="en-US" w:eastAsia="zh-CN"/>
              </w:rPr>
              <w:t>合理选择施工期，尽量避免雨季开工。合理安排施工程序，施工完成后，尽快建设水土保持设施或进行环境绿化</w:t>
            </w:r>
            <w:r>
              <w:rPr>
                <w:rFonts w:hint="eastAsia" w:ascii="宋体" w:hAnsi="宋体" w:cs="宋体"/>
                <w:kern w:val="0"/>
                <w:sz w:val="24"/>
                <w:szCs w:val="24"/>
                <w:u w:val="none"/>
                <w:lang w:val="en-US" w:eastAsia="zh-CN"/>
              </w:rPr>
              <w:t>。</w:t>
            </w:r>
          </w:p>
          <w:p>
            <w:pPr>
              <w:keepNext w:val="0"/>
              <w:keepLines w:val="0"/>
              <w:widowControl/>
              <w:suppressLineNumbers w:val="0"/>
              <w:spacing w:line="360" w:lineRule="auto"/>
              <w:ind w:firstLine="480" w:firstLineChars="200"/>
              <w:jc w:val="left"/>
              <w:rPr>
                <w:rFonts w:hint="eastAsia" w:ascii="宋体" w:hAnsi="宋体" w:eastAsia="宋体" w:cs="宋体"/>
                <w:kern w:val="0"/>
                <w:sz w:val="24"/>
                <w:szCs w:val="24"/>
                <w:u w:val="none"/>
                <w:lang w:val="en-US" w:eastAsia="zh-CN" w:bidi="ar-SA"/>
              </w:rPr>
            </w:pPr>
            <w:r>
              <w:rPr>
                <w:rFonts w:hint="eastAsia" w:ascii="宋体" w:hAnsi="宋体" w:eastAsia="宋体" w:cs="宋体"/>
                <w:kern w:val="0"/>
                <w:sz w:val="24"/>
                <w:szCs w:val="24"/>
                <w:u w:val="none"/>
                <w:lang w:val="en-US" w:eastAsia="zh-CN" w:bidi="ar-SA"/>
              </w:rPr>
              <w:t>③运输、施工机械临时检修所产生的油污应集中处理，擦有油污的固体废物不得随意乱扔，集中收集后妥善处理，以免污染水体和土壤</w:t>
            </w:r>
            <w:r>
              <w:rPr>
                <w:rFonts w:hint="eastAsia" w:ascii="宋体" w:hAnsi="宋体" w:cs="宋体"/>
                <w:kern w:val="0"/>
                <w:sz w:val="24"/>
                <w:szCs w:val="24"/>
                <w:u w:val="none"/>
                <w:lang w:val="en-US" w:eastAsia="zh-CN" w:bidi="ar-SA"/>
              </w:rPr>
              <w:t>。</w:t>
            </w:r>
          </w:p>
          <w:p>
            <w:pPr>
              <w:keepNext w:val="0"/>
              <w:keepLines w:val="0"/>
              <w:widowControl/>
              <w:suppressLineNumbers w:val="0"/>
              <w:spacing w:line="360" w:lineRule="auto"/>
              <w:jc w:val="left"/>
              <w:rPr>
                <w:rFonts w:hint="eastAsia" w:hAnsi="宋体" w:cs="Times New Roman"/>
                <w:kern w:val="0"/>
                <w:sz w:val="24"/>
                <w:szCs w:val="24"/>
                <w:u w:val="none"/>
              </w:rPr>
            </w:pPr>
            <w:r>
              <w:rPr>
                <w:rFonts w:hint="eastAsia" w:ascii="宋体" w:hAnsi="宋体" w:eastAsia="宋体" w:cs="宋体"/>
                <w:color w:val="000000"/>
                <w:kern w:val="0"/>
                <w:sz w:val="24"/>
                <w:szCs w:val="24"/>
                <w:lang w:val="en-US" w:eastAsia="zh-CN" w:bidi="ar"/>
              </w:rPr>
              <w:t xml:space="preserve">    </w:t>
            </w:r>
            <w:r>
              <w:rPr>
                <w:rFonts w:hint="eastAsia" w:ascii="宋体" w:hAnsi="宋体" w:eastAsia="宋体" w:cs="宋体"/>
                <w:sz w:val="24"/>
                <w:szCs w:val="24"/>
                <w:u w:val="none"/>
              </w:rPr>
              <w:t>④</w:t>
            </w:r>
            <w:r>
              <w:rPr>
                <w:rFonts w:hint="eastAsia" w:hAnsi="宋体" w:cs="Times New Roman"/>
                <w:kern w:val="0"/>
                <w:sz w:val="24"/>
                <w:szCs w:val="24"/>
                <w:u w:val="none"/>
              </w:rPr>
              <w:t>建设单位应加强施工现场管理，避免含油废水或施工机械在作业跑、冒、滴、漏的污油经雨水冲刷进入水体，对下游河段水质造成影响。</w:t>
            </w:r>
            <w:r>
              <w:rPr>
                <w:rFonts w:hint="eastAsia" w:ascii="Times New Roman"/>
                <w:b w:val="0"/>
                <w:sz w:val="24"/>
                <w:u w:val="single"/>
              </w:rPr>
              <w:t>一</w:t>
            </w:r>
            <w:r>
              <w:rPr>
                <w:rFonts w:hint="eastAsia" w:ascii="Times New Roman"/>
                <w:b w:val="0"/>
                <w:sz w:val="24"/>
                <w:u w:val="none"/>
              </w:rPr>
              <w:t>旦发生了设备漏油事件，应快速妥善处理，及时采用沙土覆盖。</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Ansi="宋体"/>
                <w:sz w:val="24"/>
                <w:szCs w:val="24"/>
                <w:u w:val="none"/>
              </w:rPr>
            </w:pPr>
            <w:r>
              <w:rPr>
                <w:rFonts w:hint="eastAsia" w:ascii="宋体" w:hAnsi="宋体" w:eastAsia="宋体" w:cs="宋体"/>
                <w:sz w:val="24"/>
                <w:szCs w:val="24"/>
                <w:u w:val="none"/>
              </w:rPr>
              <w:t>⑤</w:t>
            </w:r>
            <w:r>
              <w:rPr>
                <w:rFonts w:hint="eastAsia" w:hAnsi="宋体"/>
                <w:sz w:val="24"/>
                <w:szCs w:val="24"/>
                <w:u w:val="none"/>
              </w:rPr>
              <w:t>项目产生的建筑垃圾需集中堆放，尽量远离水体并及时清运。</w:t>
            </w:r>
          </w:p>
          <w:p>
            <w:pPr>
              <w:pStyle w:val="92"/>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hAnsi="宋体" w:cs="Times New Roman"/>
                <w:kern w:val="0"/>
                <w:sz w:val="24"/>
                <w:szCs w:val="24"/>
                <w:u w:val="none"/>
              </w:rPr>
            </w:pPr>
            <w:r>
              <w:rPr>
                <w:rFonts w:hint="eastAsia" w:hAnsi="宋体" w:cs="Times New Roman"/>
                <w:kern w:val="0"/>
                <w:sz w:val="24"/>
                <w:szCs w:val="24"/>
                <w:u w:val="none"/>
              </w:rPr>
              <w:t>在严格落实本报告提出的水污染防治措施后，本项目施工期废水排放对周围地表水体影响不大。</w:t>
            </w:r>
          </w:p>
          <w:p>
            <w:pPr>
              <w:pStyle w:val="35"/>
              <w:spacing w:line="360" w:lineRule="auto"/>
              <w:rPr>
                <w:rFonts w:hint="default" w:ascii="Times New Roman" w:hAnsi="宋体" w:eastAsia="宋体" w:cs="Times New Roman"/>
                <w:b/>
                <w:color w:val="auto"/>
                <w:sz w:val="24"/>
                <w:szCs w:val="24"/>
                <w:lang w:val="en-US" w:eastAsia="zh-CN"/>
              </w:rPr>
            </w:pPr>
            <w:r>
              <w:rPr>
                <w:rFonts w:hint="eastAsia" w:ascii="Times New Roman" w:hAnsi="宋体" w:eastAsia="宋体" w:cs="Times New Roman"/>
                <w:b/>
                <w:color w:val="auto"/>
                <w:sz w:val="24"/>
                <w:szCs w:val="24"/>
                <w:lang w:val="en-US" w:eastAsia="zh-CN"/>
              </w:rPr>
              <w:t>7.1.3</w:t>
            </w:r>
            <w:r>
              <w:rPr>
                <w:rFonts w:hint="default" w:ascii="Times New Roman" w:hAnsi="宋体" w:eastAsia="宋体" w:cs="Times New Roman"/>
                <w:b/>
                <w:color w:val="auto"/>
                <w:sz w:val="24"/>
                <w:szCs w:val="24"/>
                <w:lang w:val="en-US" w:eastAsia="zh-CN"/>
              </w:rPr>
              <w:t>声环境影响分析</w:t>
            </w:r>
          </w:p>
          <w:p>
            <w:pPr>
              <w:spacing w:line="360" w:lineRule="auto"/>
              <w:ind w:firstLine="480"/>
              <w:rPr>
                <w:sz w:val="24"/>
              </w:rPr>
            </w:pPr>
            <w:r>
              <w:rPr>
                <w:sz w:val="24"/>
              </w:rPr>
              <w:t>建筑施工期的噪声源主要为施工机械和车辆，其特点是间歇或阵发性的，并具备流动性、噪声较高（噪声值在</w:t>
            </w:r>
            <w:r>
              <w:rPr>
                <w:rFonts w:hint="eastAsia"/>
                <w:sz w:val="24"/>
                <w:lang w:val="en-US" w:eastAsia="zh-CN"/>
              </w:rPr>
              <w:t>72</w:t>
            </w:r>
            <w:r>
              <w:rPr>
                <w:sz w:val="24"/>
              </w:rPr>
              <w:t>-</w:t>
            </w:r>
            <w:r>
              <w:rPr>
                <w:rFonts w:hint="eastAsia"/>
                <w:sz w:val="24"/>
                <w:lang w:val="en-US" w:eastAsia="zh-CN"/>
              </w:rPr>
              <w:t>105</w:t>
            </w:r>
            <w:r>
              <w:rPr>
                <w:sz w:val="24"/>
              </w:rPr>
              <w:t>dB(A)）的特征。因此，在考虑本工程噪声源对环境的影响时，仅考虑点声源到不同距离处经距离衰减后的噪声。各类施工机械声级采用类比调查法获取，具体的噪声源强见表</w:t>
            </w:r>
            <w:r>
              <w:rPr>
                <w:rFonts w:hint="eastAsia"/>
                <w:sz w:val="24"/>
                <w:lang w:val="en-US" w:eastAsia="zh-CN"/>
              </w:rPr>
              <w:t>7.1-4</w:t>
            </w:r>
            <w:r>
              <w:rPr>
                <w:sz w:val="24"/>
              </w:rPr>
              <w:t>。</w:t>
            </w:r>
          </w:p>
          <w:p>
            <w:pPr>
              <w:pStyle w:val="15"/>
              <w:widowControl/>
              <w:spacing w:before="0" w:line="240" w:lineRule="auto"/>
              <w:jc w:val="center"/>
              <w:rPr>
                <w:rFonts w:ascii="Times New Roman" w:hAnsi="Times New Roman"/>
                <w:b/>
                <w:sz w:val="24"/>
                <w:szCs w:val="24"/>
              </w:rPr>
            </w:pPr>
            <w:r>
              <w:rPr>
                <w:rFonts w:ascii="Times New Roman" w:hAnsi="Times New Roman"/>
                <w:b/>
                <w:sz w:val="24"/>
                <w:szCs w:val="24"/>
              </w:rPr>
              <w:t>表</w:t>
            </w:r>
            <w:r>
              <w:rPr>
                <w:rFonts w:hint="eastAsia" w:ascii="Times New Roman" w:hAnsi="Times New Roman"/>
                <w:b/>
                <w:sz w:val="24"/>
                <w:szCs w:val="24"/>
                <w:lang w:val="en-US" w:eastAsia="zh-CN"/>
              </w:rPr>
              <w:t>7.1-4</w:t>
            </w:r>
            <w:r>
              <w:rPr>
                <w:rFonts w:ascii="Times New Roman" w:hAnsi="Times New Roman"/>
                <w:b/>
                <w:sz w:val="24"/>
                <w:szCs w:val="24"/>
              </w:rPr>
              <w:t xml:space="preserve">   主要施工机械噪声源强</w:t>
            </w:r>
          </w:p>
          <w:tbl>
            <w:tblPr>
              <w:tblStyle w:val="26"/>
              <w:tblW w:w="9555" w:type="dxa"/>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1018"/>
              <w:gridCol w:w="4798"/>
              <w:gridCol w:w="3739"/>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16" w:hRule="atLeast"/>
                <w:jc w:val="center"/>
              </w:trPr>
              <w:tc>
                <w:tcPr>
                  <w:tcW w:w="1018" w:type="dxa"/>
                  <w:tcBorders>
                    <w:tl2br w:val="nil"/>
                    <w:tr2bl w:val="nil"/>
                  </w:tcBorders>
                  <w:noWrap w:val="0"/>
                  <w:vAlign w:val="center"/>
                </w:tcPr>
                <w:p>
                  <w:pPr>
                    <w:jc w:val="center"/>
                    <w:rPr>
                      <w:rFonts w:hint="eastAsia" w:eastAsia="宋体"/>
                      <w:szCs w:val="21"/>
                      <w:lang w:val="en-US" w:eastAsia="zh-CN"/>
                    </w:rPr>
                  </w:pPr>
                  <w:r>
                    <w:rPr>
                      <w:rFonts w:hint="eastAsia"/>
                      <w:szCs w:val="21"/>
                      <w:lang w:val="en-US" w:eastAsia="zh-CN"/>
                    </w:rPr>
                    <w:t>序号</w:t>
                  </w:r>
                </w:p>
              </w:tc>
              <w:tc>
                <w:tcPr>
                  <w:tcW w:w="4798" w:type="dxa"/>
                  <w:tcBorders>
                    <w:tl2br w:val="nil"/>
                    <w:tr2bl w:val="nil"/>
                  </w:tcBorders>
                  <w:noWrap w:val="0"/>
                  <w:vAlign w:val="center"/>
                </w:tcPr>
                <w:p>
                  <w:pPr>
                    <w:jc w:val="center"/>
                    <w:rPr>
                      <w:szCs w:val="21"/>
                    </w:rPr>
                  </w:pPr>
                  <w:r>
                    <w:rPr>
                      <w:szCs w:val="21"/>
                    </w:rPr>
                    <w:t>设备</w:t>
                  </w:r>
                </w:p>
              </w:tc>
              <w:tc>
                <w:tcPr>
                  <w:tcW w:w="3739" w:type="dxa"/>
                  <w:tcBorders>
                    <w:tl2br w:val="nil"/>
                    <w:tr2bl w:val="nil"/>
                  </w:tcBorders>
                  <w:noWrap w:val="0"/>
                  <w:vAlign w:val="center"/>
                </w:tcPr>
                <w:p>
                  <w:pPr>
                    <w:jc w:val="center"/>
                    <w:rPr>
                      <w:szCs w:val="21"/>
                    </w:rPr>
                  </w:pPr>
                  <w:r>
                    <w:rPr>
                      <w:szCs w:val="21"/>
                    </w:rPr>
                    <w:t>单机最大噪声值dB（A）</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03"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sz w:val="21"/>
                      <w:szCs w:val="21"/>
                      <w:lang w:val="en-US" w:eastAsia="zh-CN"/>
                    </w:rPr>
                  </w:pPr>
                  <w:r>
                    <w:rPr>
                      <w:rFonts w:hint="eastAsia"/>
                      <w:sz w:val="21"/>
                      <w:szCs w:val="21"/>
                      <w:lang w:val="en-US" w:eastAsia="zh-CN"/>
                    </w:rPr>
                    <w:t>1</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rFonts w:hint="eastAsia"/>
                      <w:sz w:val="21"/>
                      <w:szCs w:val="21"/>
                      <w:lang w:val="en-US" w:eastAsia="zh-CN"/>
                    </w:rPr>
                    <w:t>液压</w:t>
                  </w:r>
                  <w:r>
                    <w:rPr>
                      <w:sz w:val="21"/>
                      <w:szCs w:val="21"/>
                    </w:rPr>
                    <w:t>挖掘机</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72-98</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03"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2</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sz w:val="21"/>
                      <w:szCs w:val="21"/>
                    </w:rPr>
                    <w:t>推土机</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75-94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03"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3</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sz w:val="21"/>
                      <w:szCs w:val="21"/>
                    </w:rPr>
                    <w:t>汽车</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82-9</w:t>
                  </w:r>
                  <w:r>
                    <w:rPr>
                      <w:rFonts w:hint="eastAsia"/>
                      <w:sz w:val="21"/>
                      <w:szCs w:val="21"/>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03"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4</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rFonts w:hint="eastAsia"/>
                      <w:sz w:val="21"/>
                      <w:szCs w:val="21"/>
                    </w:rPr>
                    <w:t>起重机</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rFonts w:hint="eastAsia"/>
                      <w:sz w:val="21"/>
                      <w:szCs w:val="21"/>
                    </w:rPr>
                    <w:t>75</w:t>
                  </w:r>
                  <w:r>
                    <w:rPr>
                      <w:sz w:val="21"/>
                      <w:szCs w:val="21"/>
                    </w:rPr>
                    <w:t>-</w:t>
                  </w:r>
                  <w:r>
                    <w:rPr>
                      <w:rFonts w:hint="eastAsia"/>
                      <w:sz w:val="21"/>
                      <w:szCs w:val="21"/>
                    </w:rPr>
                    <w:t>85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03"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5</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rFonts w:hint="eastAsia"/>
                      <w:sz w:val="21"/>
                      <w:szCs w:val="21"/>
                    </w:rPr>
                    <w:t>搅拌机</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74-95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28"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ascii="Times New Roman" w:hAnsi="Times New Roman" w:cs="Times New Roman"/>
                      <w:kern w:val="2"/>
                      <w:sz w:val="24"/>
                      <w:szCs w:val="24"/>
                      <w:lang w:val="en-US" w:eastAsia="zh-CN" w:bidi="ar-SA"/>
                    </w:rPr>
                  </w:pPr>
                  <w:r>
                    <w:rPr>
                      <w:rFonts w:hint="eastAsia" w:ascii="Times New Roman" w:hAnsi="Times New Roman" w:cs="Times New Roman"/>
                      <w:kern w:val="2"/>
                      <w:sz w:val="24"/>
                      <w:szCs w:val="24"/>
                      <w:lang w:val="en-US" w:eastAsia="zh-CN" w:bidi="ar-SA"/>
                    </w:rPr>
                    <w:t>6</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rFonts w:hint="eastAsia" w:ascii="Times New Roman" w:hAnsi="Times New Roman" w:cs="Times New Roman"/>
                      <w:kern w:val="2"/>
                      <w:sz w:val="21"/>
                      <w:szCs w:val="21"/>
                      <w:lang w:val="en-US" w:eastAsia="zh-CN" w:bidi="ar-SA"/>
                    </w:rPr>
                    <w:t>小型振动碾</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93-105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28"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7</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sz w:val="21"/>
                      <w:szCs w:val="21"/>
                    </w:rPr>
                    <w:t>夯实机</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75-9</w:t>
                  </w:r>
                  <w:r>
                    <w:rPr>
                      <w:rFonts w:hint="eastAsia"/>
                      <w:sz w:val="21"/>
                      <w:szCs w:val="21"/>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28" w:hRule="atLeast"/>
                <w:jc w:val="center"/>
              </w:trPr>
              <w:tc>
                <w:tcPr>
                  <w:tcW w:w="1018" w:type="dxa"/>
                  <w:tcBorders>
                    <w:tl2br w:val="nil"/>
                    <w:tr2bl w:val="nil"/>
                  </w:tcBorders>
                  <w:noWrap w:val="0"/>
                  <w:vAlign w:val="center"/>
                </w:tcPr>
                <w:p>
                  <w:pPr>
                    <w:adjustRightInd w:val="0"/>
                    <w:snapToGrid w:val="0"/>
                    <w:spacing w:line="240" w:lineRule="auto"/>
                    <w:ind w:firstLine="0" w:firstLineChars="0"/>
                    <w:jc w:val="center"/>
                    <w:rPr>
                      <w:rFonts w:hint="eastAsia" w:eastAsia="宋体"/>
                      <w:sz w:val="21"/>
                      <w:szCs w:val="21"/>
                      <w:lang w:val="en-US" w:eastAsia="zh-CN"/>
                    </w:rPr>
                  </w:pPr>
                  <w:r>
                    <w:rPr>
                      <w:rFonts w:hint="eastAsia"/>
                      <w:sz w:val="21"/>
                      <w:szCs w:val="21"/>
                      <w:lang w:val="en-US" w:eastAsia="zh-CN"/>
                    </w:rPr>
                    <w:t>8</w:t>
                  </w:r>
                </w:p>
              </w:tc>
              <w:tc>
                <w:tcPr>
                  <w:tcW w:w="4798" w:type="dxa"/>
                  <w:tcBorders>
                    <w:tl2br w:val="nil"/>
                    <w:tr2bl w:val="nil"/>
                  </w:tcBorders>
                  <w:noWrap w:val="0"/>
                  <w:vAlign w:val="center"/>
                </w:tcPr>
                <w:p>
                  <w:pPr>
                    <w:adjustRightInd w:val="0"/>
                    <w:snapToGrid w:val="0"/>
                    <w:spacing w:line="240" w:lineRule="auto"/>
                    <w:ind w:firstLine="0" w:firstLineChars="0"/>
                    <w:jc w:val="center"/>
                    <w:rPr>
                      <w:szCs w:val="21"/>
                    </w:rPr>
                  </w:pPr>
                  <w:r>
                    <w:rPr>
                      <w:sz w:val="21"/>
                      <w:szCs w:val="21"/>
                    </w:rPr>
                    <w:t>水泵</w:t>
                  </w:r>
                </w:p>
              </w:tc>
              <w:tc>
                <w:tcPr>
                  <w:tcW w:w="3739" w:type="dxa"/>
                  <w:tcBorders>
                    <w:tl2br w:val="nil"/>
                    <w:tr2bl w:val="nil"/>
                  </w:tcBorders>
                  <w:noWrap w:val="0"/>
                  <w:vAlign w:val="center"/>
                </w:tcPr>
                <w:p>
                  <w:pPr>
                    <w:adjustRightInd w:val="0"/>
                    <w:snapToGrid w:val="0"/>
                    <w:spacing w:line="240" w:lineRule="auto"/>
                    <w:ind w:firstLine="0" w:firstLineChars="0"/>
                    <w:jc w:val="center"/>
                    <w:rPr>
                      <w:rFonts w:hint="eastAsia"/>
                      <w:szCs w:val="21"/>
                    </w:rPr>
                  </w:pPr>
                  <w:r>
                    <w:rPr>
                      <w:sz w:val="21"/>
                      <w:szCs w:val="21"/>
                    </w:rPr>
                    <w:t>89-103</w:t>
                  </w:r>
                </w:p>
              </w:tc>
            </w:tr>
          </w:tbl>
          <w:p>
            <w:pPr>
              <w:spacing w:line="360" w:lineRule="auto"/>
              <w:ind w:firstLine="480" w:firstLineChars="200"/>
              <w:rPr>
                <w:sz w:val="24"/>
              </w:rPr>
            </w:pPr>
            <w:r>
              <w:rPr>
                <w:sz w:val="24"/>
              </w:rPr>
              <w:t>在考虑本工程噪声源对环境影响的同时，仅考虑点声源到不同距离处经距离衰减后的噪声，计算出声源对附近敏感点的贡献值，并对声源的贡献值进行分析。噪声值计算模式为：</w:t>
            </w:r>
          </w:p>
          <w:p>
            <w:pPr>
              <w:spacing w:line="360" w:lineRule="auto"/>
              <w:ind w:firstLine="1204" w:firstLineChars="502"/>
              <w:rPr>
                <w:sz w:val="24"/>
              </w:rPr>
            </w:pPr>
            <w:r>
              <w:rPr>
                <w:sz w:val="24"/>
              </w:rPr>
              <w:t xml:space="preserve">            L</w:t>
            </w:r>
            <w:r>
              <w:rPr>
                <w:sz w:val="24"/>
                <w:vertAlign w:val="subscript"/>
              </w:rPr>
              <w:t>A</w:t>
            </w:r>
            <w:r>
              <w:rPr>
                <w:sz w:val="24"/>
              </w:rPr>
              <w:t>（r）=L</w:t>
            </w:r>
            <w:r>
              <w:rPr>
                <w:sz w:val="24"/>
                <w:vertAlign w:val="subscript"/>
              </w:rPr>
              <w:t>Aref</w:t>
            </w:r>
            <w:r>
              <w:rPr>
                <w:sz w:val="24"/>
              </w:rPr>
              <w:t>（r</w:t>
            </w:r>
            <w:r>
              <w:rPr>
                <w:sz w:val="24"/>
                <w:vertAlign w:val="subscript"/>
              </w:rPr>
              <w:t>o</w:t>
            </w:r>
            <w:r>
              <w:rPr>
                <w:sz w:val="24"/>
              </w:rPr>
              <w:t>）-(A</w:t>
            </w:r>
            <w:r>
              <w:rPr>
                <w:sz w:val="24"/>
                <w:vertAlign w:val="subscript"/>
              </w:rPr>
              <w:t>div</w:t>
            </w:r>
            <w:r>
              <w:rPr>
                <w:sz w:val="24"/>
              </w:rPr>
              <w:t>+A</w:t>
            </w:r>
            <w:r>
              <w:rPr>
                <w:sz w:val="24"/>
                <w:vertAlign w:val="subscript"/>
              </w:rPr>
              <w:t>bar</w:t>
            </w:r>
            <w:r>
              <w:rPr>
                <w:sz w:val="24"/>
              </w:rPr>
              <w:t>+A</w:t>
            </w:r>
            <w:r>
              <w:rPr>
                <w:sz w:val="24"/>
                <w:vertAlign w:val="subscript"/>
              </w:rPr>
              <w:t>atm</w:t>
            </w:r>
            <w:r>
              <w:rPr>
                <w:sz w:val="24"/>
              </w:rPr>
              <w:t>+A</w:t>
            </w:r>
            <w:r>
              <w:rPr>
                <w:sz w:val="24"/>
                <w:vertAlign w:val="subscript"/>
              </w:rPr>
              <w:t>exc</w:t>
            </w:r>
            <w:r>
              <w:rPr>
                <w:sz w:val="24"/>
              </w:rPr>
              <w:t>)</w:t>
            </w:r>
          </w:p>
          <w:p>
            <w:pPr>
              <w:spacing w:line="360" w:lineRule="auto"/>
              <w:ind w:firstLine="480" w:firstLineChars="200"/>
              <w:rPr>
                <w:sz w:val="24"/>
              </w:rPr>
            </w:pPr>
            <w:r>
              <w:rPr>
                <w:sz w:val="24"/>
              </w:rPr>
              <w:t>式中：L</w:t>
            </w:r>
            <w:r>
              <w:rPr>
                <w:sz w:val="24"/>
                <w:vertAlign w:val="subscript"/>
              </w:rPr>
              <w:t>A</w:t>
            </w:r>
            <w:r>
              <w:rPr>
                <w:sz w:val="24"/>
              </w:rPr>
              <w:t>（r）——距声源r处的A声级，dB；</w:t>
            </w:r>
          </w:p>
          <w:p>
            <w:pPr>
              <w:spacing w:line="360" w:lineRule="auto"/>
              <w:ind w:firstLine="1200" w:firstLineChars="500"/>
              <w:rPr>
                <w:sz w:val="24"/>
              </w:rPr>
            </w:pPr>
            <w:r>
              <w:rPr>
                <w:sz w:val="24"/>
              </w:rPr>
              <w:t>L</w:t>
            </w:r>
            <w:r>
              <w:rPr>
                <w:sz w:val="24"/>
                <w:vertAlign w:val="subscript"/>
              </w:rPr>
              <w:t>Aref</w:t>
            </w:r>
            <w:r>
              <w:rPr>
                <w:sz w:val="24"/>
              </w:rPr>
              <w:t>（r</w:t>
            </w:r>
            <w:r>
              <w:rPr>
                <w:sz w:val="24"/>
                <w:vertAlign w:val="subscript"/>
              </w:rPr>
              <w:t>o</w:t>
            </w:r>
            <w:r>
              <w:rPr>
                <w:sz w:val="24"/>
              </w:rPr>
              <w:t>）——参考位置r</w:t>
            </w:r>
            <w:r>
              <w:rPr>
                <w:sz w:val="24"/>
                <w:vertAlign w:val="subscript"/>
              </w:rPr>
              <w:t>o</w:t>
            </w:r>
            <w:r>
              <w:rPr>
                <w:sz w:val="24"/>
              </w:rPr>
              <w:t>处的A声级，dB；</w:t>
            </w:r>
          </w:p>
          <w:p>
            <w:pPr>
              <w:spacing w:line="360" w:lineRule="auto"/>
              <w:ind w:firstLine="1200" w:firstLineChars="500"/>
              <w:rPr>
                <w:sz w:val="24"/>
              </w:rPr>
            </w:pPr>
            <w:r>
              <w:rPr>
                <w:sz w:val="24"/>
              </w:rPr>
              <w:t>A</w:t>
            </w:r>
            <w:r>
              <w:rPr>
                <w:sz w:val="24"/>
                <w:vertAlign w:val="subscript"/>
              </w:rPr>
              <w:t>div</w:t>
            </w:r>
            <w:r>
              <w:rPr>
                <w:sz w:val="24"/>
              </w:rPr>
              <w:t>——声波几何发散引起的A声级衰减量dB；</w:t>
            </w:r>
          </w:p>
          <w:p>
            <w:pPr>
              <w:spacing w:line="360" w:lineRule="auto"/>
              <w:ind w:firstLine="1132" w:firstLineChars="472"/>
              <w:rPr>
                <w:sz w:val="24"/>
                <w:lang w:val="pt-BR"/>
              </w:rPr>
            </w:pPr>
            <w:r>
              <w:rPr>
                <w:sz w:val="24"/>
                <w:lang w:val="pt-BR"/>
              </w:rPr>
              <w:t>A</w:t>
            </w:r>
            <w:r>
              <w:rPr>
                <w:sz w:val="24"/>
                <w:vertAlign w:val="subscript"/>
                <w:lang w:val="pt-BR"/>
              </w:rPr>
              <w:t>div</w:t>
            </w:r>
            <w:r>
              <w:rPr>
                <w:sz w:val="24"/>
                <w:lang w:val="pt-BR"/>
              </w:rPr>
              <w:t>=20lg（r/ r</w:t>
            </w:r>
            <w:r>
              <w:rPr>
                <w:sz w:val="24"/>
                <w:vertAlign w:val="subscript"/>
                <w:lang w:val="pt-BR"/>
              </w:rPr>
              <w:t>o</w:t>
            </w:r>
            <w:r>
              <w:rPr>
                <w:sz w:val="24"/>
                <w:lang w:val="pt-BR"/>
              </w:rPr>
              <w:t>）；</w:t>
            </w:r>
          </w:p>
          <w:p>
            <w:pPr>
              <w:spacing w:line="360" w:lineRule="auto"/>
              <w:ind w:firstLine="1132" w:firstLineChars="472"/>
              <w:rPr>
                <w:sz w:val="24"/>
              </w:rPr>
            </w:pPr>
            <w:r>
              <w:rPr>
                <w:sz w:val="24"/>
              </w:rPr>
              <w:t>A</w:t>
            </w:r>
            <w:r>
              <w:rPr>
                <w:sz w:val="24"/>
                <w:vertAlign w:val="subscript"/>
              </w:rPr>
              <w:t>bar</w:t>
            </w:r>
            <w:r>
              <w:rPr>
                <w:sz w:val="24"/>
              </w:rPr>
              <w:t>——遮挡物引起的A声级衰减量dB，在此取值为0；</w:t>
            </w:r>
          </w:p>
          <w:p>
            <w:pPr>
              <w:spacing w:line="360" w:lineRule="auto"/>
              <w:ind w:firstLine="1132" w:firstLineChars="472"/>
              <w:rPr>
                <w:sz w:val="24"/>
              </w:rPr>
            </w:pPr>
            <w:r>
              <w:rPr>
                <w:sz w:val="24"/>
              </w:rPr>
              <w:t>A</w:t>
            </w:r>
            <w:r>
              <w:rPr>
                <w:sz w:val="24"/>
                <w:vertAlign w:val="subscript"/>
              </w:rPr>
              <w:t>atm</w:t>
            </w:r>
            <w:r>
              <w:rPr>
                <w:sz w:val="24"/>
              </w:rPr>
              <w:t>——空气吸收引起的A声级衰减量dB；</w:t>
            </w:r>
          </w:p>
          <w:p>
            <w:pPr>
              <w:spacing w:line="360" w:lineRule="auto"/>
              <w:ind w:firstLine="1132" w:firstLineChars="472"/>
              <w:rPr>
                <w:sz w:val="24"/>
              </w:rPr>
            </w:pPr>
            <w:r>
              <w:rPr>
                <w:sz w:val="24"/>
              </w:rPr>
              <w:t>A</w:t>
            </w:r>
            <w:r>
              <w:rPr>
                <w:sz w:val="24"/>
                <w:vertAlign w:val="subscript"/>
              </w:rPr>
              <w:t>atm</w:t>
            </w:r>
            <w:r>
              <w:rPr>
                <w:sz w:val="24"/>
              </w:rPr>
              <w:t>=α(r/r</w:t>
            </w:r>
            <w:r>
              <w:rPr>
                <w:sz w:val="24"/>
                <w:vertAlign w:val="subscript"/>
              </w:rPr>
              <w:t>o</w:t>
            </w:r>
            <w:r>
              <w:rPr>
                <w:sz w:val="24"/>
              </w:rPr>
              <w:t>)/100，查表取α为1.142；</w:t>
            </w:r>
          </w:p>
          <w:p>
            <w:pPr>
              <w:spacing w:line="360" w:lineRule="auto"/>
              <w:ind w:firstLine="1132" w:firstLineChars="472"/>
              <w:rPr>
                <w:sz w:val="24"/>
              </w:rPr>
            </w:pPr>
            <w:r>
              <w:rPr>
                <w:sz w:val="24"/>
              </w:rPr>
              <w:t>A</w:t>
            </w:r>
            <w:r>
              <w:rPr>
                <w:sz w:val="24"/>
                <w:vertAlign w:val="subscript"/>
              </w:rPr>
              <w:t>exc</w:t>
            </w:r>
            <w:r>
              <w:rPr>
                <w:sz w:val="24"/>
              </w:rPr>
              <w:t>——附加A声级衰减量dB，A</w:t>
            </w:r>
            <w:r>
              <w:rPr>
                <w:sz w:val="24"/>
                <w:vertAlign w:val="subscript"/>
              </w:rPr>
              <w:t>exc</w:t>
            </w:r>
            <w:r>
              <w:rPr>
                <w:sz w:val="24"/>
              </w:rPr>
              <w:t>=5lg(r/r</w:t>
            </w:r>
            <w:r>
              <w:rPr>
                <w:sz w:val="24"/>
                <w:vertAlign w:val="subscript"/>
              </w:rPr>
              <w:t>o</w:t>
            </w:r>
            <w:r>
              <w:rPr>
                <w:sz w:val="24"/>
              </w:rPr>
              <w:t>)。</w:t>
            </w:r>
          </w:p>
          <w:p>
            <w:pPr>
              <w:spacing w:line="360" w:lineRule="auto"/>
              <w:ind w:firstLine="480"/>
              <w:rPr>
                <w:sz w:val="24"/>
              </w:rPr>
            </w:pPr>
            <w:r>
              <w:rPr>
                <w:sz w:val="24"/>
              </w:rPr>
              <w:t>施工场地噪声预测结果见表</w:t>
            </w:r>
            <w:r>
              <w:rPr>
                <w:rFonts w:hint="eastAsia"/>
                <w:sz w:val="24"/>
                <w:lang w:val="en-US" w:eastAsia="zh-CN"/>
              </w:rPr>
              <w:t>7.1-5</w:t>
            </w:r>
            <w:r>
              <w:rPr>
                <w:sz w:val="24"/>
              </w:rPr>
              <w:t>。</w:t>
            </w:r>
          </w:p>
          <w:p>
            <w:pPr>
              <w:pStyle w:val="15"/>
              <w:widowControl/>
              <w:spacing w:before="0" w:line="240" w:lineRule="auto"/>
              <w:jc w:val="center"/>
              <w:rPr>
                <w:rFonts w:ascii="Times New Roman" w:hAnsi="Times New Roman"/>
                <w:b/>
                <w:sz w:val="24"/>
                <w:szCs w:val="24"/>
              </w:rPr>
            </w:pPr>
            <w:r>
              <w:rPr>
                <w:rFonts w:ascii="Times New Roman" w:hAnsi="Times New Roman"/>
                <w:b/>
                <w:sz w:val="24"/>
                <w:szCs w:val="24"/>
              </w:rPr>
              <w:t>表</w:t>
            </w:r>
            <w:r>
              <w:rPr>
                <w:rFonts w:hint="eastAsia" w:ascii="Times New Roman" w:hAnsi="Times New Roman"/>
                <w:b/>
                <w:sz w:val="24"/>
                <w:szCs w:val="24"/>
                <w:lang w:val="en-US" w:eastAsia="zh-CN"/>
              </w:rPr>
              <w:t>7.1-5</w:t>
            </w:r>
            <w:r>
              <w:rPr>
                <w:rFonts w:ascii="Times New Roman" w:hAnsi="Times New Roman"/>
                <w:b/>
                <w:sz w:val="24"/>
                <w:szCs w:val="24"/>
              </w:rPr>
              <w:t xml:space="preserve">  </w:t>
            </w:r>
            <w:r>
              <w:rPr>
                <w:rFonts w:hint="eastAsia" w:ascii="Times New Roman" w:hAnsi="Times New Roman"/>
                <w:b/>
                <w:sz w:val="24"/>
                <w:szCs w:val="24"/>
              </w:rPr>
              <w:t xml:space="preserve">单台机械设备噪声距离衰减预测值 </w:t>
            </w:r>
            <w:r>
              <w:rPr>
                <w:rFonts w:ascii="Times New Roman" w:hAnsi="Times New Roman"/>
                <w:b/>
                <w:sz w:val="24"/>
                <w:szCs w:val="24"/>
              </w:rPr>
              <w:t>dB（A）</w:t>
            </w:r>
          </w:p>
          <w:tbl>
            <w:tblPr>
              <w:tblStyle w:val="26"/>
              <w:tblW w:w="9529"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1503"/>
              <w:gridCol w:w="1032"/>
              <w:gridCol w:w="859"/>
              <w:gridCol w:w="859"/>
              <w:gridCol w:w="859"/>
              <w:gridCol w:w="858"/>
              <w:gridCol w:w="859"/>
              <w:gridCol w:w="859"/>
              <w:gridCol w:w="859"/>
              <w:gridCol w:w="98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51" w:hRule="atLeast"/>
                <w:jc w:val="center"/>
              </w:trPr>
              <w:tc>
                <w:tcPr>
                  <w:tcW w:w="1503" w:type="dxa"/>
                  <w:tcBorders>
                    <w:tl2br w:val="nil"/>
                    <w:tr2bl w:val="nil"/>
                  </w:tcBorders>
                  <w:noWrap w:val="0"/>
                  <w:vAlign w:val="center"/>
                </w:tcPr>
                <w:p>
                  <w:pPr>
                    <w:jc w:val="center"/>
                    <w:rPr>
                      <w:szCs w:val="21"/>
                    </w:rPr>
                  </w:pPr>
                  <w:r>
                    <w:rPr>
                      <w:szCs w:val="21"/>
                    </w:rPr>
                    <w:t>设备名称</w:t>
                  </w:r>
                </w:p>
              </w:tc>
              <w:tc>
                <w:tcPr>
                  <w:tcW w:w="1032" w:type="dxa"/>
                  <w:tcBorders>
                    <w:tl2br w:val="nil"/>
                    <w:tr2bl w:val="nil"/>
                  </w:tcBorders>
                  <w:noWrap w:val="0"/>
                  <w:vAlign w:val="center"/>
                </w:tcPr>
                <w:p>
                  <w:pPr>
                    <w:jc w:val="center"/>
                    <w:rPr>
                      <w:szCs w:val="21"/>
                    </w:rPr>
                  </w:pPr>
                  <w:r>
                    <w:rPr>
                      <w:szCs w:val="21"/>
                    </w:rPr>
                    <w:t>5m</w:t>
                  </w:r>
                </w:p>
              </w:tc>
              <w:tc>
                <w:tcPr>
                  <w:tcW w:w="859" w:type="dxa"/>
                  <w:tcBorders>
                    <w:tl2br w:val="nil"/>
                    <w:tr2bl w:val="nil"/>
                  </w:tcBorders>
                  <w:noWrap w:val="0"/>
                  <w:vAlign w:val="center"/>
                </w:tcPr>
                <w:p>
                  <w:pPr>
                    <w:jc w:val="center"/>
                    <w:rPr>
                      <w:szCs w:val="21"/>
                    </w:rPr>
                  </w:pPr>
                  <w:r>
                    <w:rPr>
                      <w:szCs w:val="21"/>
                    </w:rPr>
                    <w:t>10m</w:t>
                  </w:r>
                </w:p>
              </w:tc>
              <w:tc>
                <w:tcPr>
                  <w:tcW w:w="859" w:type="dxa"/>
                  <w:tcBorders>
                    <w:tl2br w:val="nil"/>
                    <w:tr2bl w:val="nil"/>
                  </w:tcBorders>
                  <w:noWrap w:val="0"/>
                  <w:vAlign w:val="center"/>
                </w:tcPr>
                <w:p>
                  <w:pPr>
                    <w:jc w:val="center"/>
                    <w:rPr>
                      <w:szCs w:val="21"/>
                    </w:rPr>
                  </w:pPr>
                  <w:r>
                    <w:rPr>
                      <w:szCs w:val="21"/>
                    </w:rPr>
                    <w:t>20m</w:t>
                  </w:r>
                </w:p>
              </w:tc>
              <w:tc>
                <w:tcPr>
                  <w:tcW w:w="859" w:type="dxa"/>
                  <w:tcBorders>
                    <w:tl2br w:val="nil"/>
                    <w:tr2bl w:val="nil"/>
                  </w:tcBorders>
                  <w:noWrap w:val="0"/>
                  <w:vAlign w:val="center"/>
                </w:tcPr>
                <w:p>
                  <w:pPr>
                    <w:jc w:val="center"/>
                    <w:rPr>
                      <w:szCs w:val="21"/>
                    </w:rPr>
                  </w:pPr>
                  <w:r>
                    <w:rPr>
                      <w:szCs w:val="21"/>
                    </w:rPr>
                    <w:t>40m</w:t>
                  </w:r>
                </w:p>
              </w:tc>
              <w:tc>
                <w:tcPr>
                  <w:tcW w:w="858" w:type="dxa"/>
                  <w:tcBorders>
                    <w:tl2br w:val="nil"/>
                    <w:tr2bl w:val="nil"/>
                  </w:tcBorders>
                  <w:noWrap w:val="0"/>
                  <w:vAlign w:val="center"/>
                </w:tcPr>
                <w:p>
                  <w:pPr>
                    <w:jc w:val="center"/>
                    <w:rPr>
                      <w:szCs w:val="21"/>
                    </w:rPr>
                  </w:pPr>
                  <w:r>
                    <w:rPr>
                      <w:szCs w:val="21"/>
                    </w:rPr>
                    <w:t>50m</w:t>
                  </w:r>
                </w:p>
              </w:tc>
              <w:tc>
                <w:tcPr>
                  <w:tcW w:w="859" w:type="dxa"/>
                  <w:tcBorders>
                    <w:tl2br w:val="nil"/>
                    <w:tr2bl w:val="nil"/>
                  </w:tcBorders>
                  <w:noWrap w:val="0"/>
                  <w:vAlign w:val="center"/>
                </w:tcPr>
                <w:p>
                  <w:pPr>
                    <w:jc w:val="center"/>
                    <w:rPr>
                      <w:szCs w:val="21"/>
                    </w:rPr>
                  </w:pPr>
                  <w:r>
                    <w:rPr>
                      <w:szCs w:val="21"/>
                    </w:rPr>
                    <w:t>100m</w:t>
                  </w:r>
                </w:p>
              </w:tc>
              <w:tc>
                <w:tcPr>
                  <w:tcW w:w="859" w:type="dxa"/>
                  <w:tcBorders>
                    <w:tl2br w:val="nil"/>
                    <w:tr2bl w:val="nil"/>
                  </w:tcBorders>
                  <w:noWrap w:val="0"/>
                  <w:vAlign w:val="center"/>
                </w:tcPr>
                <w:p>
                  <w:pPr>
                    <w:jc w:val="center"/>
                    <w:rPr>
                      <w:szCs w:val="21"/>
                    </w:rPr>
                  </w:pPr>
                  <w:r>
                    <w:rPr>
                      <w:szCs w:val="21"/>
                    </w:rPr>
                    <w:t>150m</w:t>
                  </w:r>
                </w:p>
              </w:tc>
              <w:tc>
                <w:tcPr>
                  <w:tcW w:w="859" w:type="dxa"/>
                  <w:tcBorders>
                    <w:tl2br w:val="nil"/>
                    <w:tr2bl w:val="nil"/>
                  </w:tcBorders>
                  <w:noWrap w:val="0"/>
                  <w:vAlign w:val="center"/>
                </w:tcPr>
                <w:p>
                  <w:pPr>
                    <w:jc w:val="center"/>
                    <w:rPr>
                      <w:szCs w:val="21"/>
                    </w:rPr>
                  </w:pPr>
                  <w:r>
                    <w:rPr>
                      <w:szCs w:val="21"/>
                    </w:rPr>
                    <w:t>200m</w:t>
                  </w:r>
                </w:p>
              </w:tc>
              <w:tc>
                <w:tcPr>
                  <w:tcW w:w="982" w:type="dxa"/>
                  <w:tcBorders>
                    <w:tl2br w:val="nil"/>
                    <w:tr2bl w:val="nil"/>
                  </w:tcBorders>
                  <w:noWrap w:val="0"/>
                  <w:vAlign w:val="center"/>
                </w:tcPr>
                <w:p>
                  <w:pPr>
                    <w:jc w:val="center"/>
                    <w:rPr>
                      <w:szCs w:val="21"/>
                    </w:rPr>
                  </w:pPr>
                  <w:r>
                    <w:rPr>
                      <w:szCs w:val="21"/>
                    </w:rPr>
                    <w:t>300m</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24" w:hRule="atLeast"/>
                <w:jc w:val="center"/>
              </w:trPr>
              <w:tc>
                <w:tcPr>
                  <w:tcW w:w="1503" w:type="dxa"/>
                  <w:tcBorders>
                    <w:tl2br w:val="nil"/>
                    <w:tr2bl w:val="nil"/>
                  </w:tcBorders>
                  <w:noWrap w:val="0"/>
                  <w:vAlign w:val="center"/>
                </w:tcPr>
                <w:p>
                  <w:pPr>
                    <w:jc w:val="center"/>
                    <w:rPr>
                      <w:szCs w:val="21"/>
                    </w:rPr>
                  </w:pPr>
                  <w:r>
                    <w:rPr>
                      <w:szCs w:val="21"/>
                    </w:rPr>
                    <w:t>挖掘机</w:t>
                  </w:r>
                </w:p>
              </w:tc>
              <w:tc>
                <w:tcPr>
                  <w:tcW w:w="1032" w:type="dxa"/>
                  <w:tcBorders>
                    <w:tl2br w:val="nil"/>
                    <w:tr2bl w:val="nil"/>
                  </w:tcBorders>
                  <w:noWrap w:val="0"/>
                  <w:vAlign w:val="center"/>
                </w:tcPr>
                <w:p>
                  <w:pPr>
                    <w:jc w:val="center"/>
                    <w:rPr>
                      <w:szCs w:val="21"/>
                    </w:rPr>
                  </w:pPr>
                  <w:r>
                    <w:rPr>
                      <w:szCs w:val="21"/>
                    </w:rPr>
                    <w:t>86</w:t>
                  </w:r>
                </w:p>
              </w:tc>
              <w:tc>
                <w:tcPr>
                  <w:tcW w:w="859" w:type="dxa"/>
                  <w:tcBorders>
                    <w:tl2br w:val="nil"/>
                    <w:tr2bl w:val="nil"/>
                  </w:tcBorders>
                  <w:noWrap w:val="0"/>
                  <w:vAlign w:val="center"/>
                </w:tcPr>
                <w:p>
                  <w:pPr>
                    <w:jc w:val="center"/>
                    <w:rPr>
                      <w:szCs w:val="21"/>
                    </w:rPr>
                  </w:pPr>
                  <w:r>
                    <w:rPr>
                      <w:szCs w:val="21"/>
                    </w:rPr>
                    <w:t>78</w:t>
                  </w:r>
                </w:p>
              </w:tc>
              <w:tc>
                <w:tcPr>
                  <w:tcW w:w="859" w:type="dxa"/>
                  <w:tcBorders>
                    <w:tl2br w:val="nil"/>
                    <w:tr2bl w:val="nil"/>
                  </w:tcBorders>
                  <w:noWrap w:val="0"/>
                  <w:vAlign w:val="center"/>
                </w:tcPr>
                <w:p>
                  <w:pPr>
                    <w:jc w:val="center"/>
                    <w:rPr>
                      <w:szCs w:val="21"/>
                    </w:rPr>
                  </w:pPr>
                  <w:r>
                    <w:rPr>
                      <w:szCs w:val="21"/>
                    </w:rPr>
                    <w:t>71</w:t>
                  </w:r>
                </w:p>
              </w:tc>
              <w:tc>
                <w:tcPr>
                  <w:tcW w:w="859" w:type="dxa"/>
                  <w:tcBorders>
                    <w:tl2br w:val="nil"/>
                    <w:tr2bl w:val="nil"/>
                  </w:tcBorders>
                  <w:noWrap w:val="0"/>
                  <w:vAlign w:val="center"/>
                </w:tcPr>
                <w:p>
                  <w:pPr>
                    <w:jc w:val="center"/>
                    <w:rPr>
                      <w:szCs w:val="21"/>
                    </w:rPr>
                  </w:pPr>
                  <w:r>
                    <w:rPr>
                      <w:szCs w:val="21"/>
                    </w:rPr>
                    <w:t>63</w:t>
                  </w:r>
                </w:p>
              </w:tc>
              <w:tc>
                <w:tcPr>
                  <w:tcW w:w="858" w:type="dxa"/>
                  <w:tcBorders>
                    <w:tl2br w:val="nil"/>
                    <w:tr2bl w:val="nil"/>
                  </w:tcBorders>
                  <w:noWrap w:val="0"/>
                  <w:vAlign w:val="center"/>
                </w:tcPr>
                <w:p>
                  <w:pPr>
                    <w:jc w:val="center"/>
                    <w:rPr>
                      <w:szCs w:val="21"/>
                    </w:rPr>
                  </w:pPr>
                  <w:r>
                    <w:rPr>
                      <w:szCs w:val="21"/>
                    </w:rPr>
                    <w:t>61</w:t>
                  </w:r>
                </w:p>
              </w:tc>
              <w:tc>
                <w:tcPr>
                  <w:tcW w:w="859" w:type="dxa"/>
                  <w:tcBorders>
                    <w:tl2br w:val="nil"/>
                    <w:tr2bl w:val="nil"/>
                  </w:tcBorders>
                  <w:noWrap w:val="0"/>
                  <w:vAlign w:val="center"/>
                </w:tcPr>
                <w:p>
                  <w:pPr>
                    <w:jc w:val="center"/>
                    <w:rPr>
                      <w:szCs w:val="21"/>
                    </w:rPr>
                  </w:pPr>
                  <w:r>
                    <w:rPr>
                      <w:szCs w:val="21"/>
                    </w:rPr>
                    <w:t>53</w:t>
                  </w:r>
                </w:p>
              </w:tc>
              <w:tc>
                <w:tcPr>
                  <w:tcW w:w="859" w:type="dxa"/>
                  <w:tcBorders>
                    <w:tl2br w:val="nil"/>
                    <w:tr2bl w:val="nil"/>
                  </w:tcBorders>
                  <w:noWrap w:val="0"/>
                  <w:vAlign w:val="center"/>
                </w:tcPr>
                <w:p>
                  <w:pPr>
                    <w:jc w:val="center"/>
                    <w:rPr>
                      <w:szCs w:val="21"/>
                    </w:rPr>
                  </w:pPr>
                  <w:r>
                    <w:rPr>
                      <w:szCs w:val="21"/>
                    </w:rPr>
                    <w:t>49</w:t>
                  </w:r>
                </w:p>
              </w:tc>
              <w:tc>
                <w:tcPr>
                  <w:tcW w:w="859" w:type="dxa"/>
                  <w:tcBorders>
                    <w:tl2br w:val="nil"/>
                    <w:tr2bl w:val="nil"/>
                  </w:tcBorders>
                  <w:noWrap w:val="0"/>
                  <w:vAlign w:val="center"/>
                </w:tcPr>
                <w:p>
                  <w:pPr>
                    <w:jc w:val="center"/>
                    <w:rPr>
                      <w:szCs w:val="21"/>
                    </w:rPr>
                  </w:pPr>
                  <w:r>
                    <w:rPr>
                      <w:szCs w:val="21"/>
                    </w:rPr>
                    <w:t>45</w:t>
                  </w:r>
                </w:p>
              </w:tc>
              <w:tc>
                <w:tcPr>
                  <w:tcW w:w="982" w:type="dxa"/>
                  <w:tcBorders>
                    <w:tl2br w:val="nil"/>
                    <w:tr2bl w:val="nil"/>
                  </w:tcBorders>
                  <w:noWrap w:val="0"/>
                  <w:vAlign w:val="center"/>
                </w:tcPr>
                <w:p>
                  <w:pPr>
                    <w:jc w:val="center"/>
                    <w:rPr>
                      <w:szCs w:val="21"/>
                    </w:rPr>
                  </w:pPr>
                  <w:r>
                    <w:rPr>
                      <w:szCs w:val="21"/>
                    </w:rPr>
                    <w:t>41</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51" w:hRule="atLeast"/>
                <w:jc w:val="center"/>
              </w:trPr>
              <w:tc>
                <w:tcPr>
                  <w:tcW w:w="1503" w:type="dxa"/>
                  <w:tcBorders>
                    <w:tl2br w:val="nil"/>
                    <w:tr2bl w:val="nil"/>
                  </w:tcBorders>
                  <w:noWrap w:val="0"/>
                  <w:vAlign w:val="center"/>
                </w:tcPr>
                <w:p>
                  <w:pPr>
                    <w:jc w:val="center"/>
                    <w:rPr>
                      <w:rFonts w:hint="eastAsia" w:eastAsia="宋体"/>
                      <w:szCs w:val="21"/>
                      <w:lang w:val="en-US" w:eastAsia="zh-CN"/>
                    </w:rPr>
                  </w:pPr>
                  <w:r>
                    <w:rPr>
                      <w:sz w:val="21"/>
                      <w:szCs w:val="21"/>
                    </w:rPr>
                    <w:t>夯实机</w:t>
                  </w:r>
                </w:p>
              </w:tc>
              <w:tc>
                <w:tcPr>
                  <w:tcW w:w="1032" w:type="dxa"/>
                  <w:tcBorders>
                    <w:tl2br w:val="nil"/>
                    <w:tr2bl w:val="nil"/>
                  </w:tcBorders>
                  <w:noWrap w:val="0"/>
                  <w:vAlign w:val="center"/>
                </w:tcPr>
                <w:p>
                  <w:pPr>
                    <w:jc w:val="center"/>
                    <w:rPr>
                      <w:szCs w:val="21"/>
                    </w:rPr>
                  </w:pPr>
                  <w:r>
                    <w:rPr>
                      <w:szCs w:val="21"/>
                    </w:rPr>
                    <w:t>90</w:t>
                  </w:r>
                </w:p>
              </w:tc>
              <w:tc>
                <w:tcPr>
                  <w:tcW w:w="859" w:type="dxa"/>
                  <w:tcBorders>
                    <w:tl2br w:val="nil"/>
                    <w:tr2bl w:val="nil"/>
                  </w:tcBorders>
                  <w:noWrap w:val="0"/>
                  <w:vAlign w:val="center"/>
                </w:tcPr>
                <w:p>
                  <w:pPr>
                    <w:jc w:val="center"/>
                    <w:rPr>
                      <w:szCs w:val="21"/>
                    </w:rPr>
                  </w:pPr>
                  <w:r>
                    <w:rPr>
                      <w:szCs w:val="21"/>
                    </w:rPr>
                    <w:t>82</w:t>
                  </w:r>
                </w:p>
              </w:tc>
              <w:tc>
                <w:tcPr>
                  <w:tcW w:w="859" w:type="dxa"/>
                  <w:tcBorders>
                    <w:tl2br w:val="nil"/>
                    <w:tr2bl w:val="nil"/>
                  </w:tcBorders>
                  <w:noWrap w:val="0"/>
                  <w:vAlign w:val="center"/>
                </w:tcPr>
                <w:p>
                  <w:pPr>
                    <w:jc w:val="center"/>
                    <w:rPr>
                      <w:szCs w:val="21"/>
                    </w:rPr>
                  </w:pPr>
                  <w:r>
                    <w:rPr>
                      <w:szCs w:val="21"/>
                    </w:rPr>
                    <w:t>75</w:t>
                  </w:r>
                </w:p>
              </w:tc>
              <w:tc>
                <w:tcPr>
                  <w:tcW w:w="859" w:type="dxa"/>
                  <w:tcBorders>
                    <w:tl2br w:val="nil"/>
                    <w:tr2bl w:val="nil"/>
                  </w:tcBorders>
                  <w:noWrap w:val="0"/>
                  <w:vAlign w:val="center"/>
                </w:tcPr>
                <w:p>
                  <w:pPr>
                    <w:jc w:val="center"/>
                    <w:rPr>
                      <w:szCs w:val="21"/>
                    </w:rPr>
                  </w:pPr>
                  <w:r>
                    <w:rPr>
                      <w:szCs w:val="21"/>
                    </w:rPr>
                    <w:t>67</w:t>
                  </w:r>
                </w:p>
              </w:tc>
              <w:tc>
                <w:tcPr>
                  <w:tcW w:w="858" w:type="dxa"/>
                  <w:tcBorders>
                    <w:tl2br w:val="nil"/>
                    <w:tr2bl w:val="nil"/>
                  </w:tcBorders>
                  <w:noWrap w:val="0"/>
                  <w:vAlign w:val="center"/>
                </w:tcPr>
                <w:p>
                  <w:pPr>
                    <w:jc w:val="center"/>
                    <w:rPr>
                      <w:szCs w:val="21"/>
                    </w:rPr>
                  </w:pPr>
                  <w:r>
                    <w:rPr>
                      <w:szCs w:val="21"/>
                    </w:rPr>
                    <w:t>65</w:t>
                  </w:r>
                </w:p>
              </w:tc>
              <w:tc>
                <w:tcPr>
                  <w:tcW w:w="859" w:type="dxa"/>
                  <w:tcBorders>
                    <w:tl2br w:val="nil"/>
                    <w:tr2bl w:val="nil"/>
                  </w:tcBorders>
                  <w:noWrap w:val="0"/>
                  <w:vAlign w:val="center"/>
                </w:tcPr>
                <w:p>
                  <w:pPr>
                    <w:jc w:val="center"/>
                    <w:rPr>
                      <w:szCs w:val="21"/>
                    </w:rPr>
                  </w:pPr>
                  <w:r>
                    <w:rPr>
                      <w:szCs w:val="21"/>
                    </w:rPr>
                    <w:t>57</w:t>
                  </w:r>
                </w:p>
              </w:tc>
              <w:tc>
                <w:tcPr>
                  <w:tcW w:w="859" w:type="dxa"/>
                  <w:tcBorders>
                    <w:tl2br w:val="nil"/>
                    <w:tr2bl w:val="nil"/>
                  </w:tcBorders>
                  <w:noWrap w:val="0"/>
                  <w:vAlign w:val="center"/>
                </w:tcPr>
                <w:p>
                  <w:pPr>
                    <w:jc w:val="center"/>
                    <w:rPr>
                      <w:szCs w:val="21"/>
                    </w:rPr>
                  </w:pPr>
                  <w:r>
                    <w:rPr>
                      <w:szCs w:val="21"/>
                    </w:rPr>
                    <w:t>53</w:t>
                  </w:r>
                </w:p>
              </w:tc>
              <w:tc>
                <w:tcPr>
                  <w:tcW w:w="859" w:type="dxa"/>
                  <w:tcBorders>
                    <w:tl2br w:val="nil"/>
                    <w:tr2bl w:val="nil"/>
                  </w:tcBorders>
                  <w:noWrap w:val="0"/>
                  <w:vAlign w:val="center"/>
                </w:tcPr>
                <w:p>
                  <w:pPr>
                    <w:jc w:val="center"/>
                    <w:rPr>
                      <w:szCs w:val="21"/>
                    </w:rPr>
                  </w:pPr>
                  <w:r>
                    <w:rPr>
                      <w:szCs w:val="21"/>
                    </w:rPr>
                    <w:t>49</w:t>
                  </w:r>
                </w:p>
              </w:tc>
              <w:tc>
                <w:tcPr>
                  <w:tcW w:w="982" w:type="dxa"/>
                  <w:tcBorders>
                    <w:tl2br w:val="nil"/>
                    <w:tr2bl w:val="nil"/>
                  </w:tcBorders>
                  <w:noWrap w:val="0"/>
                  <w:vAlign w:val="center"/>
                </w:tcPr>
                <w:p>
                  <w:pPr>
                    <w:jc w:val="center"/>
                    <w:rPr>
                      <w:szCs w:val="21"/>
                    </w:rPr>
                  </w:pPr>
                  <w:r>
                    <w:rPr>
                      <w:szCs w:val="21"/>
                    </w:rPr>
                    <w:t>45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24" w:hRule="atLeast"/>
                <w:jc w:val="center"/>
              </w:trPr>
              <w:tc>
                <w:tcPr>
                  <w:tcW w:w="1503" w:type="dxa"/>
                  <w:tcBorders>
                    <w:tl2br w:val="nil"/>
                    <w:tr2bl w:val="nil"/>
                  </w:tcBorders>
                  <w:noWrap w:val="0"/>
                  <w:vAlign w:val="center"/>
                </w:tcPr>
                <w:p>
                  <w:pPr>
                    <w:jc w:val="center"/>
                    <w:rPr>
                      <w:szCs w:val="21"/>
                    </w:rPr>
                  </w:pPr>
                  <w:r>
                    <w:rPr>
                      <w:szCs w:val="21"/>
                    </w:rPr>
                    <w:t>推土机</w:t>
                  </w:r>
                </w:p>
              </w:tc>
              <w:tc>
                <w:tcPr>
                  <w:tcW w:w="1032" w:type="dxa"/>
                  <w:tcBorders>
                    <w:tl2br w:val="nil"/>
                    <w:tr2bl w:val="nil"/>
                  </w:tcBorders>
                  <w:noWrap w:val="0"/>
                  <w:vAlign w:val="center"/>
                </w:tcPr>
                <w:p>
                  <w:pPr>
                    <w:jc w:val="center"/>
                    <w:rPr>
                      <w:szCs w:val="21"/>
                    </w:rPr>
                  </w:pPr>
                  <w:r>
                    <w:rPr>
                      <w:szCs w:val="21"/>
                    </w:rPr>
                    <w:t>84</w:t>
                  </w:r>
                </w:p>
              </w:tc>
              <w:tc>
                <w:tcPr>
                  <w:tcW w:w="859" w:type="dxa"/>
                  <w:tcBorders>
                    <w:tl2br w:val="nil"/>
                    <w:tr2bl w:val="nil"/>
                  </w:tcBorders>
                  <w:noWrap w:val="0"/>
                  <w:vAlign w:val="center"/>
                </w:tcPr>
                <w:p>
                  <w:pPr>
                    <w:jc w:val="center"/>
                    <w:rPr>
                      <w:szCs w:val="21"/>
                    </w:rPr>
                  </w:pPr>
                  <w:r>
                    <w:rPr>
                      <w:szCs w:val="21"/>
                    </w:rPr>
                    <w:t>76</w:t>
                  </w:r>
                </w:p>
              </w:tc>
              <w:tc>
                <w:tcPr>
                  <w:tcW w:w="859" w:type="dxa"/>
                  <w:tcBorders>
                    <w:tl2br w:val="nil"/>
                    <w:tr2bl w:val="nil"/>
                  </w:tcBorders>
                  <w:noWrap w:val="0"/>
                  <w:vAlign w:val="center"/>
                </w:tcPr>
                <w:p>
                  <w:pPr>
                    <w:jc w:val="center"/>
                    <w:rPr>
                      <w:szCs w:val="21"/>
                    </w:rPr>
                  </w:pPr>
                  <w:r>
                    <w:rPr>
                      <w:szCs w:val="21"/>
                    </w:rPr>
                    <w:t>69</w:t>
                  </w:r>
                </w:p>
              </w:tc>
              <w:tc>
                <w:tcPr>
                  <w:tcW w:w="859" w:type="dxa"/>
                  <w:tcBorders>
                    <w:tl2br w:val="nil"/>
                    <w:tr2bl w:val="nil"/>
                  </w:tcBorders>
                  <w:noWrap w:val="0"/>
                  <w:vAlign w:val="center"/>
                </w:tcPr>
                <w:p>
                  <w:pPr>
                    <w:jc w:val="center"/>
                    <w:rPr>
                      <w:szCs w:val="21"/>
                    </w:rPr>
                  </w:pPr>
                  <w:r>
                    <w:rPr>
                      <w:szCs w:val="21"/>
                    </w:rPr>
                    <w:t>61</w:t>
                  </w:r>
                </w:p>
              </w:tc>
              <w:tc>
                <w:tcPr>
                  <w:tcW w:w="858" w:type="dxa"/>
                  <w:tcBorders>
                    <w:tl2br w:val="nil"/>
                    <w:tr2bl w:val="nil"/>
                  </w:tcBorders>
                  <w:noWrap w:val="0"/>
                  <w:vAlign w:val="center"/>
                </w:tcPr>
                <w:p>
                  <w:pPr>
                    <w:jc w:val="center"/>
                    <w:rPr>
                      <w:szCs w:val="21"/>
                    </w:rPr>
                  </w:pPr>
                  <w:r>
                    <w:rPr>
                      <w:szCs w:val="21"/>
                    </w:rPr>
                    <w:t>59</w:t>
                  </w:r>
                </w:p>
              </w:tc>
              <w:tc>
                <w:tcPr>
                  <w:tcW w:w="859" w:type="dxa"/>
                  <w:tcBorders>
                    <w:tl2br w:val="nil"/>
                    <w:tr2bl w:val="nil"/>
                  </w:tcBorders>
                  <w:noWrap w:val="0"/>
                  <w:vAlign w:val="center"/>
                </w:tcPr>
                <w:p>
                  <w:pPr>
                    <w:jc w:val="center"/>
                    <w:rPr>
                      <w:szCs w:val="21"/>
                    </w:rPr>
                  </w:pPr>
                  <w:r>
                    <w:rPr>
                      <w:szCs w:val="21"/>
                    </w:rPr>
                    <w:t>51</w:t>
                  </w:r>
                </w:p>
              </w:tc>
              <w:tc>
                <w:tcPr>
                  <w:tcW w:w="859" w:type="dxa"/>
                  <w:tcBorders>
                    <w:tl2br w:val="nil"/>
                    <w:tr2bl w:val="nil"/>
                  </w:tcBorders>
                  <w:noWrap w:val="0"/>
                  <w:vAlign w:val="center"/>
                </w:tcPr>
                <w:p>
                  <w:pPr>
                    <w:jc w:val="center"/>
                    <w:rPr>
                      <w:szCs w:val="21"/>
                    </w:rPr>
                  </w:pPr>
                  <w:r>
                    <w:rPr>
                      <w:szCs w:val="21"/>
                    </w:rPr>
                    <w:t>47</w:t>
                  </w:r>
                </w:p>
              </w:tc>
              <w:tc>
                <w:tcPr>
                  <w:tcW w:w="859" w:type="dxa"/>
                  <w:tcBorders>
                    <w:tl2br w:val="nil"/>
                    <w:tr2bl w:val="nil"/>
                  </w:tcBorders>
                  <w:noWrap w:val="0"/>
                  <w:vAlign w:val="center"/>
                </w:tcPr>
                <w:p>
                  <w:pPr>
                    <w:jc w:val="center"/>
                    <w:rPr>
                      <w:szCs w:val="21"/>
                    </w:rPr>
                  </w:pPr>
                  <w:r>
                    <w:rPr>
                      <w:szCs w:val="21"/>
                    </w:rPr>
                    <w:t>43</w:t>
                  </w:r>
                </w:p>
              </w:tc>
              <w:tc>
                <w:tcPr>
                  <w:tcW w:w="982" w:type="dxa"/>
                  <w:tcBorders>
                    <w:tl2br w:val="nil"/>
                    <w:tr2bl w:val="nil"/>
                  </w:tcBorders>
                  <w:noWrap w:val="0"/>
                  <w:vAlign w:val="center"/>
                </w:tcPr>
                <w:p>
                  <w:pPr>
                    <w:jc w:val="center"/>
                    <w:rPr>
                      <w:szCs w:val="21"/>
                    </w:rPr>
                  </w:pPr>
                  <w:r>
                    <w:rPr>
                      <w:szCs w:val="21"/>
                    </w:rPr>
                    <w:t>39</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24" w:hRule="atLeast"/>
                <w:jc w:val="center"/>
              </w:trPr>
              <w:tc>
                <w:tcPr>
                  <w:tcW w:w="1503" w:type="dxa"/>
                  <w:tcBorders>
                    <w:tl2br w:val="nil"/>
                    <w:tr2bl w:val="nil"/>
                  </w:tcBorders>
                  <w:noWrap w:val="0"/>
                  <w:vAlign w:val="center"/>
                </w:tcPr>
                <w:p>
                  <w:pPr>
                    <w:jc w:val="center"/>
                    <w:rPr>
                      <w:szCs w:val="21"/>
                    </w:rPr>
                  </w:pPr>
                  <w:r>
                    <w:rPr>
                      <w:rFonts w:hint="eastAsia"/>
                      <w:sz w:val="21"/>
                      <w:szCs w:val="21"/>
                    </w:rPr>
                    <w:t>起重机</w:t>
                  </w:r>
                </w:p>
              </w:tc>
              <w:tc>
                <w:tcPr>
                  <w:tcW w:w="1032" w:type="dxa"/>
                  <w:tcBorders>
                    <w:tl2br w:val="nil"/>
                    <w:tr2bl w:val="nil"/>
                  </w:tcBorders>
                  <w:noWrap w:val="0"/>
                  <w:vAlign w:val="center"/>
                </w:tcPr>
                <w:p>
                  <w:pPr>
                    <w:jc w:val="center"/>
                    <w:rPr>
                      <w:szCs w:val="21"/>
                    </w:rPr>
                  </w:pPr>
                  <w:r>
                    <w:rPr>
                      <w:szCs w:val="21"/>
                    </w:rPr>
                    <w:t>80</w:t>
                  </w:r>
                </w:p>
              </w:tc>
              <w:tc>
                <w:tcPr>
                  <w:tcW w:w="859" w:type="dxa"/>
                  <w:tcBorders>
                    <w:tl2br w:val="nil"/>
                    <w:tr2bl w:val="nil"/>
                  </w:tcBorders>
                  <w:noWrap w:val="0"/>
                  <w:vAlign w:val="center"/>
                </w:tcPr>
                <w:p>
                  <w:pPr>
                    <w:jc w:val="center"/>
                    <w:rPr>
                      <w:szCs w:val="21"/>
                    </w:rPr>
                  </w:pPr>
                  <w:r>
                    <w:rPr>
                      <w:szCs w:val="21"/>
                    </w:rPr>
                    <w:t>72</w:t>
                  </w:r>
                </w:p>
              </w:tc>
              <w:tc>
                <w:tcPr>
                  <w:tcW w:w="859" w:type="dxa"/>
                  <w:tcBorders>
                    <w:tl2br w:val="nil"/>
                    <w:tr2bl w:val="nil"/>
                  </w:tcBorders>
                  <w:noWrap w:val="0"/>
                  <w:vAlign w:val="center"/>
                </w:tcPr>
                <w:p>
                  <w:pPr>
                    <w:jc w:val="center"/>
                    <w:rPr>
                      <w:szCs w:val="21"/>
                    </w:rPr>
                  </w:pPr>
                  <w:r>
                    <w:rPr>
                      <w:szCs w:val="21"/>
                    </w:rPr>
                    <w:t>65</w:t>
                  </w:r>
                </w:p>
              </w:tc>
              <w:tc>
                <w:tcPr>
                  <w:tcW w:w="859" w:type="dxa"/>
                  <w:tcBorders>
                    <w:tl2br w:val="nil"/>
                    <w:tr2bl w:val="nil"/>
                  </w:tcBorders>
                  <w:noWrap w:val="0"/>
                  <w:vAlign w:val="center"/>
                </w:tcPr>
                <w:p>
                  <w:pPr>
                    <w:jc w:val="center"/>
                    <w:rPr>
                      <w:szCs w:val="21"/>
                    </w:rPr>
                  </w:pPr>
                  <w:r>
                    <w:rPr>
                      <w:szCs w:val="21"/>
                    </w:rPr>
                    <w:t>57</w:t>
                  </w:r>
                </w:p>
              </w:tc>
              <w:tc>
                <w:tcPr>
                  <w:tcW w:w="858" w:type="dxa"/>
                  <w:tcBorders>
                    <w:tl2br w:val="nil"/>
                    <w:tr2bl w:val="nil"/>
                  </w:tcBorders>
                  <w:noWrap w:val="0"/>
                  <w:vAlign w:val="center"/>
                </w:tcPr>
                <w:p>
                  <w:pPr>
                    <w:jc w:val="center"/>
                    <w:rPr>
                      <w:szCs w:val="21"/>
                    </w:rPr>
                  </w:pPr>
                  <w:r>
                    <w:rPr>
                      <w:szCs w:val="21"/>
                    </w:rPr>
                    <w:t>55</w:t>
                  </w:r>
                </w:p>
              </w:tc>
              <w:tc>
                <w:tcPr>
                  <w:tcW w:w="859" w:type="dxa"/>
                  <w:tcBorders>
                    <w:tl2br w:val="nil"/>
                    <w:tr2bl w:val="nil"/>
                  </w:tcBorders>
                  <w:noWrap w:val="0"/>
                  <w:vAlign w:val="center"/>
                </w:tcPr>
                <w:p>
                  <w:pPr>
                    <w:jc w:val="center"/>
                    <w:rPr>
                      <w:szCs w:val="21"/>
                    </w:rPr>
                  </w:pPr>
                  <w:r>
                    <w:rPr>
                      <w:szCs w:val="21"/>
                    </w:rPr>
                    <w:t>47</w:t>
                  </w:r>
                </w:p>
              </w:tc>
              <w:tc>
                <w:tcPr>
                  <w:tcW w:w="859" w:type="dxa"/>
                  <w:tcBorders>
                    <w:tl2br w:val="nil"/>
                    <w:tr2bl w:val="nil"/>
                  </w:tcBorders>
                  <w:noWrap w:val="0"/>
                  <w:vAlign w:val="center"/>
                </w:tcPr>
                <w:p>
                  <w:pPr>
                    <w:jc w:val="center"/>
                    <w:rPr>
                      <w:szCs w:val="21"/>
                    </w:rPr>
                  </w:pPr>
                  <w:r>
                    <w:rPr>
                      <w:szCs w:val="21"/>
                    </w:rPr>
                    <w:t>43</w:t>
                  </w:r>
                </w:p>
              </w:tc>
              <w:tc>
                <w:tcPr>
                  <w:tcW w:w="859" w:type="dxa"/>
                  <w:tcBorders>
                    <w:tl2br w:val="nil"/>
                    <w:tr2bl w:val="nil"/>
                  </w:tcBorders>
                  <w:noWrap w:val="0"/>
                  <w:vAlign w:val="center"/>
                </w:tcPr>
                <w:p>
                  <w:pPr>
                    <w:jc w:val="center"/>
                    <w:rPr>
                      <w:szCs w:val="21"/>
                    </w:rPr>
                  </w:pPr>
                  <w:r>
                    <w:rPr>
                      <w:szCs w:val="21"/>
                    </w:rPr>
                    <w:t>39</w:t>
                  </w:r>
                </w:p>
              </w:tc>
              <w:tc>
                <w:tcPr>
                  <w:tcW w:w="982" w:type="dxa"/>
                  <w:tcBorders>
                    <w:tl2br w:val="nil"/>
                    <w:tr2bl w:val="nil"/>
                  </w:tcBorders>
                  <w:noWrap w:val="0"/>
                  <w:vAlign w:val="center"/>
                </w:tcPr>
                <w:p>
                  <w:pPr>
                    <w:jc w:val="center"/>
                    <w:rPr>
                      <w:szCs w:val="21"/>
                    </w:rPr>
                  </w:pPr>
                  <w:r>
                    <w:rPr>
                      <w:szCs w:val="21"/>
                    </w:rPr>
                    <w:t>35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78" w:hRule="atLeast"/>
                <w:jc w:val="center"/>
              </w:trPr>
              <w:tc>
                <w:tcPr>
                  <w:tcW w:w="1503" w:type="dxa"/>
                  <w:tcBorders>
                    <w:tl2br w:val="nil"/>
                    <w:tr2bl w:val="nil"/>
                  </w:tcBorders>
                  <w:noWrap w:val="0"/>
                  <w:vAlign w:val="center"/>
                </w:tcPr>
                <w:p>
                  <w:pPr>
                    <w:jc w:val="center"/>
                    <w:rPr>
                      <w:szCs w:val="21"/>
                    </w:rPr>
                  </w:pPr>
                  <w:r>
                    <w:rPr>
                      <w:rFonts w:hint="eastAsia" w:ascii="Times New Roman" w:hAnsi="Times New Roman" w:cs="Times New Roman"/>
                      <w:kern w:val="2"/>
                      <w:sz w:val="21"/>
                      <w:szCs w:val="21"/>
                      <w:lang w:val="en-US" w:eastAsia="zh-CN" w:bidi="ar-SA"/>
                    </w:rPr>
                    <w:t>小型振动碾</w:t>
                  </w:r>
                </w:p>
              </w:tc>
              <w:tc>
                <w:tcPr>
                  <w:tcW w:w="1032" w:type="dxa"/>
                  <w:tcBorders>
                    <w:tl2br w:val="nil"/>
                    <w:tr2bl w:val="nil"/>
                  </w:tcBorders>
                  <w:noWrap w:val="0"/>
                  <w:vAlign w:val="center"/>
                </w:tcPr>
                <w:p>
                  <w:pPr>
                    <w:jc w:val="center"/>
                    <w:rPr>
                      <w:szCs w:val="21"/>
                    </w:rPr>
                  </w:pPr>
                  <w:r>
                    <w:rPr>
                      <w:szCs w:val="21"/>
                    </w:rPr>
                    <w:t>92</w:t>
                  </w:r>
                </w:p>
              </w:tc>
              <w:tc>
                <w:tcPr>
                  <w:tcW w:w="859" w:type="dxa"/>
                  <w:tcBorders>
                    <w:tl2br w:val="nil"/>
                    <w:tr2bl w:val="nil"/>
                  </w:tcBorders>
                  <w:noWrap w:val="0"/>
                  <w:vAlign w:val="center"/>
                </w:tcPr>
                <w:p>
                  <w:pPr>
                    <w:jc w:val="center"/>
                    <w:rPr>
                      <w:szCs w:val="21"/>
                    </w:rPr>
                  </w:pPr>
                  <w:r>
                    <w:rPr>
                      <w:szCs w:val="21"/>
                    </w:rPr>
                    <w:t>84</w:t>
                  </w:r>
                </w:p>
              </w:tc>
              <w:tc>
                <w:tcPr>
                  <w:tcW w:w="859" w:type="dxa"/>
                  <w:tcBorders>
                    <w:tl2br w:val="nil"/>
                    <w:tr2bl w:val="nil"/>
                  </w:tcBorders>
                  <w:noWrap w:val="0"/>
                  <w:vAlign w:val="center"/>
                </w:tcPr>
                <w:p>
                  <w:pPr>
                    <w:jc w:val="center"/>
                    <w:rPr>
                      <w:szCs w:val="21"/>
                    </w:rPr>
                  </w:pPr>
                  <w:r>
                    <w:rPr>
                      <w:szCs w:val="21"/>
                    </w:rPr>
                    <w:t>77</w:t>
                  </w:r>
                </w:p>
              </w:tc>
              <w:tc>
                <w:tcPr>
                  <w:tcW w:w="859" w:type="dxa"/>
                  <w:tcBorders>
                    <w:tl2br w:val="nil"/>
                    <w:tr2bl w:val="nil"/>
                  </w:tcBorders>
                  <w:noWrap w:val="0"/>
                  <w:vAlign w:val="center"/>
                </w:tcPr>
                <w:p>
                  <w:pPr>
                    <w:jc w:val="center"/>
                    <w:rPr>
                      <w:szCs w:val="21"/>
                    </w:rPr>
                  </w:pPr>
                  <w:r>
                    <w:rPr>
                      <w:szCs w:val="21"/>
                    </w:rPr>
                    <w:t>69</w:t>
                  </w:r>
                </w:p>
              </w:tc>
              <w:tc>
                <w:tcPr>
                  <w:tcW w:w="858" w:type="dxa"/>
                  <w:tcBorders>
                    <w:tl2br w:val="nil"/>
                    <w:tr2bl w:val="nil"/>
                  </w:tcBorders>
                  <w:noWrap w:val="0"/>
                  <w:vAlign w:val="center"/>
                </w:tcPr>
                <w:p>
                  <w:pPr>
                    <w:jc w:val="center"/>
                    <w:rPr>
                      <w:szCs w:val="21"/>
                    </w:rPr>
                  </w:pPr>
                  <w:r>
                    <w:rPr>
                      <w:szCs w:val="21"/>
                    </w:rPr>
                    <w:t>67</w:t>
                  </w:r>
                </w:p>
              </w:tc>
              <w:tc>
                <w:tcPr>
                  <w:tcW w:w="859" w:type="dxa"/>
                  <w:tcBorders>
                    <w:tl2br w:val="nil"/>
                    <w:tr2bl w:val="nil"/>
                  </w:tcBorders>
                  <w:noWrap w:val="0"/>
                  <w:vAlign w:val="center"/>
                </w:tcPr>
                <w:p>
                  <w:pPr>
                    <w:jc w:val="center"/>
                    <w:rPr>
                      <w:szCs w:val="21"/>
                    </w:rPr>
                  </w:pPr>
                  <w:r>
                    <w:rPr>
                      <w:szCs w:val="21"/>
                    </w:rPr>
                    <w:t>59</w:t>
                  </w:r>
                </w:p>
              </w:tc>
              <w:tc>
                <w:tcPr>
                  <w:tcW w:w="859" w:type="dxa"/>
                  <w:tcBorders>
                    <w:tl2br w:val="nil"/>
                    <w:tr2bl w:val="nil"/>
                  </w:tcBorders>
                  <w:noWrap w:val="0"/>
                  <w:vAlign w:val="center"/>
                </w:tcPr>
                <w:p>
                  <w:pPr>
                    <w:jc w:val="center"/>
                    <w:rPr>
                      <w:szCs w:val="21"/>
                    </w:rPr>
                  </w:pPr>
                  <w:r>
                    <w:rPr>
                      <w:szCs w:val="21"/>
                    </w:rPr>
                    <w:t>55</w:t>
                  </w:r>
                </w:p>
              </w:tc>
              <w:tc>
                <w:tcPr>
                  <w:tcW w:w="859" w:type="dxa"/>
                  <w:tcBorders>
                    <w:tl2br w:val="nil"/>
                    <w:tr2bl w:val="nil"/>
                  </w:tcBorders>
                  <w:noWrap w:val="0"/>
                  <w:vAlign w:val="center"/>
                </w:tcPr>
                <w:p>
                  <w:pPr>
                    <w:jc w:val="center"/>
                    <w:rPr>
                      <w:szCs w:val="21"/>
                    </w:rPr>
                  </w:pPr>
                  <w:r>
                    <w:rPr>
                      <w:szCs w:val="21"/>
                    </w:rPr>
                    <w:t>51</w:t>
                  </w:r>
                </w:p>
              </w:tc>
              <w:tc>
                <w:tcPr>
                  <w:tcW w:w="982" w:type="dxa"/>
                  <w:tcBorders>
                    <w:tl2br w:val="nil"/>
                    <w:tr2bl w:val="nil"/>
                  </w:tcBorders>
                  <w:noWrap w:val="0"/>
                  <w:vAlign w:val="center"/>
                </w:tcPr>
                <w:p>
                  <w:pPr>
                    <w:jc w:val="center"/>
                    <w:rPr>
                      <w:szCs w:val="21"/>
                    </w:rPr>
                  </w:pPr>
                  <w:r>
                    <w:rPr>
                      <w:szCs w:val="21"/>
                    </w:rPr>
                    <w:t>47</w:t>
                  </w:r>
                </w:p>
              </w:tc>
            </w:tr>
          </w:tbl>
          <w:p>
            <w:pPr>
              <w:adjustRightInd w:val="0"/>
              <w:snapToGrid w:val="0"/>
              <w:spacing w:line="360" w:lineRule="auto"/>
              <w:ind w:firstLine="480" w:firstLineChars="200"/>
              <w:rPr>
                <w:rFonts w:hint="eastAsia"/>
                <w:sz w:val="24"/>
                <w:u w:val="none"/>
              </w:rPr>
            </w:pPr>
            <w:r>
              <w:rPr>
                <w:sz w:val="24"/>
                <w:u w:val="none"/>
              </w:rPr>
              <w:t>从表</w:t>
            </w:r>
            <w:r>
              <w:rPr>
                <w:rFonts w:hint="eastAsia"/>
                <w:sz w:val="24"/>
                <w:u w:val="none"/>
                <w:lang w:val="en-US" w:eastAsia="zh-CN"/>
              </w:rPr>
              <w:t>7.1-5</w:t>
            </w:r>
            <w:r>
              <w:rPr>
                <w:sz w:val="24"/>
                <w:u w:val="none"/>
              </w:rPr>
              <w:t>中可看出，施工机械噪声较高，昼间噪声超过《建筑施工场界环境噪声排放标准（GB12523-2011）》的情况出现在距声源</w:t>
            </w:r>
            <w:r>
              <w:rPr>
                <w:rFonts w:hint="eastAsia"/>
                <w:sz w:val="24"/>
                <w:u w:val="none"/>
                <w:lang w:val="en-US" w:eastAsia="zh-CN"/>
              </w:rPr>
              <w:t>10</w:t>
            </w:r>
            <w:r>
              <w:rPr>
                <w:sz w:val="24"/>
                <w:u w:val="none"/>
              </w:rPr>
              <w:t>0m范围内，夜间施工噪声超标情况出现在</w:t>
            </w:r>
            <w:r>
              <w:rPr>
                <w:rFonts w:hint="eastAsia"/>
                <w:sz w:val="24"/>
                <w:u w:val="none"/>
                <w:lang w:val="en-US" w:eastAsia="zh-CN"/>
              </w:rPr>
              <w:t>20</w:t>
            </w:r>
            <w:r>
              <w:rPr>
                <w:sz w:val="24"/>
                <w:u w:val="none"/>
              </w:rPr>
              <w:t>0m范围内。施工噪声特别是夜间的施工噪声对环境</w:t>
            </w:r>
            <w:r>
              <w:rPr>
                <w:rFonts w:hint="eastAsia"/>
                <w:sz w:val="24"/>
                <w:u w:val="none"/>
              </w:rPr>
              <w:t>造成一定</w:t>
            </w:r>
            <w:r>
              <w:rPr>
                <w:sz w:val="24"/>
                <w:u w:val="none"/>
              </w:rPr>
              <w:t>的影响。</w:t>
            </w:r>
            <w:r>
              <w:rPr>
                <w:rFonts w:hint="eastAsia"/>
                <w:sz w:val="24"/>
                <w:u w:val="none"/>
              </w:rPr>
              <w:t>因此，施工过程中必须加强施工管理，尽量减少施工噪声对周边居民的影响，并做好解释和宣传，争取他们的支持和谅解，避免环境纠纷的产生。</w:t>
            </w:r>
          </w:p>
          <w:p>
            <w:pPr>
              <w:adjustRightInd w:val="0"/>
              <w:snapToGrid w:val="0"/>
              <w:spacing w:line="360" w:lineRule="auto"/>
              <w:ind w:firstLine="480" w:firstLineChars="200"/>
              <w:rPr>
                <w:sz w:val="24"/>
                <w:u w:val="none"/>
              </w:rPr>
            </w:pPr>
            <w:r>
              <w:rPr>
                <w:sz w:val="24"/>
                <w:u w:val="none"/>
              </w:rPr>
              <w:t>为了</w:t>
            </w:r>
            <w:r>
              <w:rPr>
                <w:rFonts w:hint="eastAsia"/>
                <w:sz w:val="24"/>
                <w:u w:val="none"/>
              </w:rPr>
              <w:t>减少施工噪声对周边环境的影响，</w:t>
            </w:r>
            <w:r>
              <w:rPr>
                <w:sz w:val="24"/>
                <w:u w:val="none"/>
              </w:rPr>
              <w:t>本评价要求建设单位及各施工单位严格落实以下环保措施：</w:t>
            </w:r>
          </w:p>
          <w:p>
            <w:pPr>
              <w:spacing w:line="360" w:lineRule="auto"/>
              <w:ind w:firstLine="480" w:firstLineChars="200"/>
              <w:rPr>
                <w:rFonts w:hint="eastAsia" w:eastAsia="宋体"/>
                <w:sz w:val="24"/>
                <w:u w:val="single"/>
                <w:lang w:eastAsia="zh-CN"/>
              </w:rPr>
            </w:pPr>
            <w:r>
              <w:rPr>
                <w:sz w:val="24"/>
                <w:u w:val="single"/>
              </w:rPr>
              <w:t>①</w:t>
            </w:r>
            <w:r>
              <w:rPr>
                <w:rFonts w:hint="eastAsia"/>
                <w:sz w:val="24"/>
                <w:u w:val="single"/>
                <w:lang w:eastAsia="zh-CN"/>
              </w:rPr>
              <w:t>合理安排施工时间，应尽可能避免大量高噪声设备同时施工，除此外，</w:t>
            </w:r>
            <w:r>
              <w:rPr>
                <w:sz w:val="24"/>
                <w:u w:val="single"/>
              </w:rPr>
              <w:t>禁止夜间(22:00至次日6:00)进行施工作业，如施工需要必须夜间施工，须事先报告环保部门并获得批准，还应提前告知附近居民并取得谅解</w:t>
            </w:r>
            <w:r>
              <w:rPr>
                <w:rFonts w:hint="eastAsia"/>
                <w:sz w:val="24"/>
                <w:u w:val="single"/>
                <w:lang w:eastAsia="zh-CN"/>
              </w:rPr>
              <w:t>。</w:t>
            </w:r>
          </w:p>
          <w:p>
            <w:pPr>
              <w:spacing w:line="360" w:lineRule="auto"/>
              <w:ind w:firstLine="480" w:firstLineChars="200"/>
              <w:rPr>
                <w:rFonts w:hint="eastAsia" w:eastAsia="宋体"/>
                <w:bCs/>
                <w:sz w:val="24"/>
                <w:u w:val="single"/>
                <w:lang w:eastAsia="zh-CN"/>
              </w:rPr>
            </w:pPr>
            <w:r>
              <w:rPr>
                <w:bCs/>
                <w:sz w:val="24"/>
                <w:u w:val="single"/>
              </w:rPr>
              <w:t>②</w:t>
            </w:r>
            <w:r>
              <w:rPr>
                <w:rFonts w:hint="eastAsia"/>
                <w:bCs/>
                <w:sz w:val="24"/>
                <w:u w:val="single"/>
                <w:lang w:eastAsia="zh-CN"/>
              </w:rPr>
              <w:t>选用效率高、噪声低的机械；对各种产生噪声和振动的机械设备应当采取消声防振措施，使其噪声和振动符合有关标准，并注意对机械的维护保养和正确的操作。保证在良好的条件下使用，减少运行噪声。</w:t>
            </w:r>
          </w:p>
          <w:p>
            <w:pPr>
              <w:spacing w:line="360" w:lineRule="auto"/>
              <w:ind w:firstLine="480" w:firstLineChars="200"/>
              <w:rPr>
                <w:bCs/>
                <w:sz w:val="24"/>
                <w:u w:val="single"/>
              </w:rPr>
            </w:pPr>
            <w:r>
              <w:rPr>
                <w:bCs/>
                <w:sz w:val="24"/>
                <w:u w:val="single"/>
              </w:rPr>
              <w:t>③在进行物料运输时，应合理安排运输时间，选择最佳的进场路线，错开交通拥挤时段；保证施工场地附近交通顺畅</w:t>
            </w:r>
            <w:r>
              <w:rPr>
                <w:rFonts w:hint="eastAsia"/>
                <w:bCs/>
                <w:sz w:val="24"/>
                <w:u w:val="single"/>
              </w:rPr>
              <w:t>。</w:t>
            </w:r>
          </w:p>
          <w:p>
            <w:pPr>
              <w:spacing w:line="360" w:lineRule="auto"/>
              <w:ind w:right="23" w:firstLine="504" w:firstLineChars="210"/>
              <w:rPr>
                <w:rFonts w:hint="eastAsia" w:ascii="宋体" w:hAnsi="宋体" w:eastAsia="宋体" w:cs="宋体"/>
                <w:bCs/>
                <w:sz w:val="24"/>
                <w:u w:val="single"/>
                <w:lang w:val="en-US" w:eastAsia="zh-CN"/>
              </w:rPr>
            </w:pPr>
            <w:r>
              <w:rPr>
                <w:rFonts w:hint="eastAsia" w:ascii="宋体" w:hAnsi="宋体" w:eastAsia="宋体" w:cs="宋体"/>
                <w:bCs/>
                <w:sz w:val="24"/>
                <w:u w:val="single"/>
                <w:lang w:val="en-US" w:eastAsia="zh-CN"/>
              </w:rPr>
              <w:t>④应合理布局施工设备，噪声大的施工设备尽可能远离环境敏感点，在</w:t>
            </w:r>
            <w:r>
              <w:rPr>
                <w:rFonts w:hint="eastAsia" w:ascii="宋体" w:hAnsi="宋体" w:cs="宋体"/>
                <w:bCs/>
                <w:sz w:val="24"/>
                <w:u w:val="single"/>
                <w:lang w:val="en-US" w:eastAsia="zh-CN"/>
              </w:rPr>
              <w:t>城区段</w:t>
            </w:r>
            <w:r>
              <w:rPr>
                <w:rFonts w:hint="eastAsia" w:ascii="宋体" w:hAnsi="宋体" w:eastAsia="宋体" w:cs="宋体"/>
                <w:bCs/>
                <w:sz w:val="24"/>
                <w:u w:val="single"/>
                <w:lang w:val="en-US" w:eastAsia="zh-CN"/>
              </w:rPr>
              <w:t>进行施工时，</w:t>
            </w:r>
            <w:r>
              <w:rPr>
                <w:rFonts w:hint="eastAsia" w:ascii="宋体" w:hAnsi="宋体" w:cs="宋体"/>
                <w:bCs/>
                <w:sz w:val="24"/>
                <w:u w:val="single"/>
                <w:lang w:val="en-US" w:eastAsia="zh-CN"/>
              </w:rPr>
              <w:t>部分路段周边居民住宅、学校等较集中，本次环评</w:t>
            </w:r>
            <w:r>
              <w:rPr>
                <w:rFonts w:hint="eastAsia" w:ascii="宋体" w:hAnsi="宋体" w:eastAsia="宋体" w:cs="宋体"/>
                <w:bCs/>
                <w:sz w:val="24"/>
                <w:u w:val="single"/>
                <w:lang w:val="en-US" w:eastAsia="zh-CN"/>
              </w:rPr>
              <w:t>建议</w:t>
            </w:r>
            <w:r>
              <w:rPr>
                <w:rFonts w:hint="eastAsia" w:ascii="宋体" w:hAnsi="宋体" w:cs="宋体"/>
                <w:bCs/>
                <w:sz w:val="24"/>
                <w:u w:val="single"/>
                <w:lang w:val="en-US" w:eastAsia="zh-CN"/>
              </w:rPr>
              <w:t>敏感点附近的路段施工时要</w:t>
            </w:r>
            <w:r>
              <w:rPr>
                <w:rFonts w:hint="eastAsia" w:ascii="宋体" w:hAnsi="宋体" w:eastAsia="宋体" w:cs="宋体"/>
                <w:bCs/>
                <w:sz w:val="24"/>
                <w:u w:val="single"/>
                <w:lang w:val="en-US" w:eastAsia="zh-CN"/>
              </w:rPr>
              <w:t>设置隔声围挡、临时性声屏障等降噪措施。</w:t>
            </w:r>
          </w:p>
          <w:p>
            <w:pPr>
              <w:pStyle w:val="2"/>
              <w:numPr>
                <w:ilvl w:val="2"/>
                <w:numId w:val="0"/>
              </w:numPr>
              <w:ind w:leftChars="0"/>
              <w:rPr>
                <w:rFonts w:hint="eastAsia" w:eastAsia="宋体"/>
                <w:u w:val="single"/>
                <w:lang w:val="en-US" w:eastAsia="zh-CN"/>
              </w:rPr>
            </w:pPr>
            <w:r>
              <w:rPr>
                <w:rFonts w:hint="eastAsia" w:ascii="宋体" w:hAnsi="宋体" w:cs="宋体"/>
                <w:bCs/>
                <w:sz w:val="24"/>
                <w:u w:val="none"/>
                <w:lang w:val="en-US" w:eastAsia="zh-CN"/>
              </w:rPr>
              <w:t xml:space="preserve">    </w:t>
            </w:r>
            <w:r>
              <w:rPr>
                <w:rFonts w:hint="eastAsia" w:ascii="宋体" w:hAnsi="宋体" w:eastAsia="宋体" w:cs="宋体"/>
                <w:sz w:val="24"/>
                <w:szCs w:val="24"/>
                <w:u w:val="single"/>
              </w:rPr>
              <w:t>⑤</w:t>
            </w:r>
            <w:r>
              <w:rPr>
                <w:rFonts w:hint="eastAsia" w:ascii="宋体" w:hAnsi="宋体" w:eastAsia="宋体" w:cs="宋体"/>
                <w:sz w:val="24"/>
                <w:szCs w:val="24"/>
                <w:u w:val="single"/>
                <w:lang w:eastAsia="zh-CN"/>
              </w:rPr>
              <w:t>应实现施工场地封闭化、围挡标准化，减少对周围环境的污染和影响。夯土机、吊车、空压机等高噪声机械施工路段</w:t>
            </w:r>
            <w:r>
              <w:rPr>
                <w:rFonts w:hint="eastAsia" w:ascii="宋体" w:hAnsi="宋体" w:eastAsia="宋体" w:cs="宋体"/>
                <w:sz w:val="24"/>
                <w:szCs w:val="24"/>
                <w:u w:val="single"/>
                <w:lang w:val="en-US" w:eastAsia="zh-CN"/>
              </w:rPr>
              <w:t>200m范围内有商住建筑、幼儿园、学校等环境敏感点时</w:t>
            </w:r>
            <w:r>
              <w:rPr>
                <w:rFonts w:hint="eastAsia" w:ascii="宋体" w:hAnsi="宋体" w:eastAsia="宋体" w:cs="宋体"/>
                <w:sz w:val="24"/>
                <w:szCs w:val="24"/>
                <w:u w:val="single"/>
                <w:lang w:eastAsia="zh-CN"/>
              </w:rPr>
              <w:t>，可用围挡板与居民区隔离，阻隔噪声传播。</w:t>
            </w:r>
          </w:p>
          <w:p>
            <w:pPr>
              <w:spacing w:line="360" w:lineRule="auto"/>
              <w:ind w:right="23" w:firstLine="504" w:firstLineChars="210"/>
              <w:rPr>
                <w:sz w:val="24"/>
                <w:u w:val="none"/>
              </w:rPr>
            </w:pPr>
            <w:r>
              <w:rPr>
                <w:sz w:val="24"/>
                <w:u w:val="none"/>
              </w:rPr>
              <w:t>在采取上述措施后，施工噪声可得到一定的控制。施工期的影响是暂时性的，一旦施工作业结束，施工噪声影响也随之消失。</w:t>
            </w:r>
          </w:p>
          <w:p>
            <w:pPr>
              <w:spacing w:line="360" w:lineRule="auto"/>
              <w:ind w:right="23" w:firstLine="504" w:firstLineChars="210"/>
              <w:rPr>
                <w:sz w:val="24"/>
                <w:u w:val="none"/>
              </w:rPr>
            </w:pPr>
            <w:r>
              <w:rPr>
                <w:rFonts w:hint="eastAsia"/>
                <w:sz w:val="24"/>
                <w:u w:val="none"/>
                <w:lang w:val="en-US" w:eastAsia="zh-CN"/>
              </w:rPr>
              <w:t>施工期噪声是短期暂时的，并且在采取相应的工程及管理措施后，项目施工期对区域声环境的影响可得到较好控制，对各声环境敏感目标的影响可以接受。并且随着工程施工的结束，施工噪声的影响将不再存在，施工噪声对环境的不利影响是暂时的，短期的。</w:t>
            </w:r>
          </w:p>
          <w:p>
            <w:pPr>
              <w:pStyle w:val="35"/>
              <w:spacing w:line="360" w:lineRule="auto"/>
              <w:rPr>
                <w:rFonts w:hint="default" w:ascii="Times New Roman" w:hAnsi="宋体" w:eastAsia="宋体" w:cs="Times New Roman"/>
                <w:b/>
                <w:color w:val="auto"/>
                <w:sz w:val="24"/>
                <w:szCs w:val="24"/>
                <w:lang w:val="en-US" w:eastAsia="zh-CN"/>
              </w:rPr>
            </w:pPr>
            <w:r>
              <w:rPr>
                <w:rFonts w:hint="eastAsia" w:ascii="Times New Roman" w:hAnsi="宋体" w:eastAsia="宋体" w:cs="Times New Roman"/>
                <w:b/>
                <w:color w:val="auto"/>
                <w:sz w:val="24"/>
                <w:szCs w:val="24"/>
                <w:lang w:val="en-US" w:eastAsia="zh-CN"/>
              </w:rPr>
              <w:t>7.1.4</w:t>
            </w:r>
            <w:r>
              <w:rPr>
                <w:rFonts w:hint="default" w:ascii="Times New Roman" w:hAnsi="宋体" w:eastAsia="宋体" w:cs="Times New Roman"/>
                <w:b/>
                <w:color w:val="auto"/>
                <w:sz w:val="24"/>
                <w:szCs w:val="24"/>
                <w:lang w:val="en-US" w:eastAsia="zh-CN"/>
              </w:rPr>
              <w:t>固体废物影响分析</w:t>
            </w:r>
          </w:p>
          <w:p>
            <w:pPr>
              <w:spacing w:line="360" w:lineRule="auto"/>
              <w:ind w:right="23" w:firstLine="504" w:firstLineChars="210"/>
              <w:rPr>
                <w:rFonts w:hint="eastAsia"/>
                <w:sz w:val="24"/>
                <w:u w:val="none"/>
              </w:rPr>
            </w:pPr>
            <w:r>
              <w:rPr>
                <w:rFonts w:hint="eastAsia"/>
                <w:sz w:val="24"/>
                <w:u w:val="none"/>
              </w:rPr>
              <w:t>本项目不设施工营地，施工期固体废物主要包括弃渣（土方及建筑垃圾）、淤泥。</w:t>
            </w:r>
          </w:p>
          <w:p>
            <w:pPr>
              <w:topLinePunct/>
              <w:spacing w:line="360" w:lineRule="auto"/>
              <w:ind w:firstLine="480" w:firstLineChars="200"/>
              <w:rPr>
                <w:rFonts w:hint="eastAsia"/>
                <w:sz w:val="24"/>
                <w:u w:val="single"/>
              </w:rPr>
            </w:pPr>
            <w:r>
              <w:rPr>
                <w:rFonts w:hint="eastAsia"/>
                <w:sz w:val="24"/>
                <w:u w:val="single"/>
              </w:rPr>
              <w:t>根据底泥现状监测结果表明，项目河道底泥</w:t>
            </w:r>
            <w:r>
              <w:rPr>
                <w:rFonts w:hint="eastAsia"/>
                <w:sz w:val="24"/>
                <w:u w:val="single"/>
                <w:lang w:eastAsia="zh-CN"/>
              </w:rPr>
              <w:t>均</w:t>
            </w:r>
            <w:r>
              <w:rPr>
                <w:rFonts w:hint="eastAsia"/>
                <w:sz w:val="24"/>
                <w:u w:val="single"/>
              </w:rPr>
              <w:t>属于一般固废。</w:t>
            </w:r>
            <w:r>
              <w:rPr>
                <w:rFonts w:hint="default" w:ascii="Times New Roman" w:hAnsi="Times New Roman" w:cs="Times New Roman"/>
                <w:sz w:val="24"/>
                <w:u w:val="single"/>
                <w:lang w:eastAsia="zh-CN"/>
              </w:rPr>
              <w:t>项目拟</w:t>
            </w:r>
            <w:r>
              <w:rPr>
                <w:rFonts w:hint="default" w:ascii="Times New Roman" w:hAnsi="Times New Roman" w:cs="Times New Roman"/>
                <w:color w:val="auto"/>
                <w:kern w:val="2"/>
                <w:sz w:val="24"/>
                <w:szCs w:val="24"/>
                <w:u w:val="single"/>
                <w:vertAlign w:val="baseline"/>
                <w:lang w:val="en-US" w:eastAsia="zh-CN" w:bidi="ar-SA"/>
              </w:rPr>
              <w:t>采用土工管袋脱水的方法对淤泥进行脱水，土工管袋内淤泥通过压滤后含水率可从90%下降到60%以下，则淤泥量可降低至4675m</w:t>
            </w:r>
            <w:r>
              <w:rPr>
                <w:rFonts w:hint="default" w:ascii="Times New Roman" w:hAnsi="Times New Roman" w:cs="Times New Roman"/>
                <w:color w:val="auto"/>
                <w:kern w:val="2"/>
                <w:sz w:val="24"/>
                <w:szCs w:val="24"/>
                <w:u w:val="single"/>
                <w:vertAlign w:val="superscript"/>
                <w:lang w:val="en-US" w:eastAsia="zh-CN" w:bidi="ar-SA"/>
              </w:rPr>
              <w:t>3</w:t>
            </w:r>
            <w:r>
              <w:rPr>
                <w:rFonts w:hint="default" w:ascii="Times New Roman" w:hAnsi="Times New Roman" w:cs="Times New Roman"/>
                <w:color w:val="auto"/>
                <w:kern w:val="2"/>
                <w:sz w:val="24"/>
                <w:szCs w:val="24"/>
                <w:u w:val="single"/>
                <w:vertAlign w:val="baseline"/>
                <w:lang w:val="en-US" w:eastAsia="zh-CN" w:bidi="ar-SA"/>
              </w:rPr>
              <w:t>以下，淤泥内水分含量达到护坡中心填土要求时作为护坡中心填土使用</w:t>
            </w:r>
            <w:r>
              <w:rPr>
                <w:rFonts w:hint="eastAsia" w:cs="Times New Roman"/>
                <w:color w:val="auto"/>
                <w:kern w:val="2"/>
                <w:sz w:val="24"/>
                <w:szCs w:val="24"/>
                <w:u w:val="single"/>
                <w:vertAlign w:val="baseline"/>
                <w:lang w:val="en-US" w:eastAsia="zh-CN" w:bidi="ar-SA"/>
              </w:rPr>
              <w:t>；</w:t>
            </w:r>
            <w:r>
              <w:rPr>
                <w:rFonts w:hint="eastAsia"/>
                <w:sz w:val="24"/>
                <w:u w:val="single"/>
              </w:rPr>
              <w:t>对周围环境影响较小。</w:t>
            </w:r>
          </w:p>
          <w:p>
            <w:pPr>
              <w:spacing w:line="360" w:lineRule="auto"/>
              <w:ind w:right="23" w:firstLine="504" w:firstLineChars="210"/>
              <w:rPr>
                <w:rFonts w:hint="eastAsia"/>
                <w:sz w:val="24"/>
                <w:u w:val="none"/>
              </w:rPr>
            </w:pPr>
            <w:r>
              <w:rPr>
                <w:rFonts w:hint="eastAsia"/>
                <w:b w:val="0"/>
                <w:sz w:val="24"/>
                <w:szCs w:val="24"/>
                <w:lang w:val="en-US" w:eastAsia="zh-CN"/>
              </w:rPr>
              <w:t>施工期土石方主要用于回填，并尽可能用于回填地基及绿化和筑路用。不能用于回填的建筑垃圾及弃土统一收集后需外运至政府指定地点堆放。</w:t>
            </w:r>
          </w:p>
          <w:p>
            <w:pPr>
              <w:spacing w:line="360" w:lineRule="auto"/>
              <w:ind w:right="23" w:firstLine="504" w:firstLineChars="210"/>
              <w:rPr>
                <w:rFonts w:hint="eastAsia"/>
                <w:sz w:val="24"/>
                <w:u w:val="none"/>
              </w:rPr>
            </w:pPr>
            <w:r>
              <w:rPr>
                <w:rFonts w:hint="eastAsia"/>
                <w:sz w:val="24"/>
                <w:u w:val="none"/>
              </w:rPr>
              <w:t>为减少渣土运输过程中对环境造成的影响，本次环评建议采取以下防治措施：</w:t>
            </w:r>
          </w:p>
          <w:p>
            <w:pPr>
              <w:spacing w:line="360" w:lineRule="auto"/>
              <w:ind w:right="23" w:firstLine="504" w:firstLineChars="210"/>
              <w:rPr>
                <w:rFonts w:hint="eastAsia"/>
                <w:sz w:val="24"/>
                <w:u w:val="none"/>
              </w:rPr>
            </w:pPr>
            <w:r>
              <w:rPr>
                <w:rFonts w:hint="eastAsia"/>
                <w:sz w:val="24"/>
                <w:u w:val="none"/>
              </w:rPr>
              <w:t>（1）产生的土石方弃渣应集中堆放，尽早运出，临时堆放的渣土应用篷布遮挡。</w:t>
            </w:r>
          </w:p>
          <w:p>
            <w:pPr>
              <w:spacing w:line="360" w:lineRule="auto"/>
              <w:ind w:right="23" w:firstLine="504" w:firstLineChars="210"/>
              <w:rPr>
                <w:rFonts w:hint="eastAsia"/>
                <w:sz w:val="24"/>
                <w:u w:val="none"/>
              </w:rPr>
            </w:pPr>
            <w:r>
              <w:rPr>
                <w:rFonts w:hint="eastAsia"/>
                <w:sz w:val="24"/>
                <w:u w:val="none"/>
              </w:rPr>
              <w:t>（2）对运输渣土的车辆采取用帆布覆盖车厢，避免运输过程洒落或被风吹散，对运输沿线造成影响。</w:t>
            </w:r>
          </w:p>
          <w:p>
            <w:pPr>
              <w:spacing w:line="360" w:lineRule="auto"/>
              <w:ind w:right="23" w:firstLine="504" w:firstLineChars="210"/>
              <w:rPr>
                <w:rFonts w:hint="eastAsia"/>
                <w:sz w:val="24"/>
                <w:u w:val="none"/>
              </w:rPr>
            </w:pPr>
            <w:r>
              <w:rPr>
                <w:rFonts w:hint="eastAsia"/>
                <w:sz w:val="24"/>
                <w:u w:val="none"/>
              </w:rPr>
              <w:t>（3）建筑垃圾能回收的尽量回收利用或买卖处理；不能利用或回收部分定点堆放，由统一清运。</w:t>
            </w:r>
          </w:p>
          <w:p>
            <w:pPr>
              <w:spacing w:line="360" w:lineRule="auto"/>
              <w:ind w:right="23" w:firstLine="504" w:firstLineChars="210"/>
              <w:rPr>
                <w:rFonts w:hint="eastAsia"/>
                <w:sz w:val="24"/>
                <w:u w:val="none"/>
              </w:rPr>
            </w:pPr>
            <w:r>
              <w:rPr>
                <w:rFonts w:hint="eastAsia"/>
                <w:sz w:val="24"/>
                <w:u w:val="none"/>
              </w:rPr>
              <w:t>（4）运输车辆严禁超载运输，装卸低于厢板10厘米以上，如有必要，可采取帆布密封等措施，以最大限度地减少运输过程中车辆撒漏、碾压产生的扬尘，严禁发生抛、洒、滴、漏现象。</w:t>
            </w:r>
          </w:p>
          <w:p>
            <w:pPr>
              <w:spacing w:line="360" w:lineRule="auto"/>
              <w:ind w:right="23" w:firstLine="504" w:firstLineChars="210"/>
              <w:rPr>
                <w:rFonts w:hint="eastAsia"/>
                <w:sz w:val="24"/>
                <w:u w:val="none"/>
              </w:rPr>
            </w:pPr>
            <w:r>
              <w:rPr>
                <w:rFonts w:hint="eastAsia"/>
                <w:sz w:val="24"/>
                <w:u w:val="none"/>
              </w:rPr>
              <w:t>在采取本环评提出的建议措施后，固体废物能得到合理处置，对周围环境影响较小。</w:t>
            </w:r>
          </w:p>
          <w:p>
            <w:pPr>
              <w:spacing w:line="360" w:lineRule="auto"/>
              <w:ind w:right="23" w:firstLine="504" w:firstLineChars="210"/>
              <w:rPr>
                <w:sz w:val="24"/>
                <w:u w:val="none"/>
              </w:rPr>
            </w:pPr>
            <w:r>
              <w:rPr>
                <w:rFonts w:hint="eastAsia"/>
                <w:sz w:val="24"/>
                <w:u w:val="none"/>
              </w:rPr>
              <w:t>综上所述，施工期间的各项污染环境的因素在严格采取一定的措施条件下，可避免或减轻其污染，使其达标排放。施工期影响也是短暂的，随着施工期结束，施工噪声、扬尘和水土流失等问题也会小时，而新的建设工程完成后，通过复垦使被破坏的生态环境得以恢复，新的生态环境将取代施工期的被明显破坏的生态环境。</w:t>
            </w:r>
          </w:p>
          <w:p>
            <w:pPr>
              <w:pStyle w:val="35"/>
              <w:spacing w:line="360" w:lineRule="auto"/>
              <w:rPr>
                <w:rFonts w:hint="default" w:ascii="Times New Roman" w:hAnsi="宋体" w:eastAsia="宋体" w:cs="Times New Roman"/>
                <w:b/>
                <w:color w:val="auto"/>
                <w:sz w:val="24"/>
                <w:szCs w:val="24"/>
                <w:lang w:val="en-US" w:eastAsia="zh-CN"/>
              </w:rPr>
            </w:pPr>
            <w:r>
              <w:rPr>
                <w:rFonts w:hint="eastAsia" w:ascii="Times New Roman" w:hAnsi="宋体" w:eastAsia="宋体" w:cs="Times New Roman"/>
                <w:b/>
                <w:color w:val="auto"/>
                <w:sz w:val="24"/>
                <w:szCs w:val="24"/>
                <w:lang w:val="en-US" w:eastAsia="zh-CN"/>
              </w:rPr>
              <w:t>7.1.5</w:t>
            </w:r>
            <w:r>
              <w:rPr>
                <w:rFonts w:hint="default" w:ascii="Times New Roman" w:hAnsi="宋体" w:eastAsia="宋体" w:cs="Times New Roman"/>
                <w:b/>
                <w:color w:val="auto"/>
                <w:sz w:val="24"/>
                <w:szCs w:val="24"/>
                <w:lang w:val="en-US" w:eastAsia="zh-CN"/>
              </w:rPr>
              <w:t>生态影响</w:t>
            </w:r>
          </w:p>
          <w:p>
            <w:pPr>
              <w:spacing w:line="360" w:lineRule="auto"/>
              <w:ind w:firstLine="480" w:firstLineChars="200"/>
              <w:rPr>
                <w:rFonts w:hint="eastAsia"/>
                <w:bCs/>
                <w:color w:val="auto"/>
                <w:sz w:val="24"/>
                <w:u w:val="none"/>
              </w:rPr>
            </w:pPr>
            <w:r>
              <w:rPr>
                <w:bCs/>
                <w:color w:val="auto"/>
                <w:sz w:val="24"/>
                <w:u w:val="none"/>
              </w:rPr>
              <w:t>工程施工将对评价区域的陆生植物、动物、水生生物、景观等产生一定影响。</w:t>
            </w:r>
          </w:p>
          <w:p>
            <w:pPr>
              <w:spacing w:line="360" w:lineRule="auto"/>
              <w:ind w:right="23" w:firstLine="504" w:firstLineChars="210"/>
              <w:rPr>
                <w:rFonts w:hint="eastAsia"/>
                <w:sz w:val="24"/>
                <w:u w:val="none"/>
              </w:rPr>
            </w:pPr>
            <w:r>
              <w:rPr>
                <w:rFonts w:hint="eastAsia"/>
                <w:sz w:val="24"/>
                <w:u w:val="none"/>
              </w:rPr>
              <w:t>（1）对植被的影响分析</w:t>
            </w:r>
          </w:p>
          <w:p>
            <w:pPr>
              <w:spacing w:line="360" w:lineRule="auto"/>
              <w:ind w:right="23" w:firstLine="504" w:firstLineChars="210"/>
              <w:rPr>
                <w:rFonts w:hint="eastAsia"/>
                <w:sz w:val="24"/>
                <w:u w:val="none"/>
                <w:lang w:val="en-US" w:eastAsia="zh-CN"/>
              </w:rPr>
            </w:pPr>
            <w:r>
              <w:rPr>
                <w:rFonts w:hint="eastAsia"/>
                <w:sz w:val="24"/>
                <w:u w:val="none"/>
                <w:lang w:val="en-US" w:eastAsia="zh-CN"/>
              </w:rPr>
              <w:t>本项目临时用主要为施工工区，根据项目组现场调查，区域内主要为道路及周边荒地，由于施工周期短，临时扰动面积小，施工结束后立即对临时用地进行恢复，对其影响较小。</w:t>
            </w:r>
          </w:p>
          <w:p>
            <w:pPr>
              <w:spacing w:line="360" w:lineRule="auto"/>
              <w:ind w:firstLine="480" w:firstLineChars="200"/>
              <w:rPr>
                <w:rFonts w:hint="eastAsia"/>
                <w:bCs/>
                <w:color w:val="auto"/>
                <w:sz w:val="24"/>
                <w:u w:val="none"/>
              </w:rPr>
            </w:pPr>
            <w:r>
              <w:rPr>
                <w:rFonts w:hint="eastAsia"/>
                <w:bCs/>
                <w:color w:val="auto"/>
                <w:sz w:val="24"/>
                <w:u w:val="none"/>
              </w:rPr>
              <w:t>（2）</w:t>
            </w:r>
            <w:r>
              <w:rPr>
                <w:bCs/>
                <w:color w:val="auto"/>
                <w:sz w:val="24"/>
                <w:u w:val="none"/>
              </w:rPr>
              <w:t>对陆地野生生物的影响分析</w:t>
            </w:r>
          </w:p>
          <w:p>
            <w:pPr>
              <w:spacing w:line="360" w:lineRule="auto"/>
              <w:ind w:firstLine="480" w:firstLineChars="200"/>
              <w:rPr>
                <w:rFonts w:hint="eastAsia"/>
                <w:bCs/>
                <w:color w:val="auto"/>
                <w:sz w:val="24"/>
                <w:u w:val="none"/>
              </w:rPr>
            </w:pPr>
            <w:r>
              <w:rPr>
                <w:rFonts w:hint="eastAsia"/>
                <w:bCs/>
                <w:color w:val="auto"/>
                <w:sz w:val="24"/>
                <w:u w:val="none"/>
              </w:rPr>
              <w:t>根据现场调查，拟建工程附近城市化、人工化程度较高，拟建项目区域范围内均为常见动物，没有珍稀保护动物。由于拟建地受干扰程度较高，野生动物种类和数量均不多，主要是适应这种环境的常见种类，如：蛙、鼠、麻雀等，无珍惜保护野生动物。能在此区域生活的此类动物对城市环境已基本适应，因此，本项目对项目沿线动物的影响较小</w:t>
            </w:r>
            <w:r>
              <w:rPr>
                <w:bCs/>
                <w:color w:val="auto"/>
                <w:sz w:val="24"/>
                <w:u w:val="none"/>
              </w:rPr>
              <w:t>。</w:t>
            </w:r>
          </w:p>
          <w:p>
            <w:pPr>
              <w:spacing w:line="360" w:lineRule="auto"/>
              <w:ind w:firstLine="480" w:firstLineChars="200"/>
              <w:rPr>
                <w:rFonts w:hint="eastAsia"/>
                <w:bCs/>
                <w:color w:val="auto"/>
                <w:sz w:val="24"/>
                <w:u w:val="none"/>
              </w:rPr>
            </w:pPr>
            <w:r>
              <w:rPr>
                <w:rFonts w:hint="eastAsia"/>
                <w:bCs/>
                <w:color w:val="auto"/>
                <w:sz w:val="24"/>
                <w:u w:val="none"/>
              </w:rPr>
              <w:t>（</w:t>
            </w:r>
            <w:r>
              <w:rPr>
                <w:rFonts w:hint="eastAsia"/>
                <w:bCs/>
                <w:color w:val="auto"/>
                <w:sz w:val="24"/>
                <w:u w:val="none"/>
                <w:lang w:val="en-US" w:eastAsia="zh-CN"/>
              </w:rPr>
              <w:t>3</w:t>
            </w:r>
            <w:r>
              <w:rPr>
                <w:rFonts w:hint="eastAsia"/>
                <w:bCs/>
                <w:color w:val="auto"/>
                <w:sz w:val="24"/>
                <w:u w:val="none"/>
              </w:rPr>
              <w:t>）</w:t>
            </w:r>
            <w:r>
              <w:rPr>
                <w:bCs/>
                <w:color w:val="auto"/>
                <w:sz w:val="24"/>
                <w:u w:val="none"/>
              </w:rPr>
              <w:t>对景观的影响分析</w:t>
            </w:r>
          </w:p>
          <w:p>
            <w:pPr>
              <w:spacing w:line="360" w:lineRule="auto"/>
              <w:ind w:firstLine="480" w:firstLineChars="200"/>
              <w:rPr>
                <w:rFonts w:hint="eastAsia"/>
                <w:bCs/>
                <w:color w:val="auto"/>
                <w:sz w:val="24"/>
                <w:u w:val="none"/>
              </w:rPr>
            </w:pPr>
            <w:r>
              <w:rPr>
                <w:rFonts w:hint="eastAsia"/>
                <w:bCs/>
                <w:color w:val="auto"/>
                <w:sz w:val="24"/>
                <w:u w:val="none"/>
              </w:rPr>
              <w:t>施工</w:t>
            </w:r>
            <w:r>
              <w:rPr>
                <w:bCs/>
                <w:color w:val="auto"/>
                <w:sz w:val="24"/>
                <w:u w:val="none"/>
              </w:rPr>
              <w:t>引发对景观的影响</w:t>
            </w:r>
            <w:r>
              <w:rPr>
                <w:rFonts w:hint="eastAsia"/>
                <w:bCs/>
                <w:color w:val="auto"/>
                <w:sz w:val="24"/>
                <w:u w:val="none"/>
              </w:rPr>
              <w:t>，</w:t>
            </w:r>
            <w:r>
              <w:rPr>
                <w:bCs/>
                <w:color w:val="auto"/>
                <w:sz w:val="24"/>
                <w:u w:val="none"/>
              </w:rPr>
              <w:t>包括施工区附近植被的破坏与影响</w:t>
            </w:r>
            <w:r>
              <w:rPr>
                <w:rFonts w:hint="eastAsia"/>
                <w:bCs/>
                <w:color w:val="auto"/>
                <w:sz w:val="24"/>
                <w:u w:val="none"/>
              </w:rPr>
              <w:t>，</w:t>
            </w:r>
            <w:r>
              <w:rPr>
                <w:bCs/>
                <w:color w:val="auto"/>
                <w:sz w:val="24"/>
                <w:u w:val="none"/>
              </w:rPr>
              <w:t>如土石方开挖将破坏原有植被</w:t>
            </w:r>
            <w:r>
              <w:rPr>
                <w:rFonts w:hint="eastAsia"/>
                <w:bCs/>
                <w:color w:val="auto"/>
                <w:sz w:val="24"/>
                <w:u w:val="none"/>
              </w:rPr>
              <w:t>；</w:t>
            </w:r>
            <w:r>
              <w:rPr>
                <w:bCs/>
                <w:color w:val="auto"/>
                <w:sz w:val="24"/>
                <w:u w:val="none"/>
              </w:rPr>
              <w:t>另外</w:t>
            </w:r>
            <w:r>
              <w:rPr>
                <w:rFonts w:hint="eastAsia"/>
                <w:bCs/>
                <w:color w:val="auto"/>
                <w:sz w:val="24"/>
                <w:u w:val="none"/>
              </w:rPr>
              <w:t>，</w:t>
            </w:r>
            <w:r>
              <w:rPr>
                <w:bCs/>
                <w:color w:val="auto"/>
                <w:sz w:val="24"/>
                <w:u w:val="none"/>
              </w:rPr>
              <w:t>施工建设可能会造成局部河岸创面。只要注意减少不必</w:t>
            </w:r>
            <w:r>
              <w:rPr>
                <w:rFonts w:hint="eastAsia"/>
                <w:bCs/>
                <w:color w:val="auto"/>
                <w:sz w:val="24"/>
                <w:u w:val="none"/>
              </w:rPr>
              <w:t>要的开挖，在后期注意绿化及恢复，可以将景观影响减小到最低程度。</w:t>
            </w:r>
          </w:p>
          <w:p>
            <w:pPr>
              <w:spacing w:line="360" w:lineRule="auto"/>
              <w:ind w:firstLine="480" w:firstLineChars="200"/>
              <w:rPr>
                <w:rFonts w:hint="eastAsia"/>
                <w:bCs/>
                <w:color w:val="auto"/>
                <w:sz w:val="24"/>
                <w:u w:val="none"/>
              </w:rPr>
            </w:pPr>
            <w:r>
              <w:rPr>
                <w:rFonts w:hint="eastAsia"/>
                <w:bCs/>
                <w:color w:val="auto"/>
                <w:sz w:val="24"/>
                <w:u w:val="none"/>
              </w:rPr>
              <w:t>施工期结束后，通过清理现场、场地恢复，可以清除施工痕迹，因此，项目施工对当地景观的影响是暂时的，且影响较小。</w:t>
            </w:r>
          </w:p>
          <w:p>
            <w:pPr>
              <w:spacing w:line="360" w:lineRule="auto"/>
              <w:ind w:firstLine="480" w:firstLineChars="200"/>
              <w:rPr>
                <w:rFonts w:hint="eastAsia"/>
                <w:bCs/>
                <w:color w:val="auto"/>
                <w:sz w:val="24"/>
                <w:u w:val="none"/>
              </w:rPr>
            </w:pPr>
            <w:r>
              <w:rPr>
                <w:rFonts w:hint="eastAsia"/>
                <w:bCs/>
                <w:color w:val="auto"/>
                <w:sz w:val="24"/>
                <w:u w:val="none"/>
              </w:rPr>
              <w:t>（</w:t>
            </w:r>
            <w:r>
              <w:rPr>
                <w:rFonts w:hint="eastAsia"/>
                <w:bCs/>
                <w:color w:val="auto"/>
                <w:sz w:val="24"/>
                <w:u w:val="none"/>
                <w:lang w:val="en-US" w:eastAsia="zh-CN"/>
              </w:rPr>
              <w:t>4</w:t>
            </w:r>
            <w:r>
              <w:rPr>
                <w:rFonts w:hint="eastAsia"/>
                <w:bCs/>
                <w:color w:val="auto"/>
                <w:sz w:val="24"/>
                <w:u w:val="none"/>
              </w:rPr>
              <w:t>）水土保持</w:t>
            </w:r>
          </w:p>
          <w:p>
            <w:pPr>
              <w:spacing w:line="360" w:lineRule="auto"/>
              <w:ind w:firstLine="480" w:firstLineChars="200"/>
              <w:rPr>
                <w:rFonts w:hint="eastAsia"/>
                <w:bCs/>
                <w:color w:val="auto"/>
                <w:sz w:val="24"/>
                <w:u w:val="none"/>
              </w:rPr>
            </w:pPr>
            <w:r>
              <w:rPr>
                <w:bCs/>
                <w:color w:val="auto"/>
                <w:sz w:val="24"/>
                <w:u w:val="none"/>
              </w:rPr>
              <w:t>项目施工建设过程中</w:t>
            </w:r>
            <w:r>
              <w:rPr>
                <w:rFonts w:hint="eastAsia"/>
                <w:bCs/>
                <w:color w:val="auto"/>
                <w:sz w:val="24"/>
                <w:u w:val="none"/>
              </w:rPr>
              <w:t>，</w:t>
            </w:r>
            <w:r>
              <w:rPr>
                <w:bCs/>
                <w:color w:val="auto"/>
                <w:sz w:val="24"/>
                <w:u w:val="none"/>
              </w:rPr>
              <w:t>由于人为扰动</w:t>
            </w:r>
            <w:r>
              <w:rPr>
                <w:rFonts w:hint="eastAsia"/>
                <w:bCs/>
                <w:color w:val="auto"/>
                <w:sz w:val="24"/>
                <w:u w:val="none"/>
                <w:lang w:eastAsia="zh-CN"/>
              </w:rPr>
              <w:t>，</w:t>
            </w:r>
            <w:r>
              <w:rPr>
                <w:bCs/>
                <w:color w:val="auto"/>
                <w:sz w:val="24"/>
                <w:u w:val="none"/>
              </w:rPr>
              <w:t>破坏了原生地表抗蚀能力与外营力之间的相对平衡。扰动后土壤与原地貌相比</w:t>
            </w:r>
            <w:r>
              <w:rPr>
                <w:rFonts w:hint="eastAsia"/>
                <w:bCs/>
                <w:color w:val="auto"/>
                <w:sz w:val="24"/>
                <w:u w:val="none"/>
              </w:rPr>
              <w:t>，</w:t>
            </w:r>
            <w:r>
              <w:rPr>
                <w:bCs/>
                <w:color w:val="auto"/>
                <w:sz w:val="24"/>
                <w:u w:val="none"/>
              </w:rPr>
              <w:t>结构松散</w:t>
            </w:r>
            <w:r>
              <w:rPr>
                <w:rFonts w:hint="eastAsia"/>
                <w:bCs/>
                <w:color w:val="auto"/>
                <w:sz w:val="24"/>
                <w:u w:val="none"/>
              </w:rPr>
              <w:t>，</w:t>
            </w:r>
            <w:r>
              <w:rPr>
                <w:bCs/>
                <w:color w:val="auto"/>
                <w:sz w:val="24"/>
                <w:u w:val="none"/>
              </w:rPr>
              <w:t>抵抗侵蚀的能力明显降低因而其水土流失比原地貌更为剧烈</w:t>
            </w:r>
            <w:r>
              <w:rPr>
                <w:rFonts w:hint="eastAsia"/>
                <w:bCs/>
                <w:color w:val="auto"/>
                <w:sz w:val="24"/>
                <w:u w:val="none"/>
              </w:rPr>
              <w:t>，</w:t>
            </w:r>
            <w:r>
              <w:rPr>
                <w:bCs/>
                <w:color w:val="auto"/>
                <w:sz w:val="24"/>
                <w:u w:val="none"/>
              </w:rPr>
              <w:t>水蚀、溅蚀、面蚀、沟蚀、重力侵蚀几种侵蚀形式常同时发生</w:t>
            </w:r>
            <w:r>
              <w:rPr>
                <w:rFonts w:hint="eastAsia"/>
                <w:bCs/>
                <w:color w:val="auto"/>
                <w:sz w:val="24"/>
                <w:u w:val="none"/>
              </w:rPr>
              <w:t>，</w:t>
            </w:r>
            <w:r>
              <w:rPr>
                <w:bCs/>
                <w:color w:val="auto"/>
                <w:sz w:val="24"/>
                <w:u w:val="none"/>
              </w:rPr>
              <w:t>造成了水土流失形式的复杂性和多样性</w:t>
            </w:r>
            <w:r>
              <w:rPr>
                <w:rFonts w:hint="eastAsia"/>
                <w:bCs/>
                <w:color w:val="auto"/>
                <w:sz w:val="24"/>
                <w:u w:val="none"/>
              </w:rPr>
              <w:t>，</w:t>
            </w:r>
            <w:r>
              <w:rPr>
                <w:bCs/>
                <w:color w:val="auto"/>
                <w:sz w:val="24"/>
                <w:u w:val="none"/>
              </w:rPr>
              <w:t>必将对项目建设区域及周边地区的生态环境产生影响。</w:t>
            </w:r>
          </w:p>
          <w:p>
            <w:pPr>
              <w:spacing w:line="360" w:lineRule="auto"/>
              <w:ind w:firstLine="480" w:firstLineChars="200"/>
              <w:rPr>
                <w:rFonts w:hint="eastAsia"/>
                <w:bCs/>
                <w:color w:val="auto"/>
                <w:sz w:val="24"/>
                <w:u w:val="none"/>
              </w:rPr>
            </w:pPr>
            <w:r>
              <w:rPr>
                <w:rFonts w:hint="eastAsia"/>
                <w:bCs/>
                <w:color w:val="auto"/>
                <w:sz w:val="24"/>
                <w:u w:val="none"/>
              </w:rPr>
              <w:t>为了减小施工过程对生态环境的影响，建议采取以下措施：</w:t>
            </w:r>
          </w:p>
          <w:p>
            <w:pPr>
              <w:spacing w:line="360" w:lineRule="auto"/>
              <w:ind w:firstLine="480" w:firstLineChars="200"/>
              <w:rPr>
                <w:rFonts w:hint="eastAsia"/>
                <w:bCs/>
                <w:color w:val="auto"/>
                <w:sz w:val="24"/>
                <w:u w:val="none"/>
              </w:rPr>
            </w:pPr>
            <w:r>
              <w:rPr>
                <w:rFonts w:hint="eastAsia"/>
                <w:bCs/>
                <w:color w:val="auto"/>
                <w:sz w:val="24"/>
                <w:u w:val="none"/>
              </w:rPr>
              <w:t>①限制施工设备、堆料场等临时占地面积，避免对原有植被的破坏；</w:t>
            </w:r>
          </w:p>
          <w:p>
            <w:pPr>
              <w:spacing w:line="360" w:lineRule="auto"/>
              <w:ind w:firstLine="480" w:firstLineChars="200"/>
              <w:rPr>
                <w:rFonts w:hint="eastAsia"/>
                <w:bCs/>
                <w:color w:val="auto"/>
                <w:sz w:val="24"/>
                <w:u w:val="none"/>
              </w:rPr>
            </w:pPr>
            <w:r>
              <w:rPr>
                <w:rFonts w:hint="eastAsia"/>
                <w:bCs/>
                <w:color w:val="auto"/>
                <w:sz w:val="24"/>
                <w:u w:val="none"/>
              </w:rPr>
              <w:t>②施工后应迅速平整作业场地，填埋土坑，尽快恢复植被；</w:t>
            </w:r>
          </w:p>
          <w:p>
            <w:pPr>
              <w:spacing w:line="360" w:lineRule="auto"/>
              <w:ind w:firstLine="480" w:firstLineChars="200"/>
              <w:rPr>
                <w:rFonts w:hint="eastAsia" w:eastAsia="宋体"/>
                <w:bCs/>
                <w:color w:val="auto"/>
                <w:sz w:val="24"/>
                <w:u w:val="none"/>
                <w:lang w:eastAsia="zh-CN"/>
              </w:rPr>
            </w:pPr>
            <w:r>
              <w:rPr>
                <w:rFonts w:hint="eastAsia"/>
                <w:bCs/>
                <w:color w:val="auto"/>
                <w:sz w:val="24"/>
                <w:u w:val="none"/>
              </w:rPr>
              <w:t>③施工场地的选择与布置，应尽量少占用绿地面积，减少对陆域生态态环境的破坏，另外施工开挖、填方应严格按照批准的施工方案进行，未经有关部门批准不得随意砍伐或改变附近区域的植被与绿地性质</w:t>
            </w:r>
            <w:r>
              <w:rPr>
                <w:rFonts w:hint="eastAsia"/>
                <w:bCs/>
                <w:color w:val="auto"/>
                <w:sz w:val="24"/>
                <w:u w:val="none"/>
                <w:lang w:eastAsia="zh-CN"/>
              </w:rPr>
              <w:t>；</w:t>
            </w:r>
          </w:p>
          <w:p>
            <w:pPr>
              <w:spacing w:line="360" w:lineRule="auto"/>
              <w:ind w:firstLine="480" w:firstLineChars="200"/>
              <w:rPr>
                <w:rFonts w:hint="eastAsia" w:eastAsia="宋体"/>
                <w:bCs/>
                <w:color w:val="auto"/>
                <w:sz w:val="24"/>
                <w:u w:val="none"/>
                <w:lang w:eastAsia="zh-CN"/>
              </w:rPr>
            </w:pPr>
            <w:r>
              <w:rPr>
                <w:rFonts w:hint="eastAsia"/>
                <w:bCs/>
                <w:color w:val="auto"/>
                <w:sz w:val="24"/>
                <w:u w:val="none"/>
              </w:rPr>
              <w:t>④对陆域景观区主要是做好预防保护及土石方平衡和合理调运利用，优化施工工艺，尽量减少弃渣量，做好施工过程中的临时拦挡、排水、沉沙和覆盖等防护，布设排水管网和植被绿化</w:t>
            </w:r>
            <w:r>
              <w:rPr>
                <w:rFonts w:hint="eastAsia"/>
                <w:bCs/>
                <w:color w:val="auto"/>
                <w:sz w:val="24"/>
                <w:u w:val="none"/>
                <w:lang w:eastAsia="zh-CN"/>
              </w:rPr>
              <w:t>；</w:t>
            </w:r>
          </w:p>
          <w:p>
            <w:pPr>
              <w:spacing w:line="360" w:lineRule="auto"/>
              <w:ind w:firstLine="480" w:firstLineChars="200"/>
              <w:rPr>
                <w:rFonts w:hint="eastAsia"/>
                <w:bCs/>
                <w:color w:val="auto"/>
                <w:sz w:val="24"/>
                <w:u w:val="none"/>
              </w:rPr>
            </w:pPr>
            <w:r>
              <w:rPr>
                <w:rFonts w:hint="eastAsia"/>
                <w:bCs/>
                <w:color w:val="auto"/>
                <w:sz w:val="24"/>
                <w:u w:val="none"/>
              </w:rPr>
              <w:t>⑤合理安排工期，雨季做好防排水工作，减少水土流失。</w:t>
            </w:r>
          </w:p>
          <w:p>
            <w:pPr>
              <w:spacing w:line="360" w:lineRule="auto"/>
              <w:ind w:firstLine="480" w:firstLineChars="200"/>
              <w:rPr>
                <w:rFonts w:hint="eastAsia"/>
                <w:bCs/>
                <w:color w:val="auto"/>
                <w:sz w:val="24"/>
                <w:u w:val="none"/>
              </w:rPr>
            </w:pPr>
            <w:r>
              <w:rPr>
                <w:rFonts w:hint="eastAsia"/>
                <w:bCs/>
                <w:color w:val="auto"/>
                <w:sz w:val="24"/>
                <w:u w:val="none"/>
              </w:rPr>
              <w:t>施工结束后，及时恢复周围因施工而破坏的植被，恢复土地原有的生态和使用功能。</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ind w:left="0" w:leftChars="0" w:right="0" w:rightChars="0"/>
              <w:jc w:val="both"/>
              <w:textAlignment w:val="auto"/>
              <w:outlineLvl w:val="9"/>
              <w:rPr>
                <w:rFonts w:hint="default"/>
                <w:b/>
                <w:snapToGrid w:val="0"/>
                <w:color w:val="auto"/>
                <w:sz w:val="24"/>
              </w:rPr>
            </w:pPr>
            <w:r>
              <w:rPr>
                <w:rFonts w:hint="eastAsia"/>
                <w:b/>
                <w:snapToGrid w:val="0"/>
                <w:color w:val="auto"/>
                <w:sz w:val="24"/>
                <w:lang w:val="en-US" w:eastAsia="zh-CN"/>
              </w:rPr>
              <w:t>7.2</w:t>
            </w:r>
            <w:r>
              <w:rPr>
                <w:rFonts w:hint="default"/>
                <w:b/>
                <w:snapToGrid w:val="0"/>
                <w:color w:val="auto"/>
                <w:sz w:val="24"/>
              </w:rPr>
              <w:t>运营期环境影响分析</w:t>
            </w:r>
            <w:bookmarkEnd w:id="83"/>
          </w:p>
          <w:p>
            <w:pPr>
              <w:pStyle w:val="89"/>
              <w:keepNext w:val="0"/>
              <w:keepLines w:val="0"/>
              <w:pageBreakBefore w:val="0"/>
              <w:kinsoku/>
              <w:wordWrap/>
              <w:overflowPunct/>
              <w:topLinePunct w:val="0"/>
              <w:autoSpaceDE/>
              <w:autoSpaceDN/>
              <w:bidi w:val="0"/>
              <w:adjustRightInd/>
              <w:snapToGrid/>
              <w:spacing w:line="360" w:lineRule="auto"/>
              <w:ind w:firstLine="480" w:firstLineChars="200"/>
              <w:textAlignment w:val="auto"/>
              <w:outlineLvl w:val="9"/>
              <w:rPr>
                <w:rFonts w:ascii="Times New Roman" w:hAnsi="Times New Roman"/>
                <w:b w:val="0"/>
                <w:bCs/>
                <w:sz w:val="24"/>
                <w:szCs w:val="24"/>
              </w:rPr>
            </w:pPr>
            <w:bookmarkStart w:id="84" w:name="_Toc21020"/>
            <w:bookmarkStart w:id="85" w:name="_Toc5733"/>
            <w:r>
              <w:rPr>
                <w:rFonts w:ascii="Times New Roman" w:hAnsi="Times New Roman"/>
                <w:b w:val="0"/>
                <w:bCs/>
                <w:sz w:val="24"/>
                <w:szCs w:val="24"/>
              </w:rPr>
              <w:t>1、大气环境影响分析</w:t>
            </w:r>
            <w:bookmarkEnd w:id="84"/>
            <w:bookmarkEnd w:id="85"/>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bCs/>
                <w:sz w:val="24"/>
                <w:szCs w:val="24"/>
              </w:rPr>
            </w:pPr>
            <w:bookmarkStart w:id="86" w:name="_Toc29945"/>
            <w:bookmarkStart w:id="87" w:name="_Toc14893"/>
            <w:r>
              <w:rPr>
                <w:bCs/>
                <w:sz w:val="24"/>
                <w:szCs w:val="24"/>
              </w:rPr>
              <w:t>（1）评价工作等级的确定</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sz w:val="24"/>
                <w:szCs w:val="24"/>
              </w:rPr>
            </w:pPr>
            <w:r>
              <w:rPr>
                <w:sz w:val="24"/>
                <w:szCs w:val="24"/>
              </w:rPr>
              <w:t>依据《环境影响评价技术导则-大气环境》(HJ2.2-2018)中5.3节工作等级的确定方法，结合项目工程分析结果，选择正常排放的主要污染物及排放参数，采用附录A推荐模型中的AERSCREEN模式计算项目污染源的最大环境影响，然后按评价工作分级判据进行分级。</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sz w:val="24"/>
                <w:szCs w:val="24"/>
              </w:rPr>
            </w:pPr>
            <w:r>
              <w:rPr>
                <w:sz w:val="24"/>
                <w:szCs w:val="24"/>
              </w:rPr>
              <w:t>①P</w:t>
            </w:r>
            <w:r>
              <w:rPr>
                <w:sz w:val="24"/>
                <w:szCs w:val="24"/>
                <w:vertAlign w:val="subscript"/>
              </w:rPr>
              <w:t>max</w:t>
            </w:r>
            <w:r>
              <w:rPr>
                <w:sz w:val="24"/>
                <w:szCs w:val="24"/>
              </w:rPr>
              <w:t>及D</w:t>
            </w:r>
            <w:r>
              <w:rPr>
                <w:sz w:val="24"/>
                <w:szCs w:val="24"/>
                <w:vertAlign w:val="subscript"/>
              </w:rPr>
              <w:t>10%</w:t>
            </w:r>
            <w:r>
              <w:rPr>
                <w:sz w:val="24"/>
                <w:szCs w:val="24"/>
              </w:rPr>
              <w:t>的确定</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sz w:val="24"/>
                <w:szCs w:val="24"/>
              </w:rPr>
            </w:pPr>
            <w:r>
              <w:rPr>
                <w:sz w:val="24"/>
                <w:szCs w:val="24"/>
              </w:rPr>
              <w:t>依据《环境影响评价技术导则 大气环境》(HJ2.2-2018)中最大地面浓度占标率P</w:t>
            </w:r>
            <w:r>
              <w:rPr>
                <w:i/>
                <w:sz w:val="24"/>
                <w:szCs w:val="24"/>
              </w:rPr>
              <w:t>i</w:t>
            </w:r>
            <w:r>
              <w:rPr>
                <w:sz w:val="24"/>
                <w:szCs w:val="24"/>
              </w:rPr>
              <w:t>定义如下：</w:t>
            </w:r>
          </w:p>
          <w:p>
            <w:pPr>
              <w:spacing w:line="360" w:lineRule="auto"/>
              <w:ind w:firstLine="480" w:firstLineChars="200"/>
              <w:jc w:val="center"/>
              <w:rPr>
                <w:color w:val="000000"/>
                <w:kern w:val="0"/>
                <w:sz w:val="24"/>
                <w:szCs w:val="24"/>
              </w:rPr>
            </w:pPr>
            <w:r>
              <w:rPr>
                <w:color w:val="000000"/>
                <w:kern w:val="0"/>
                <w:position w:val="-30"/>
                <w:sz w:val="24"/>
                <w:szCs w:val="24"/>
              </w:rPr>
              <w:object>
                <v:shape id="_x0000_i1026" o:spt="75" type="#_x0000_t75" style="height:33.75pt;width:78pt;" o:ole="t" filled="f" o:preferrelative="t" stroked="f" coordsize="21600,21600">
                  <v:path/>
                  <v:fill on="f" focussize="0,0"/>
                  <v:stroke on="f"/>
                  <v:imagedata r:id="rId21" o:title=""/>
                  <o:lock v:ext="edit" aspectratio="t"/>
                  <w10:wrap type="none"/>
                  <w10:anchorlock/>
                </v:shape>
                <o:OLEObject Type="Embed" ProgID="Equation.3" ShapeID="_x0000_i1026" DrawAspect="Content" ObjectID="_1468075726" r:id="rId20">
                  <o:LockedField>false</o:LockedField>
                </o:OLEObject>
              </w:object>
            </w:r>
          </w:p>
          <w:p>
            <w:pPr>
              <w:spacing w:line="480" w:lineRule="exact"/>
              <w:ind w:firstLine="422" w:firstLineChars="176"/>
              <w:jc w:val="left"/>
              <w:rPr>
                <w:sz w:val="24"/>
                <w:szCs w:val="24"/>
              </w:rPr>
            </w:pPr>
            <w:r>
              <w:rPr>
                <w:color w:val="000000"/>
                <w:kern w:val="0"/>
                <w:sz w:val="24"/>
                <w:szCs w:val="24"/>
              </w:rPr>
              <w:t>P</w:t>
            </w:r>
            <w:r>
              <w:rPr>
                <w:color w:val="000000"/>
                <w:kern w:val="0"/>
                <w:sz w:val="24"/>
                <w:szCs w:val="24"/>
                <w:vertAlign w:val="subscript"/>
              </w:rPr>
              <w:t>i</w:t>
            </w:r>
            <w:r>
              <w:rPr>
                <w:sz w:val="24"/>
                <w:szCs w:val="24"/>
              </w:rPr>
              <w:t xml:space="preserve"> ——第i个污染物的最大地面空气质量浓度 占标率，%；</w:t>
            </w:r>
          </w:p>
          <w:p>
            <w:pPr>
              <w:spacing w:line="480" w:lineRule="exact"/>
              <w:ind w:firstLine="422" w:firstLineChars="176"/>
              <w:jc w:val="left"/>
              <w:rPr>
                <w:sz w:val="24"/>
                <w:szCs w:val="24"/>
              </w:rPr>
            </w:pPr>
            <w:r>
              <w:rPr>
                <w:color w:val="000000"/>
                <w:kern w:val="0"/>
                <w:sz w:val="24"/>
                <w:szCs w:val="24"/>
              </w:rPr>
              <w:t>C</w:t>
            </w:r>
            <w:r>
              <w:rPr>
                <w:color w:val="000000"/>
                <w:kern w:val="0"/>
                <w:sz w:val="24"/>
                <w:szCs w:val="24"/>
                <w:vertAlign w:val="subscript"/>
              </w:rPr>
              <w:t>i</w:t>
            </w:r>
            <w:r>
              <w:rPr>
                <w:sz w:val="24"/>
                <w:szCs w:val="24"/>
              </w:rPr>
              <w:t>——采用估算模型计算出的第i个污染物的最大1h地面空气质量浓度，μg/m³；</w:t>
            </w:r>
          </w:p>
          <w:p>
            <w:pPr>
              <w:spacing w:line="480" w:lineRule="exact"/>
              <w:ind w:firstLine="422" w:firstLineChars="176"/>
              <w:jc w:val="left"/>
              <w:rPr>
                <w:sz w:val="24"/>
                <w:szCs w:val="24"/>
              </w:rPr>
            </w:pPr>
            <w:r>
              <w:rPr>
                <w:color w:val="000000"/>
                <w:kern w:val="0"/>
                <w:sz w:val="24"/>
                <w:szCs w:val="24"/>
              </w:rPr>
              <w:t>C</w:t>
            </w:r>
            <w:r>
              <w:rPr>
                <w:color w:val="000000"/>
                <w:kern w:val="0"/>
                <w:sz w:val="24"/>
                <w:szCs w:val="24"/>
                <w:vertAlign w:val="subscript"/>
              </w:rPr>
              <w:t>0i</w:t>
            </w:r>
            <w:r>
              <w:rPr>
                <w:sz w:val="24"/>
                <w:szCs w:val="24"/>
              </w:rPr>
              <w:t>——第i个污染物的环境空气质量浓度标准，μg/m³。</w:t>
            </w:r>
          </w:p>
          <w:p>
            <w:pPr>
              <w:spacing w:line="480" w:lineRule="exact"/>
              <w:ind w:firstLine="422" w:firstLineChars="176"/>
              <w:jc w:val="left"/>
              <w:rPr>
                <w:sz w:val="24"/>
                <w:szCs w:val="24"/>
              </w:rPr>
            </w:pPr>
            <w:r>
              <w:rPr>
                <w:sz w:val="24"/>
                <w:szCs w:val="24"/>
              </w:rPr>
              <w:t>②评价等级判别表</w:t>
            </w:r>
          </w:p>
          <w:p>
            <w:pPr>
              <w:spacing w:line="480" w:lineRule="exact"/>
              <w:ind w:firstLine="422" w:firstLineChars="176"/>
              <w:jc w:val="left"/>
              <w:rPr>
                <w:sz w:val="24"/>
                <w:szCs w:val="24"/>
              </w:rPr>
            </w:pPr>
            <w:r>
              <w:rPr>
                <w:sz w:val="24"/>
                <w:szCs w:val="24"/>
              </w:rPr>
              <w:t>评价等级按下表的分级判据进行划分</w:t>
            </w:r>
          </w:p>
          <w:p>
            <w:pPr>
              <w:ind w:firstLine="424" w:firstLineChars="176"/>
              <w:jc w:val="center"/>
              <w:rPr>
                <w:b/>
                <w:bCs/>
                <w:kern w:val="0"/>
                <w:sz w:val="24"/>
                <w:szCs w:val="24"/>
              </w:rPr>
            </w:pPr>
            <w:r>
              <w:rPr>
                <w:b/>
                <w:bCs/>
                <w:kern w:val="0"/>
                <w:sz w:val="24"/>
                <w:szCs w:val="24"/>
              </w:rPr>
              <w:t>表</w:t>
            </w:r>
            <w:r>
              <w:rPr>
                <w:rFonts w:hint="eastAsia"/>
                <w:b/>
                <w:bCs/>
                <w:kern w:val="0"/>
                <w:sz w:val="24"/>
                <w:szCs w:val="24"/>
              </w:rPr>
              <w:t>7.2-</w:t>
            </w:r>
            <w:r>
              <w:rPr>
                <w:rFonts w:hint="eastAsia"/>
                <w:b/>
                <w:bCs/>
                <w:kern w:val="0"/>
                <w:sz w:val="24"/>
                <w:szCs w:val="24"/>
                <w:lang w:val="en-US" w:eastAsia="zh-CN"/>
              </w:rPr>
              <w:t>1</w:t>
            </w:r>
            <w:r>
              <w:rPr>
                <w:b/>
                <w:bCs/>
                <w:kern w:val="0"/>
                <w:sz w:val="24"/>
                <w:szCs w:val="24"/>
              </w:rPr>
              <w:t xml:space="preserve">   评价等级判别表</w:t>
            </w:r>
          </w:p>
          <w:tbl>
            <w:tblPr>
              <w:tblStyle w:val="27"/>
              <w:tblW w:w="95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75"/>
              <w:gridCol w:w="47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775" w:type="dxa"/>
                  <w:tcBorders>
                    <w:tl2br w:val="nil"/>
                    <w:tr2bl w:val="nil"/>
                  </w:tcBorders>
                  <w:vAlign w:val="center"/>
                </w:tcPr>
                <w:p>
                  <w:pPr>
                    <w:jc w:val="center"/>
                    <w:rPr>
                      <w:szCs w:val="21"/>
                    </w:rPr>
                  </w:pPr>
                  <w:r>
                    <w:rPr>
                      <w:szCs w:val="21"/>
                    </w:rPr>
                    <w:t>评价工作等级</w:t>
                  </w:r>
                </w:p>
              </w:tc>
              <w:tc>
                <w:tcPr>
                  <w:tcW w:w="4774" w:type="dxa"/>
                  <w:tcBorders>
                    <w:tl2br w:val="nil"/>
                    <w:tr2bl w:val="nil"/>
                  </w:tcBorders>
                  <w:vAlign w:val="center"/>
                </w:tcPr>
                <w:p>
                  <w:pPr>
                    <w:jc w:val="center"/>
                    <w:rPr>
                      <w:szCs w:val="21"/>
                    </w:rPr>
                  </w:pPr>
                  <w:r>
                    <w:rPr>
                      <w:szCs w:val="21"/>
                    </w:rPr>
                    <w:t>评价工作分级判据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775" w:type="dxa"/>
                  <w:tcBorders>
                    <w:tl2br w:val="nil"/>
                    <w:tr2bl w:val="nil"/>
                  </w:tcBorders>
                  <w:vAlign w:val="center"/>
                </w:tcPr>
                <w:p>
                  <w:pPr>
                    <w:jc w:val="center"/>
                    <w:rPr>
                      <w:szCs w:val="21"/>
                    </w:rPr>
                  </w:pPr>
                  <w:r>
                    <w:rPr>
                      <w:szCs w:val="21"/>
                    </w:rPr>
                    <w:t>一级评价</w:t>
                  </w:r>
                </w:p>
              </w:tc>
              <w:tc>
                <w:tcPr>
                  <w:tcW w:w="4774" w:type="dxa"/>
                  <w:tcBorders>
                    <w:tl2br w:val="nil"/>
                    <w:tr2bl w:val="nil"/>
                  </w:tcBorders>
                  <w:vAlign w:val="center"/>
                </w:tcPr>
                <w:p>
                  <w:pPr>
                    <w:jc w:val="center"/>
                    <w:rPr>
                      <w:szCs w:val="21"/>
                    </w:rPr>
                  </w:pPr>
                  <w:r>
                    <w:rPr>
                      <w:szCs w:val="21"/>
                    </w:rPr>
                    <w:t>Pmax≧10%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775" w:type="dxa"/>
                  <w:tcBorders>
                    <w:tl2br w:val="nil"/>
                    <w:tr2bl w:val="nil"/>
                  </w:tcBorders>
                  <w:vAlign w:val="center"/>
                </w:tcPr>
                <w:p>
                  <w:pPr>
                    <w:jc w:val="center"/>
                    <w:rPr>
                      <w:szCs w:val="21"/>
                    </w:rPr>
                  </w:pPr>
                  <w:r>
                    <w:rPr>
                      <w:szCs w:val="21"/>
                    </w:rPr>
                    <w:t>二级评价</w:t>
                  </w:r>
                </w:p>
              </w:tc>
              <w:tc>
                <w:tcPr>
                  <w:tcW w:w="4774" w:type="dxa"/>
                  <w:tcBorders>
                    <w:tl2br w:val="nil"/>
                    <w:tr2bl w:val="nil"/>
                  </w:tcBorders>
                  <w:vAlign w:val="center"/>
                </w:tcPr>
                <w:p>
                  <w:pPr>
                    <w:jc w:val="center"/>
                    <w:rPr>
                      <w:szCs w:val="21"/>
                    </w:rPr>
                  </w:pPr>
                  <w:r>
                    <w:rPr>
                      <w:szCs w:val="21"/>
                    </w:rPr>
                    <w:t>1%≦Pmax&lt;10%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775" w:type="dxa"/>
                  <w:tcBorders>
                    <w:tl2br w:val="nil"/>
                    <w:tr2bl w:val="nil"/>
                  </w:tcBorders>
                  <w:vAlign w:val="center"/>
                </w:tcPr>
                <w:p>
                  <w:pPr>
                    <w:jc w:val="center"/>
                    <w:rPr>
                      <w:szCs w:val="21"/>
                    </w:rPr>
                  </w:pPr>
                  <w:r>
                    <w:rPr>
                      <w:szCs w:val="21"/>
                    </w:rPr>
                    <w:t>三级评价</w:t>
                  </w:r>
                </w:p>
              </w:tc>
              <w:tc>
                <w:tcPr>
                  <w:tcW w:w="4774" w:type="dxa"/>
                  <w:tcBorders>
                    <w:tl2br w:val="nil"/>
                    <w:tr2bl w:val="nil"/>
                  </w:tcBorders>
                  <w:vAlign w:val="center"/>
                </w:tcPr>
                <w:p>
                  <w:pPr>
                    <w:jc w:val="center"/>
                    <w:rPr>
                      <w:szCs w:val="21"/>
                    </w:rPr>
                  </w:pPr>
                  <w:r>
                    <w:rPr>
                      <w:szCs w:val="21"/>
                    </w:rPr>
                    <w:t>Pmax&lt;1%</w:t>
                  </w:r>
                </w:p>
              </w:tc>
            </w:tr>
          </w:tbl>
          <w:p>
            <w:pPr>
              <w:spacing w:line="480" w:lineRule="exact"/>
              <w:ind w:firstLine="422" w:firstLineChars="176"/>
              <w:jc w:val="left"/>
              <w:rPr>
                <w:sz w:val="24"/>
                <w:szCs w:val="24"/>
              </w:rPr>
            </w:pPr>
            <w:r>
              <w:rPr>
                <w:sz w:val="24"/>
                <w:szCs w:val="24"/>
              </w:rPr>
              <w:t>③污染物评价标准</w:t>
            </w:r>
          </w:p>
          <w:p>
            <w:pPr>
              <w:spacing w:line="480" w:lineRule="exact"/>
              <w:ind w:firstLine="422" w:firstLineChars="176"/>
              <w:jc w:val="left"/>
              <w:rPr>
                <w:sz w:val="24"/>
                <w:szCs w:val="24"/>
              </w:rPr>
            </w:pPr>
            <w:r>
              <w:rPr>
                <w:sz w:val="24"/>
                <w:szCs w:val="24"/>
              </w:rPr>
              <w:t>污染物评价标准和来源见下表。</w:t>
            </w:r>
          </w:p>
          <w:p>
            <w:pPr>
              <w:ind w:firstLine="424" w:firstLineChars="176"/>
              <w:jc w:val="center"/>
              <w:rPr>
                <w:b/>
                <w:bCs/>
                <w:kern w:val="0"/>
                <w:sz w:val="24"/>
                <w:szCs w:val="24"/>
              </w:rPr>
            </w:pPr>
            <w:r>
              <w:rPr>
                <w:b/>
                <w:bCs/>
                <w:kern w:val="0"/>
                <w:sz w:val="24"/>
                <w:szCs w:val="24"/>
              </w:rPr>
              <w:t>表</w:t>
            </w:r>
            <w:r>
              <w:rPr>
                <w:rFonts w:hint="eastAsia"/>
                <w:b/>
                <w:bCs/>
                <w:kern w:val="0"/>
                <w:sz w:val="24"/>
                <w:szCs w:val="24"/>
              </w:rPr>
              <w:t>7.2-</w:t>
            </w:r>
            <w:r>
              <w:rPr>
                <w:rFonts w:hint="eastAsia"/>
                <w:b/>
                <w:bCs/>
                <w:kern w:val="0"/>
                <w:sz w:val="24"/>
                <w:szCs w:val="24"/>
                <w:lang w:val="en-US" w:eastAsia="zh-CN"/>
              </w:rPr>
              <w:t>2</w:t>
            </w:r>
            <w:r>
              <w:rPr>
                <w:b/>
                <w:bCs/>
                <w:kern w:val="0"/>
                <w:sz w:val="24"/>
                <w:szCs w:val="24"/>
              </w:rPr>
              <w:t xml:space="preserve">   污染物评价标准</w:t>
            </w:r>
          </w:p>
          <w:tbl>
            <w:tblPr>
              <w:tblStyle w:val="27"/>
              <w:tblW w:w="95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1"/>
              <w:gridCol w:w="1176"/>
              <w:gridCol w:w="1390"/>
              <w:gridCol w:w="1553"/>
              <w:gridCol w:w="3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8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污染物名称</w:t>
                  </w:r>
                </w:p>
              </w:tc>
              <w:tc>
                <w:tcPr>
                  <w:tcW w:w="117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功能区</w:t>
                  </w:r>
                </w:p>
              </w:tc>
              <w:tc>
                <w:tcPr>
                  <w:tcW w:w="139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取值时间</w:t>
                  </w:r>
                </w:p>
              </w:tc>
              <w:tc>
                <w:tcPr>
                  <w:tcW w:w="155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标准值</w:t>
                  </w:r>
                </w:p>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(μg/m³)</w:t>
                  </w:r>
                </w:p>
              </w:tc>
              <w:tc>
                <w:tcPr>
                  <w:tcW w:w="37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8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NH</w:t>
                  </w:r>
                  <w:r>
                    <w:rPr>
                      <w:szCs w:val="21"/>
                      <w:vertAlign w:val="subscript"/>
                    </w:rPr>
                    <w:t>3</w:t>
                  </w:r>
                </w:p>
              </w:tc>
              <w:tc>
                <w:tcPr>
                  <w:tcW w:w="117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二类限区</w:t>
                  </w:r>
                </w:p>
              </w:tc>
              <w:tc>
                <w:tcPr>
                  <w:tcW w:w="139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一小时</w:t>
                  </w:r>
                </w:p>
              </w:tc>
              <w:tc>
                <w:tcPr>
                  <w:tcW w:w="155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200.0</w:t>
                  </w:r>
                </w:p>
              </w:tc>
              <w:tc>
                <w:tcPr>
                  <w:tcW w:w="37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《环境影响评价技术导则-大气环境》 HJ 2.2-2018 附录D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68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H</w:t>
                  </w:r>
                  <w:r>
                    <w:rPr>
                      <w:szCs w:val="21"/>
                      <w:vertAlign w:val="subscript"/>
                    </w:rPr>
                    <w:t>2</w:t>
                  </w:r>
                  <w:r>
                    <w:rPr>
                      <w:szCs w:val="21"/>
                    </w:rPr>
                    <w:t>S</w:t>
                  </w:r>
                </w:p>
              </w:tc>
              <w:tc>
                <w:tcPr>
                  <w:tcW w:w="117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二类限区</w:t>
                  </w:r>
                </w:p>
              </w:tc>
              <w:tc>
                <w:tcPr>
                  <w:tcW w:w="139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一小时</w:t>
                  </w:r>
                </w:p>
              </w:tc>
              <w:tc>
                <w:tcPr>
                  <w:tcW w:w="155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10.0</w:t>
                  </w:r>
                </w:p>
              </w:tc>
              <w:tc>
                <w:tcPr>
                  <w:tcW w:w="37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jc w:val="center"/>
                    <w:textAlignment w:val="auto"/>
                    <w:rPr>
                      <w:szCs w:val="21"/>
                    </w:rPr>
                  </w:pPr>
                  <w:r>
                    <w:rPr>
                      <w:szCs w:val="21"/>
                    </w:rPr>
                    <w:t>《环境影响评价技术导则-大气环境》 HJ 2.2-2018 附录D</w:t>
                  </w:r>
                </w:p>
              </w:tc>
            </w:tr>
          </w:tbl>
          <w:p>
            <w:pPr>
              <w:spacing w:line="480" w:lineRule="exact"/>
              <w:ind w:firstLine="422" w:firstLineChars="176"/>
              <w:jc w:val="left"/>
              <w:rPr>
                <w:bCs/>
                <w:sz w:val="24"/>
                <w:szCs w:val="24"/>
              </w:rPr>
            </w:pPr>
            <w:r>
              <w:rPr>
                <w:bCs/>
                <w:sz w:val="24"/>
                <w:szCs w:val="24"/>
              </w:rPr>
              <w:t>（2）污染源参数</w:t>
            </w:r>
          </w:p>
          <w:p>
            <w:pPr>
              <w:spacing w:line="480" w:lineRule="exact"/>
              <w:ind w:firstLine="422" w:firstLineChars="176"/>
              <w:jc w:val="left"/>
              <w:rPr>
                <w:sz w:val="24"/>
                <w:szCs w:val="24"/>
              </w:rPr>
            </w:pPr>
            <w:r>
              <w:rPr>
                <w:sz w:val="24"/>
                <w:szCs w:val="24"/>
              </w:rPr>
              <w:t>主要废气污染源排放参数见下表：</w:t>
            </w:r>
          </w:p>
          <w:p>
            <w:pPr>
              <w:ind w:firstLine="424" w:firstLineChars="176"/>
              <w:jc w:val="center"/>
              <w:rPr>
                <w:b/>
                <w:bCs/>
                <w:kern w:val="0"/>
                <w:sz w:val="24"/>
                <w:szCs w:val="24"/>
              </w:rPr>
            </w:pPr>
            <w:r>
              <w:rPr>
                <w:b/>
                <w:bCs/>
                <w:kern w:val="0"/>
                <w:sz w:val="24"/>
                <w:szCs w:val="24"/>
              </w:rPr>
              <w:t>表</w:t>
            </w:r>
            <w:r>
              <w:rPr>
                <w:rFonts w:hint="eastAsia"/>
                <w:b/>
                <w:bCs/>
                <w:kern w:val="0"/>
                <w:sz w:val="24"/>
                <w:szCs w:val="24"/>
              </w:rPr>
              <w:t>7.2-</w:t>
            </w:r>
            <w:r>
              <w:rPr>
                <w:rFonts w:hint="eastAsia"/>
                <w:b/>
                <w:bCs/>
                <w:kern w:val="0"/>
                <w:sz w:val="24"/>
                <w:szCs w:val="24"/>
                <w:lang w:val="en-US" w:eastAsia="zh-CN"/>
              </w:rPr>
              <w:t>3</w:t>
            </w:r>
            <w:r>
              <w:rPr>
                <w:b/>
                <w:bCs/>
                <w:kern w:val="0"/>
                <w:sz w:val="24"/>
                <w:szCs w:val="24"/>
              </w:rPr>
              <w:t xml:space="preserve">  主要废气污染源参数一览表(矩形面源)</w:t>
            </w:r>
          </w:p>
          <w:tbl>
            <w:tblPr>
              <w:tblStyle w:val="27"/>
              <w:tblW w:w="96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5"/>
              <w:gridCol w:w="1634"/>
              <w:gridCol w:w="1641"/>
              <w:gridCol w:w="617"/>
              <w:gridCol w:w="545"/>
              <w:gridCol w:w="545"/>
              <w:gridCol w:w="584"/>
              <w:gridCol w:w="626"/>
              <w:gridCol w:w="899"/>
              <w:gridCol w:w="639"/>
              <w:gridCol w:w="750"/>
              <w:gridCol w:w="5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14"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污染源名称</w:t>
                  </w:r>
                </w:p>
              </w:tc>
              <w:tc>
                <w:tcPr>
                  <w:tcW w:w="1220" w:type="dxa"/>
                  <w:gridSpan w:val="2"/>
                  <w:tcBorders>
                    <w:tl2br w:val="nil"/>
                    <w:tr2bl w:val="nil"/>
                  </w:tcBorders>
                  <w:vAlign w:val="center"/>
                </w:tcPr>
                <w:p>
                  <w:pPr>
                    <w:snapToGrid w:val="0"/>
                    <w:jc w:val="center"/>
                    <w:rPr>
                      <w:rFonts w:hint="default" w:ascii="Times New Roman" w:hAnsi="Times New Roman" w:cs="Times New Roman"/>
                      <w:sz w:val="21"/>
                      <w:szCs w:val="21"/>
                    </w:rPr>
                  </w:pPr>
                  <w:r>
                    <w:rPr>
                      <w:rFonts w:hint="default" w:ascii="Times New Roman" w:hAnsi="Times New Roman" w:cs="Times New Roman"/>
                      <w:sz w:val="21"/>
                      <w:szCs w:val="21"/>
                    </w:rPr>
                    <w:t>坐标</w:t>
                  </w:r>
                </w:p>
              </w:tc>
              <w:tc>
                <w:tcPr>
                  <w:tcW w:w="708"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海拔高度/m</w:t>
                  </w:r>
                </w:p>
              </w:tc>
              <w:tc>
                <w:tcPr>
                  <w:tcW w:w="2623" w:type="dxa"/>
                  <w:gridSpan w:val="3"/>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矩形面源</w:t>
                  </w:r>
                </w:p>
              </w:tc>
              <w:tc>
                <w:tcPr>
                  <w:tcW w:w="732"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污染物</w:t>
                  </w:r>
                </w:p>
              </w:tc>
              <w:tc>
                <w:tcPr>
                  <w:tcW w:w="812"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排放速率</w:t>
                  </w:r>
                </w:p>
              </w:tc>
              <w:tc>
                <w:tcPr>
                  <w:tcW w:w="775"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单位</w:t>
                  </w:r>
                </w:p>
              </w:tc>
              <w:tc>
                <w:tcPr>
                  <w:tcW w:w="775"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年排放小时数（h）</w:t>
                  </w:r>
                </w:p>
              </w:tc>
              <w:tc>
                <w:tcPr>
                  <w:tcW w:w="775"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排放工况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14" w:type="dxa"/>
                  <w:vMerge w:val="continue"/>
                  <w:tcBorders>
                    <w:tl2br w:val="nil"/>
                    <w:tr2bl w:val="nil"/>
                  </w:tcBorders>
                  <w:vAlign w:val="center"/>
                </w:tcPr>
                <w:p>
                  <w:pPr>
                    <w:snapToGrid w:val="0"/>
                    <w:jc w:val="center"/>
                    <w:rPr>
                      <w:rFonts w:hint="default" w:ascii="Times New Roman" w:hAnsi="Times New Roman" w:cs="Times New Roman"/>
                      <w:sz w:val="21"/>
                      <w:szCs w:val="21"/>
                    </w:rPr>
                  </w:pPr>
                </w:p>
              </w:tc>
              <w:tc>
                <w:tcPr>
                  <w:tcW w:w="660"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X</w:t>
                  </w:r>
                </w:p>
              </w:tc>
              <w:tc>
                <w:tcPr>
                  <w:tcW w:w="560"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Y</w:t>
                  </w:r>
                </w:p>
              </w:tc>
              <w:tc>
                <w:tcPr>
                  <w:tcW w:w="708" w:type="dxa"/>
                  <w:vMerge w:val="continue"/>
                  <w:tcBorders>
                    <w:tl2br w:val="nil"/>
                    <w:tr2bl w:val="nil"/>
                  </w:tcBorders>
                  <w:vAlign w:val="center"/>
                </w:tcPr>
                <w:p>
                  <w:pPr>
                    <w:jc w:val="center"/>
                    <w:rPr>
                      <w:rFonts w:hint="default" w:ascii="Times New Roman" w:hAnsi="Times New Roman" w:cs="Times New Roman"/>
                      <w:sz w:val="21"/>
                      <w:szCs w:val="21"/>
                    </w:rPr>
                  </w:pPr>
                </w:p>
              </w:tc>
              <w:tc>
                <w:tcPr>
                  <w:tcW w:w="873"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长度</w:t>
                  </w:r>
                </w:p>
              </w:tc>
              <w:tc>
                <w:tcPr>
                  <w:tcW w:w="874"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宽度</w:t>
                  </w:r>
                </w:p>
              </w:tc>
              <w:tc>
                <w:tcPr>
                  <w:tcW w:w="876"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有效高度</w:t>
                  </w:r>
                </w:p>
              </w:tc>
              <w:tc>
                <w:tcPr>
                  <w:tcW w:w="732" w:type="dxa"/>
                  <w:vMerge w:val="continue"/>
                  <w:tcBorders>
                    <w:tl2br w:val="nil"/>
                    <w:tr2bl w:val="nil"/>
                  </w:tcBorders>
                  <w:vAlign w:val="center"/>
                </w:tcPr>
                <w:p>
                  <w:pPr>
                    <w:snapToGrid w:val="0"/>
                    <w:jc w:val="center"/>
                    <w:rPr>
                      <w:rFonts w:hint="default" w:ascii="Times New Roman" w:hAnsi="Times New Roman" w:cs="Times New Roman"/>
                      <w:sz w:val="21"/>
                      <w:szCs w:val="21"/>
                    </w:rPr>
                  </w:pPr>
                </w:p>
              </w:tc>
              <w:tc>
                <w:tcPr>
                  <w:tcW w:w="812" w:type="dxa"/>
                  <w:vMerge w:val="continue"/>
                  <w:tcBorders>
                    <w:tl2br w:val="nil"/>
                    <w:tr2bl w:val="nil"/>
                  </w:tcBorders>
                  <w:vAlign w:val="center"/>
                </w:tcPr>
                <w:p>
                  <w:pPr>
                    <w:snapToGrid w:val="0"/>
                    <w:jc w:val="center"/>
                    <w:rPr>
                      <w:rFonts w:hint="default" w:ascii="Times New Roman" w:hAnsi="Times New Roman" w:cs="Times New Roman"/>
                      <w:sz w:val="21"/>
                      <w:szCs w:val="21"/>
                    </w:rPr>
                  </w:pPr>
                </w:p>
              </w:tc>
              <w:tc>
                <w:tcPr>
                  <w:tcW w:w="775" w:type="dxa"/>
                  <w:vMerge w:val="continue"/>
                  <w:tcBorders>
                    <w:tl2br w:val="nil"/>
                    <w:tr2bl w:val="nil"/>
                  </w:tcBorders>
                  <w:vAlign w:val="center"/>
                </w:tcPr>
                <w:p>
                  <w:pPr>
                    <w:snapToGrid w:val="0"/>
                    <w:jc w:val="center"/>
                    <w:rPr>
                      <w:rFonts w:hint="default" w:ascii="Times New Roman" w:hAnsi="Times New Roman" w:cs="Times New Roman"/>
                      <w:sz w:val="21"/>
                      <w:szCs w:val="21"/>
                    </w:rPr>
                  </w:pPr>
                </w:p>
              </w:tc>
              <w:tc>
                <w:tcPr>
                  <w:tcW w:w="775" w:type="dxa"/>
                  <w:vMerge w:val="continue"/>
                  <w:tcBorders>
                    <w:tl2br w:val="nil"/>
                    <w:tr2bl w:val="nil"/>
                  </w:tcBorders>
                  <w:vAlign w:val="center"/>
                </w:tcPr>
                <w:p>
                  <w:pPr>
                    <w:snapToGrid w:val="0"/>
                    <w:jc w:val="center"/>
                    <w:rPr>
                      <w:rFonts w:hint="default" w:ascii="Times New Roman" w:hAnsi="Times New Roman" w:cs="Times New Roman"/>
                      <w:sz w:val="21"/>
                      <w:szCs w:val="21"/>
                    </w:rPr>
                  </w:pPr>
                </w:p>
              </w:tc>
              <w:tc>
                <w:tcPr>
                  <w:tcW w:w="775" w:type="dxa"/>
                  <w:vMerge w:val="continue"/>
                  <w:tcBorders>
                    <w:tl2br w:val="nil"/>
                    <w:tr2bl w:val="nil"/>
                  </w:tcBorders>
                  <w:vAlign w:val="center"/>
                </w:tcPr>
                <w:p>
                  <w:pPr>
                    <w:snapToGrid w:val="0"/>
                    <w:jc w:val="center"/>
                    <w:rPr>
                      <w:rFonts w:hint="default" w:ascii="Times New Roman" w:hAnsi="Times New Roman"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1214"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矩形面源</w:t>
                  </w:r>
                </w:p>
              </w:tc>
              <w:tc>
                <w:tcPr>
                  <w:tcW w:w="660"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113°9′41.49440″</w:t>
                  </w:r>
                </w:p>
              </w:tc>
              <w:tc>
                <w:tcPr>
                  <w:tcW w:w="560"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29°19′33.36327″</w:t>
                  </w:r>
                </w:p>
              </w:tc>
              <w:tc>
                <w:tcPr>
                  <w:tcW w:w="708"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71.0</w:t>
                  </w:r>
                </w:p>
              </w:tc>
              <w:tc>
                <w:tcPr>
                  <w:tcW w:w="873" w:type="dxa"/>
                  <w:vMerge w:val="restart"/>
                  <w:tcBorders>
                    <w:tl2br w:val="nil"/>
                    <w:tr2bl w:val="nil"/>
                  </w:tcBorders>
                  <w:vAlign w:val="center"/>
                </w:tcPr>
                <w:p>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40</w:t>
                  </w:r>
                </w:p>
              </w:tc>
              <w:tc>
                <w:tcPr>
                  <w:tcW w:w="874" w:type="dxa"/>
                  <w:vMerge w:val="restart"/>
                  <w:tcBorders>
                    <w:tl2br w:val="nil"/>
                    <w:tr2bl w:val="nil"/>
                  </w:tcBorders>
                  <w:vAlign w:val="center"/>
                </w:tcPr>
                <w:p>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25</w:t>
                  </w:r>
                </w:p>
              </w:tc>
              <w:tc>
                <w:tcPr>
                  <w:tcW w:w="876"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5.0</w:t>
                  </w:r>
                </w:p>
              </w:tc>
              <w:tc>
                <w:tcPr>
                  <w:tcW w:w="732"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NH</w:t>
                  </w:r>
                  <w:r>
                    <w:rPr>
                      <w:rFonts w:hint="default" w:ascii="Times New Roman" w:hAnsi="Times New Roman" w:cs="Times New Roman"/>
                      <w:sz w:val="21"/>
                      <w:szCs w:val="21"/>
                      <w:vertAlign w:val="subscript"/>
                    </w:rPr>
                    <w:t>3</w:t>
                  </w:r>
                </w:p>
              </w:tc>
              <w:tc>
                <w:tcPr>
                  <w:tcW w:w="812" w:type="dxa"/>
                  <w:tcBorders>
                    <w:tl2br w:val="nil"/>
                    <w:tr2bl w:val="nil"/>
                  </w:tcBorders>
                  <w:vAlign w:val="center"/>
                </w:tcPr>
                <w:p>
                  <w:pPr>
                    <w:jc w:val="center"/>
                    <w:rPr>
                      <w:rFonts w:hint="eastAsia" w:ascii="Times New Roman" w:hAnsi="Times New Roman" w:eastAsia="宋体" w:cs="Times New Roman"/>
                      <w:sz w:val="21"/>
                      <w:szCs w:val="21"/>
                      <w:lang w:eastAsia="zh-CN"/>
                    </w:rPr>
                  </w:pPr>
                  <w:r>
                    <w:rPr>
                      <w:rFonts w:hint="default" w:ascii="Times New Roman" w:hAnsi="Times New Roman" w:cs="Times New Roman"/>
                      <w:sz w:val="21"/>
                      <w:szCs w:val="21"/>
                    </w:rPr>
                    <w:t>0.00</w:t>
                  </w:r>
                  <w:r>
                    <w:rPr>
                      <w:rFonts w:hint="eastAsia" w:ascii="Times New Roman" w:hAnsi="Times New Roman" w:cs="Times New Roman"/>
                      <w:sz w:val="21"/>
                      <w:szCs w:val="21"/>
                      <w:lang w:val="en-US" w:eastAsia="zh-CN"/>
                    </w:rPr>
                    <w:t>2</w:t>
                  </w:r>
                </w:p>
              </w:tc>
              <w:tc>
                <w:tcPr>
                  <w:tcW w:w="775"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kg/h</w:t>
                  </w:r>
                </w:p>
              </w:tc>
              <w:tc>
                <w:tcPr>
                  <w:tcW w:w="775"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8760</w:t>
                  </w:r>
                </w:p>
              </w:tc>
              <w:tc>
                <w:tcPr>
                  <w:tcW w:w="775" w:type="dxa"/>
                  <w:vMerge w:val="restart"/>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214" w:type="dxa"/>
                  <w:vMerge w:val="continue"/>
                  <w:tcBorders>
                    <w:tl2br w:val="nil"/>
                    <w:tr2bl w:val="nil"/>
                  </w:tcBorders>
                  <w:vAlign w:val="center"/>
                </w:tcPr>
                <w:p>
                  <w:pPr>
                    <w:jc w:val="center"/>
                    <w:rPr>
                      <w:rFonts w:hint="default" w:ascii="Times New Roman" w:hAnsi="Times New Roman" w:cs="Times New Roman"/>
                      <w:sz w:val="21"/>
                      <w:szCs w:val="21"/>
                    </w:rPr>
                  </w:pPr>
                </w:p>
              </w:tc>
              <w:tc>
                <w:tcPr>
                  <w:tcW w:w="660" w:type="dxa"/>
                  <w:vMerge w:val="continue"/>
                  <w:tcBorders>
                    <w:tl2br w:val="nil"/>
                    <w:tr2bl w:val="nil"/>
                  </w:tcBorders>
                  <w:vAlign w:val="center"/>
                </w:tcPr>
                <w:p>
                  <w:pPr>
                    <w:jc w:val="center"/>
                    <w:rPr>
                      <w:rFonts w:hint="default" w:ascii="Times New Roman" w:hAnsi="Times New Roman" w:cs="Times New Roman"/>
                      <w:sz w:val="21"/>
                      <w:szCs w:val="21"/>
                    </w:rPr>
                  </w:pPr>
                </w:p>
              </w:tc>
              <w:tc>
                <w:tcPr>
                  <w:tcW w:w="560" w:type="dxa"/>
                  <w:vMerge w:val="continue"/>
                  <w:tcBorders>
                    <w:tl2br w:val="nil"/>
                    <w:tr2bl w:val="nil"/>
                  </w:tcBorders>
                  <w:vAlign w:val="center"/>
                </w:tcPr>
                <w:p>
                  <w:pPr>
                    <w:jc w:val="center"/>
                    <w:rPr>
                      <w:rFonts w:hint="default" w:ascii="Times New Roman" w:hAnsi="Times New Roman" w:cs="Times New Roman"/>
                      <w:sz w:val="21"/>
                      <w:szCs w:val="21"/>
                    </w:rPr>
                  </w:pPr>
                </w:p>
              </w:tc>
              <w:tc>
                <w:tcPr>
                  <w:tcW w:w="708" w:type="dxa"/>
                  <w:vMerge w:val="continue"/>
                  <w:tcBorders>
                    <w:tl2br w:val="nil"/>
                    <w:tr2bl w:val="nil"/>
                  </w:tcBorders>
                  <w:vAlign w:val="center"/>
                </w:tcPr>
                <w:p>
                  <w:pPr>
                    <w:jc w:val="center"/>
                    <w:rPr>
                      <w:rFonts w:hint="default" w:ascii="Times New Roman" w:hAnsi="Times New Roman" w:cs="Times New Roman"/>
                      <w:sz w:val="21"/>
                      <w:szCs w:val="21"/>
                    </w:rPr>
                  </w:pPr>
                </w:p>
              </w:tc>
              <w:tc>
                <w:tcPr>
                  <w:tcW w:w="873" w:type="dxa"/>
                  <w:vMerge w:val="continue"/>
                  <w:tcBorders>
                    <w:tl2br w:val="nil"/>
                    <w:tr2bl w:val="nil"/>
                  </w:tcBorders>
                  <w:vAlign w:val="center"/>
                </w:tcPr>
                <w:p>
                  <w:pPr>
                    <w:jc w:val="center"/>
                    <w:rPr>
                      <w:rFonts w:hint="default" w:ascii="Times New Roman" w:hAnsi="Times New Roman" w:cs="Times New Roman"/>
                      <w:sz w:val="21"/>
                      <w:szCs w:val="21"/>
                    </w:rPr>
                  </w:pPr>
                </w:p>
              </w:tc>
              <w:tc>
                <w:tcPr>
                  <w:tcW w:w="874" w:type="dxa"/>
                  <w:vMerge w:val="continue"/>
                  <w:tcBorders>
                    <w:tl2br w:val="nil"/>
                    <w:tr2bl w:val="nil"/>
                  </w:tcBorders>
                  <w:vAlign w:val="center"/>
                </w:tcPr>
                <w:p>
                  <w:pPr>
                    <w:jc w:val="center"/>
                    <w:rPr>
                      <w:rFonts w:hint="default" w:ascii="Times New Roman" w:hAnsi="Times New Roman" w:cs="Times New Roman"/>
                      <w:sz w:val="21"/>
                      <w:szCs w:val="21"/>
                    </w:rPr>
                  </w:pPr>
                </w:p>
              </w:tc>
              <w:tc>
                <w:tcPr>
                  <w:tcW w:w="876" w:type="dxa"/>
                  <w:vMerge w:val="continue"/>
                  <w:tcBorders>
                    <w:tl2br w:val="nil"/>
                    <w:tr2bl w:val="nil"/>
                  </w:tcBorders>
                  <w:vAlign w:val="center"/>
                </w:tcPr>
                <w:p>
                  <w:pPr>
                    <w:jc w:val="center"/>
                    <w:rPr>
                      <w:rFonts w:hint="default" w:ascii="Times New Roman" w:hAnsi="Times New Roman" w:cs="Times New Roman"/>
                      <w:sz w:val="21"/>
                      <w:szCs w:val="21"/>
                    </w:rPr>
                  </w:pPr>
                </w:p>
              </w:tc>
              <w:tc>
                <w:tcPr>
                  <w:tcW w:w="732" w:type="dxa"/>
                  <w:tcBorders>
                    <w:tl2br w:val="nil"/>
                    <w:tr2bl w:val="nil"/>
                  </w:tcBorders>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H</w:t>
                  </w:r>
                  <w:r>
                    <w:rPr>
                      <w:rFonts w:hint="default" w:ascii="Times New Roman" w:hAnsi="Times New Roman" w:cs="Times New Roman"/>
                      <w:sz w:val="21"/>
                      <w:szCs w:val="21"/>
                      <w:vertAlign w:val="subscript"/>
                    </w:rPr>
                    <w:t>2</w:t>
                  </w:r>
                  <w:r>
                    <w:rPr>
                      <w:rFonts w:hint="default" w:ascii="Times New Roman" w:hAnsi="Times New Roman" w:cs="Times New Roman"/>
                      <w:sz w:val="21"/>
                      <w:szCs w:val="21"/>
                    </w:rPr>
                    <w:t>S</w:t>
                  </w:r>
                </w:p>
              </w:tc>
              <w:tc>
                <w:tcPr>
                  <w:tcW w:w="812" w:type="dxa"/>
                  <w:tcBorders>
                    <w:tl2br w:val="nil"/>
                    <w:tr2bl w:val="nil"/>
                  </w:tcBorders>
                  <w:vAlign w:val="center"/>
                </w:tcPr>
                <w:p>
                  <w:pPr>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rPr>
                    <w:t>0.000</w:t>
                  </w:r>
                  <w:r>
                    <w:rPr>
                      <w:rFonts w:hint="eastAsia" w:ascii="Times New Roman" w:hAnsi="Times New Roman" w:cs="Times New Roman"/>
                      <w:sz w:val="21"/>
                      <w:szCs w:val="21"/>
                      <w:lang w:val="en-US" w:eastAsia="zh-CN"/>
                    </w:rPr>
                    <w:t>78</w:t>
                  </w:r>
                </w:p>
              </w:tc>
              <w:tc>
                <w:tcPr>
                  <w:tcW w:w="775" w:type="dxa"/>
                  <w:vMerge w:val="continue"/>
                  <w:tcBorders>
                    <w:tl2br w:val="nil"/>
                    <w:tr2bl w:val="nil"/>
                  </w:tcBorders>
                  <w:vAlign w:val="center"/>
                </w:tcPr>
                <w:p>
                  <w:pPr>
                    <w:jc w:val="center"/>
                    <w:rPr>
                      <w:rFonts w:hint="default" w:ascii="Times New Roman" w:hAnsi="Times New Roman" w:cs="Times New Roman"/>
                      <w:sz w:val="21"/>
                      <w:szCs w:val="21"/>
                    </w:rPr>
                  </w:pPr>
                </w:p>
              </w:tc>
              <w:tc>
                <w:tcPr>
                  <w:tcW w:w="775" w:type="dxa"/>
                  <w:vMerge w:val="continue"/>
                  <w:tcBorders>
                    <w:tl2br w:val="nil"/>
                    <w:tr2bl w:val="nil"/>
                  </w:tcBorders>
                  <w:vAlign w:val="center"/>
                </w:tcPr>
                <w:p>
                  <w:pPr>
                    <w:jc w:val="center"/>
                    <w:rPr>
                      <w:rFonts w:hint="default" w:ascii="Times New Roman" w:hAnsi="Times New Roman" w:cs="Times New Roman"/>
                      <w:sz w:val="21"/>
                      <w:szCs w:val="21"/>
                    </w:rPr>
                  </w:pPr>
                </w:p>
              </w:tc>
              <w:tc>
                <w:tcPr>
                  <w:tcW w:w="775" w:type="dxa"/>
                  <w:vMerge w:val="continue"/>
                  <w:tcBorders>
                    <w:tl2br w:val="nil"/>
                    <w:tr2bl w:val="nil"/>
                  </w:tcBorders>
                  <w:vAlign w:val="center"/>
                </w:tcPr>
                <w:p>
                  <w:pPr>
                    <w:jc w:val="center"/>
                    <w:rPr>
                      <w:rFonts w:hint="default" w:ascii="Times New Roman" w:hAnsi="Times New Roman" w:cs="Times New Roman"/>
                      <w:sz w:val="21"/>
                      <w:szCs w:val="21"/>
                    </w:rPr>
                  </w:pPr>
                </w:p>
              </w:tc>
            </w:tr>
          </w:tbl>
          <w:p>
            <w:pPr>
              <w:spacing w:line="480" w:lineRule="exact"/>
              <w:ind w:firstLine="422" w:firstLineChars="176"/>
              <w:jc w:val="left"/>
              <w:rPr>
                <w:bCs/>
                <w:sz w:val="24"/>
                <w:szCs w:val="24"/>
              </w:rPr>
            </w:pPr>
            <w:r>
              <w:rPr>
                <w:bCs/>
                <w:sz w:val="24"/>
                <w:szCs w:val="24"/>
              </w:rPr>
              <w:t>（3）项目参数</w:t>
            </w:r>
          </w:p>
          <w:p>
            <w:pPr>
              <w:spacing w:line="480" w:lineRule="exact"/>
              <w:ind w:firstLine="422" w:firstLineChars="176"/>
              <w:jc w:val="left"/>
              <w:rPr>
                <w:sz w:val="24"/>
                <w:szCs w:val="24"/>
              </w:rPr>
            </w:pPr>
            <w:r>
              <w:rPr>
                <w:sz w:val="24"/>
                <w:szCs w:val="24"/>
              </w:rPr>
              <w:t>估算模式所用参数见表。</w:t>
            </w:r>
          </w:p>
          <w:p>
            <w:pPr>
              <w:ind w:firstLine="424" w:firstLineChars="176"/>
              <w:jc w:val="center"/>
              <w:rPr>
                <w:b/>
                <w:bCs/>
                <w:kern w:val="0"/>
                <w:sz w:val="24"/>
                <w:szCs w:val="24"/>
              </w:rPr>
            </w:pPr>
            <w:r>
              <w:rPr>
                <w:b/>
                <w:bCs/>
                <w:kern w:val="0"/>
                <w:sz w:val="24"/>
                <w:szCs w:val="24"/>
              </w:rPr>
              <w:t>表</w:t>
            </w:r>
            <w:r>
              <w:rPr>
                <w:rFonts w:hint="eastAsia"/>
                <w:b/>
                <w:bCs/>
                <w:kern w:val="0"/>
                <w:sz w:val="24"/>
                <w:szCs w:val="24"/>
              </w:rPr>
              <w:t>7.2-</w:t>
            </w:r>
            <w:r>
              <w:rPr>
                <w:rFonts w:hint="eastAsia"/>
                <w:b/>
                <w:bCs/>
                <w:kern w:val="0"/>
                <w:sz w:val="24"/>
                <w:szCs w:val="24"/>
                <w:lang w:val="en-US" w:eastAsia="zh-CN"/>
              </w:rPr>
              <w:t>4</w:t>
            </w:r>
            <w:r>
              <w:rPr>
                <w:b/>
                <w:bCs/>
                <w:kern w:val="0"/>
                <w:sz w:val="24"/>
                <w:szCs w:val="24"/>
              </w:rPr>
              <w:t xml:space="preserve">  估算模型参数表</w:t>
            </w:r>
          </w:p>
          <w:tbl>
            <w:tblPr>
              <w:tblStyle w:val="27"/>
              <w:tblW w:w="95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48"/>
              <w:gridCol w:w="2911"/>
              <w:gridCol w:w="46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9" w:type="dxa"/>
                  <w:gridSpan w:val="2"/>
                  <w:vAlign w:val="center"/>
                </w:tcPr>
                <w:p>
                  <w:pPr>
                    <w:jc w:val="center"/>
                    <w:rPr>
                      <w:szCs w:val="21"/>
                    </w:rPr>
                  </w:pPr>
                  <w:r>
                    <w:rPr>
                      <w:szCs w:val="21"/>
                    </w:rPr>
                    <w:t>参数</w:t>
                  </w:r>
                </w:p>
              </w:tc>
              <w:tc>
                <w:tcPr>
                  <w:tcW w:w="4690" w:type="dxa"/>
                  <w:vAlign w:val="center"/>
                </w:tcPr>
                <w:p>
                  <w:pPr>
                    <w:jc w:val="center"/>
                    <w:rPr>
                      <w:szCs w:val="21"/>
                    </w:rPr>
                  </w:pPr>
                  <w:r>
                    <w:rPr>
                      <w:szCs w:val="21"/>
                    </w:rPr>
                    <w:t>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restart"/>
                  <w:vAlign w:val="center"/>
                </w:tcPr>
                <w:p>
                  <w:pPr>
                    <w:rPr>
                      <w:szCs w:val="21"/>
                    </w:rPr>
                  </w:pPr>
                  <w:r>
                    <w:rPr>
                      <w:szCs w:val="21"/>
                    </w:rPr>
                    <w:t>城市农村/选项</w:t>
                  </w:r>
                </w:p>
              </w:tc>
              <w:tc>
                <w:tcPr>
                  <w:tcW w:w="2911" w:type="dxa"/>
                  <w:vAlign w:val="center"/>
                </w:tcPr>
                <w:p>
                  <w:pPr>
                    <w:jc w:val="center"/>
                    <w:rPr>
                      <w:szCs w:val="21"/>
                    </w:rPr>
                  </w:pPr>
                  <w:r>
                    <w:rPr>
                      <w:szCs w:val="21"/>
                    </w:rPr>
                    <w:t>城市/农村</w:t>
                  </w:r>
                </w:p>
              </w:tc>
              <w:tc>
                <w:tcPr>
                  <w:tcW w:w="4690" w:type="dxa"/>
                  <w:vAlign w:val="center"/>
                </w:tcPr>
                <w:p>
                  <w:pPr>
                    <w:jc w:val="center"/>
                    <w:rPr>
                      <w:szCs w:val="21"/>
                    </w:rPr>
                  </w:pPr>
                  <w:r>
                    <w:rPr>
                      <w:szCs w:val="21"/>
                    </w:rPr>
                    <w:t>农村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continue"/>
                  <w:vAlign w:val="center"/>
                </w:tcPr>
                <w:p>
                  <w:pPr>
                    <w:jc w:val="center"/>
                    <w:rPr>
                      <w:szCs w:val="21"/>
                    </w:rPr>
                  </w:pPr>
                </w:p>
              </w:tc>
              <w:tc>
                <w:tcPr>
                  <w:tcW w:w="2911" w:type="dxa"/>
                  <w:vAlign w:val="center"/>
                </w:tcPr>
                <w:p>
                  <w:pPr>
                    <w:jc w:val="center"/>
                    <w:rPr>
                      <w:szCs w:val="21"/>
                    </w:rPr>
                  </w:pPr>
                  <w:r>
                    <w:rPr>
                      <w:szCs w:val="21"/>
                    </w:rPr>
                    <w:t>人口数(城市人口数)</w:t>
                  </w:r>
                </w:p>
              </w:tc>
              <w:tc>
                <w:tcPr>
                  <w:tcW w:w="4690" w:type="dxa"/>
                  <w:vAlign w:val="center"/>
                </w:tcPr>
                <w:p>
                  <w:pPr>
                    <w:jc w:val="center"/>
                    <w:rPr>
                      <w:szCs w:val="21"/>
                    </w:rPr>
                  </w:pPr>
                  <w:r>
                    <w:rPr>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9" w:type="dxa"/>
                  <w:gridSpan w:val="2"/>
                  <w:vAlign w:val="center"/>
                </w:tcPr>
                <w:p>
                  <w:pPr>
                    <w:jc w:val="center"/>
                    <w:rPr>
                      <w:szCs w:val="21"/>
                    </w:rPr>
                  </w:pPr>
                  <w:r>
                    <w:rPr>
                      <w:szCs w:val="21"/>
                    </w:rPr>
                    <w:t>最高环境温度</w:t>
                  </w:r>
                </w:p>
              </w:tc>
              <w:tc>
                <w:tcPr>
                  <w:tcW w:w="4690" w:type="dxa"/>
                  <w:vAlign w:val="center"/>
                </w:tcPr>
                <w:p>
                  <w:pPr>
                    <w:jc w:val="center"/>
                    <w:rPr>
                      <w:szCs w:val="21"/>
                    </w:rPr>
                  </w:pPr>
                  <w:r>
                    <w:rPr>
                      <w:rFonts w:hint="eastAsia"/>
                      <w:szCs w:val="21"/>
                      <w:lang w:val="en-US" w:eastAsia="zh-CN"/>
                    </w:rPr>
                    <w:t>40.4</w:t>
                  </w:r>
                  <w:r>
                    <w:rPr>
                      <w:szCs w:val="21"/>
                    </w:rPr>
                    <w:t xml:space="preserve"> °C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859" w:type="dxa"/>
                  <w:gridSpan w:val="2"/>
                  <w:vAlign w:val="center"/>
                </w:tcPr>
                <w:p>
                  <w:pPr>
                    <w:jc w:val="center"/>
                    <w:rPr>
                      <w:szCs w:val="21"/>
                    </w:rPr>
                  </w:pPr>
                  <w:r>
                    <w:rPr>
                      <w:szCs w:val="21"/>
                    </w:rPr>
                    <w:t>最低环境温度</w:t>
                  </w:r>
                </w:p>
              </w:tc>
              <w:tc>
                <w:tcPr>
                  <w:tcW w:w="4690" w:type="dxa"/>
                  <w:vAlign w:val="center"/>
                </w:tcPr>
                <w:p>
                  <w:pPr>
                    <w:jc w:val="center"/>
                    <w:rPr>
                      <w:szCs w:val="21"/>
                    </w:rPr>
                  </w:pPr>
                  <w:r>
                    <w:rPr>
                      <w:szCs w:val="21"/>
                    </w:rPr>
                    <w:t>-</w:t>
                  </w:r>
                  <w:r>
                    <w:rPr>
                      <w:rFonts w:hint="eastAsia"/>
                      <w:szCs w:val="21"/>
                      <w:lang w:val="en-US" w:eastAsia="zh-CN"/>
                    </w:rPr>
                    <w:t>18.1</w:t>
                  </w:r>
                  <w:r>
                    <w:rPr>
                      <w:szCs w:val="21"/>
                    </w:rPr>
                    <w:t xml:space="preserve"> °C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9" w:type="dxa"/>
                  <w:gridSpan w:val="2"/>
                  <w:vAlign w:val="center"/>
                </w:tcPr>
                <w:p>
                  <w:pPr>
                    <w:jc w:val="center"/>
                    <w:rPr>
                      <w:szCs w:val="21"/>
                    </w:rPr>
                  </w:pPr>
                  <w:r>
                    <w:rPr>
                      <w:szCs w:val="21"/>
                    </w:rPr>
                    <w:t>土地利用类型</w:t>
                  </w:r>
                </w:p>
              </w:tc>
              <w:tc>
                <w:tcPr>
                  <w:tcW w:w="4690" w:type="dxa"/>
                  <w:vAlign w:val="center"/>
                </w:tcPr>
                <w:p>
                  <w:pPr>
                    <w:jc w:val="center"/>
                    <w:rPr>
                      <w:rFonts w:hint="eastAsia" w:eastAsia="宋体"/>
                      <w:szCs w:val="21"/>
                      <w:lang w:eastAsia="zh-CN"/>
                    </w:rPr>
                  </w:pPr>
                  <w:r>
                    <w:rPr>
                      <w:rFonts w:hint="eastAsia"/>
                      <w:szCs w:val="21"/>
                      <w:lang w:eastAsia="zh-CN"/>
                    </w:rPr>
                    <w:t>农村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9" w:type="dxa"/>
                  <w:gridSpan w:val="2"/>
                  <w:vAlign w:val="center"/>
                </w:tcPr>
                <w:p>
                  <w:pPr>
                    <w:jc w:val="center"/>
                    <w:rPr>
                      <w:szCs w:val="21"/>
                    </w:rPr>
                  </w:pPr>
                  <w:r>
                    <w:rPr>
                      <w:szCs w:val="21"/>
                    </w:rPr>
                    <w:t>区域湿度条件</w:t>
                  </w:r>
                </w:p>
              </w:tc>
              <w:tc>
                <w:tcPr>
                  <w:tcW w:w="4690" w:type="dxa"/>
                  <w:vAlign w:val="center"/>
                </w:tcPr>
                <w:p>
                  <w:pPr>
                    <w:jc w:val="center"/>
                    <w:rPr>
                      <w:szCs w:val="21"/>
                    </w:rPr>
                  </w:pPr>
                  <w:r>
                    <w:rPr>
                      <w:rFonts w:hint="eastAsia"/>
                      <w:szCs w:val="21"/>
                    </w:rPr>
                    <w:t>潮湿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restart"/>
                  <w:vAlign w:val="center"/>
                </w:tcPr>
                <w:p>
                  <w:pPr>
                    <w:jc w:val="center"/>
                    <w:rPr>
                      <w:szCs w:val="21"/>
                    </w:rPr>
                  </w:pPr>
                  <w:r>
                    <w:rPr>
                      <w:szCs w:val="21"/>
                    </w:rPr>
                    <w:t>是否考虑地形</w:t>
                  </w:r>
                </w:p>
              </w:tc>
              <w:tc>
                <w:tcPr>
                  <w:tcW w:w="2911" w:type="dxa"/>
                  <w:vAlign w:val="center"/>
                </w:tcPr>
                <w:p>
                  <w:pPr>
                    <w:jc w:val="center"/>
                    <w:rPr>
                      <w:szCs w:val="21"/>
                    </w:rPr>
                  </w:pPr>
                  <w:r>
                    <w:rPr>
                      <w:szCs w:val="21"/>
                    </w:rPr>
                    <w:t>考虑地形</w:t>
                  </w:r>
                </w:p>
              </w:tc>
              <w:tc>
                <w:tcPr>
                  <w:tcW w:w="4690" w:type="dxa"/>
                  <w:vAlign w:val="center"/>
                </w:tcPr>
                <w:p>
                  <w:pPr>
                    <w:jc w:val="center"/>
                    <w:rPr>
                      <w:szCs w:val="21"/>
                    </w:rPr>
                  </w:pPr>
                  <w:r>
                    <w:rPr>
                      <w:rFonts w:hint="eastAsia"/>
                      <w:szCs w:val="21"/>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continue"/>
                  <w:vAlign w:val="center"/>
                </w:tcPr>
                <w:p>
                  <w:pPr>
                    <w:jc w:val="center"/>
                    <w:rPr>
                      <w:szCs w:val="21"/>
                    </w:rPr>
                  </w:pPr>
                </w:p>
              </w:tc>
              <w:tc>
                <w:tcPr>
                  <w:tcW w:w="2911" w:type="dxa"/>
                  <w:vAlign w:val="center"/>
                </w:tcPr>
                <w:p>
                  <w:pPr>
                    <w:jc w:val="center"/>
                    <w:rPr>
                      <w:szCs w:val="21"/>
                    </w:rPr>
                  </w:pPr>
                  <w:r>
                    <w:rPr>
                      <w:szCs w:val="21"/>
                    </w:rPr>
                    <w:t>地形数据分辨率(m)</w:t>
                  </w:r>
                </w:p>
              </w:tc>
              <w:tc>
                <w:tcPr>
                  <w:tcW w:w="4690" w:type="dxa"/>
                  <w:vAlign w:val="center"/>
                </w:tcPr>
                <w:p>
                  <w:pPr>
                    <w:jc w:val="center"/>
                    <w:rPr>
                      <w:szCs w:val="21"/>
                    </w:rPr>
                  </w:pPr>
                  <w:r>
                    <w:rPr>
                      <w:rFonts w:hint="eastAsia"/>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restart"/>
                  <w:vAlign w:val="center"/>
                </w:tcPr>
                <w:p>
                  <w:pPr>
                    <w:jc w:val="center"/>
                    <w:rPr>
                      <w:szCs w:val="21"/>
                    </w:rPr>
                  </w:pPr>
                  <w:r>
                    <w:rPr>
                      <w:szCs w:val="21"/>
                    </w:rPr>
                    <w:t>是否考虑海岸线熏烟</w:t>
                  </w:r>
                </w:p>
              </w:tc>
              <w:tc>
                <w:tcPr>
                  <w:tcW w:w="2911" w:type="dxa"/>
                  <w:vAlign w:val="center"/>
                </w:tcPr>
                <w:p>
                  <w:pPr>
                    <w:jc w:val="center"/>
                    <w:rPr>
                      <w:szCs w:val="21"/>
                    </w:rPr>
                  </w:pPr>
                  <w:r>
                    <w:rPr>
                      <w:szCs w:val="21"/>
                    </w:rPr>
                    <w:t>考虑海岸线熏烟</w:t>
                  </w:r>
                </w:p>
              </w:tc>
              <w:tc>
                <w:tcPr>
                  <w:tcW w:w="4690" w:type="dxa"/>
                  <w:vAlign w:val="center"/>
                </w:tcPr>
                <w:p>
                  <w:pPr>
                    <w:jc w:val="center"/>
                    <w:rPr>
                      <w:szCs w:val="21"/>
                    </w:rPr>
                  </w:pPr>
                  <w:r>
                    <w:rPr>
                      <w:szCs w:val="21"/>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continue"/>
                  <w:vAlign w:val="center"/>
                </w:tcPr>
                <w:p>
                  <w:pPr>
                    <w:jc w:val="center"/>
                    <w:rPr>
                      <w:szCs w:val="21"/>
                    </w:rPr>
                  </w:pPr>
                </w:p>
              </w:tc>
              <w:tc>
                <w:tcPr>
                  <w:tcW w:w="2911" w:type="dxa"/>
                  <w:vAlign w:val="center"/>
                </w:tcPr>
                <w:p>
                  <w:pPr>
                    <w:jc w:val="center"/>
                    <w:rPr>
                      <w:szCs w:val="21"/>
                    </w:rPr>
                  </w:pPr>
                  <w:r>
                    <w:rPr>
                      <w:szCs w:val="21"/>
                    </w:rPr>
                    <w:t>海岸线距离/km</w:t>
                  </w:r>
                </w:p>
              </w:tc>
              <w:tc>
                <w:tcPr>
                  <w:tcW w:w="4690" w:type="dxa"/>
                  <w:vAlign w:val="center"/>
                </w:tcPr>
                <w:p>
                  <w:pPr>
                    <w:jc w:val="center"/>
                    <w:rPr>
                      <w:szCs w:val="21"/>
                    </w:rPr>
                  </w:pPr>
                  <w:r>
                    <w:rPr>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48" w:type="dxa"/>
                  <w:vMerge w:val="continue"/>
                  <w:vAlign w:val="center"/>
                </w:tcPr>
                <w:p>
                  <w:pPr>
                    <w:jc w:val="center"/>
                    <w:rPr>
                      <w:szCs w:val="21"/>
                    </w:rPr>
                  </w:pPr>
                </w:p>
              </w:tc>
              <w:tc>
                <w:tcPr>
                  <w:tcW w:w="2911" w:type="dxa"/>
                  <w:vAlign w:val="center"/>
                </w:tcPr>
                <w:p>
                  <w:pPr>
                    <w:jc w:val="center"/>
                    <w:rPr>
                      <w:szCs w:val="21"/>
                    </w:rPr>
                  </w:pPr>
                  <w:r>
                    <w:rPr>
                      <w:szCs w:val="21"/>
                    </w:rPr>
                    <w:t>海岸线方向/</w:t>
                  </w:r>
                  <w:r>
                    <w:rPr>
                      <w:szCs w:val="21"/>
                      <w:vertAlign w:val="superscript"/>
                    </w:rPr>
                    <w:t>o</w:t>
                  </w:r>
                </w:p>
              </w:tc>
              <w:tc>
                <w:tcPr>
                  <w:tcW w:w="4690" w:type="dxa"/>
                  <w:vAlign w:val="center"/>
                </w:tcPr>
                <w:p>
                  <w:pPr>
                    <w:jc w:val="center"/>
                    <w:rPr>
                      <w:szCs w:val="21"/>
                    </w:rPr>
                  </w:pPr>
                  <w:r>
                    <w:rPr>
                      <w:szCs w:val="21"/>
                    </w:rPr>
                    <w:t>/</w:t>
                  </w:r>
                </w:p>
              </w:tc>
            </w:tr>
          </w:tbl>
          <w:p>
            <w:pPr>
              <w:spacing w:line="480" w:lineRule="exact"/>
              <w:ind w:firstLine="422" w:firstLineChars="176"/>
              <w:jc w:val="left"/>
              <w:rPr>
                <w:bCs/>
                <w:sz w:val="24"/>
                <w:szCs w:val="24"/>
              </w:rPr>
            </w:pPr>
            <w:r>
              <w:rPr>
                <w:bCs/>
                <w:sz w:val="24"/>
                <w:szCs w:val="24"/>
              </w:rPr>
              <w:t>（4）评级工作等级确定</w:t>
            </w:r>
          </w:p>
          <w:p>
            <w:pPr>
              <w:spacing w:line="480" w:lineRule="exact"/>
              <w:ind w:firstLine="422" w:firstLineChars="176"/>
              <w:jc w:val="left"/>
              <w:rPr>
                <w:sz w:val="24"/>
                <w:szCs w:val="24"/>
              </w:rPr>
            </w:pPr>
            <w:r>
              <w:rPr>
                <w:sz w:val="24"/>
                <w:szCs w:val="24"/>
              </w:rPr>
              <w:t>本项目所有污染源的正常排放的污染物的P</w:t>
            </w:r>
            <w:r>
              <w:rPr>
                <w:sz w:val="24"/>
                <w:szCs w:val="24"/>
                <w:vertAlign w:val="subscript"/>
              </w:rPr>
              <w:t>max</w:t>
            </w:r>
            <w:r>
              <w:rPr>
                <w:sz w:val="24"/>
                <w:szCs w:val="24"/>
              </w:rPr>
              <w:t>和D</w:t>
            </w:r>
            <w:r>
              <w:rPr>
                <w:sz w:val="24"/>
                <w:szCs w:val="24"/>
                <w:vertAlign w:val="subscript"/>
              </w:rPr>
              <w:t>10%</w:t>
            </w:r>
            <w:r>
              <w:rPr>
                <w:sz w:val="24"/>
                <w:szCs w:val="24"/>
              </w:rPr>
              <w:t>预测结果如下：</w:t>
            </w:r>
          </w:p>
          <w:p>
            <w:pPr>
              <w:ind w:firstLine="424" w:firstLineChars="176"/>
              <w:jc w:val="center"/>
              <w:rPr>
                <w:b/>
                <w:bCs/>
                <w:kern w:val="0"/>
                <w:sz w:val="24"/>
                <w:szCs w:val="24"/>
              </w:rPr>
            </w:pPr>
            <w:r>
              <w:rPr>
                <w:b/>
                <w:bCs/>
                <w:kern w:val="0"/>
                <w:sz w:val="24"/>
                <w:szCs w:val="24"/>
              </w:rPr>
              <w:t>表</w:t>
            </w:r>
            <w:r>
              <w:rPr>
                <w:rFonts w:hint="eastAsia"/>
                <w:b/>
                <w:bCs/>
                <w:kern w:val="0"/>
                <w:sz w:val="24"/>
                <w:szCs w:val="24"/>
              </w:rPr>
              <w:t>7.2-</w:t>
            </w:r>
            <w:r>
              <w:rPr>
                <w:rFonts w:hint="eastAsia"/>
                <w:b/>
                <w:bCs/>
                <w:kern w:val="0"/>
                <w:sz w:val="24"/>
                <w:szCs w:val="24"/>
                <w:lang w:val="en-US" w:eastAsia="zh-CN"/>
              </w:rPr>
              <w:t>5</w:t>
            </w:r>
            <w:r>
              <w:rPr>
                <w:b/>
                <w:bCs/>
                <w:kern w:val="0"/>
                <w:sz w:val="24"/>
                <w:szCs w:val="24"/>
              </w:rPr>
              <w:t xml:space="preserve">   Pmax和D10%预测和计算结果一览表</w:t>
            </w:r>
          </w:p>
          <w:tbl>
            <w:tblPr>
              <w:tblStyle w:val="27"/>
              <w:tblW w:w="95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90"/>
              <w:gridCol w:w="1595"/>
              <w:gridCol w:w="1592"/>
              <w:gridCol w:w="1590"/>
              <w:gridCol w:w="1593"/>
              <w:gridCol w:w="15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90" w:type="dxa"/>
                  <w:tcBorders>
                    <w:tl2br w:val="nil"/>
                    <w:tr2bl w:val="nil"/>
                  </w:tcBorders>
                  <w:vAlign w:val="center"/>
                </w:tcPr>
                <w:p>
                  <w:pPr>
                    <w:jc w:val="center"/>
                    <w:rPr>
                      <w:szCs w:val="21"/>
                    </w:rPr>
                  </w:pPr>
                  <w:r>
                    <w:rPr>
                      <w:szCs w:val="21"/>
                    </w:rPr>
                    <w:t>污染源名称</w:t>
                  </w:r>
                </w:p>
              </w:tc>
              <w:tc>
                <w:tcPr>
                  <w:tcW w:w="1595" w:type="dxa"/>
                  <w:tcBorders>
                    <w:tl2br w:val="nil"/>
                    <w:tr2bl w:val="nil"/>
                  </w:tcBorders>
                  <w:vAlign w:val="center"/>
                </w:tcPr>
                <w:p>
                  <w:pPr>
                    <w:jc w:val="center"/>
                    <w:rPr>
                      <w:szCs w:val="21"/>
                    </w:rPr>
                  </w:pPr>
                  <w:r>
                    <w:rPr>
                      <w:szCs w:val="21"/>
                    </w:rPr>
                    <w:t>评价因子</w:t>
                  </w:r>
                </w:p>
              </w:tc>
              <w:tc>
                <w:tcPr>
                  <w:tcW w:w="1592" w:type="dxa"/>
                  <w:tcBorders>
                    <w:tl2br w:val="nil"/>
                    <w:tr2bl w:val="nil"/>
                  </w:tcBorders>
                  <w:vAlign w:val="center"/>
                </w:tcPr>
                <w:p>
                  <w:pPr>
                    <w:jc w:val="center"/>
                    <w:rPr>
                      <w:szCs w:val="21"/>
                    </w:rPr>
                  </w:pPr>
                  <w:r>
                    <w:rPr>
                      <w:szCs w:val="21"/>
                    </w:rPr>
                    <w:t>评价标准(μg/m³)</w:t>
                  </w:r>
                </w:p>
              </w:tc>
              <w:tc>
                <w:tcPr>
                  <w:tcW w:w="1590" w:type="dxa"/>
                  <w:tcBorders>
                    <w:tl2br w:val="nil"/>
                    <w:tr2bl w:val="nil"/>
                  </w:tcBorders>
                  <w:vAlign w:val="center"/>
                </w:tcPr>
                <w:p>
                  <w:pPr>
                    <w:jc w:val="center"/>
                    <w:rPr>
                      <w:szCs w:val="21"/>
                      <w:vertAlign w:val="subscript"/>
                    </w:rPr>
                  </w:pPr>
                  <w:r>
                    <w:rPr>
                      <w:szCs w:val="21"/>
                    </w:rPr>
                    <w:t>C</w:t>
                  </w:r>
                  <w:r>
                    <w:rPr>
                      <w:szCs w:val="21"/>
                      <w:vertAlign w:val="subscript"/>
                    </w:rPr>
                    <w:t>max</w:t>
                  </w:r>
                </w:p>
                <w:p>
                  <w:pPr>
                    <w:jc w:val="center"/>
                    <w:rPr>
                      <w:szCs w:val="21"/>
                    </w:rPr>
                  </w:pPr>
                  <w:r>
                    <w:rPr>
                      <w:szCs w:val="21"/>
                    </w:rPr>
                    <w:t>(μg/m³)</w:t>
                  </w:r>
                </w:p>
              </w:tc>
              <w:tc>
                <w:tcPr>
                  <w:tcW w:w="1593" w:type="dxa"/>
                  <w:tcBorders>
                    <w:tl2br w:val="nil"/>
                    <w:tr2bl w:val="nil"/>
                  </w:tcBorders>
                  <w:vAlign w:val="center"/>
                </w:tcPr>
                <w:p>
                  <w:pPr>
                    <w:jc w:val="center"/>
                    <w:rPr>
                      <w:szCs w:val="21"/>
                    </w:rPr>
                  </w:pPr>
                  <w:r>
                    <w:rPr>
                      <w:szCs w:val="21"/>
                    </w:rPr>
                    <w:t>P</w:t>
                  </w:r>
                  <w:r>
                    <w:rPr>
                      <w:szCs w:val="21"/>
                      <w:vertAlign w:val="subscript"/>
                    </w:rPr>
                    <w:t>max</w:t>
                  </w:r>
                  <w:r>
                    <w:rPr>
                      <w:szCs w:val="21"/>
                    </w:rPr>
                    <w:t>(%)</w:t>
                  </w:r>
                </w:p>
              </w:tc>
              <w:tc>
                <w:tcPr>
                  <w:tcW w:w="1589" w:type="dxa"/>
                  <w:tcBorders>
                    <w:tl2br w:val="nil"/>
                    <w:tr2bl w:val="nil"/>
                  </w:tcBorders>
                  <w:vAlign w:val="center"/>
                </w:tcPr>
                <w:p>
                  <w:pPr>
                    <w:jc w:val="center"/>
                    <w:rPr>
                      <w:szCs w:val="21"/>
                    </w:rPr>
                  </w:pPr>
                  <w:r>
                    <w:rPr>
                      <w:szCs w:val="21"/>
                    </w:rPr>
                    <w:t>D</w:t>
                  </w:r>
                  <w:r>
                    <w:rPr>
                      <w:szCs w:val="21"/>
                      <w:vertAlign w:val="subscript"/>
                    </w:rPr>
                    <w:t>10%</w:t>
                  </w:r>
                  <w:r>
                    <w:rPr>
                      <w:szCs w:val="21"/>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90" w:type="dxa"/>
                  <w:vMerge w:val="restart"/>
                  <w:tcBorders>
                    <w:tl2br w:val="nil"/>
                    <w:tr2bl w:val="nil"/>
                  </w:tcBorders>
                  <w:vAlign w:val="center"/>
                </w:tcPr>
                <w:p>
                  <w:pPr>
                    <w:jc w:val="center"/>
                    <w:rPr>
                      <w:szCs w:val="21"/>
                    </w:rPr>
                  </w:pPr>
                  <w:r>
                    <w:t>矩形面源</w:t>
                  </w:r>
                </w:p>
              </w:tc>
              <w:tc>
                <w:tcPr>
                  <w:tcW w:w="1595" w:type="dxa"/>
                  <w:tcBorders>
                    <w:tl2br w:val="nil"/>
                    <w:tr2bl w:val="nil"/>
                  </w:tcBorders>
                  <w:vAlign w:val="center"/>
                </w:tcPr>
                <w:p>
                  <w:pPr>
                    <w:jc w:val="center"/>
                    <w:rPr>
                      <w:szCs w:val="21"/>
                    </w:rPr>
                  </w:pPr>
                  <w:r>
                    <w:rPr>
                      <w:szCs w:val="21"/>
                    </w:rPr>
                    <w:t>NH</w:t>
                  </w:r>
                  <w:r>
                    <w:rPr>
                      <w:szCs w:val="21"/>
                      <w:vertAlign w:val="subscript"/>
                    </w:rPr>
                    <w:t>3</w:t>
                  </w:r>
                </w:p>
              </w:tc>
              <w:tc>
                <w:tcPr>
                  <w:tcW w:w="1592" w:type="dxa"/>
                  <w:tcBorders>
                    <w:tl2br w:val="nil"/>
                    <w:tr2bl w:val="nil"/>
                  </w:tcBorders>
                  <w:vAlign w:val="center"/>
                </w:tcPr>
                <w:p>
                  <w:pPr>
                    <w:jc w:val="center"/>
                    <w:rPr>
                      <w:szCs w:val="21"/>
                    </w:rPr>
                  </w:pPr>
                  <w:r>
                    <w:rPr>
                      <w:szCs w:val="21"/>
                    </w:rPr>
                    <w:t>200.0</w:t>
                  </w:r>
                </w:p>
              </w:tc>
              <w:tc>
                <w:tcPr>
                  <w:tcW w:w="1590" w:type="dxa"/>
                  <w:tcBorders>
                    <w:tl2br w:val="nil"/>
                    <w:tr2bl w:val="nil"/>
                  </w:tcBorders>
                  <w:vAlign w:val="center"/>
                </w:tcPr>
                <w:p>
                  <w:pPr>
                    <w:jc w:val="center"/>
                    <w:rPr>
                      <w:rFonts w:hint="default" w:eastAsia="宋体"/>
                      <w:szCs w:val="21"/>
                      <w:lang w:val="en-US" w:eastAsia="zh-CN"/>
                    </w:rPr>
                  </w:pPr>
                  <w:r>
                    <w:rPr>
                      <w:rFonts w:hint="eastAsia"/>
                      <w:szCs w:val="21"/>
                      <w:lang w:val="en-US" w:eastAsia="zh-CN"/>
                    </w:rPr>
                    <w:t>1.864</w:t>
                  </w:r>
                </w:p>
              </w:tc>
              <w:tc>
                <w:tcPr>
                  <w:tcW w:w="1593" w:type="dxa"/>
                  <w:tcBorders>
                    <w:tl2br w:val="nil"/>
                    <w:tr2bl w:val="nil"/>
                  </w:tcBorders>
                  <w:vAlign w:val="center"/>
                </w:tcPr>
                <w:p>
                  <w:pPr>
                    <w:jc w:val="center"/>
                    <w:rPr>
                      <w:rFonts w:hint="default" w:eastAsia="宋体"/>
                      <w:szCs w:val="21"/>
                      <w:lang w:val="en-US" w:eastAsia="zh-CN"/>
                    </w:rPr>
                  </w:pPr>
                  <w:r>
                    <w:rPr>
                      <w:rFonts w:hint="eastAsia"/>
                      <w:szCs w:val="21"/>
                      <w:lang w:val="en-US" w:eastAsia="zh-CN"/>
                    </w:rPr>
                    <w:t>0.93</w:t>
                  </w:r>
                </w:p>
              </w:tc>
              <w:tc>
                <w:tcPr>
                  <w:tcW w:w="1589" w:type="dxa"/>
                  <w:tcBorders>
                    <w:tl2br w:val="nil"/>
                    <w:tr2bl w:val="nil"/>
                  </w:tcBorders>
                  <w:vAlign w:val="center"/>
                </w:tcPr>
                <w:p>
                  <w:pPr>
                    <w:jc w:val="center"/>
                    <w:rPr>
                      <w:szCs w:val="21"/>
                    </w:rPr>
                  </w:pPr>
                  <w:r>
                    <w:rPr>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590" w:type="dxa"/>
                  <w:vMerge w:val="continue"/>
                  <w:tcBorders>
                    <w:tl2br w:val="nil"/>
                    <w:tr2bl w:val="nil"/>
                  </w:tcBorders>
                  <w:vAlign w:val="center"/>
                </w:tcPr>
                <w:p>
                  <w:pPr>
                    <w:ind w:firstLine="420" w:firstLineChars="200"/>
                    <w:jc w:val="center"/>
                    <w:rPr>
                      <w:szCs w:val="21"/>
                    </w:rPr>
                  </w:pPr>
                </w:p>
              </w:tc>
              <w:tc>
                <w:tcPr>
                  <w:tcW w:w="1595" w:type="dxa"/>
                  <w:tcBorders>
                    <w:tl2br w:val="nil"/>
                    <w:tr2bl w:val="nil"/>
                  </w:tcBorders>
                  <w:vAlign w:val="center"/>
                </w:tcPr>
                <w:p>
                  <w:pPr>
                    <w:jc w:val="center"/>
                    <w:rPr>
                      <w:szCs w:val="21"/>
                    </w:rPr>
                  </w:pPr>
                  <w:r>
                    <w:rPr>
                      <w:szCs w:val="21"/>
                    </w:rPr>
                    <w:t>H</w:t>
                  </w:r>
                  <w:r>
                    <w:rPr>
                      <w:szCs w:val="21"/>
                      <w:vertAlign w:val="subscript"/>
                    </w:rPr>
                    <w:t>2</w:t>
                  </w:r>
                  <w:r>
                    <w:rPr>
                      <w:szCs w:val="21"/>
                    </w:rPr>
                    <w:t>S</w:t>
                  </w:r>
                </w:p>
              </w:tc>
              <w:tc>
                <w:tcPr>
                  <w:tcW w:w="1592" w:type="dxa"/>
                  <w:tcBorders>
                    <w:tl2br w:val="nil"/>
                    <w:tr2bl w:val="nil"/>
                  </w:tcBorders>
                  <w:vAlign w:val="center"/>
                </w:tcPr>
                <w:p>
                  <w:pPr>
                    <w:jc w:val="center"/>
                    <w:rPr>
                      <w:szCs w:val="21"/>
                    </w:rPr>
                  </w:pPr>
                  <w:r>
                    <w:rPr>
                      <w:szCs w:val="21"/>
                    </w:rPr>
                    <w:t>10.0</w:t>
                  </w:r>
                </w:p>
              </w:tc>
              <w:tc>
                <w:tcPr>
                  <w:tcW w:w="1590" w:type="dxa"/>
                  <w:tcBorders>
                    <w:tl2br w:val="nil"/>
                    <w:tr2bl w:val="nil"/>
                  </w:tcBorders>
                  <w:vAlign w:val="center"/>
                </w:tcPr>
                <w:p>
                  <w:pPr>
                    <w:jc w:val="center"/>
                    <w:rPr>
                      <w:rFonts w:hint="default" w:eastAsia="宋体"/>
                      <w:szCs w:val="21"/>
                      <w:lang w:val="en-US" w:eastAsia="zh-CN"/>
                    </w:rPr>
                  </w:pPr>
                  <w:r>
                    <w:rPr>
                      <w:rFonts w:hint="eastAsia"/>
                      <w:szCs w:val="21"/>
                      <w:lang w:val="en-US" w:eastAsia="zh-CN"/>
                    </w:rPr>
                    <w:t>0.727</w:t>
                  </w:r>
                </w:p>
              </w:tc>
              <w:tc>
                <w:tcPr>
                  <w:tcW w:w="1593" w:type="dxa"/>
                  <w:tcBorders>
                    <w:tl2br w:val="nil"/>
                    <w:tr2bl w:val="nil"/>
                  </w:tcBorders>
                  <w:vAlign w:val="center"/>
                </w:tcPr>
                <w:p>
                  <w:pPr>
                    <w:jc w:val="center"/>
                    <w:rPr>
                      <w:rFonts w:hint="default" w:eastAsia="宋体"/>
                      <w:szCs w:val="21"/>
                      <w:lang w:val="en-US" w:eastAsia="zh-CN"/>
                    </w:rPr>
                  </w:pPr>
                  <w:r>
                    <w:rPr>
                      <w:rFonts w:hint="eastAsia"/>
                      <w:szCs w:val="21"/>
                      <w:lang w:val="en-US" w:eastAsia="zh-CN"/>
                    </w:rPr>
                    <w:t>7.27</w:t>
                  </w:r>
                </w:p>
              </w:tc>
              <w:tc>
                <w:tcPr>
                  <w:tcW w:w="1589" w:type="dxa"/>
                  <w:tcBorders>
                    <w:tl2br w:val="nil"/>
                    <w:tr2bl w:val="nil"/>
                  </w:tcBorders>
                  <w:vAlign w:val="center"/>
                </w:tcPr>
                <w:p>
                  <w:pPr>
                    <w:jc w:val="center"/>
                    <w:rPr>
                      <w:szCs w:val="21"/>
                    </w:rPr>
                  </w:pPr>
                  <w:r>
                    <w:rPr>
                      <w:szCs w:val="21"/>
                    </w:rPr>
                    <w:t>/</w:t>
                  </w:r>
                </w:p>
              </w:tc>
            </w:tr>
          </w:tbl>
          <w:p>
            <w:pPr>
              <w:spacing w:line="480" w:lineRule="exact"/>
              <w:ind w:firstLine="422" w:firstLineChars="176"/>
              <w:rPr>
                <w:sz w:val="24"/>
                <w:szCs w:val="24"/>
              </w:rPr>
            </w:pPr>
            <w:r>
              <w:rPr>
                <w:sz w:val="24"/>
                <w:szCs w:val="24"/>
              </w:rPr>
              <w:t>综合以上分析，本项目P</w:t>
            </w:r>
            <w:r>
              <w:rPr>
                <w:sz w:val="24"/>
                <w:szCs w:val="24"/>
                <w:vertAlign w:val="subscript"/>
              </w:rPr>
              <w:t>max</w:t>
            </w:r>
            <w:r>
              <w:rPr>
                <w:sz w:val="24"/>
                <w:szCs w:val="24"/>
              </w:rPr>
              <w:t>最大值出现为点源排放的</w:t>
            </w:r>
            <w:r>
              <w:rPr>
                <w:rFonts w:hint="eastAsia"/>
                <w:sz w:val="24"/>
                <w:szCs w:val="24"/>
                <w:lang w:eastAsia="zh-CN"/>
              </w:rPr>
              <w:t>硫化氢</w:t>
            </w:r>
            <w:r>
              <w:rPr>
                <w:sz w:val="24"/>
                <w:szCs w:val="24"/>
              </w:rPr>
              <w:t>，P</w:t>
            </w:r>
            <w:r>
              <w:rPr>
                <w:sz w:val="24"/>
                <w:szCs w:val="24"/>
                <w:vertAlign w:val="subscript"/>
              </w:rPr>
              <w:t>max</w:t>
            </w:r>
            <w:r>
              <w:rPr>
                <w:sz w:val="24"/>
                <w:szCs w:val="24"/>
              </w:rPr>
              <w:t>值为</w:t>
            </w:r>
            <w:r>
              <w:rPr>
                <w:rFonts w:hint="eastAsia"/>
                <w:sz w:val="24"/>
                <w:szCs w:val="24"/>
                <w:lang w:val="en-US" w:eastAsia="zh-CN"/>
              </w:rPr>
              <w:t>7.27</w:t>
            </w:r>
            <w:r>
              <w:rPr>
                <w:sz w:val="24"/>
                <w:szCs w:val="24"/>
              </w:rPr>
              <w:t>%，C</w:t>
            </w:r>
            <w:r>
              <w:rPr>
                <w:sz w:val="24"/>
                <w:szCs w:val="24"/>
                <w:vertAlign w:val="subscript"/>
              </w:rPr>
              <w:t>max</w:t>
            </w:r>
            <w:r>
              <w:rPr>
                <w:sz w:val="24"/>
                <w:szCs w:val="24"/>
              </w:rPr>
              <w:t>为</w:t>
            </w:r>
            <w:r>
              <w:rPr>
                <w:rFonts w:hint="eastAsia"/>
                <w:sz w:val="24"/>
                <w:szCs w:val="24"/>
                <w:lang w:val="en-US" w:eastAsia="zh-CN"/>
              </w:rPr>
              <w:t>0.727</w:t>
            </w:r>
            <w:r>
              <w:rPr>
                <w:sz w:val="24"/>
                <w:szCs w:val="24"/>
              </w:rPr>
              <w:t>μg/m³，根据《环境影响评价技术导则 大气环境》(HJ2.2-2018)分级判据，确定本项目大气环境影响评价工作等级为</w:t>
            </w:r>
            <w:r>
              <w:rPr>
                <w:rFonts w:hint="eastAsia"/>
                <w:sz w:val="24"/>
                <w:szCs w:val="24"/>
                <w:lang w:eastAsia="zh-CN"/>
              </w:rPr>
              <w:t>二</w:t>
            </w:r>
            <w:r>
              <w:rPr>
                <w:sz w:val="24"/>
                <w:szCs w:val="24"/>
              </w:rPr>
              <w:t>级。</w:t>
            </w:r>
            <w:r>
              <w:rPr>
                <w:rFonts w:hint="default" w:ascii="Times New Roman" w:hAnsi="Times New Roman" w:cs="Times New Roman"/>
                <w:color w:val="000000" w:themeColor="text1"/>
                <w:sz w:val="24"/>
                <w:szCs w:val="24"/>
                <w:highlight w:val="none"/>
                <w:u w:val="none"/>
                <w14:textFill>
                  <w14:solidFill>
                    <w14:schemeClr w14:val="tx1"/>
                  </w14:solidFill>
                </w14:textFill>
              </w:rPr>
              <w:t>根据《环境影响评价技术导则-大气环境》（HJ2.2-2018）8.1.3条规定，本项目大气评价等级为</w:t>
            </w:r>
            <w:r>
              <w:rPr>
                <w:rFonts w:hint="eastAsia" w:ascii="Times New Roman" w:hAnsi="Times New Roman" w:cs="Times New Roman"/>
                <w:color w:val="000000" w:themeColor="text1"/>
                <w:sz w:val="24"/>
                <w:szCs w:val="24"/>
                <w:highlight w:val="none"/>
                <w:u w:val="none"/>
                <w:lang w:val="en-US" w:eastAsia="zh-CN"/>
                <w14:textFill>
                  <w14:solidFill>
                    <w14:schemeClr w14:val="tx1"/>
                  </w14:solidFill>
                </w14:textFill>
              </w:rPr>
              <w:t>二</w:t>
            </w:r>
            <w:r>
              <w:rPr>
                <w:rFonts w:hint="default" w:ascii="Times New Roman" w:hAnsi="Times New Roman" w:cs="Times New Roman"/>
                <w:color w:val="000000" w:themeColor="text1"/>
                <w:sz w:val="24"/>
                <w:szCs w:val="24"/>
                <w:highlight w:val="none"/>
                <w:u w:val="none"/>
                <w14:textFill>
                  <w14:solidFill>
                    <w14:schemeClr w14:val="tx1"/>
                  </w14:solidFill>
                </w14:textFill>
              </w:rPr>
              <w:t>级。</w:t>
            </w:r>
            <w:r>
              <w:rPr>
                <w:rFonts w:hint="eastAsia" w:ascii="Times New Roman" w:hAnsi="Times New Roman" w:cs="Times New Roman"/>
                <w:color w:val="000000" w:themeColor="text1"/>
                <w:sz w:val="24"/>
                <w:szCs w:val="24"/>
                <w:highlight w:val="none"/>
                <w:u w:val="none"/>
                <w:lang w:val="en-US" w:eastAsia="zh-CN"/>
                <w14:textFill>
                  <w14:solidFill>
                    <w14:schemeClr w14:val="tx1"/>
                  </w14:solidFill>
                </w14:textFill>
              </w:rPr>
              <w:t>二</w:t>
            </w:r>
            <w:r>
              <w:rPr>
                <w:rFonts w:hint="default" w:ascii="Times New Roman" w:hAnsi="Times New Roman" w:cs="Times New Roman"/>
                <w:color w:val="000000" w:themeColor="text1"/>
                <w:sz w:val="24"/>
                <w:szCs w:val="24"/>
                <w:highlight w:val="none"/>
                <w:u w:val="none"/>
                <w:lang w:eastAsia="zh-CN"/>
                <w14:textFill>
                  <w14:solidFill>
                    <w14:schemeClr w14:val="tx1"/>
                  </w14:solidFill>
                </w14:textFill>
              </w:rPr>
              <w:t>级评价项目最大浓度占标率小于</w:t>
            </w:r>
            <w:r>
              <w:rPr>
                <w:rFonts w:hint="default" w:ascii="Times New Roman" w:hAnsi="Times New Roman" w:cs="Times New Roman"/>
                <w:color w:val="000000" w:themeColor="text1"/>
                <w:sz w:val="24"/>
                <w:szCs w:val="24"/>
                <w:highlight w:val="none"/>
                <w:u w:val="none"/>
                <w:lang w:val="en-US" w:eastAsia="zh-CN"/>
                <w14:textFill>
                  <w14:solidFill>
                    <w14:schemeClr w14:val="tx1"/>
                  </w14:solidFill>
                </w14:textFill>
              </w:rPr>
              <w:t>10%，不存在超标情况，不需要计算大气防护距离。</w:t>
            </w:r>
          </w:p>
          <w:p>
            <w:pPr>
              <w:pStyle w:val="23"/>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0" w:firstLineChars="200"/>
              <w:textAlignment w:val="auto"/>
              <w:rPr>
                <w:szCs w:val="24"/>
                <w:lang w:val="zh-CN"/>
              </w:rPr>
            </w:pPr>
            <w:r>
              <w:rPr>
                <w:rFonts w:hint="eastAsia"/>
                <w:szCs w:val="24"/>
                <w:lang w:val="zh-CN"/>
              </w:rPr>
              <w:t>（</w:t>
            </w:r>
            <w:r>
              <w:rPr>
                <w:rFonts w:hint="eastAsia"/>
                <w:szCs w:val="24"/>
                <w:lang w:val="en-US" w:eastAsia="zh-CN"/>
              </w:rPr>
              <w:t>2</w:t>
            </w:r>
            <w:r>
              <w:rPr>
                <w:rFonts w:hint="eastAsia"/>
                <w:szCs w:val="24"/>
                <w:lang w:val="zh-CN"/>
              </w:rPr>
              <w:t>）达标性分析</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firstLine="480" w:firstLineChars="200"/>
              <w:textAlignment w:val="auto"/>
              <w:rPr>
                <w:rFonts w:hint="eastAsia" w:ascii="Times New Roman" w:hAnsi="Times New Roman" w:eastAsia="宋体" w:cs="Times New Roman"/>
                <w:color w:val="auto"/>
                <w:sz w:val="24"/>
                <w:lang w:eastAsia="zh-CN"/>
              </w:rPr>
            </w:pPr>
            <w:r>
              <w:rPr>
                <w:rFonts w:hint="eastAsia" w:ascii="Times New Roman" w:hAnsi="Times New Roman"/>
                <w:b w:val="0"/>
                <w:kern w:val="0"/>
                <w:sz w:val="24"/>
                <w:szCs w:val="24"/>
                <w:lang w:val="en-US" w:eastAsia="zh-CN"/>
              </w:rPr>
              <w:t>项目运营期产生的废气主要是恶臭物质，主要来自三格式化粪池、提升井、PTA</w:t>
            </w:r>
            <w:r>
              <w:rPr>
                <w:rFonts w:hint="eastAsia" w:ascii="Times New Roman" w:hAnsi="Times New Roman"/>
                <w:b w:val="0"/>
                <w:kern w:val="0"/>
                <w:sz w:val="24"/>
                <w:szCs w:val="24"/>
                <w:vertAlign w:val="superscript"/>
                <w:lang w:val="en-US" w:eastAsia="zh-CN"/>
              </w:rPr>
              <w:t>2</w:t>
            </w:r>
            <w:r>
              <w:rPr>
                <w:rFonts w:hint="eastAsia" w:ascii="Times New Roman" w:hAnsi="Times New Roman"/>
                <w:b w:val="0"/>
                <w:kern w:val="0"/>
                <w:sz w:val="24"/>
                <w:szCs w:val="24"/>
                <w:lang w:val="en-US" w:eastAsia="zh-CN"/>
              </w:rPr>
              <w:t>O一体化污水综合处理装置等运行过程中产生的硫化氢、氨等臭气，属无组织排放源。</w:t>
            </w:r>
            <w:r>
              <w:rPr>
                <w:rFonts w:hint="eastAsia"/>
                <w:b w:val="0"/>
                <w:kern w:val="0"/>
                <w:sz w:val="24"/>
                <w:szCs w:val="24"/>
                <w:lang w:val="en-US" w:eastAsia="zh-CN"/>
              </w:rPr>
              <w:t>根据工程分析，</w:t>
            </w:r>
            <w:r>
              <w:rPr>
                <w:rFonts w:hint="default" w:ascii="Times New Roman" w:hAnsi="Times New Roman" w:eastAsia="宋体" w:cs="Times New Roman"/>
                <w:b w:val="0"/>
                <w:bCs w:val="0"/>
                <w:color w:val="auto"/>
                <w:sz w:val="24"/>
                <w:u w:val="none"/>
              </w:rPr>
              <w:t>通过对恶臭产生单元采取喷洒除臭剂等措施，恶臭处理效率为80%，处理后排放量为NH</w:t>
            </w:r>
            <w:r>
              <w:rPr>
                <w:rFonts w:hint="default" w:ascii="Times New Roman" w:hAnsi="Times New Roman" w:eastAsia="宋体" w:cs="Times New Roman"/>
                <w:b w:val="0"/>
                <w:bCs w:val="0"/>
                <w:color w:val="auto"/>
                <w:sz w:val="24"/>
                <w:u w:val="none"/>
                <w:vertAlign w:val="subscript"/>
              </w:rPr>
              <w:t>3</w:t>
            </w:r>
            <w:r>
              <w:rPr>
                <w:rFonts w:hint="eastAsia" w:cs="Times New Roman"/>
                <w:b w:val="0"/>
                <w:bCs w:val="0"/>
                <w:color w:val="auto"/>
                <w:sz w:val="24"/>
                <w:u w:val="none"/>
                <w:lang w:val="en-US" w:eastAsia="zh-CN"/>
              </w:rPr>
              <w:t>17.4</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r>
              <w:rPr>
                <w:rFonts w:hint="default" w:ascii="Times New Roman" w:hAnsi="Times New Roman" w:eastAsia="宋体" w:cs="Times New Roman"/>
                <w:b w:val="0"/>
                <w:bCs w:val="0"/>
                <w:color w:val="auto"/>
                <w:sz w:val="24"/>
                <w:u w:val="none"/>
              </w:rPr>
              <w:t>（0.00</w:t>
            </w:r>
            <w:r>
              <w:rPr>
                <w:rFonts w:hint="eastAsia" w:cs="Times New Roman"/>
                <w:b w:val="0"/>
                <w:bCs w:val="0"/>
                <w:color w:val="auto"/>
                <w:sz w:val="24"/>
                <w:u w:val="none"/>
                <w:lang w:val="en-US" w:eastAsia="zh-CN"/>
              </w:rPr>
              <w:t>2</w:t>
            </w:r>
            <w:r>
              <w:rPr>
                <w:rFonts w:hint="default" w:ascii="Times New Roman" w:hAnsi="Times New Roman" w:eastAsia="宋体" w:cs="Times New Roman"/>
                <w:b w:val="0"/>
                <w:bCs w:val="0"/>
                <w:color w:val="auto"/>
                <w:sz w:val="24"/>
                <w:u w:val="none"/>
              </w:rPr>
              <w:t>kg/h）、H</w:t>
            </w:r>
            <w:r>
              <w:rPr>
                <w:rFonts w:hint="default" w:ascii="Times New Roman" w:hAnsi="Times New Roman" w:eastAsia="宋体" w:cs="Times New Roman"/>
                <w:b w:val="0"/>
                <w:bCs w:val="0"/>
                <w:color w:val="auto"/>
                <w:sz w:val="24"/>
                <w:u w:val="none"/>
                <w:vertAlign w:val="subscript"/>
              </w:rPr>
              <w:t>2</w:t>
            </w:r>
            <w:r>
              <w:rPr>
                <w:rFonts w:hint="default" w:ascii="Times New Roman" w:hAnsi="Times New Roman" w:eastAsia="宋体" w:cs="Times New Roman"/>
                <w:b w:val="0"/>
                <w:bCs w:val="0"/>
                <w:color w:val="auto"/>
                <w:sz w:val="24"/>
                <w:u w:val="none"/>
              </w:rPr>
              <w:t>S</w:t>
            </w:r>
            <w:r>
              <w:rPr>
                <w:rFonts w:hint="eastAsia" w:cs="Times New Roman"/>
                <w:b w:val="0"/>
                <w:bCs w:val="0"/>
                <w:color w:val="auto"/>
                <w:sz w:val="24"/>
                <w:u w:val="none"/>
                <w:lang w:val="en-US" w:eastAsia="zh-CN"/>
              </w:rPr>
              <w:t>6.8</w:t>
            </w:r>
            <w:r>
              <w:rPr>
                <w:rFonts w:hint="default" w:ascii="Times New Roman" w:hAnsi="Times New Roman" w:eastAsia="宋体" w:cs="Times New Roman"/>
                <w:b w:val="0"/>
                <w:bCs w:val="0"/>
                <w:color w:val="auto"/>
                <w:sz w:val="24"/>
                <w:u w:val="none"/>
              </w:rPr>
              <w:t>kg/</w:t>
            </w:r>
            <w:r>
              <w:rPr>
                <w:rFonts w:hint="eastAsia" w:eastAsia="宋体" w:cs="Times New Roman"/>
                <w:b w:val="0"/>
                <w:bCs w:val="0"/>
                <w:color w:val="auto"/>
                <w:sz w:val="24"/>
                <w:u w:val="none"/>
                <w:lang w:val="en-US" w:eastAsia="zh-CN"/>
              </w:rPr>
              <w:t>a</w:t>
            </w:r>
            <w:r>
              <w:rPr>
                <w:rFonts w:hint="default" w:ascii="Times New Roman" w:hAnsi="Times New Roman" w:eastAsia="宋体" w:cs="Times New Roman"/>
                <w:b w:val="0"/>
                <w:bCs w:val="0"/>
                <w:color w:val="auto"/>
                <w:sz w:val="24"/>
                <w:u w:val="none"/>
              </w:rPr>
              <w:t>（0.000</w:t>
            </w:r>
            <w:r>
              <w:rPr>
                <w:rFonts w:hint="eastAsia" w:eastAsia="宋体" w:cs="Times New Roman"/>
                <w:b w:val="0"/>
                <w:bCs w:val="0"/>
                <w:color w:val="auto"/>
                <w:sz w:val="24"/>
                <w:u w:val="none"/>
                <w:lang w:val="en-US" w:eastAsia="zh-CN"/>
              </w:rPr>
              <w:t>7</w:t>
            </w:r>
            <w:r>
              <w:rPr>
                <w:rFonts w:hint="eastAsia" w:cs="Times New Roman"/>
                <w:b w:val="0"/>
                <w:bCs w:val="0"/>
                <w:color w:val="auto"/>
                <w:sz w:val="24"/>
                <w:u w:val="none"/>
                <w:lang w:val="en-US" w:eastAsia="zh-CN"/>
              </w:rPr>
              <w:t>8</w:t>
            </w:r>
            <w:r>
              <w:rPr>
                <w:rFonts w:hint="default" w:ascii="Times New Roman" w:hAnsi="Times New Roman" w:eastAsia="宋体" w:cs="Times New Roman"/>
                <w:b w:val="0"/>
                <w:bCs w:val="0"/>
                <w:color w:val="auto"/>
                <w:sz w:val="24"/>
                <w:u w:val="none"/>
              </w:rPr>
              <w:t>kg/h）</w:t>
            </w:r>
            <w:r>
              <w:rPr>
                <w:rFonts w:hint="eastAsia" w:cs="Times New Roman"/>
                <w:b w:val="0"/>
                <w:bCs w:val="0"/>
                <w:color w:val="auto"/>
                <w:sz w:val="24"/>
                <w:u w:val="none"/>
                <w:lang w:eastAsia="zh-CN"/>
              </w:rPr>
              <w:t>，可以达到</w:t>
            </w:r>
            <w:r>
              <w:rPr>
                <w:rFonts w:hint="default" w:ascii="Times New Roman" w:hAnsi="Times New Roman" w:cs="Times New Roman"/>
                <w:sz w:val="24"/>
              </w:rPr>
              <w:t>《恶臭污染物排放标准》（GB14554-93）</w:t>
            </w:r>
            <w:r>
              <w:rPr>
                <w:rFonts w:hint="eastAsia" w:ascii="Times New Roman" w:hAnsi="Times New Roman" w:cs="Times New Roman"/>
                <w:sz w:val="24"/>
                <w:lang w:eastAsia="zh-CN"/>
              </w:rPr>
              <w:t>中厂界排放标准值。</w:t>
            </w:r>
          </w:p>
          <w:p>
            <w:pPr>
              <w:pStyle w:val="89"/>
              <w:keepNext w:val="0"/>
              <w:keepLines w:val="0"/>
              <w:pageBreakBefore w:val="0"/>
              <w:kinsoku/>
              <w:wordWrap/>
              <w:overflowPunct/>
              <w:topLinePunct w:val="0"/>
              <w:autoSpaceDE/>
              <w:autoSpaceDN/>
              <w:bidi w:val="0"/>
              <w:adjustRightInd/>
              <w:snapToGrid/>
              <w:ind w:firstLine="480" w:firstLineChars="200"/>
              <w:textAlignment w:val="auto"/>
              <w:outlineLvl w:val="9"/>
              <w:rPr>
                <w:rFonts w:ascii="Times New Roman" w:hAnsi="Times New Roman"/>
                <w:b w:val="0"/>
                <w:bCs/>
                <w:sz w:val="24"/>
                <w:szCs w:val="24"/>
              </w:rPr>
            </w:pPr>
            <w:r>
              <w:rPr>
                <w:rFonts w:ascii="Times New Roman" w:hAnsi="Times New Roman"/>
                <w:b w:val="0"/>
                <w:bCs/>
                <w:sz w:val="24"/>
                <w:szCs w:val="24"/>
              </w:rPr>
              <w:t>2、水环境影响分析</w:t>
            </w:r>
            <w:bookmarkEnd w:id="86"/>
            <w:bookmarkEnd w:id="87"/>
          </w:p>
          <w:p>
            <w:pPr>
              <w:keepNext w:val="0"/>
              <w:keepLines w:val="0"/>
              <w:pageBreakBefore w:val="0"/>
              <w:numPr>
                <w:ilvl w:val="0"/>
                <w:numId w:val="16"/>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napToGrid w:val="0"/>
                <w:kern w:val="0"/>
                <w:sz w:val="24"/>
                <w:lang w:val="en-US" w:eastAsia="zh-CN"/>
              </w:rPr>
            </w:pPr>
            <w:bookmarkStart w:id="88" w:name="_Toc19191"/>
            <w:bookmarkStart w:id="89" w:name="_Toc31910"/>
            <w:r>
              <w:rPr>
                <w:rFonts w:hint="default" w:ascii="Times New Roman" w:hAnsi="Times New Roman" w:cs="Times New Roman"/>
                <w:snapToGrid w:val="0"/>
                <w:kern w:val="0"/>
                <w:sz w:val="24"/>
                <w:lang w:val="en-US" w:eastAsia="zh-CN"/>
              </w:rPr>
              <w:t>地表水评价等级确定</w:t>
            </w:r>
          </w:p>
          <w:p>
            <w:pPr>
              <w:keepNext w:val="0"/>
              <w:keepLines w:val="0"/>
              <w:pageBreakBefore w:val="0"/>
              <w:kinsoku/>
              <w:wordWrap/>
              <w:overflowPunct/>
              <w:topLinePunct w:val="0"/>
              <w:autoSpaceDE/>
              <w:autoSpaceDN/>
              <w:bidi w:val="0"/>
              <w:adjustRightInd/>
              <w:snapToGrid/>
              <w:spacing w:line="360" w:lineRule="auto"/>
              <w:ind w:firstLine="560"/>
              <w:textAlignment w:val="auto"/>
              <w:rPr>
                <w:rFonts w:hint="default" w:ascii="Times New Roman" w:hAnsi="Times New Roman" w:cs="Times New Roman"/>
                <w:sz w:val="24"/>
                <w:szCs w:val="24"/>
                <w:u w:val="none"/>
              </w:rPr>
            </w:pPr>
            <w:r>
              <w:rPr>
                <w:rFonts w:hint="default" w:ascii="Times New Roman" w:hAnsi="Times New Roman" w:cs="Times New Roman"/>
                <w:sz w:val="24"/>
                <w:szCs w:val="24"/>
                <w:u w:val="none"/>
              </w:rPr>
              <w:t>根据工程分析，本项目为水污染影响型建设项目，项目的废水主要</w:t>
            </w:r>
            <w:r>
              <w:rPr>
                <w:rFonts w:hint="default" w:ascii="Times New Roman" w:hAnsi="Times New Roman" w:cs="Times New Roman"/>
                <w:sz w:val="24"/>
                <w:szCs w:val="24"/>
                <w:u w:val="none"/>
                <w:lang w:val="en-US" w:eastAsia="zh-CN"/>
              </w:rPr>
              <w:t>为</w:t>
            </w:r>
            <w:r>
              <w:rPr>
                <w:rFonts w:hint="default" w:ascii="Times New Roman" w:hAnsi="Times New Roman" w:cs="Times New Roman"/>
                <w:snapToGrid w:val="0"/>
                <w:kern w:val="0"/>
                <w:sz w:val="24"/>
              </w:rPr>
              <w:t>污水处理站处理后的尾水</w:t>
            </w:r>
            <w:r>
              <w:rPr>
                <w:rFonts w:hint="default" w:ascii="Times New Roman" w:hAnsi="Times New Roman" w:cs="Times New Roman"/>
                <w:sz w:val="24"/>
                <w:szCs w:val="24"/>
                <w:u w:val="none"/>
              </w:rPr>
              <w:t>。</w:t>
            </w:r>
            <w:r>
              <w:rPr>
                <w:rFonts w:hint="eastAsia" w:ascii="Times New Roman" w:hAnsi="Times New Roman" w:cs="Times New Roman"/>
                <w:sz w:val="24"/>
                <w:szCs w:val="24"/>
                <w:u w:val="none"/>
                <w:lang w:eastAsia="zh-CN"/>
              </w:rPr>
              <w:t>奇家社区污水处理站</w:t>
            </w:r>
            <w:r>
              <w:rPr>
                <w:rFonts w:hint="default" w:ascii="Times New Roman" w:hAnsi="Times New Roman" w:cs="Times New Roman"/>
                <w:sz w:val="24"/>
                <w:szCs w:val="24"/>
                <w:u w:val="none"/>
                <w:lang w:val="en-US" w:eastAsia="zh-CN"/>
              </w:rPr>
              <w:t>污水处理</w:t>
            </w:r>
            <w:r>
              <w:rPr>
                <w:rFonts w:hint="default" w:ascii="Times New Roman" w:hAnsi="Times New Roman" w:cs="Times New Roman"/>
                <w:sz w:val="24"/>
                <w:szCs w:val="24"/>
                <w:u w:val="none"/>
              </w:rPr>
              <w:t>量为</w:t>
            </w:r>
            <w:r>
              <w:rPr>
                <w:rFonts w:hint="eastAsia" w:ascii="Times New Roman" w:hAnsi="Times New Roman" w:cs="Times New Roman"/>
                <w:sz w:val="24"/>
                <w:szCs w:val="24"/>
                <w:u w:val="none"/>
                <w:lang w:val="en-US" w:eastAsia="zh-CN"/>
              </w:rPr>
              <w:t>22</w:t>
            </w:r>
            <w:r>
              <w:rPr>
                <w:rFonts w:hint="default" w:ascii="Times New Roman" w:hAnsi="Times New Roman" w:cs="Times New Roman"/>
                <w:sz w:val="24"/>
                <w:szCs w:val="24"/>
                <w:u w:val="none"/>
                <w:lang w:val="en-US" w:eastAsia="zh-CN"/>
              </w:rPr>
              <w:t>0</w:t>
            </w:r>
            <w:r>
              <w:rPr>
                <w:rFonts w:hint="default" w:ascii="Times New Roman" w:hAnsi="Times New Roman" w:cs="Times New Roman"/>
                <w:sz w:val="24"/>
                <w:szCs w:val="24"/>
                <w:u w:val="none"/>
              </w:rPr>
              <w:t>m</w:t>
            </w:r>
            <w:r>
              <w:rPr>
                <w:rFonts w:hint="default" w:ascii="Times New Roman" w:hAnsi="Times New Roman" w:cs="Times New Roman"/>
                <w:sz w:val="24"/>
                <w:szCs w:val="24"/>
                <w:u w:val="none"/>
                <w:vertAlign w:val="superscript"/>
              </w:rPr>
              <w:t>3</w:t>
            </w:r>
            <w:r>
              <w:rPr>
                <w:rFonts w:hint="default" w:ascii="Times New Roman" w:hAnsi="Times New Roman" w:cs="Times New Roman"/>
                <w:sz w:val="24"/>
                <w:szCs w:val="24"/>
                <w:u w:val="none"/>
              </w:rPr>
              <w:t>/d</w:t>
            </w:r>
            <w:r>
              <w:rPr>
                <w:rFonts w:hint="eastAsia" w:ascii="Times New Roman" w:hAnsi="Times New Roman" w:cs="Times New Roman"/>
                <w:sz w:val="24"/>
                <w:szCs w:val="24"/>
                <w:u w:val="none"/>
                <w:lang w:eastAsia="zh-CN"/>
              </w:rPr>
              <w:t>，</w:t>
            </w:r>
            <w:r>
              <w:rPr>
                <w:rFonts w:hint="default" w:ascii="Times New Roman" w:hAnsi="Times New Roman" w:cs="Times New Roman"/>
                <w:sz w:val="24"/>
                <w:szCs w:val="24"/>
                <w:u w:val="none"/>
                <w:lang w:val="en-US" w:eastAsia="zh-CN"/>
              </w:rPr>
              <w:t>经处理后排入南侧</w:t>
            </w:r>
            <w:r>
              <w:rPr>
                <w:rFonts w:hint="eastAsia" w:ascii="Times New Roman" w:hAnsi="Times New Roman" w:cs="Times New Roman"/>
                <w:sz w:val="24"/>
                <w:szCs w:val="24"/>
                <w:u w:val="none"/>
                <w:lang w:val="en-US" w:eastAsia="zh-CN"/>
              </w:rPr>
              <w:t>小溪，最终汇入南港河</w:t>
            </w:r>
            <w:r>
              <w:rPr>
                <w:rFonts w:hint="default" w:ascii="Times New Roman" w:hAnsi="Times New Roman" w:cs="Times New Roman"/>
                <w:sz w:val="24"/>
                <w:szCs w:val="24"/>
                <w:u w:val="none"/>
              </w:rPr>
              <w:t>。</w:t>
            </w:r>
            <w:r>
              <w:rPr>
                <w:rFonts w:hint="eastAsia" w:ascii="Times New Roman" w:hAnsi="Times New Roman" w:cs="Times New Roman"/>
                <w:sz w:val="24"/>
                <w:szCs w:val="24"/>
                <w:u w:val="none"/>
                <w:lang w:eastAsia="zh-CN"/>
              </w:rPr>
              <w:t>湿塘污水处理站总处理量为</w:t>
            </w:r>
            <w:r>
              <w:rPr>
                <w:rFonts w:hint="eastAsia" w:ascii="Times New Roman" w:hAnsi="Times New Roman" w:cs="Times New Roman"/>
                <w:sz w:val="24"/>
                <w:szCs w:val="24"/>
                <w:u w:val="none"/>
                <w:lang w:val="en-US" w:eastAsia="zh-CN"/>
              </w:rPr>
              <w:t>21t/d，经处理达标后排入湿塘。</w:t>
            </w:r>
            <w:r>
              <w:rPr>
                <w:rFonts w:hint="default" w:ascii="Times New Roman" w:hAnsi="Times New Roman" w:cs="Times New Roman"/>
                <w:sz w:val="24"/>
                <w:szCs w:val="24"/>
                <w:u w:val="none"/>
              </w:rPr>
              <w:t>对照《环境影响评价技术导则 地面水环境》HJ 2.3-2018中分级评定的依据，确定本项目地面水环境评价工作等级为</w:t>
            </w:r>
            <w:r>
              <w:rPr>
                <w:rFonts w:hint="default" w:ascii="Times New Roman" w:hAnsi="Times New Roman" w:cs="Times New Roman"/>
                <w:sz w:val="24"/>
                <w:szCs w:val="24"/>
                <w:u w:val="none"/>
                <w:lang w:val="en-US" w:eastAsia="zh-CN"/>
              </w:rPr>
              <w:t>二级</w:t>
            </w:r>
            <w:r>
              <w:rPr>
                <w:rFonts w:hint="default" w:ascii="Times New Roman" w:hAnsi="Times New Roman" w:cs="Times New Roman"/>
                <w:sz w:val="24"/>
                <w:szCs w:val="24"/>
                <w:u w:val="none"/>
              </w:rPr>
              <w:t>。地表水等级评定过程见表</w:t>
            </w:r>
            <w:r>
              <w:rPr>
                <w:rFonts w:hint="default" w:ascii="Times New Roman" w:hAnsi="Times New Roman" w:cs="Times New Roman"/>
                <w:sz w:val="24"/>
                <w:szCs w:val="24"/>
                <w:u w:val="none"/>
                <w:lang w:eastAsia="zh-CN"/>
              </w:rPr>
              <w:t>7</w:t>
            </w:r>
            <w:r>
              <w:rPr>
                <w:rFonts w:hint="default" w:ascii="Times New Roman" w:hAnsi="Times New Roman" w:cs="Times New Roman"/>
                <w:sz w:val="24"/>
                <w:szCs w:val="24"/>
                <w:u w:val="none"/>
                <w:lang w:val="en-US" w:eastAsia="zh-CN"/>
              </w:rPr>
              <w:t>.2-</w:t>
            </w:r>
            <w:r>
              <w:rPr>
                <w:rFonts w:hint="eastAsia" w:ascii="Times New Roman" w:hAnsi="Times New Roman" w:cs="Times New Roman"/>
                <w:sz w:val="24"/>
                <w:szCs w:val="24"/>
                <w:u w:val="none"/>
                <w:lang w:val="en-US" w:eastAsia="zh-CN"/>
              </w:rPr>
              <w:t>6</w:t>
            </w:r>
            <w:r>
              <w:rPr>
                <w:rFonts w:hint="default" w:ascii="Times New Roman" w:hAnsi="Times New Roman" w:cs="Times New Roman"/>
                <w:sz w:val="24"/>
                <w:szCs w:val="24"/>
                <w:u w:val="none"/>
              </w:rPr>
              <w:t>。</w:t>
            </w:r>
          </w:p>
          <w:p>
            <w:pPr>
              <w:pStyle w:val="70"/>
              <w:snapToGrid w:val="0"/>
              <w:spacing w:line="240" w:lineRule="auto"/>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表</w:t>
            </w:r>
            <w:r>
              <w:rPr>
                <w:rFonts w:hint="default" w:ascii="Times New Roman" w:hAnsi="Times New Roman" w:eastAsia="宋体" w:cs="Times New Roman"/>
                <w:b/>
                <w:bCs/>
                <w:sz w:val="24"/>
                <w:szCs w:val="24"/>
                <w:lang w:val="en-US" w:eastAsia="zh-CN"/>
              </w:rPr>
              <w:t>7.2-</w:t>
            </w:r>
            <w:r>
              <w:rPr>
                <w:rFonts w:hint="eastAsia" w:ascii="Times New Roman" w:hAnsi="Times New Roman" w:eastAsia="宋体" w:cs="Times New Roman"/>
                <w:b/>
                <w:bCs/>
                <w:sz w:val="24"/>
                <w:szCs w:val="24"/>
                <w:lang w:val="en-US" w:eastAsia="zh-CN"/>
              </w:rPr>
              <w:t>6</w:t>
            </w:r>
            <w:r>
              <w:rPr>
                <w:rFonts w:hint="default" w:ascii="Times New Roman" w:hAnsi="Times New Roman" w:eastAsia="宋体" w:cs="Times New Roman"/>
                <w:b/>
                <w:bCs/>
                <w:sz w:val="24"/>
                <w:szCs w:val="24"/>
                <w:lang w:val="en-US" w:eastAsia="zh-CN"/>
              </w:rPr>
              <w:t xml:space="preserve">   </w:t>
            </w:r>
            <w:r>
              <w:rPr>
                <w:rFonts w:hint="default" w:ascii="Times New Roman" w:hAnsi="Times New Roman" w:eastAsia="宋体" w:cs="Times New Roman"/>
                <w:b/>
                <w:bCs/>
                <w:sz w:val="24"/>
                <w:szCs w:val="24"/>
              </w:rPr>
              <w:t xml:space="preserve"> 地表水环境评价等级评定</w:t>
            </w:r>
          </w:p>
          <w:tbl>
            <w:tblPr>
              <w:tblStyle w:val="26"/>
              <w:tblW w:w="9529" w:type="dxa"/>
              <w:tblInd w:w="-17" w:type="dxa"/>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676"/>
              <w:gridCol w:w="2890"/>
              <w:gridCol w:w="3963"/>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2676" w:type="dxa"/>
                  <w:vMerge w:val="restart"/>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评价等级</w:t>
                  </w:r>
                </w:p>
              </w:tc>
              <w:tc>
                <w:tcPr>
                  <w:tcW w:w="6853" w:type="dxa"/>
                  <w:gridSpan w:val="2"/>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判定依据</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518" w:hRule="atLeast"/>
              </w:trPr>
              <w:tc>
                <w:tcPr>
                  <w:tcW w:w="2676" w:type="dxa"/>
                  <w:vMerge w:val="continue"/>
                  <w:tcBorders>
                    <w:tl2br w:val="nil"/>
                    <w:tr2bl w:val="nil"/>
                  </w:tcBorders>
                  <w:vAlign w:val="center"/>
                </w:tcPr>
                <w:p>
                  <w:pPr>
                    <w:pStyle w:val="9"/>
                    <w:spacing w:line="240" w:lineRule="auto"/>
                    <w:ind w:firstLine="0" w:firstLineChars="0"/>
                    <w:jc w:val="center"/>
                    <w:rPr>
                      <w:rFonts w:ascii="Times New Roman" w:hAnsi="Times New Roman"/>
                      <w:sz w:val="21"/>
                      <w:szCs w:val="21"/>
                    </w:rPr>
                  </w:pPr>
                </w:p>
              </w:tc>
              <w:tc>
                <w:tcPr>
                  <w:tcW w:w="2890"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排放方式</w:t>
                  </w:r>
                </w:p>
              </w:tc>
              <w:tc>
                <w:tcPr>
                  <w:tcW w:w="3963"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废水排放量Q/(m</w:t>
                  </w:r>
                  <w:r>
                    <w:rPr>
                      <w:rFonts w:ascii="Times New Roman" w:hAnsi="Times New Roman"/>
                      <w:sz w:val="21"/>
                      <w:szCs w:val="21"/>
                      <w:vertAlign w:val="superscript"/>
                    </w:rPr>
                    <w:t>3</w:t>
                  </w:r>
                  <w:r>
                    <w:rPr>
                      <w:rFonts w:ascii="Times New Roman" w:hAnsi="Times New Roman"/>
                      <w:sz w:val="21"/>
                      <w:szCs w:val="21"/>
                    </w:rPr>
                    <w:t>/d)</w:t>
                  </w:r>
                </w:p>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水污染物当量数W/（无量纲）</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2676"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一级</w:t>
                  </w:r>
                </w:p>
              </w:tc>
              <w:tc>
                <w:tcPr>
                  <w:tcW w:w="2890"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直接排放</w:t>
                  </w:r>
                </w:p>
              </w:tc>
              <w:tc>
                <w:tcPr>
                  <w:tcW w:w="3963"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Q≥20000或W≥600000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2676"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二级</w:t>
                  </w:r>
                </w:p>
              </w:tc>
              <w:tc>
                <w:tcPr>
                  <w:tcW w:w="2890"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直接排放</w:t>
                  </w:r>
                </w:p>
              </w:tc>
              <w:tc>
                <w:tcPr>
                  <w:tcW w:w="3963"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其他</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253" w:hRule="atLeast"/>
              </w:trPr>
              <w:tc>
                <w:tcPr>
                  <w:tcW w:w="2676"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三级A</w:t>
                  </w:r>
                </w:p>
              </w:tc>
              <w:tc>
                <w:tcPr>
                  <w:tcW w:w="2890"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直接排放</w:t>
                  </w:r>
                </w:p>
              </w:tc>
              <w:tc>
                <w:tcPr>
                  <w:tcW w:w="3963"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Q≤200</w:t>
                  </w:r>
                  <w:r>
                    <w:rPr>
                      <w:rFonts w:hint="eastAsia" w:ascii="Times New Roman" w:hAnsi="Times New Roman"/>
                      <w:sz w:val="21"/>
                      <w:szCs w:val="21"/>
                    </w:rPr>
                    <w:t>且</w:t>
                  </w:r>
                  <w:r>
                    <w:rPr>
                      <w:rFonts w:ascii="Times New Roman" w:hAnsi="Times New Roman"/>
                      <w:sz w:val="21"/>
                      <w:szCs w:val="21"/>
                    </w:rPr>
                    <w:t>W≤6000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265" w:hRule="atLeast"/>
              </w:trPr>
              <w:tc>
                <w:tcPr>
                  <w:tcW w:w="2676"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三级B</w:t>
                  </w:r>
                </w:p>
              </w:tc>
              <w:tc>
                <w:tcPr>
                  <w:tcW w:w="2890"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间接排放</w:t>
                  </w:r>
                </w:p>
              </w:tc>
              <w:tc>
                <w:tcPr>
                  <w:tcW w:w="3963" w:type="dxa"/>
                  <w:tcBorders>
                    <w:tl2br w:val="nil"/>
                    <w:tr2bl w:val="nil"/>
                  </w:tcBorders>
                  <w:vAlign w:val="center"/>
                </w:tcPr>
                <w:p>
                  <w:pPr>
                    <w:pStyle w:val="9"/>
                    <w:spacing w:line="240" w:lineRule="auto"/>
                    <w:ind w:firstLine="0" w:firstLineChars="0"/>
                    <w:jc w:val="center"/>
                    <w:rPr>
                      <w:rFonts w:ascii="Times New Roman" w:hAnsi="Times New Roman"/>
                      <w:sz w:val="21"/>
                      <w:szCs w:val="21"/>
                    </w:rPr>
                  </w:pPr>
                  <w:r>
                    <w:rPr>
                      <w:rFonts w:ascii="Times New Roman" w:hAnsi="Times New Roman"/>
                      <w:sz w:val="21"/>
                      <w:szCs w:val="21"/>
                    </w:rPr>
                    <w:t>-</w:t>
                  </w:r>
                </w:p>
              </w:tc>
            </w:tr>
          </w:tbl>
          <w:p>
            <w:pPr>
              <w:numPr>
                <w:ilvl w:val="-1"/>
                <w:numId w:val="0"/>
              </w:numPr>
              <w:spacing w:line="360" w:lineRule="auto"/>
              <w:ind w:firstLine="480" w:firstLineChars="200"/>
              <w:rPr>
                <w:snapToGrid w:val="0"/>
                <w:kern w:val="0"/>
                <w:sz w:val="24"/>
              </w:rPr>
            </w:pPr>
            <w:r>
              <w:rPr>
                <w:rFonts w:hint="eastAsia"/>
                <w:snapToGrid w:val="0"/>
                <w:kern w:val="0"/>
                <w:sz w:val="24"/>
                <w:lang w:eastAsia="zh-CN"/>
              </w:rPr>
              <w:t>（</w:t>
            </w:r>
            <w:r>
              <w:rPr>
                <w:rFonts w:hint="eastAsia"/>
                <w:snapToGrid w:val="0"/>
                <w:kern w:val="0"/>
                <w:sz w:val="24"/>
                <w:lang w:val="en-US" w:eastAsia="zh-CN"/>
              </w:rPr>
              <w:t>2</w:t>
            </w:r>
            <w:r>
              <w:rPr>
                <w:rFonts w:hint="eastAsia"/>
                <w:snapToGrid w:val="0"/>
                <w:kern w:val="0"/>
                <w:sz w:val="24"/>
                <w:lang w:eastAsia="zh-CN"/>
              </w:rPr>
              <w:t>）</w:t>
            </w:r>
            <w:r>
              <w:rPr>
                <w:rFonts w:hint="eastAsia"/>
                <w:snapToGrid w:val="0"/>
                <w:kern w:val="0"/>
                <w:sz w:val="24"/>
              </w:rPr>
              <w:t>地表水环境影响分析</w:t>
            </w:r>
          </w:p>
          <w:p>
            <w:pPr>
              <w:pStyle w:val="89"/>
              <w:keepNext w:val="0"/>
              <w:keepLines w:val="0"/>
              <w:pageBreakBefore w:val="0"/>
              <w:numPr>
                <w:ilvl w:val="0"/>
                <w:numId w:val="0"/>
              </w:numPr>
              <w:kinsoku/>
              <w:wordWrap/>
              <w:overflowPunct/>
              <w:topLinePunct w:val="0"/>
              <w:autoSpaceDE/>
              <w:autoSpaceDN/>
              <w:bidi w:val="0"/>
              <w:adjustRightInd/>
              <w:snapToGrid/>
              <w:spacing w:line="360" w:lineRule="auto"/>
              <w:ind w:firstLine="480"/>
              <w:textAlignment w:val="auto"/>
              <w:outlineLvl w:val="9"/>
              <w:rPr>
                <w:rFonts w:hint="default" w:ascii="Times New Roman" w:hAnsi="Times New Roman" w:cs="Times New Roman"/>
                <w:b w:val="0"/>
                <w:kern w:val="0"/>
                <w:sz w:val="24"/>
                <w:szCs w:val="24"/>
                <w:lang w:val="en-US" w:eastAsia="zh-CN"/>
              </w:rPr>
            </w:pPr>
            <w:r>
              <w:rPr>
                <w:rFonts w:hint="default" w:ascii="Times New Roman" w:hAnsi="Times New Roman" w:cs="Times New Roman"/>
                <w:b w:val="0"/>
                <w:kern w:val="0"/>
                <w:sz w:val="24"/>
                <w:szCs w:val="24"/>
                <w:lang w:val="en-US" w:eastAsia="zh-CN"/>
              </w:rPr>
              <w:t>项目目营运期，管网敷设于地下，无废水产生。本项目污水处理站及泵站均不设管理用房，无人值守，仅需定期巡查，故不产生生活污水。营运期废水主要为新建奇家社区污水处理站</w:t>
            </w:r>
            <w:r>
              <w:rPr>
                <w:rFonts w:hint="eastAsia" w:ascii="Times New Roman" w:hAnsi="Times New Roman" w:cs="Times New Roman"/>
                <w:b w:val="0"/>
                <w:kern w:val="0"/>
                <w:sz w:val="24"/>
                <w:szCs w:val="24"/>
                <w:lang w:val="en-US" w:eastAsia="zh-CN"/>
              </w:rPr>
              <w:t>尾水和湿塘小型污水处理站尾水</w:t>
            </w:r>
            <w:r>
              <w:rPr>
                <w:rFonts w:hint="default" w:ascii="Times New Roman" w:hAnsi="Times New Roman" w:cs="Times New Roman"/>
                <w:b w:val="0"/>
                <w:kern w:val="0"/>
                <w:sz w:val="24"/>
                <w:szCs w:val="24"/>
                <w:lang w:val="en-US" w:eastAsia="zh-CN"/>
              </w:rPr>
              <w:t>，奇家社区污水处理站收集奇家社区居民生活污水，污水处理站处理能力为220t/d，经处理后达《城镇污水处理厂污染物排放标准》（GB18918-2002）一级标准的A标准，排入小溪，最终汇入南港河。</w:t>
            </w:r>
          </w:p>
          <w:p>
            <w:pPr>
              <w:pStyle w:val="89"/>
              <w:keepNext w:val="0"/>
              <w:keepLines w:val="0"/>
              <w:pageBreakBefore w:val="0"/>
              <w:kinsoku/>
              <w:wordWrap/>
              <w:overflowPunct/>
              <w:topLinePunct w:val="0"/>
              <w:autoSpaceDE/>
              <w:autoSpaceDN/>
              <w:bidi w:val="0"/>
              <w:adjustRightInd/>
              <w:snapToGrid/>
              <w:ind w:firstLine="480" w:firstLineChars="200"/>
              <w:textAlignment w:val="auto"/>
              <w:outlineLvl w:val="9"/>
              <w:rPr>
                <w:rFonts w:hint="eastAsia"/>
                <w:snapToGrid w:val="0"/>
                <w:kern w:val="0"/>
                <w:sz w:val="24"/>
              </w:rPr>
            </w:pPr>
            <w:r>
              <w:rPr>
                <w:rFonts w:hint="default" w:ascii="Times New Roman" w:hAnsi="Times New Roman" w:cs="Times New Roman"/>
                <w:b w:val="0"/>
                <w:kern w:val="0"/>
                <w:sz w:val="24"/>
                <w:szCs w:val="24"/>
                <w:lang w:val="en-US" w:eastAsia="zh-CN"/>
              </w:rPr>
              <w:t>项目面源污染控制工程中主要对廖家巷湿塘、颐养院湿塘和奥敏游泳馆湿塘进行整治，拟设置5个小型污水处理站，对湿塘周边未纳入管网的生活污水进行处理，5个小型污水处理站处理能力分别为3t/d、5t/d、5t/d、3t/d、5t/d，经处理达《城镇污水处理厂污染物排放标准》（GB18918-2002）一级标准的B标准</w:t>
            </w:r>
            <w:r>
              <w:rPr>
                <w:rFonts w:hint="eastAsia" w:ascii="Times New Roman" w:hAnsi="Times New Roman" w:cs="Times New Roman"/>
                <w:b w:val="0"/>
                <w:kern w:val="0"/>
                <w:sz w:val="24"/>
                <w:szCs w:val="24"/>
                <w:lang w:val="en-US" w:eastAsia="zh-CN"/>
              </w:rPr>
              <w:t>后</w:t>
            </w:r>
            <w:r>
              <w:rPr>
                <w:rFonts w:hint="default" w:ascii="Times New Roman" w:hAnsi="Times New Roman" w:cs="Times New Roman"/>
                <w:b w:val="0"/>
                <w:kern w:val="0"/>
                <w:sz w:val="24"/>
                <w:szCs w:val="24"/>
                <w:lang w:val="en-US" w:eastAsia="zh-CN"/>
              </w:rPr>
              <w:t>就近排入湿塘。</w:t>
            </w:r>
          </w:p>
          <w:p>
            <w:pPr>
              <w:spacing w:line="360" w:lineRule="auto"/>
              <w:jc w:val="left"/>
              <w:rPr>
                <w:b/>
                <w:bCs/>
                <w:sz w:val="24"/>
                <w:szCs w:val="24"/>
              </w:rPr>
            </w:pPr>
            <w:r>
              <w:rPr>
                <w:rFonts w:hint="eastAsia"/>
                <w:b/>
                <w:bCs/>
                <w:sz w:val="24"/>
                <w:szCs w:val="24"/>
              </w:rPr>
              <w:t xml:space="preserve">   </w:t>
            </w:r>
            <w:r>
              <w:rPr>
                <w:rFonts w:hint="eastAsia"/>
                <w:snapToGrid w:val="0"/>
                <w:kern w:val="0"/>
                <w:sz w:val="24"/>
              </w:rPr>
              <w:t xml:space="preserve"> 1）达标排放可行性分析</w:t>
            </w:r>
          </w:p>
          <w:p>
            <w:pPr>
              <w:spacing w:line="360" w:lineRule="auto"/>
              <w:rPr>
                <w:rFonts w:hint="eastAsia" w:ascii="Times New Roman" w:hAnsi="Times New Roman" w:eastAsia="宋体" w:cs="Times New Roman"/>
                <w:snapToGrid w:val="0"/>
                <w:kern w:val="0"/>
                <w:sz w:val="24"/>
                <w:lang w:val="en-US" w:eastAsia="zh-CN"/>
              </w:rPr>
            </w:pPr>
            <w:r>
              <w:rPr>
                <w:rFonts w:hint="eastAsia"/>
                <w:snapToGrid w:val="0"/>
                <w:kern w:val="0"/>
                <w:sz w:val="24"/>
              </w:rPr>
              <w:t xml:space="preserve">    ①</w:t>
            </w:r>
            <w:r>
              <w:rPr>
                <w:rFonts w:hint="eastAsia"/>
                <w:snapToGrid w:val="0"/>
                <w:kern w:val="0"/>
                <w:sz w:val="24"/>
                <w:lang w:eastAsia="zh-CN"/>
              </w:rPr>
              <w:t>奇家社区污水处理站采用</w:t>
            </w:r>
            <w:r>
              <w:rPr>
                <w:rFonts w:hint="eastAsia"/>
                <w:snapToGrid w:val="0"/>
                <w:kern w:val="0"/>
                <w:sz w:val="24"/>
                <w:lang w:val="en-US" w:eastAsia="zh-CN"/>
              </w:rPr>
              <w:t>三格式化粪池+提升井+调节池+</w:t>
            </w:r>
            <w:r>
              <w:rPr>
                <w:rFonts w:hint="eastAsia"/>
                <w:snapToGrid w:val="0"/>
                <w:kern w:val="0"/>
                <w:sz w:val="24"/>
                <w:lang w:eastAsia="zh-CN"/>
              </w:rPr>
              <w:t>PTA2O</w:t>
            </w:r>
            <w:r>
              <w:rPr>
                <w:rFonts w:hint="eastAsia"/>
                <w:snapToGrid w:val="0"/>
                <w:kern w:val="0"/>
                <w:sz w:val="24"/>
                <w:lang w:val="en-US" w:eastAsia="zh-CN"/>
              </w:rPr>
              <w:t>一体化污水综合处理装置+消毒工艺组合对污水进行处理，</w:t>
            </w:r>
            <w:r>
              <w:rPr>
                <w:rFonts w:hint="eastAsia" w:ascii="Times New Roman" w:hAnsi="Times New Roman" w:eastAsia="宋体" w:cs="Times New Roman"/>
                <w:snapToGrid w:val="0"/>
                <w:kern w:val="0"/>
                <w:sz w:val="24"/>
                <w:lang w:val="en-US" w:eastAsia="zh-CN"/>
              </w:rPr>
              <w:t>该组合工艺是将具有强化脱氮除磷的改良型AO工艺作为生物强化处理单元，以去除绝大部分污染指标，其出水再经过具有生物代谢功能的泥水分离装置与化学除磷进行有机结合形成的新型混凝沉淀组合处理工艺，组合处理工艺可彻底解决小规模污水出水氮、磷等不达标等常见问题，因此其处理工艺是可行和可靠的。</w:t>
            </w:r>
          </w:p>
          <w:p>
            <w:pPr>
              <w:spacing w:line="360" w:lineRule="auto"/>
              <w:ind w:firstLine="480" w:firstLineChars="200"/>
              <w:rPr>
                <w:sz w:val="24"/>
                <w:szCs w:val="24"/>
              </w:rPr>
            </w:pPr>
            <w:r>
              <w:rPr>
                <w:rFonts w:hint="eastAsia"/>
                <w:snapToGrid w:val="0"/>
                <w:kern w:val="0"/>
                <w:sz w:val="24"/>
              </w:rPr>
              <w:t>②</w:t>
            </w:r>
            <w:r>
              <w:rPr>
                <w:rFonts w:hint="eastAsia"/>
                <w:snapToGrid w:val="0"/>
                <w:kern w:val="0"/>
                <w:sz w:val="24"/>
                <w:lang w:eastAsia="zh-CN"/>
              </w:rPr>
              <w:t>三个湿塘污水处理站均采用四格池工艺对其处理，四格池</w:t>
            </w:r>
            <w:r>
              <w:rPr>
                <w:rFonts w:hint="eastAsia"/>
                <w:snapToGrid w:val="0"/>
                <w:kern w:val="0"/>
                <w:sz w:val="24"/>
                <w:lang w:val="en-US" w:eastAsia="zh-CN"/>
              </w:rPr>
              <w:t>主要由沉淀池、厌氧处理池、兼氧处理池和脱色过滤池组成，是一种利用沉淀和厌氧、兼氧、过滤原理，去除生活污水中悬浮性有机物的处理设施。采用四格池对生活污水进行处理，出水可达</w:t>
            </w:r>
            <w:r>
              <w:rPr>
                <w:rFonts w:hint="eastAsia" w:ascii="Times New Roman" w:hAnsi="Times New Roman" w:cs="Times New Roman"/>
                <w:color w:val="000000" w:themeColor="text1"/>
                <w:kern w:val="0"/>
                <w:sz w:val="24"/>
                <w:u w:val="none"/>
                <w14:textFill>
                  <w14:solidFill>
                    <w14:schemeClr w14:val="tx1"/>
                  </w14:solidFill>
                </w14:textFill>
              </w:rPr>
              <w:t>《城镇污水处理厂污染物排放标准》（GB18918-2002）一级标准的</w:t>
            </w:r>
            <w:r>
              <w:rPr>
                <w:rFonts w:hint="eastAsia" w:cs="Times New Roman"/>
                <w:color w:val="000000" w:themeColor="text1"/>
                <w:kern w:val="0"/>
                <w:sz w:val="24"/>
                <w:u w:val="none"/>
                <w:lang w:val="en-US" w:eastAsia="zh-CN"/>
                <w14:textFill>
                  <w14:solidFill>
                    <w14:schemeClr w14:val="tx1"/>
                  </w14:solidFill>
                </w14:textFill>
              </w:rPr>
              <w:t>B</w:t>
            </w:r>
            <w:r>
              <w:rPr>
                <w:rFonts w:hint="eastAsia" w:ascii="Times New Roman" w:hAnsi="Times New Roman" w:cs="Times New Roman"/>
                <w:color w:val="000000" w:themeColor="text1"/>
                <w:kern w:val="0"/>
                <w:sz w:val="24"/>
                <w:u w:val="none"/>
                <w14:textFill>
                  <w14:solidFill>
                    <w14:schemeClr w14:val="tx1"/>
                  </w14:solidFill>
                </w14:textFill>
              </w:rPr>
              <w:t>标准</w:t>
            </w:r>
            <w:r>
              <w:rPr>
                <w:rFonts w:hint="eastAsia" w:ascii="Times New Roman" w:hAnsi="Times New Roman" w:cs="Times New Roman"/>
                <w:b w:val="0"/>
                <w:kern w:val="0"/>
                <w:sz w:val="24"/>
                <w:szCs w:val="24"/>
                <w:lang w:val="en-US" w:eastAsia="zh-CN"/>
              </w:rPr>
              <w:t>。</w:t>
            </w:r>
          </w:p>
          <w:p>
            <w:pPr>
              <w:spacing w:line="360" w:lineRule="auto"/>
              <w:ind w:firstLine="480" w:firstLineChars="200"/>
              <w:rPr>
                <w:snapToGrid w:val="0"/>
                <w:kern w:val="0"/>
                <w:sz w:val="24"/>
              </w:rPr>
            </w:pPr>
            <w:r>
              <w:rPr>
                <w:rFonts w:hint="eastAsia"/>
                <w:snapToGrid w:val="0"/>
                <w:kern w:val="0"/>
                <w:sz w:val="24"/>
              </w:rPr>
              <w:t>因此，本项目污水处理工艺是可行和可靠的。</w:t>
            </w:r>
          </w:p>
          <w:p>
            <w:pPr>
              <w:spacing w:line="360" w:lineRule="auto"/>
              <w:ind w:firstLine="480" w:firstLineChars="200"/>
              <w:rPr>
                <w:snapToGrid w:val="0"/>
                <w:kern w:val="0"/>
                <w:sz w:val="24"/>
              </w:rPr>
            </w:pPr>
            <w:r>
              <w:rPr>
                <w:rFonts w:hint="eastAsia"/>
                <w:snapToGrid w:val="0"/>
                <w:kern w:val="0"/>
                <w:sz w:val="24"/>
                <w:lang w:eastAsia="zh-CN"/>
              </w:rPr>
              <w:t>（</w:t>
            </w:r>
            <w:r>
              <w:rPr>
                <w:rFonts w:hint="eastAsia"/>
                <w:snapToGrid w:val="0"/>
                <w:kern w:val="0"/>
                <w:sz w:val="24"/>
                <w:lang w:val="en-US" w:eastAsia="zh-CN"/>
              </w:rPr>
              <w:t>3</w:t>
            </w:r>
            <w:r>
              <w:rPr>
                <w:rFonts w:hint="eastAsia"/>
                <w:snapToGrid w:val="0"/>
                <w:kern w:val="0"/>
                <w:sz w:val="24"/>
                <w:lang w:eastAsia="zh-CN"/>
              </w:rPr>
              <w:t>）</w:t>
            </w:r>
            <w:r>
              <w:rPr>
                <w:rFonts w:hint="eastAsia"/>
                <w:snapToGrid w:val="0"/>
                <w:kern w:val="0"/>
                <w:sz w:val="24"/>
              </w:rPr>
              <w:t>地表水环境影响预测</w:t>
            </w:r>
          </w:p>
          <w:p>
            <w:pPr>
              <w:spacing w:line="360" w:lineRule="auto"/>
              <w:ind w:firstLine="480" w:firstLineChars="200"/>
              <w:rPr>
                <w:snapToGrid w:val="0"/>
                <w:kern w:val="0"/>
                <w:sz w:val="24"/>
              </w:rPr>
            </w:pPr>
            <w:r>
              <w:rPr>
                <w:rFonts w:hint="eastAsia"/>
                <w:snapToGrid w:val="0"/>
                <w:kern w:val="0"/>
                <w:sz w:val="24"/>
                <w:lang w:eastAsia="zh-CN"/>
              </w:rPr>
              <w:t>本次预测以奇家社区污水处理站废水排放量进行预测。污水处理站</w:t>
            </w:r>
            <w:r>
              <w:rPr>
                <w:rFonts w:hint="eastAsia"/>
                <w:snapToGrid w:val="0"/>
                <w:kern w:val="0"/>
                <w:sz w:val="24"/>
              </w:rPr>
              <w:t>设计规模</w:t>
            </w:r>
            <w:r>
              <w:rPr>
                <w:rFonts w:hint="eastAsia"/>
                <w:snapToGrid w:val="0"/>
                <w:kern w:val="0"/>
                <w:sz w:val="24"/>
                <w:lang w:val="en-US" w:eastAsia="zh-CN"/>
              </w:rPr>
              <w:t>22</w:t>
            </w:r>
            <w:r>
              <w:rPr>
                <w:rFonts w:hint="eastAsia"/>
                <w:snapToGrid w:val="0"/>
                <w:kern w:val="0"/>
                <w:sz w:val="24"/>
              </w:rPr>
              <w:t>m</w:t>
            </w:r>
            <w:r>
              <w:rPr>
                <w:rFonts w:hint="eastAsia"/>
                <w:snapToGrid w:val="0"/>
                <w:kern w:val="0"/>
                <w:sz w:val="24"/>
                <w:vertAlign w:val="superscript"/>
              </w:rPr>
              <w:t>3</w:t>
            </w:r>
            <w:r>
              <w:rPr>
                <w:rFonts w:hint="eastAsia"/>
                <w:snapToGrid w:val="0"/>
                <w:kern w:val="0"/>
                <w:sz w:val="24"/>
              </w:rPr>
              <w:t>/d，出水水质执行</w:t>
            </w:r>
            <w:r>
              <w:rPr>
                <w:rFonts w:hint="eastAsia"/>
                <w:color w:val="000000" w:themeColor="text1"/>
                <w:kern w:val="0"/>
                <w:sz w:val="24"/>
                <w14:textFill>
                  <w14:solidFill>
                    <w14:schemeClr w14:val="tx1"/>
                  </w14:solidFill>
                </w14:textFill>
              </w:rPr>
              <w:t>《城镇污水处理厂污染物排放标准》（GB18918-2002）一级A 标准</w:t>
            </w:r>
            <w:r>
              <w:rPr>
                <w:rFonts w:hint="eastAsia"/>
                <w:snapToGrid w:val="0"/>
                <w:kern w:val="0"/>
                <w:sz w:val="24"/>
              </w:rPr>
              <w:t>。</w:t>
            </w:r>
          </w:p>
          <w:p>
            <w:pPr>
              <w:pStyle w:val="35"/>
              <w:adjustRightInd/>
              <w:spacing w:line="360" w:lineRule="auto"/>
              <w:ind w:firstLine="480" w:firstLineChars="200"/>
              <w:rPr>
                <w:rFonts w:ascii="Times New Roman" w:hAnsi="Times New Roman"/>
                <w:color w:val="auto"/>
              </w:rPr>
            </w:pPr>
            <w:r>
              <w:rPr>
                <w:rFonts w:hint="eastAsia" w:cs="宋体"/>
                <w:color w:val="auto"/>
              </w:rPr>
              <w:t>①</w:t>
            </w:r>
            <w:r>
              <w:rPr>
                <w:rFonts w:hint="eastAsia" w:ascii="Times New Roman" w:hAnsi="Times New Roman"/>
                <w:color w:val="auto"/>
              </w:rPr>
              <w:t>预测因子</w:t>
            </w:r>
          </w:p>
          <w:p>
            <w:pPr>
              <w:pStyle w:val="35"/>
              <w:adjustRightInd/>
              <w:spacing w:line="360" w:lineRule="auto"/>
              <w:ind w:firstLine="480" w:firstLineChars="200"/>
              <w:rPr>
                <w:rFonts w:ascii="Times New Roman" w:hAnsi="Times New Roman"/>
                <w:color w:val="auto"/>
              </w:rPr>
            </w:pPr>
            <w:r>
              <w:rPr>
                <w:rFonts w:hint="eastAsia" w:ascii="Times New Roman" w:hAnsi="Times New Roman"/>
                <w:color w:val="auto"/>
              </w:rPr>
              <w:t>根据项目排污特征，本评价选取污染因子COD、NH</w:t>
            </w:r>
            <w:r>
              <w:rPr>
                <w:rFonts w:hint="eastAsia" w:ascii="Times New Roman" w:hAnsi="Times New Roman"/>
                <w:color w:val="auto"/>
                <w:vertAlign w:val="subscript"/>
              </w:rPr>
              <w:t>3</w:t>
            </w:r>
            <w:r>
              <w:rPr>
                <w:rFonts w:hint="eastAsia" w:ascii="Times New Roman" w:hAnsi="Times New Roman"/>
                <w:color w:val="auto"/>
              </w:rPr>
              <w:t>-N作为预测因子。</w:t>
            </w:r>
          </w:p>
          <w:p>
            <w:pPr>
              <w:pStyle w:val="35"/>
              <w:adjustRightInd/>
              <w:spacing w:line="360" w:lineRule="auto"/>
              <w:ind w:firstLine="480" w:firstLineChars="200"/>
              <w:rPr>
                <w:rFonts w:ascii="Times New Roman" w:hAnsi="Times New Roman"/>
                <w:color w:val="auto"/>
              </w:rPr>
            </w:pPr>
            <w:r>
              <w:rPr>
                <w:rFonts w:hint="eastAsia" w:cs="宋体"/>
                <w:color w:val="auto"/>
              </w:rPr>
              <w:t>②</w:t>
            </w:r>
            <w:r>
              <w:rPr>
                <w:rFonts w:hint="eastAsia" w:ascii="Times New Roman" w:hAnsi="Times New Roman"/>
                <w:color w:val="auto"/>
              </w:rPr>
              <w:t>预测范围</w:t>
            </w:r>
          </w:p>
          <w:p>
            <w:pPr>
              <w:pStyle w:val="35"/>
              <w:adjustRightInd/>
              <w:spacing w:line="360" w:lineRule="auto"/>
              <w:ind w:firstLine="480" w:firstLineChars="200"/>
              <w:rPr>
                <w:rFonts w:ascii="Times New Roman" w:hAnsi="Times New Roman"/>
                <w:color w:val="auto"/>
              </w:rPr>
            </w:pPr>
            <w:r>
              <w:rPr>
                <w:rFonts w:hint="eastAsia" w:ascii="Times New Roman" w:hAnsi="Times New Roman"/>
                <w:color w:val="auto"/>
              </w:rPr>
              <w:t>项目污水处理站接纳的废水经处理达标后尾水排入</w:t>
            </w:r>
            <w:r>
              <w:rPr>
                <w:rFonts w:hint="eastAsia" w:ascii="Times New Roman" w:hAnsi="Times New Roman"/>
                <w:color w:val="auto"/>
                <w:lang w:val="en-US" w:eastAsia="zh-CN"/>
              </w:rPr>
              <w:t>排入小溪，最终汇入东侧100m处南港河。</w:t>
            </w:r>
            <w:r>
              <w:rPr>
                <w:rFonts w:hint="eastAsia" w:ascii="Times New Roman" w:hAnsi="Times New Roman"/>
                <w:color w:val="auto"/>
              </w:rPr>
              <w:t>本次评价预测</w:t>
            </w:r>
            <w:r>
              <w:rPr>
                <w:rFonts w:hint="eastAsia" w:ascii="Times New Roman" w:hAnsi="Times New Roman"/>
                <w:color w:val="auto"/>
                <w:lang w:eastAsia="zh-CN"/>
              </w:rPr>
              <w:t>其</w:t>
            </w:r>
            <w:r>
              <w:rPr>
                <w:rFonts w:hint="eastAsia" w:ascii="Times New Roman" w:hAnsi="Times New Roman"/>
                <w:color w:val="auto"/>
              </w:rPr>
              <w:t>尾水排放对</w:t>
            </w:r>
            <w:r>
              <w:rPr>
                <w:rFonts w:hint="eastAsia" w:ascii="Times New Roman" w:hAnsi="Times New Roman"/>
                <w:color w:val="auto"/>
                <w:lang w:eastAsia="zh-CN"/>
              </w:rPr>
              <w:t>南港河</w:t>
            </w:r>
            <w:r>
              <w:rPr>
                <w:rFonts w:hint="eastAsia" w:ascii="Times New Roman" w:hAnsi="Times New Roman"/>
                <w:color w:val="auto"/>
              </w:rPr>
              <w:t>的地表水环境影响。</w:t>
            </w:r>
          </w:p>
          <w:p>
            <w:pPr>
              <w:pStyle w:val="35"/>
              <w:adjustRightInd/>
              <w:spacing w:line="360" w:lineRule="auto"/>
              <w:ind w:firstLine="480" w:firstLineChars="200"/>
              <w:rPr>
                <w:rFonts w:ascii="Times New Roman" w:hAnsi="Times New Roman"/>
                <w:color w:val="auto"/>
              </w:rPr>
            </w:pPr>
            <w:r>
              <w:rPr>
                <w:rFonts w:hint="eastAsia" w:cs="宋体"/>
                <w:color w:val="auto"/>
              </w:rPr>
              <w:t>③</w:t>
            </w:r>
            <w:r>
              <w:rPr>
                <w:rFonts w:hint="eastAsia" w:ascii="Times New Roman" w:hAnsi="Times New Roman"/>
                <w:color w:val="auto"/>
              </w:rPr>
              <w:t>预测时段</w:t>
            </w:r>
          </w:p>
          <w:p>
            <w:pPr>
              <w:pStyle w:val="35"/>
              <w:spacing w:line="360" w:lineRule="auto"/>
              <w:ind w:firstLine="480" w:firstLineChars="200"/>
              <w:rPr>
                <w:rFonts w:cs="宋体"/>
                <w:color w:val="auto"/>
              </w:rPr>
            </w:pPr>
            <w:r>
              <w:rPr>
                <w:rFonts w:hint="eastAsia" w:ascii="Times New Roman" w:hAnsi="Times New Roman"/>
                <w:color w:val="auto"/>
                <w:szCs w:val="24"/>
              </w:rPr>
              <w:t>本次选取水环境现状补充监测时期作为重点预测时期。监测时期项目污水排放口上游500m处</w:t>
            </w:r>
            <w:r>
              <w:rPr>
                <w:rFonts w:hint="eastAsia" w:ascii="Times New Roman" w:hAnsi="Times New Roman"/>
                <w:color w:val="auto"/>
                <w:szCs w:val="24"/>
                <w:lang w:eastAsia="zh-CN"/>
              </w:rPr>
              <w:t>南港</w:t>
            </w:r>
            <w:r>
              <w:rPr>
                <w:rFonts w:hint="eastAsia" w:ascii="Times New Roman" w:hAnsi="Times New Roman"/>
                <w:color w:val="auto"/>
                <w:szCs w:val="24"/>
              </w:rPr>
              <w:t>河流量和流速分别为：</w:t>
            </w:r>
            <w:r>
              <w:rPr>
                <w:rFonts w:hint="eastAsia" w:ascii="Times New Roman" w:hAnsi="Times New Roman"/>
                <w:color w:val="auto"/>
                <w:szCs w:val="24"/>
                <w:lang w:val="en-US" w:eastAsia="zh-CN"/>
              </w:rPr>
              <w:t>0.7</w:t>
            </w:r>
            <w:r>
              <w:rPr>
                <w:rFonts w:ascii="Times New Roman" w:hAnsi="Times New Roman" w:eastAsia="Times New Roman"/>
                <w:szCs w:val="24"/>
              </w:rPr>
              <w:t>m</w:t>
            </w:r>
            <w:r>
              <w:rPr>
                <w:rFonts w:ascii="Times New Roman" w:hAnsi="Times New Roman" w:eastAsia="Times New Roman"/>
                <w:szCs w:val="24"/>
                <w:vertAlign w:val="superscript"/>
              </w:rPr>
              <w:t>3</w:t>
            </w:r>
            <w:r>
              <w:rPr>
                <w:rFonts w:ascii="Times New Roman" w:hAnsi="Times New Roman" w:eastAsia="Times New Roman"/>
                <w:szCs w:val="24"/>
              </w:rPr>
              <w:t>/s</w:t>
            </w:r>
            <w:r>
              <w:rPr>
                <w:rFonts w:hint="eastAsia" w:ascii="Times New Roman" w:hAnsi="Times New Roman"/>
                <w:szCs w:val="24"/>
              </w:rPr>
              <w:t>、0.</w:t>
            </w:r>
            <w:r>
              <w:rPr>
                <w:rFonts w:hint="eastAsia" w:ascii="Times New Roman" w:hAnsi="Times New Roman"/>
                <w:szCs w:val="24"/>
                <w:lang w:val="en-US" w:eastAsia="zh-CN"/>
              </w:rPr>
              <w:t>02</w:t>
            </w:r>
            <w:r>
              <w:rPr>
                <w:rFonts w:hint="eastAsia" w:ascii="Times New Roman" w:hAnsi="Times New Roman"/>
                <w:szCs w:val="24"/>
              </w:rPr>
              <w:t>m/</w:t>
            </w:r>
            <w:r>
              <w:rPr>
                <w:rStyle w:val="33"/>
                <w:rFonts w:hint="eastAsia" w:ascii="Times New Roman" w:hAnsi="Times New Roman"/>
                <w:color w:val="auto"/>
                <w:kern w:val="2"/>
                <w:lang w:val="en-US" w:eastAsia="zh-CN"/>
              </w:rPr>
              <w:t>s</w:t>
            </w:r>
            <w:r>
              <w:rPr>
                <w:rFonts w:hint="eastAsia" w:ascii="Times New Roman" w:hAnsi="Times New Roman"/>
                <w:szCs w:val="24"/>
              </w:rPr>
              <w:t>。</w:t>
            </w:r>
          </w:p>
          <w:p>
            <w:pPr>
              <w:pStyle w:val="35"/>
              <w:spacing w:line="360" w:lineRule="auto"/>
              <w:ind w:firstLine="480" w:firstLineChars="200"/>
              <w:rPr>
                <w:rFonts w:ascii="Times New Roman" w:hAnsi="Times New Roman"/>
                <w:color w:val="auto"/>
              </w:rPr>
            </w:pPr>
            <w:r>
              <w:rPr>
                <w:rFonts w:hint="eastAsia" w:cs="宋体"/>
                <w:color w:val="auto"/>
              </w:rPr>
              <w:t>④</w:t>
            </w:r>
            <w:r>
              <w:rPr>
                <w:rFonts w:hint="eastAsia" w:ascii="Times New Roman" w:hAnsi="Times New Roman"/>
                <w:color w:val="auto"/>
              </w:rPr>
              <w:t>预测模式及参数选择</w:t>
            </w:r>
          </w:p>
          <w:p>
            <w:pPr>
              <w:spacing w:line="360" w:lineRule="auto"/>
              <w:ind w:firstLine="480" w:firstLineChars="200"/>
              <w:rPr>
                <w:kern w:val="0"/>
                <w:sz w:val="24"/>
              </w:rPr>
            </w:pPr>
            <w:r>
              <w:rPr>
                <w:rFonts w:hint="eastAsia"/>
                <w:kern w:val="0"/>
                <w:sz w:val="24"/>
                <w:lang w:eastAsia="zh-CN"/>
              </w:rPr>
              <w:t>南港</w:t>
            </w:r>
            <w:r>
              <w:rPr>
                <w:rFonts w:hint="eastAsia"/>
                <w:kern w:val="0"/>
                <w:sz w:val="24"/>
              </w:rPr>
              <w:t>河评价断面段宽深比＞20，河段弯曲系数＜1.3，可视为矩形平直河段。根据导则要求，本次评价河流数学模型在混合过程段采用零维模型，完全混合后至评价范围止点采用纵向一维数学模型，模拟河流顺直、水流均匀且排污稳定，可采用解析方法。</w:t>
            </w:r>
          </w:p>
          <w:p>
            <w:pPr>
              <w:spacing w:line="360" w:lineRule="auto"/>
              <w:ind w:firstLine="480" w:firstLineChars="200"/>
              <w:rPr>
                <w:kern w:val="0"/>
                <w:sz w:val="24"/>
              </w:rPr>
            </w:pPr>
            <w:r>
              <w:rPr>
                <w:rFonts w:hint="eastAsia"/>
                <w:kern w:val="0"/>
                <w:sz w:val="24"/>
              </w:rPr>
              <w:t>a.混合过程段</w:t>
            </w:r>
          </w:p>
          <w:p>
            <w:pPr>
              <w:spacing w:line="360" w:lineRule="auto"/>
              <w:ind w:firstLine="480" w:firstLineChars="200"/>
              <w:rPr>
                <w:kern w:val="0"/>
                <w:sz w:val="24"/>
              </w:rPr>
            </w:pPr>
            <w:r>
              <w:rPr>
                <w:rFonts w:hint="eastAsia"/>
                <w:kern w:val="0"/>
                <w:sz w:val="24"/>
              </w:rPr>
              <w:t>采用导则推荐的混合过程段长度计算公式。</w:t>
            </w:r>
          </w:p>
          <w:p>
            <w:pPr>
              <w:spacing w:line="360" w:lineRule="auto"/>
              <w:ind w:firstLine="420" w:firstLineChars="200"/>
              <w:jc w:val="center"/>
              <w:rPr>
                <w:kern w:val="0"/>
                <w:sz w:val="24"/>
              </w:rPr>
            </w:pPr>
            <w:r>
              <w:drawing>
                <wp:inline distT="0" distB="0" distL="114300" distR="114300">
                  <wp:extent cx="3568700" cy="546100"/>
                  <wp:effectExtent l="0" t="0" r="12700" b="635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22"/>
                          <a:stretch>
                            <a:fillRect/>
                          </a:stretch>
                        </pic:blipFill>
                        <pic:spPr>
                          <a:xfrm>
                            <a:off x="0" y="0"/>
                            <a:ext cx="3568700" cy="546100"/>
                          </a:xfrm>
                          <a:prstGeom prst="rect">
                            <a:avLst/>
                          </a:prstGeom>
                          <a:noFill/>
                          <a:ln w="9525">
                            <a:noFill/>
                          </a:ln>
                        </pic:spPr>
                      </pic:pic>
                    </a:graphicData>
                  </a:graphic>
                </wp:inline>
              </w:drawing>
            </w:r>
          </w:p>
          <w:p>
            <w:pPr>
              <w:spacing w:line="360" w:lineRule="auto"/>
              <w:ind w:firstLine="480" w:firstLineChars="200"/>
              <w:jc w:val="left"/>
              <w:rPr>
                <w:rFonts w:eastAsiaTheme="minorEastAsia"/>
                <w:sz w:val="24"/>
                <w:szCs w:val="24"/>
              </w:rPr>
            </w:pPr>
            <w:r>
              <w:rPr>
                <w:rFonts w:eastAsiaTheme="minorEastAsia"/>
                <w:sz w:val="24"/>
                <w:szCs w:val="24"/>
              </w:rPr>
              <w:t>式中：L</w:t>
            </w:r>
            <w:r>
              <w:rPr>
                <w:rFonts w:eastAsiaTheme="minorEastAsia"/>
                <w:sz w:val="24"/>
                <w:szCs w:val="24"/>
                <w:vertAlign w:val="subscript"/>
              </w:rPr>
              <w:t>m</w:t>
            </w:r>
            <w:r>
              <w:rPr>
                <w:rFonts w:eastAsiaTheme="minorEastAsia"/>
                <w:sz w:val="24"/>
                <w:szCs w:val="24"/>
              </w:rPr>
              <w:t>——混合段长度，m；</w:t>
            </w:r>
          </w:p>
          <w:p>
            <w:pPr>
              <w:spacing w:line="360" w:lineRule="auto"/>
              <w:ind w:firstLine="480" w:firstLineChars="200"/>
              <w:jc w:val="left"/>
              <w:rPr>
                <w:rFonts w:eastAsiaTheme="minorEastAsia"/>
                <w:sz w:val="24"/>
                <w:szCs w:val="24"/>
              </w:rPr>
            </w:pPr>
            <w:r>
              <w:rPr>
                <w:rFonts w:eastAsiaTheme="minorEastAsia"/>
                <w:sz w:val="24"/>
                <w:szCs w:val="24"/>
              </w:rPr>
              <w:t>B——水面宽度，</w:t>
            </w:r>
            <w:r>
              <w:rPr>
                <w:rFonts w:hint="eastAsia"/>
                <w:kern w:val="0"/>
                <w:sz w:val="24"/>
                <w:lang w:eastAsia="zh-CN"/>
              </w:rPr>
              <w:t>南港</w:t>
            </w:r>
            <w:r>
              <w:rPr>
                <w:rFonts w:hint="eastAsia"/>
                <w:kern w:val="0"/>
                <w:sz w:val="24"/>
              </w:rPr>
              <w:t>河</w:t>
            </w:r>
            <w:r>
              <w:rPr>
                <w:rFonts w:eastAsiaTheme="minorEastAsia"/>
                <w:sz w:val="24"/>
                <w:szCs w:val="24"/>
              </w:rPr>
              <w:t>取</w:t>
            </w:r>
            <w:r>
              <w:rPr>
                <w:rFonts w:hint="eastAsia" w:eastAsiaTheme="minorEastAsia"/>
                <w:sz w:val="24"/>
                <w:szCs w:val="24"/>
                <w:lang w:val="en-US" w:eastAsia="zh-CN"/>
              </w:rPr>
              <w:t>47.2</w:t>
            </w:r>
            <w:r>
              <w:rPr>
                <w:rFonts w:eastAsiaTheme="minorEastAsia"/>
                <w:sz w:val="24"/>
                <w:szCs w:val="24"/>
              </w:rPr>
              <w:t>m；</w:t>
            </w:r>
          </w:p>
          <w:p>
            <w:pPr>
              <w:spacing w:line="360" w:lineRule="auto"/>
              <w:ind w:firstLine="480" w:firstLineChars="200"/>
              <w:jc w:val="left"/>
              <w:rPr>
                <w:rFonts w:eastAsiaTheme="minorEastAsia"/>
                <w:sz w:val="24"/>
                <w:szCs w:val="24"/>
              </w:rPr>
            </w:pPr>
            <w:r>
              <w:rPr>
                <w:rFonts w:eastAsiaTheme="minorEastAsia"/>
                <w:sz w:val="24"/>
                <w:szCs w:val="24"/>
              </w:rPr>
              <w:t>a——排放口到岸边的距离，本项目为岸边排放，取0m；</w:t>
            </w:r>
          </w:p>
          <w:p>
            <w:pPr>
              <w:spacing w:line="360" w:lineRule="auto"/>
              <w:ind w:firstLine="480" w:firstLineChars="200"/>
              <w:jc w:val="left"/>
              <w:rPr>
                <w:rFonts w:eastAsiaTheme="minorEastAsia"/>
                <w:sz w:val="24"/>
                <w:szCs w:val="24"/>
              </w:rPr>
            </w:pPr>
            <w:r>
              <w:rPr>
                <w:rFonts w:eastAsiaTheme="minorEastAsia"/>
                <w:sz w:val="24"/>
                <w:szCs w:val="24"/>
              </w:rPr>
              <w:t>u——断面流速，</w:t>
            </w:r>
            <w:r>
              <w:rPr>
                <w:rFonts w:hint="eastAsia" w:eastAsiaTheme="minorEastAsia"/>
                <w:sz w:val="24"/>
                <w:szCs w:val="24"/>
              </w:rPr>
              <w:t>监测期金脱河</w:t>
            </w:r>
            <w:r>
              <w:rPr>
                <w:rFonts w:eastAsiaTheme="minorEastAsia"/>
                <w:sz w:val="24"/>
                <w:szCs w:val="24"/>
              </w:rPr>
              <w:t>取0.</w:t>
            </w:r>
            <w:r>
              <w:rPr>
                <w:rFonts w:hint="eastAsia" w:eastAsiaTheme="minorEastAsia"/>
                <w:sz w:val="24"/>
                <w:szCs w:val="24"/>
                <w:lang w:val="en-US" w:eastAsia="zh-CN"/>
              </w:rPr>
              <w:t>02</w:t>
            </w:r>
            <w:r>
              <w:rPr>
                <w:rFonts w:eastAsiaTheme="minorEastAsia"/>
                <w:sz w:val="24"/>
                <w:szCs w:val="24"/>
              </w:rPr>
              <w:t>m/s；</w:t>
            </w:r>
          </w:p>
          <w:p>
            <w:pPr>
              <w:spacing w:line="360" w:lineRule="auto"/>
              <w:ind w:firstLine="480" w:firstLineChars="200"/>
              <w:jc w:val="left"/>
              <w:rPr>
                <w:rFonts w:eastAsiaTheme="minorEastAsia"/>
                <w:sz w:val="24"/>
                <w:szCs w:val="24"/>
              </w:rPr>
            </w:pPr>
            <w:r>
              <w:rPr>
                <w:rFonts w:eastAsiaTheme="minorEastAsia"/>
                <w:sz w:val="24"/>
                <w:szCs w:val="24"/>
              </w:rPr>
              <w:t>E</w:t>
            </w:r>
            <w:r>
              <w:rPr>
                <w:rFonts w:eastAsiaTheme="minorEastAsia"/>
                <w:sz w:val="24"/>
                <w:szCs w:val="24"/>
                <w:vertAlign w:val="subscript"/>
              </w:rPr>
              <w:t>y</w:t>
            </w:r>
            <w:r>
              <w:rPr>
                <w:rFonts w:eastAsiaTheme="minorEastAsia"/>
                <w:sz w:val="24"/>
                <w:szCs w:val="24"/>
              </w:rPr>
              <w:t xml:space="preserve"> — — 污染物横向扩散系数，m</w:t>
            </w:r>
            <w:r>
              <w:rPr>
                <w:rFonts w:eastAsiaTheme="minorEastAsia"/>
                <w:sz w:val="24"/>
                <w:szCs w:val="24"/>
                <w:vertAlign w:val="superscript"/>
              </w:rPr>
              <w:t>2</w:t>
            </w:r>
            <w:r>
              <w:rPr>
                <w:rFonts w:eastAsiaTheme="minorEastAsia"/>
                <w:sz w:val="24"/>
                <w:szCs w:val="24"/>
              </w:rPr>
              <w:t>/s，用泰勒（Taylor）法求Ey，E</w:t>
            </w:r>
            <w:r>
              <w:rPr>
                <w:rFonts w:eastAsiaTheme="minorEastAsia"/>
                <w:sz w:val="24"/>
                <w:szCs w:val="24"/>
                <w:vertAlign w:val="subscript"/>
              </w:rPr>
              <w:t>y</w:t>
            </w:r>
            <w:r>
              <w:rPr>
                <w:rFonts w:eastAsiaTheme="minorEastAsia"/>
                <w:sz w:val="24"/>
                <w:szCs w:val="24"/>
              </w:rPr>
              <w:t>=(0.058H+0.0065B)(gHI)1/2，求得</w:t>
            </w:r>
            <w:r>
              <w:rPr>
                <w:rFonts w:hint="eastAsia"/>
                <w:kern w:val="0"/>
                <w:sz w:val="24"/>
                <w:lang w:eastAsia="zh-CN"/>
              </w:rPr>
              <w:t>南港</w:t>
            </w:r>
            <w:r>
              <w:rPr>
                <w:rFonts w:hint="eastAsia"/>
                <w:kern w:val="0"/>
                <w:sz w:val="24"/>
              </w:rPr>
              <w:t>河</w:t>
            </w:r>
            <w:r>
              <w:rPr>
                <w:rFonts w:eastAsiaTheme="minorEastAsia"/>
                <w:sz w:val="24"/>
                <w:szCs w:val="24"/>
              </w:rPr>
              <w:t>E</w:t>
            </w:r>
            <w:r>
              <w:rPr>
                <w:rFonts w:eastAsiaTheme="minorEastAsia"/>
                <w:sz w:val="24"/>
                <w:szCs w:val="24"/>
                <w:vertAlign w:val="subscript"/>
              </w:rPr>
              <w:t>y</w:t>
            </w:r>
            <w:r>
              <w:rPr>
                <w:rFonts w:eastAsiaTheme="minorEastAsia"/>
                <w:sz w:val="24"/>
                <w:szCs w:val="24"/>
              </w:rPr>
              <w:t>为0.</w:t>
            </w:r>
            <w:r>
              <w:rPr>
                <w:rFonts w:hint="eastAsia" w:eastAsiaTheme="minorEastAsia"/>
                <w:sz w:val="24"/>
                <w:szCs w:val="24"/>
              </w:rPr>
              <w:t>0</w:t>
            </w:r>
            <w:r>
              <w:rPr>
                <w:rFonts w:hint="eastAsia" w:eastAsiaTheme="minorEastAsia"/>
                <w:sz w:val="24"/>
                <w:szCs w:val="24"/>
                <w:lang w:val="en-US" w:eastAsia="zh-CN"/>
              </w:rPr>
              <w:t>9</w:t>
            </w:r>
            <w:r>
              <w:rPr>
                <w:rFonts w:eastAsiaTheme="minorEastAsia"/>
                <w:sz w:val="24"/>
                <w:szCs w:val="24"/>
              </w:rPr>
              <w:t>m</w:t>
            </w:r>
            <w:r>
              <w:rPr>
                <w:rFonts w:eastAsiaTheme="minorEastAsia"/>
                <w:sz w:val="24"/>
                <w:szCs w:val="24"/>
                <w:vertAlign w:val="superscript"/>
              </w:rPr>
              <w:t>2</w:t>
            </w:r>
            <w:r>
              <w:rPr>
                <w:rFonts w:eastAsiaTheme="minorEastAsia"/>
                <w:sz w:val="24"/>
                <w:szCs w:val="24"/>
              </w:rPr>
              <w:t>/s；</w:t>
            </w:r>
          </w:p>
          <w:p>
            <w:pPr>
              <w:spacing w:line="360" w:lineRule="auto"/>
              <w:ind w:firstLine="480" w:firstLineChars="200"/>
              <w:jc w:val="left"/>
              <w:rPr>
                <w:rFonts w:eastAsiaTheme="minorEastAsia"/>
                <w:sz w:val="24"/>
                <w:szCs w:val="24"/>
              </w:rPr>
            </w:pPr>
            <w:r>
              <w:rPr>
                <w:rFonts w:eastAsiaTheme="minorEastAsia"/>
                <w:sz w:val="24"/>
                <w:szCs w:val="24"/>
              </w:rPr>
              <w:t>计算得出：</w:t>
            </w:r>
            <w:r>
              <w:rPr>
                <w:rFonts w:hint="eastAsia"/>
                <w:kern w:val="0"/>
                <w:sz w:val="24"/>
                <w:lang w:eastAsia="zh-CN"/>
              </w:rPr>
              <w:t>南港</w:t>
            </w:r>
            <w:r>
              <w:rPr>
                <w:rFonts w:hint="eastAsia"/>
                <w:kern w:val="0"/>
                <w:sz w:val="24"/>
              </w:rPr>
              <w:t>河</w:t>
            </w:r>
            <w:r>
              <w:rPr>
                <w:rFonts w:eastAsiaTheme="minorEastAsia"/>
                <w:sz w:val="24"/>
                <w:szCs w:val="24"/>
              </w:rPr>
              <w:t>的L</w:t>
            </w:r>
            <w:r>
              <w:rPr>
                <w:rFonts w:eastAsiaTheme="minorEastAsia"/>
                <w:sz w:val="24"/>
                <w:szCs w:val="24"/>
                <w:vertAlign w:val="subscript"/>
              </w:rPr>
              <w:t>m</w:t>
            </w:r>
            <w:r>
              <w:rPr>
                <w:rFonts w:eastAsiaTheme="minorEastAsia"/>
                <w:sz w:val="24"/>
                <w:szCs w:val="24"/>
              </w:rPr>
              <w:t>=</w:t>
            </w:r>
            <w:r>
              <w:rPr>
                <w:rFonts w:hint="eastAsia" w:eastAsiaTheme="minorEastAsia"/>
                <w:sz w:val="24"/>
                <w:szCs w:val="24"/>
                <w:lang w:val="en-US" w:eastAsia="zh-CN"/>
              </w:rPr>
              <w:t>219</w:t>
            </w:r>
            <w:r>
              <w:rPr>
                <w:rFonts w:eastAsiaTheme="minorEastAsia"/>
                <w:sz w:val="24"/>
                <w:szCs w:val="24"/>
              </w:rPr>
              <w:t>m</w:t>
            </w:r>
            <w:r>
              <w:rPr>
                <w:rFonts w:hint="eastAsia" w:eastAsiaTheme="minorEastAsia"/>
                <w:sz w:val="24"/>
                <w:szCs w:val="24"/>
              </w:rPr>
              <w:t>，</w:t>
            </w:r>
            <w:r>
              <w:rPr>
                <w:rFonts w:eastAsiaTheme="minorEastAsia"/>
                <w:sz w:val="24"/>
                <w:szCs w:val="24"/>
              </w:rPr>
              <w:t>即污水排入</w:t>
            </w:r>
            <w:r>
              <w:rPr>
                <w:rFonts w:hint="eastAsia"/>
                <w:kern w:val="0"/>
                <w:sz w:val="24"/>
                <w:lang w:eastAsia="zh-CN"/>
              </w:rPr>
              <w:t>南港</w:t>
            </w:r>
            <w:r>
              <w:rPr>
                <w:rFonts w:hint="eastAsia"/>
                <w:kern w:val="0"/>
                <w:sz w:val="24"/>
              </w:rPr>
              <w:t>河</w:t>
            </w:r>
            <w:r>
              <w:rPr>
                <w:rFonts w:eastAsiaTheme="minorEastAsia"/>
                <w:sz w:val="24"/>
                <w:szCs w:val="24"/>
              </w:rPr>
              <w:t>下游分别为</w:t>
            </w:r>
            <w:r>
              <w:rPr>
                <w:rFonts w:hint="eastAsia" w:eastAsiaTheme="minorEastAsia"/>
                <w:sz w:val="24"/>
                <w:szCs w:val="24"/>
                <w:lang w:val="en-US" w:eastAsia="zh-CN"/>
              </w:rPr>
              <w:t>219</w:t>
            </w:r>
            <w:r>
              <w:rPr>
                <w:rFonts w:eastAsiaTheme="minorEastAsia"/>
                <w:sz w:val="24"/>
                <w:szCs w:val="24"/>
              </w:rPr>
              <w:t>m后完全混合。</w:t>
            </w:r>
          </w:p>
          <w:p>
            <w:pPr>
              <w:spacing w:line="360" w:lineRule="auto"/>
              <w:ind w:firstLine="480" w:firstLineChars="200"/>
              <w:jc w:val="left"/>
              <w:rPr>
                <w:rFonts w:eastAsiaTheme="minorEastAsia"/>
                <w:sz w:val="24"/>
                <w:szCs w:val="24"/>
              </w:rPr>
            </w:pPr>
            <w:r>
              <w:rPr>
                <w:rFonts w:eastAsiaTheme="minorEastAsia"/>
                <w:sz w:val="24"/>
                <w:szCs w:val="24"/>
              </w:rPr>
              <w:t>b.完全混合模型</w:t>
            </w:r>
          </w:p>
          <w:p>
            <w:pPr>
              <w:spacing w:line="360" w:lineRule="auto"/>
              <w:ind w:firstLine="480" w:firstLineChars="200"/>
              <w:jc w:val="left"/>
              <w:rPr>
                <w:rFonts w:eastAsiaTheme="minorEastAsia"/>
                <w:sz w:val="24"/>
                <w:szCs w:val="24"/>
              </w:rPr>
            </w:pPr>
            <w:r>
              <w:rPr>
                <w:rFonts w:hint="eastAsia" w:eastAsiaTheme="minorEastAsia"/>
                <w:sz w:val="24"/>
                <w:szCs w:val="24"/>
              </w:rPr>
              <w:t>完全混合模型用于预测完全混合的污染物浓度，预测模式如下：</w:t>
            </w:r>
          </w:p>
          <w:p>
            <w:pPr>
              <w:spacing w:line="360" w:lineRule="auto"/>
              <w:ind w:firstLine="420" w:firstLineChars="200"/>
              <w:jc w:val="center"/>
              <w:rPr>
                <w:rFonts w:eastAsiaTheme="minorEastAsia"/>
                <w:sz w:val="24"/>
                <w:szCs w:val="24"/>
              </w:rPr>
            </w:pPr>
            <w:r>
              <w:drawing>
                <wp:inline distT="0" distB="0" distL="114300" distR="114300">
                  <wp:extent cx="2618740" cy="303530"/>
                  <wp:effectExtent l="0" t="0" r="10160" b="1270"/>
                  <wp:docPr id="4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
                          <pic:cNvPicPr>
                            <a:picLocks noChangeAspect="1"/>
                          </pic:cNvPicPr>
                        </pic:nvPicPr>
                        <pic:blipFill>
                          <a:blip r:embed="rId23"/>
                          <a:stretch>
                            <a:fillRect/>
                          </a:stretch>
                        </pic:blipFill>
                        <pic:spPr>
                          <a:xfrm>
                            <a:off x="0" y="0"/>
                            <a:ext cx="2618740" cy="303530"/>
                          </a:xfrm>
                          <a:prstGeom prst="rect">
                            <a:avLst/>
                          </a:prstGeom>
                          <a:noFill/>
                          <a:ln w="9525">
                            <a:noFill/>
                          </a:ln>
                        </pic:spPr>
                      </pic:pic>
                    </a:graphicData>
                  </a:graphic>
                </wp:inline>
              </w:drawing>
            </w:r>
          </w:p>
          <w:p>
            <w:pPr>
              <w:spacing w:line="360" w:lineRule="auto"/>
              <w:ind w:firstLine="480" w:firstLineChars="200"/>
              <w:jc w:val="left"/>
              <w:rPr>
                <w:rFonts w:eastAsiaTheme="minorEastAsia"/>
                <w:sz w:val="24"/>
                <w:szCs w:val="24"/>
              </w:rPr>
            </w:pPr>
            <w:r>
              <w:rPr>
                <w:rFonts w:hint="eastAsia" w:eastAsiaTheme="minorEastAsia"/>
                <w:sz w:val="24"/>
                <w:szCs w:val="24"/>
              </w:rPr>
              <w:t>式中：</w:t>
            </w:r>
            <w:r>
              <w:rPr>
                <w:rFonts w:eastAsiaTheme="minorEastAsia"/>
                <w:sz w:val="24"/>
                <w:szCs w:val="24"/>
              </w:rPr>
              <w:t>C</w:t>
            </w:r>
            <w:r>
              <w:rPr>
                <w:rFonts w:hint="eastAsia" w:eastAsiaTheme="minorEastAsia"/>
                <w:sz w:val="24"/>
                <w:szCs w:val="24"/>
              </w:rPr>
              <w:t>——混合后污染物浓度，</w:t>
            </w:r>
            <w:r>
              <w:rPr>
                <w:rFonts w:eastAsiaTheme="minorEastAsia"/>
                <w:sz w:val="24"/>
                <w:szCs w:val="24"/>
              </w:rPr>
              <w:t>mg/L</w:t>
            </w:r>
            <w:r>
              <w:rPr>
                <w:rFonts w:hint="eastAsia" w:eastAsiaTheme="minorEastAsia"/>
                <w:sz w:val="24"/>
                <w:szCs w:val="24"/>
              </w:rPr>
              <w:t>；</w:t>
            </w:r>
          </w:p>
          <w:p>
            <w:pPr>
              <w:spacing w:line="360" w:lineRule="auto"/>
              <w:ind w:firstLine="480" w:firstLineChars="200"/>
              <w:jc w:val="left"/>
              <w:rPr>
                <w:rFonts w:eastAsiaTheme="minorEastAsia"/>
                <w:sz w:val="24"/>
                <w:szCs w:val="24"/>
              </w:rPr>
            </w:pPr>
            <w:r>
              <w:rPr>
                <w:rFonts w:eastAsiaTheme="minorEastAsia"/>
                <w:sz w:val="24"/>
                <w:szCs w:val="24"/>
              </w:rPr>
              <w:t>C</w:t>
            </w:r>
            <w:r>
              <w:rPr>
                <w:rFonts w:eastAsiaTheme="minorEastAsia"/>
                <w:sz w:val="24"/>
                <w:szCs w:val="24"/>
                <w:vertAlign w:val="subscript"/>
              </w:rPr>
              <w:t>p</w:t>
            </w:r>
            <w:r>
              <w:rPr>
                <w:rFonts w:hint="eastAsia" w:eastAsiaTheme="minorEastAsia"/>
                <w:sz w:val="24"/>
                <w:szCs w:val="24"/>
              </w:rPr>
              <w:t>——污染物排放浓度，</w:t>
            </w:r>
            <w:r>
              <w:rPr>
                <w:rFonts w:eastAsiaTheme="minorEastAsia"/>
                <w:sz w:val="24"/>
                <w:szCs w:val="24"/>
              </w:rPr>
              <w:t>mg/L</w:t>
            </w:r>
            <w:r>
              <w:rPr>
                <w:rFonts w:hint="eastAsia" w:eastAsiaTheme="minorEastAsia"/>
                <w:sz w:val="24"/>
                <w:szCs w:val="24"/>
              </w:rPr>
              <w:t>，污水处理站尾水中各污染物排放浓度见表7.2-2；</w:t>
            </w:r>
          </w:p>
          <w:p>
            <w:pPr>
              <w:spacing w:line="360" w:lineRule="auto"/>
              <w:ind w:firstLine="480" w:firstLineChars="200"/>
              <w:jc w:val="left"/>
              <w:rPr>
                <w:rFonts w:eastAsiaTheme="minorEastAsia"/>
                <w:sz w:val="24"/>
                <w:szCs w:val="24"/>
              </w:rPr>
            </w:pPr>
            <w:r>
              <w:rPr>
                <w:rFonts w:eastAsiaTheme="minorEastAsia"/>
                <w:sz w:val="24"/>
                <w:szCs w:val="24"/>
              </w:rPr>
              <w:t>Q</w:t>
            </w:r>
            <w:r>
              <w:rPr>
                <w:rFonts w:eastAsiaTheme="minorEastAsia"/>
                <w:sz w:val="24"/>
                <w:szCs w:val="24"/>
                <w:vertAlign w:val="subscript"/>
              </w:rPr>
              <w:t>p</w:t>
            </w:r>
            <w:r>
              <w:rPr>
                <w:rFonts w:hint="eastAsia" w:eastAsiaTheme="minorEastAsia"/>
                <w:sz w:val="24"/>
                <w:szCs w:val="24"/>
              </w:rPr>
              <w:t>——污水排放量，</w:t>
            </w:r>
            <w:r>
              <w:rPr>
                <w:rFonts w:eastAsiaTheme="minorEastAsia"/>
                <w:sz w:val="24"/>
                <w:szCs w:val="24"/>
              </w:rPr>
              <w:t>m</w:t>
            </w:r>
            <w:r>
              <w:rPr>
                <w:rFonts w:eastAsiaTheme="minorEastAsia"/>
                <w:sz w:val="24"/>
                <w:szCs w:val="24"/>
                <w:vertAlign w:val="superscript"/>
              </w:rPr>
              <w:t>3</w:t>
            </w:r>
            <w:r>
              <w:rPr>
                <w:rFonts w:eastAsiaTheme="minorEastAsia"/>
                <w:sz w:val="24"/>
                <w:szCs w:val="24"/>
              </w:rPr>
              <w:t>/s</w:t>
            </w:r>
            <w:r>
              <w:rPr>
                <w:rFonts w:hint="eastAsia" w:eastAsiaTheme="minorEastAsia"/>
                <w:sz w:val="24"/>
                <w:szCs w:val="24"/>
              </w:rPr>
              <w:t>，污水处理站尾水排放量为</w:t>
            </w:r>
            <w:r>
              <w:rPr>
                <w:rFonts w:eastAsiaTheme="minorEastAsia"/>
                <w:sz w:val="24"/>
                <w:szCs w:val="24"/>
              </w:rPr>
              <w:t>0.00</w:t>
            </w:r>
            <w:r>
              <w:rPr>
                <w:rFonts w:hint="eastAsia" w:eastAsiaTheme="minorEastAsia"/>
                <w:sz w:val="24"/>
                <w:szCs w:val="24"/>
                <w:lang w:val="en-US" w:eastAsia="zh-CN"/>
              </w:rPr>
              <w:t>25</w:t>
            </w:r>
            <w:r>
              <w:rPr>
                <w:rFonts w:eastAsiaTheme="minorEastAsia"/>
                <w:sz w:val="24"/>
                <w:szCs w:val="24"/>
              </w:rPr>
              <w:t>m</w:t>
            </w:r>
            <w:r>
              <w:rPr>
                <w:rFonts w:eastAsiaTheme="minorEastAsia"/>
                <w:sz w:val="24"/>
                <w:szCs w:val="24"/>
                <w:vertAlign w:val="superscript"/>
              </w:rPr>
              <w:t>3</w:t>
            </w:r>
            <w:r>
              <w:rPr>
                <w:rFonts w:eastAsiaTheme="minorEastAsia"/>
                <w:sz w:val="24"/>
                <w:szCs w:val="24"/>
              </w:rPr>
              <w:t>/s</w:t>
            </w:r>
            <w:r>
              <w:rPr>
                <w:rFonts w:hint="eastAsia" w:eastAsiaTheme="minorEastAsia"/>
                <w:sz w:val="24"/>
                <w:szCs w:val="24"/>
              </w:rPr>
              <w:t>，</w:t>
            </w:r>
          </w:p>
          <w:p>
            <w:pPr>
              <w:spacing w:line="360" w:lineRule="auto"/>
              <w:ind w:firstLine="480" w:firstLineChars="200"/>
              <w:jc w:val="left"/>
              <w:rPr>
                <w:rFonts w:eastAsiaTheme="minorEastAsia"/>
                <w:sz w:val="24"/>
                <w:szCs w:val="24"/>
              </w:rPr>
            </w:pPr>
            <w:r>
              <w:rPr>
                <w:rFonts w:eastAsiaTheme="minorEastAsia"/>
                <w:sz w:val="24"/>
                <w:szCs w:val="24"/>
              </w:rPr>
              <w:t>C</w:t>
            </w:r>
            <w:r>
              <w:rPr>
                <w:rFonts w:eastAsiaTheme="minorEastAsia"/>
                <w:sz w:val="24"/>
                <w:szCs w:val="24"/>
                <w:vertAlign w:val="subscript"/>
              </w:rPr>
              <w:t>h</w:t>
            </w:r>
            <w:r>
              <w:rPr>
                <w:rFonts w:hint="eastAsia" w:eastAsiaTheme="minorEastAsia"/>
                <w:sz w:val="24"/>
                <w:szCs w:val="24"/>
              </w:rPr>
              <w:t>——河流上游污染物浓度，</w:t>
            </w:r>
            <w:r>
              <w:rPr>
                <w:rFonts w:eastAsiaTheme="minorEastAsia"/>
                <w:sz w:val="24"/>
                <w:szCs w:val="24"/>
              </w:rPr>
              <w:t>mg/L</w:t>
            </w:r>
            <w:r>
              <w:rPr>
                <w:rFonts w:hint="eastAsia" w:eastAsiaTheme="minorEastAsia"/>
                <w:sz w:val="24"/>
                <w:szCs w:val="24"/>
              </w:rPr>
              <w:t>，根据补充监测数据，</w:t>
            </w:r>
            <w:r>
              <w:rPr>
                <w:rFonts w:hint="eastAsia" w:eastAsiaTheme="minorEastAsia"/>
                <w:sz w:val="24"/>
                <w:szCs w:val="24"/>
                <w:lang w:eastAsia="zh-CN"/>
              </w:rPr>
              <w:t>南港河</w:t>
            </w:r>
            <w:r>
              <w:rPr>
                <w:rFonts w:hint="eastAsia" w:eastAsiaTheme="minorEastAsia"/>
                <w:sz w:val="24"/>
                <w:szCs w:val="24"/>
              </w:rPr>
              <w:t>中各污染物浓度见表</w:t>
            </w:r>
            <w:r>
              <w:rPr>
                <w:rFonts w:hint="eastAsia" w:eastAsiaTheme="minorEastAsia"/>
                <w:sz w:val="24"/>
                <w:szCs w:val="24"/>
                <w:lang w:val="en-US" w:eastAsia="zh-CN"/>
              </w:rPr>
              <w:t>3.2-1</w:t>
            </w:r>
            <w:r>
              <w:rPr>
                <w:rFonts w:hint="eastAsia" w:eastAsiaTheme="minorEastAsia"/>
                <w:sz w:val="24"/>
                <w:szCs w:val="24"/>
              </w:rPr>
              <w:t>；</w:t>
            </w:r>
          </w:p>
          <w:p>
            <w:pPr>
              <w:pStyle w:val="35"/>
              <w:spacing w:line="360" w:lineRule="auto"/>
              <w:ind w:firstLine="480" w:firstLineChars="200"/>
              <w:rPr>
                <w:rFonts w:cs="宋体"/>
                <w:color w:val="auto"/>
              </w:rPr>
            </w:pPr>
            <w:r>
              <w:rPr>
                <w:rFonts w:ascii="Times New Roman" w:hAnsi="Times New Roman" w:eastAsiaTheme="minorEastAsia"/>
                <w:szCs w:val="24"/>
              </w:rPr>
              <w:t>Q</w:t>
            </w:r>
            <w:r>
              <w:rPr>
                <w:rFonts w:ascii="Times New Roman" w:hAnsi="Times New Roman" w:eastAsiaTheme="minorEastAsia"/>
                <w:szCs w:val="24"/>
                <w:vertAlign w:val="subscript"/>
              </w:rPr>
              <w:t>h</w:t>
            </w:r>
            <w:r>
              <w:rPr>
                <w:rFonts w:hint="eastAsia" w:ascii="Times New Roman" w:hAnsi="Times New Roman" w:eastAsiaTheme="minorEastAsia"/>
                <w:szCs w:val="24"/>
              </w:rPr>
              <w:t>——河流流量，</w:t>
            </w:r>
            <w:r>
              <w:rPr>
                <w:rFonts w:ascii="Times New Roman" w:hAnsi="Times New Roman" w:eastAsiaTheme="minorEastAsia"/>
                <w:szCs w:val="24"/>
              </w:rPr>
              <w:t>m</w:t>
            </w:r>
            <w:r>
              <w:rPr>
                <w:rFonts w:ascii="Times New Roman" w:hAnsi="Times New Roman" w:eastAsiaTheme="minorEastAsia"/>
                <w:szCs w:val="24"/>
                <w:vertAlign w:val="superscript"/>
              </w:rPr>
              <w:t>3</w:t>
            </w:r>
            <w:r>
              <w:rPr>
                <w:rFonts w:ascii="Times New Roman" w:hAnsi="Times New Roman" w:eastAsiaTheme="minorEastAsia"/>
                <w:szCs w:val="24"/>
              </w:rPr>
              <w:t>/s</w:t>
            </w:r>
            <w:r>
              <w:rPr>
                <w:rFonts w:hint="eastAsia" w:ascii="Times New Roman" w:hAnsi="Times New Roman" w:eastAsiaTheme="minorEastAsia"/>
                <w:szCs w:val="24"/>
              </w:rPr>
              <w:t>，</w:t>
            </w:r>
            <w:r>
              <w:rPr>
                <w:rFonts w:hint="eastAsia" w:ascii="Times New Roman" w:hAnsi="Times New Roman"/>
                <w:color w:val="auto"/>
                <w:szCs w:val="24"/>
              </w:rPr>
              <w:t>监测时期项目污水排放口上游500m处</w:t>
            </w:r>
            <w:r>
              <w:rPr>
                <w:rFonts w:hint="eastAsia" w:eastAsiaTheme="minorEastAsia"/>
                <w:sz w:val="24"/>
                <w:szCs w:val="24"/>
                <w:lang w:eastAsia="zh-CN"/>
              </w:rPr>
              <w:t>南港河</w:t>
            </w:r>
            <w:r>
              <w:rPr>
                <w:rFonts w:hint="eastAsia" w:ascii="Times New Roman" w:hAnsi="Times New Roman"/>
                <w:color w:val="auto"/>
                <w:szCs w:val="24"/>
              </w:rPr>
              <w:t>流量为</w:t>
            </w:r>
            <w:r>
              <w:rPr>
                <w:rFonts w:hint="eastAsia" w:ascii="Times New Roman" w:hAnsi="Times New Roman"/>
                <w:color w:val="auto"/>
                <w:szCs w:val="24"/>
                <w:lang w:val="en-US" w:eastAsia="zh-CN"/>
              </w:rPr>
              <w:t>0.7</w:t>
            </w:r>
            <w:r>
              <w:rPr>
                <w:rFonts w:ascii="Times New Roman" w:hAnsi="Times New Roman" w:eastAsia="Times New Roman"/>
                <w:szCs w:val="24"/>
              </w:rPr>
              <w:t>m</w:t>
            </w:r>
            <w:r>
              <w:rPr>
                <w:rFonts w:ascii="Times New Roman" w:hAnsi="Times New Roman" w:eastAsia="Times New Roman"/>
                <w:szCs w:val="24"/>
                <w:vertAlign w:val="superscript"/>
              </w:rPr>
              <w:t>3</w:t>
            </w:r>
            <w:r>
              <w:rPr>
                <w:rFonts w:ascii="Times New Roman" w:hAnsi="Times New Roman" w:eastAsia="Times New Roman"/>
                <w:szCs w:val="24"/>
              </w:rPr>
              <w:t>/s</w:t>
            </w:r>
            <w:r>
              <w:rPr>
                <w:rFonts w:hint="eastAsia" w:ascii="Times New Roman" w:hAnsi="Times New Roman"/>
                <w:szCs w:val="24"/>
              </w:rPr>
              <w:t>。</w:t>
            </w:r>
          </w:p>
          <w:p>
            <w:pPr>
              <w:spacing w:line="360" w:lineRule="auto"/>
              <w:ind w:firstLine="482" w:firstLineChars="200"/>
              <w:jc w:val="center"/>
              <w:rPr>
                <w:rFonts w:eastAsiaTheme="minorEastAsia"/>
                <w:b/>
                <w:bCs/>
                <w:sz w:val="24"/>
                <w:szCs w:val="24"/>
              </w:rPr>
            </w:pPr>
            <w:r>
              <w:rPr>
                <w:rFonts w:hint="eastAsia" w:eastAsiaTheme="minorEastAsia"/>
                <w:b/>
                <w:bCs/>
                <w:sz w:val="24"/>
                <w:szCs w:val="24"/>
              </w:rPr>
              <w:t>表7.2-</w:t>
            </w:r>
            <w:r>
              <w:rPr>
                <w:rFonts w:hint="eastAsia" w:eastAsiaTheme="minorEastAsia"/>
                <w:b/>
                <w:bCs/>
                <w:sz w:val="24"/>
                <w:szCs w:val="24"/>
                <w:lang w:val="en-US" w:eastAsia="zh-CN"/>
              </w:rPr>
              <w:t>7</w:t>
            </w:r>
            <w:r>
              <w:rPr>
                <w:rFonts w:hint="eastAsia" w:eastAsiaTheme="minorEastAsia"/>
                <w:b/>
                <w:bCs/>
                <w:sz w:val="24"/>
                <w:szCs w:val="24"/>
              </w:rPr>
              <w:t xml:space="preserve">    本项目废水排放浓度一览表   单位mg/L</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0"/>
              <w:gridCol w:w="2013"/>
              <w:gridCol w:w="2387"/>
              <w:gridCol w:w="23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00" w:type="pct"/>
                  <w:gridSpan w:val="2"/>
                  <w:vAlign w:val="center"/>
                </w:tcPr>
                <w:p>
                  <w:pPr>
                    <w:jc w:val="center"/>
                    <w:rPr>
                      <w:kern w:val="0"/>
                      <w:szCs w:val="21"/>
                    </w:rPr>
                  </w:pPr>
                  <w:r>
                    <w:rPr>
                      <w:rFonts w:hint="eastAsia"/>
                      <w:kern w:val="0"/>
                      <w:szCs w:val="21"/>
                    </w:rPr>
                    <w:t>污染物名称</w:t>
                  </w:r>
                </w:p>
              </w:tc>
              <w:tc>
                <w:tcPr>
                  <w:tcW w:w="1250" w:type="pct"/>
                  <w:vAlign w:val="center"/>
                </w:tcPr>
                <w:p>
                  <w:pPr>
                    <w:jc w:val="center"/>
                    <w:rPr>
                      <w:kern w:val="0"/>
                      <w:szCs w:val="21"/>
                    </w:rPr>
                  </w:pPr>
                  <w:r>
                    <w:rPr>
                      <w:rFonts w:hint="eastAsia"/>
                      <w:kern w:val="0"/>
                      <w:szCs w:val="21"/>
                    </w:rPr>
                    <w:t>COD</w:t>
                  </w:r>
                </w:p>
              </w:tc>
              <w:tc>
                <w:tcPr>
                  <w:tcW w:w="1249" w:type="pct"/>
                  <w:vAlign w:val="center"/>
                </w:tcPr>
                <w:p>
                  <w:pPr>
                    <w:jc w:val="center"/>
                  </w:pPr>
                  <w:r>
                    <w:rPr>
                      <w:rFonts w:hint="eastAsia"/>
                      <w:kern w:val="0"/>
                      <w:szCs w:val="21"/>
                    </w:rPr>
                    <w:t>NH</w:t>
                  </w:r>
                  <w:r>
                    <w:rPr>
                      <w:rFonts w:hint="eastAsia"/>
                      <w:kern w:val="0"/>
                      <w:szCs w:val="21"/>
                      <w:vertAlign w:val="subscript"/>
                    </w:rPr>
                    <w:t>3</w:t>
                  </w:r>
                  <w:r>
                    <w:rPr>
                      <w:rFonts w:hint="eastAsia"/>
                      <w:kern w:val="0"/>
                      <w:szCs w:val="21"/>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46" w:type="pct"/>
                  <w:vAlign w:val="center"/>
                </w:tcPr>
                <w:p>
                  <w:pPr>
                    <w:jc w:val="center"/>
                    <w:rPr>
                      <w:rFonts w:hint="eastAsia" w:eastAsia="宋体"/>
                      <w:kern w:val="0"/>
                      <w:szCs w:val="21"/>
                      <w:lang w:eastAsia="zh-CN"/>
                    </w:rPr>
                  </w:pPr>
                  <w:r>
                    <w:rPr>
                      <w:rFonts w:hint="eastAsia"/>
                      <w:kern w:val="0"/>
                      <w:szCs w:val="21"/>
                      <w:lang w:eastAsia="zh-CN"/>
                    </w:rPr>
                    <w:t>齐家社区污水处理站</w:t>
                  </w:r>
                </w:p>
              </w:tc>
              <w:tc>
                <w:tcPr>
                  <w:tcW w:w="1054" w:type="pct"/>
                  <w:vAlign w:val="center"/>
                </w:tcPr>
                <w:p>
                  <w:pPr>
                    <w:jc w:val="center"/>
                    <w:rPr>
                      <w:kern w:val="0"/>
                      <w:szCs w:val="21"/>
                    </w:rPr>
                  </w:pPr>
                  <w:r>
                    <w:rPr>
                      <w:rFonts w:hint="eastAsia"/>
                      <w:kern w:val="0"/>
                      <w:szCs w:val="21"/>
                    </w:rPr>
                    <w:t>正常排放</w:t>
                  </w:r>
                </w:p>
              </w:tc>
              <w:tc>
                <w:tcPr>
                  <w:tcW w:w="1250" w:type="pct"/>
                  <w:vAlign w:val="center"/>
                </w:tcPr>
                <w:p>
                  <w:pPr>
                    <w:jc w:val="center"/>
                    <w:rPr>
                      <w:kern w:val="0"/>
                      <w:szCs w:val="21"/>
                    </w:rPr>
                  </w:pPr>
                  <w:r>
                    <w:rPr>
                      <w:rFonts w:hint="eastAsia"/>
                      <w:kern w:val="0"/>
                      <w:szCs w:val="21"/>
                      <w:lang w:val="en-US" w:eastAsia="zh-CN"/>
                    </w:rPr>
                    <w:t>5</w:t>
                  </w:r>
                  <w:r>
                    <w:rPr>
                      <w:rFonts w:hint="eastAsia"/>
                      <w:kern w:val="0"/>
                      <w:szCs w:val="21"/>
                    </w:rPr>
                    <w:t>0</w:t>
                  </w:r>
                </w:p>
              </w:tc>
              <w:tc>
                <w:tcPr>
                  <w:tcW w:w="1249" w:type="pct"/>
                  <w:vAlign w:val="center"/>
                </w:tcPr>
                <w:p>
                  <w:pPr>
                    <w:jc w:val="center"/>
                  </w:pPr>
                  <w:r>
                    <w:rPr>
                      <w:rFonts w:hint="eastAsia"/>
                      <w:kern w:val="0"/>
                      <w:szCs w:val="21"/>
                      <w:lang w:val="en-US" w:eastAsia="zh-CN"/>
                    </w:rPr>
                    <w:t>5</w:t>
                  </w:r>
                  <w:r>
                    <w:rPr>
                      <w:rFonts w:hint="eastAsia"/>
                      <w:kern w:val="0"/>
                      <w:szCs w:val="21"/>
                    </w:rPr>
                    <w:t>.0</w:t>
                  </w:r>
                </w:p>
              </w:tc>
            </w:tr>
          </w:tbl>
          <w:p>
            <w:pPr>
              <w:spacing w:line="360" w:lineRule="auto"/>
              <w:ind w:firstLine="482" w:firstLineChars="200"/>
              <w:jc w:val="center"/>
              <w:rPr>
                <w:rFonts w:eastAsiaTheme="minorEastAsia"/>
                <w:b/>
                <w:bCs/>
                <w:sz w:val="24"/>
                <w:szCs w:val="24"/>
              </w:rPr>
            </w:pPr>
            <w:r>
              <w:rPr>
                <w:rFonts w:hint="eastAsia" w:eastAsiaTheme="minorEastAsia"/>
                <w:b/>
                <w:bCs/>
                <w:sz w:val="24"/>
                <w:szCs w:val="24"/>
              </w:rPr>
              <w:t>表7.2-</w:t>
            </w:r>
            <w:r>
              <w:rPr>
                <w:rFonts w:hint="eastAsia" w:eastAsiaTheme="minorEastAsia"/>
                <w:b/>
                <w:bCs/>
                <w:sz w:val="24"/>
                <w:szCs w:val="24"/>
                <w:lang w:val="en-US" w:eastAsia="zh-CN"/>
              </w:rPr>
              <w:t>8</w:t>
            </w:r>
            <w:r>
              <w:rPr>
                <w:rFonts w:hint="eastAsia" w:eastAsiaTheme="minorEastAsia"/>
                <w:b/>
                <w:bCs/>
                <w:sz w:val="24"/>
                <w:szCs w:val="24"/>
              </w:rPr>
              <w:t xml:space="preserve">   </w:t>
            </w:r>
            <w:r>
              <w:rPr>
                <w:rFonts w:hint="eastAsia" w:eastAsiaTheme="minorEastAsia"/>
                <w:b/>
                <w:bCs/>
                <w:sz w:val="24"/>
                <w:szCs w:val="24"/>
                <w:lang w:val="en-US" w:eastAsia="zh-CN"/>
              </w:rPr>
              <w:t>金脱河</w:t>
            </w:r>
            <w:r>
              <w:rPr>
                <w:rFonts w:hint="eastAsia" w:eastAsiaTheme="minorEastAsia"/>
                <w:b/>
                <w:bCs/>
                <w:sz w:val="24"/>
                <w:szCs w:val="24"/>
              </w:rPr>
              <w:t>中污染物浓度一览表   单位mg/L</w:t>
            </w:r>
          </w:p>
          <w:tbl>
            <w:tblPr>
              <w:tblStyle w:val="2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181"/>
              <w:gridCol w:w="3182"/>
              <w:gridCol w:w="31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6" w:type="pct"/>
                  <w:vAlign w:val="center"/>
                </w:tcPr>
                <w:p>
                  <w:pPr>
                    <w:jc w:val="center"/>
                    <w:rPr>
                      <w:kern w:val="0"/>
                      <w:szCs w:val="21"/>
                    </w:rPr>
                  </w:pPr>
                  <w:r>
                    <w:rPr>
                      <w:rFonts w:hint="eastAsia"/>
                      <w:kern w:val="0"/>
                      <w:szCs w:val="21"/>
                    </w:rPr>
                    <w:t>污染物名称</w:t>
                  </w:r>
                </w:p>
              </w:tc>
              <w:tc>
                <w:tcPr>
                  <w:tcW w:w="1666" w:type="pct"/>
                  <w:vAlign w:val="center"/>
                </w:tcPr>
                <w:p>
                  <w:pPr>
                    <w:jc w:val="center"/>
                    <w:rPr>
                      <w:kern w:val="0"/>
                      <w:szCs w:val="21"/>
                    </w:rPr>
                  </w:pPr>
                  <w:r>
                    <w:rPr>
                      <w:rFonts w:hint="eastAsia"/>
                      <w:kern w:val="0"/>
                      <w:szCs w:val="21"/>
                    </w:rPr>
                    <w:t>COD</w:t>
                  </w:r>
                </w:p>
              </w:tc>
              <w:tc>
                <w:tcPr>
                  <w:tcW w:w="1667" w:type="pct"/>
                  <w:vAlign w:val="center"/>
                </w:tcPr>
                <w:p>
                  <w:pPr>
                    <w:jc w:val="center"/>
                  </w:pPr>
                  <w:r>
                    <w:rPr>
                      <w:rFonts w:hint="eastAsia"/>
                      <w:kern w:val="0"/>
                      <w:szCs w:val="21"/>
                    </w:rPr>
                    <w:t>NH</w:t>
                  </w:r>
                  <w:r>
                    <w:rPr>
                      <w:rFonts w:hint="eastAsia"/>
                      <w:kern w:val="0"/>
                      <w:szCs w:val="21"/>
                      <w:vertAlign w:val="subscript"/>
                    </w:rPr>
                    <w:t>3</w:t>
                  </w:r>
                  <w:r>
                    <w:rPr>
                      <w:rFonts w:hint="eastAsia"/>
                      <w:kern w:val="0"/>
                      <w:szCs w:val="21"/>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6" w:type="pct"/>
                  <w:vAlign w:val="center"/>
                </w:tcPr>
                <w:p>
                  <w:pPr>
                    <w:jc w:val="center"/>
                    <w:rPr>
                      <w:rFonts w:hint="eastAsia" w:eastAsia="宋体"/>
                      <w:kern w:val="0"/>
                      <w:szCs w:val="21"/>
                      <w:lang w:eastAsia="zh-CN"/>
                    </w:rPr>
                  </w:pPr>
                  <w:r>
                    <w:rPr>
                      <w:rFonts w:hint="eastAsia"/>
                      <w:kern w:val="0"/>
                      <w:szCs w:val="21"/>
                      <w:lang w:eastAsia="zh-CN"/>
                    </w:rPr>
                    <w:t>南港河</w:t>
                  </w:r>
                </w:p>
              </w:tc>
              <w:tc>
                <w:tcPr>
                  <w:tcW w:w="1666" w:type="pct"/>
                  <w:vAlign w:val="center"/>
                </w:tcPr>
                <w:p>
                  <w:pPr>
                    <w:jc w:val="center"/>
                    <w:rPr>
                      <w:rFonts w:hint="default" w:eastAsia="宋体"/>
                      <w:kern w:val="0"/>
                      <w:szCs w:val="21"/>
                      <w:lang w:val="en-US" w:eastAsia="zh-CN"/>
                    </w:rPr>
                  </w:pPr>
                  <w:r>
                    <w:rPr>
                      <w:rFonts w:hint="eastAsia"/>
                      <w:kern w:val="0"/>
                      <w:szCs w:val="21"/>
                      <w:lang w:val="en-US" w:eastAsia="zh-CN"/>
                    </w:rPr>
                    <w:t>20.1</w:t>
                  </w:r>
                </w:p>
              </w:tc>
              <w:tc>
                <w:tcPr>
                  <w:tcW w:w="1667" w:type="pct"/>
                  <w:vAlign w:val="center"/>
                </w:tcPr>
                <w:p>
                  <w:pPr>
                    <w:jc w:val="center"/>
                    <w:rPr>
                      <w:rFonts w:hint="default" w:eastAsia="宋体"/>
                      <w:lang w:val="en-US" w:eastAsia="zh-CN"/>
                    </w:rPr>
                  </w:pPr>
                  <w:r>
                    <w:rPr>
                      <w:rFonts w:hint="eastAsia"/>
                      <w:lang w:val="en-US" w:eastAsia="zh-CN"/>
                    </w:rPr>
                    <w:t>0.41</w:t>
                  </w:r>
                </w:p>
              </w:tc>
            </w:tr>
          </w:tbl>
          <w:p>
            <w:pPr>
              <w:spacing w:line="360" w:lineRule="auto"/>
              <w:ind w:firstLine="480" w:firstLineChars="200"/>
              <w:rPr>
                <w:kern w:val="0"/>
                <w:sz w:val="24"/>
              </w:rPr>
            </w:pPr>
            <w:r>
              <w:rPr>
                <w:kern w:val="0"/>
                <w:sz w:val="24"/>
              </w:rPr>
              <w:t>c.河流纵向一维模型解析解公式</w:t>
            </w:r>
          </w:p>
          <w:p>
            <w:pPr>
              <w:spacing w:line="360" w:lineRule="auto"/>
              <w:ind w:firstLine="480" w:firstLineChars="200"/>
              <w:rPr>
                <w:kern w:val="0"/>
                <w:sz w:val="24"/>
              </w:rPr>
            </w:pPr>
            <w:r>
              <w:rPr>
                <w:kern w:val="0"/>
                <w:sz w:val="24"/>
              </w:rPr>
              <w:t>根据河流纵向一维模型方程的简化、分类判别条件（即：O’Connor 数α和贝克来数Pe 的临界值），选择相应的解析解公式。</w:t>
            </w:r>
          </w:p>
          <w:p>
            <w:pPr>
              <w:spacing w:line="360" w:lineRule="auto"/>
              <w:ind w:firstLine="420" w:firstLineChars="200"/>
              <w:jc w:val="center"/>
              <w:rPr>
                <w:kern w:val="0"/>
                <w:sz w:val="24"/>
              </w:rPr>
            </w:pPr>
            <w:r>
              <w:drawing>
                <wp:inline distT="0" distB="0" distL="114300" distR="114300">
                  <wp:extent cx="952500" cy="431800"/>
                  <wp:effectExtent l="0" t="0" r="0" b="6350"/>
                  <wp:docPr id="4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
                          <pic:cNvPicPr>
                            <a:picLocks noChangeAspect="1"/>
                          </pic:cNvPicPr>
                        </pic:nvPicPr>
                        <pic:blipFill>
                          <a:blip r:embed="rId24"/>
                          <a:stretch>
                            <a:fillRect/>
                          </a:stretch>
                        </pic:blipFill>
                        <pic:spPr>
                          <a:xfrm>
                            <a:off x="0" y="0"/>
                            <a:ext cx="952500" cy="431800"/>
                          </a:xfrm>
                          <a:prstGeom prst="rect">
                            <a:avLst/>
                          </a:prstGeom>
                          <a:noFill/>
                          <a:ln w="9525">
                            <a:noFill/>
                          </a:ln>
                        </pic:spPr>
                      </pic:pic>
                    </a:graphicData>
                  </a:graphic>
                </wp:inline>
              </w:drawing>
            </w:r>
          </w:p>
          <w:p>
            <w:pPr>
              <w:spacing w:line="360" w:lineRule="auto"/>
              <w:ind w:firstLine="420" w:firstLineChars="200"/>
              <w:jc w:val="center"/>
              <w:rPr>
                <w:kern w:val="0"/>
                <w:sz w:val="24"/>
              </w:rPr>
            </w:pPr>
            <w:r>
              <w:drawing>
                <wp:inline distT="0" distB="0" distL="114300" distR="114300">
                  <wp:extent cx="863600" cy="372110"/>
                  <wp:effectExtent l="0" t="0" r="12700" b="8890"/>
                  <wp:docPr id="4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6"/>
                          <pic:cNvPicPr>
                            <a:picLocks noChangeAspect="1"/>
                          </pic:cNvPicPr>
                        </pic:nvPicPr>
                        <pic:blipFill>
                          <a:blip r:embed="rId25"/>
                          <a:stretch>
                            <a:fillRect/>
                          </a:stretch>
                        </pic:blipFill>
                        <pic:spPr>
                          <a:xfrm>
                            <a:off x="0" y="0"/>
                            <a:ext cx="863600" cy="372110"/>
                          </a:xfrm>
                          <a:prstGeom prst="rect">
                            <a:avLst/>
                          </a:prstGeom>
                          <a:noFill/>
                          <a:ln w="9525">
                            <a:noFill/>
                          </a:ln>
                        </pic:spPr>
                      </pic:pic>
                    </a:graphicData>
                  </a:graphic>
                </wp:inline>
              </w:drawing>
            </w:r>
          </w:p>
          <w:p>
            <w:pPr>
              <w:spacing w:line="360" w:lineRule="auto"/>
              <w:ind w:firstLine="480" w:firstLineChars="200"/>
              <w:jc w:val="left"/>
              <w:rPr>
                <w:sz w:val="24"/>
                <w:szCs w:val="24"/>
              </w:rPr>
            </w:pPr>
            <w:r>
              <w:rPr>
                <w:sz w:val="24"/>
                <w:szCs w:val="24"/>
              </w:rPr>
              <w:t>式中：</w:t>
            </w:r>
          </w:p>
          <w:p>
            <w:pPr>
              <w:spacing w:line="360" w:lineRule="auto"/>
              <w:ind w:firstLine="480" w:firstLineChars="200"/>
              <w:jc w:val="left"/>
              <w:rPr>
                <w:sz w:val="24"/>
                <w:szCs w:val="24"/>
              </w:rPr>
            </w:pPr>
            <w:r>
              <w:rPr>
                <w:sz w:val="24"/>
                <w:szCs w:val="24"/>
              </w:rPr>
              <w:t>α ——O’Connor 数，量纲一，表征物质离散降解通量与移流通量比值；</w:t>
            </w:r>
          </w:p>
          <w:p>
            <w:pPr>
              <w:spacing w:line="360" w:lineRule="auto"/>
              <w:ind w:firstLine="480" w:firstLineChars="200"/>
              <w:jc w:val="left"/>
              <w:rPr>
                <w:sz w:val="24"/>
                <w:szCs w:val="24"/>
              </w:rPr>
            </w:pPr>
            <w:r>
              <w:rPr>
                <w:sz w:val="24"/>
                <w:szCs w:val="24"/>
              </w:rPr>
              <w:t>k——污染物综合衰减系数，S</w:t>
            </w:r>
            <w:r>
              <w:rPr>
                <w:sz w:val="24"/>
                <w:szCs w:val="24"/>
                <w:vertAlign w:val="superscript"/>
              </w:rPr>
              <w:t>-1</w:t>
            </w:r>
            <w:r>
              <w:rPr>
                <w:sz w:val="24"/>
                <w:szCs w:val="24"/>
              </w:rPr>
              <w:t>；</w:t>
            </w:r>
          </w:p>
          <w:p>
            <w:pPr>
              <w:spacing w:line="360" w:lineRule="auto"/>
              <w:ind w:firstLine="480" w:firstLineChars="200"/>
              <w:jc w:val="left"/>
              <w:rPr>
                <w:sz w:val="24"/>
                <w:szCs w:val="24"/>
              </w:rPr>
            </w:pPr>
            <w:r>
              <w:rPr>
                <w:sz w:val="24"/>
                <w:szCs w:val="24"/>
              </w:rPr>
              <w:t>Pe——贝克来数，量纲一，表征物质移流通量与离散通量比值；</w:t>
            </w:r>
          </w:p>
          <w:p>
            <w:pPr>
              <w:spacing w:line="360" w:lineRule="auto"/>
              <w:ind w:firstLine="480" w:firstLineChars="200"/>
              <w:jc w:val="left"/>
              <w:rPr>
                <w:sz w:val="24"/>
                <w:szCs w:val="24"/>
              </w:rPr>
            </w:pPr>
            <w:r>
              <w:rPr>
                <w:sz w:val="24"/>
                <w:szCs w:val="24"/>
              </w:rPr>
              <w:t>E</w:t>
            </w:r>
            <w:r>
              <w:rPr>
                <w:sz w:val="24"/>
                <w:szCs w:val="24"/>
                <w:vertAlign w:val="subscript"/>
              </w:rPr>
              <w:t>x</w:t>
            </w:r>
            <w:r>
              <w:rPr>
                <w:sz w:val="24"/>
                <w:szCs w:val="24"/>
              </w:rPr>
              <w:t>——污染物纵向扩散系数，m</w:t>
            </w:r>
            <w:r>
              <w:rPr>
                <w:sz w:val="24"/>
                <w:szCs w:val="24"/>
                <w:vertAlign w:val="superscript"/>
              </w:rPr>
              <w:t>2</w:t>
            </w:r>
            <w:r>
              <w:rPr>
                <w:sz w:val="24"/>
                <w:szCs w:val="24"/>
              </w:rPr>
              <w:t>/s，用爱尔德（Elder）法求E</w:t>
            </w:r>
            <w:r>
              <w:rPr>
                <w:sz w:val="24"/>
                <w:szCs w:val="24"/>
                <w:vertAlign w:val="subscript"/>
              </w:rPr>
              <w:t>x</w:t>
            </w:r>
            <w:r>
              <w:rPr>
                <w:sz w:val="24"/>
                <w:szCs w:val="24"/>
              </w:rPr>
              <w:t>，E</w:t>
            </w:r>
            <w:r>
              <w:rPr>
                <w:sz w:val="24"/>
                <w:szCs w:val="24"/>
                <w:vertAlign w:val="subscript"/>
              </w:rPr>
              <w:t>x</w:t>
            </w:r>
            <w:r>
              <w:rPr>
                <w:sz w:val="24"/>
                <w:szCs w:val="24"/>
              </w:rPr>
              <w:t>=5.93H(gHI)1/2，</w:t>
            </w:r>
          </w:p>
          <w:p>
            <w:pPr>
              <w:spacing w:line="360" w:lineRule="auto"/>
              <w:jc w:val="left"/>
              <w:rPr>
                <w:sz w:val="24"/>
                <w:szCs w:val="24"/>
              </w:rPr>
            </w:pPr>
            <w:r>
              <w:rPr>
                <w:sz w:val="24"/>
                <w:szCs w:val="24"/>
              </w:rPr>
              <w:t>求得</w:t>
            </w:r>
            <w:r>
              <w:rPr>
                <w:rFonts w:hint="eastAsia"/>
                <w:sz w:val="24"/>
                <w:szCs w:val="24"/>
                <w:lang w:eastAsia="zh-CN"/>
              </w:rPr>
              <w:t>南港河</w:t>
            </w:r>
            <w:r>
              <w:rPr>
                <w:sz w:val="24"/>
                <w:szCs w:val="24"/>
              </w:rPr>
              <w:t>为0.</w:t>
            </w:r>
            <w:r>
              <w:rPr>
                <w:rFonts w:hint="eastAsia"/>
                <w:sz w:val="24"/>
                <w:szCs w:val="24"/>
              </w:rPr>
              <w:t>95</w:t>
            </w:r>
            <w:r>
              <w:rPr>
                <w:sz w:val="24"/>
                <w:szCs w:val="24"/>
              </w:rPr>
              <w:t>m</w:t>
            </w:r>
            <w:r>
              <w:rPr>
                <w:sz w:val="24"/>
                <w:szCs w:val="24"/>
                <w:vertAlign w:val="superscript"/>
              </w:rPr>
              <w:t>2</w:t>
            </w:r>
            <w:r>
              <w:rPr>
                <w:sz w:val="24"/>
                <w:szCs w:val="24"/>
              </w:rPr>
              <w:t>/s。</w:t>
            </w:r>
          </w:p>
          <w:p>
            <w:pPr>
              <w:spacing w:line="360" w:lineRule="auto"/>
              <w:ind w:firstLine="480" w:firstLineChars="200"/>
              <w:rPr>
                <w:kern w:val="0"/>
                <w:sz w:val="24"/>
                <w:szCs w:val="24"/>
              </w:rPr>
            </w:pPr>
            <w:r>
              <w:rPr>
                <w:rFonts w:hint="eastAsia"/>
                <w:sz w:val="24"/>
                <w:szCs w:val="24"/>
              </w:rPr>
              <w:t>u</w:t>
            </w:r>
            <w:r>
              <w:rPr>
                <w:sz w:val="24"/>
                <w:szCs w:val="24"/>
              </w:rPr>
              <w:t>——断面流速，m/s，</w:t>
            </w:r>
            <w:r>
              <w:rPr>
                <w:rFonts w:hint="eastAsia" w:eastAsiaTheme="minorEastAsia"/>
                <w:sz w:val="24"/>
                <w:szCs w:val="24"/>
              </w:rPr>
              <w:t>监测期</w:t>
            </w:r>
            <w:r>
              <w:rPr>
                <w:rFonts w:hint="eastAsia" w:eastAsiaTheme="minorEastAsia"/>
                <w:sz w:val="24"/>
                <w:szCs w:val="24"/>
                <w:lang w:eastAsia="zh-CN"/>
              </w:rPr>
              <w:t>南港河</w:t>
            </w:r>
            <w:r>
              <w:rPr>
                <w:rFonts w:eastAsiaTheme="minorEastAsia"/>
                <w:sz w:val="24"/>
                <w:szCs w:val="24"/>
              </w:rPr>
              <w:t>取0.</w:t>
            </w:r>
            <w:r>
              <w:rPr>
                <w:rFonts w:hint="eastAsia" w:eastAsiaTheme="minorEastAsia"/>
                <w:sz w:val="24"/>
                <w:szCs w:val="24"/>
                <w:lang w:val="en-US" w:eastAsia="zh-CN"/>
              </w:rPr>
              <w:t>02</w:t>
            </w:r>
            <w:r>
              <w:rPr>
                <w:rFonts w:eastAsiaTheme="minorEastAsia"/>
                <w:sz w:val="24"/>
                <w:szCs w:val="24"/>
              </w:rPr>
              <w:t>m/s；</w:t>
            </w:r>
          </w:p>
          <w:p>
            <w:pPr>
              <w:spacing w:line="360" w:lineRule="auto"/>
              <w:ind w:firstLine="480" w:firstLineChars="200"/>
              <w:jc w:val="left"/>
              <w:rPr>
                <w:kern w:val="0"/>
                <w:sz w:val="24"/>
              </w:rPr>
            </w:pPr>
            <w:r>
              <w:rPr>
                <w:kern w:val="0"/>
                <w:sz w:val="24"/>
              </w:rPr>
              <w:t>根据类比中国环境规划院在《全国地表水水环境容量核定技术复核要点》所提出的一般河道相应水质在Ⅲ～Ⅳ类时，COD 水质降解系数约在 0.1~0.18d</w:t>
            </w:r>
            <w:r>
              <w:rPr>
                <w:kern w:val="0"/>
                <w:sz w:val="24"/>
                <w:vertAlign w:val="superscript"/>
              </w:rPr>
              <w:t>-1</w:t>
            </w:r>
            <w:r>
              <w:rPr>
                <w:kern w:val="0"/>
                <w:sz w:val="24"/>
              </w:rPr>
              <w:t>，NH</w:t>
            </w:r>
            <w:r>
              <w:rPr>
                <w:kern w:val="0"/>
                <w:sz w:val="24"/>
                <w:vertAlign w:val="subscript"/>
              </w:rPr>
              <w:t>3</w:t>
            </w:r>
            <w:r>
              <w:rPr>
                <w:kern w:val="0"/>
                <w:sz w:val="24"/>
              </w:rPr>
              <w:t>-N 水质降解系数约在 0.1~0.15d</w:t>
            </w:r>
            <w:r>
              <w:rPr>
                <w:kern w:val="0"/>
                <w:sz w:val="24"/>
                <w:vertAlign w:val="superscript"/>
              </w:rPr>
              <w:t>-1</w:t>
            </w:r>
            <w:r>
              <w:rPr>
                <w:kern w:val="0"/>
                <w:sz w:val="24"/>
              </w:rPr>
              <w:t>。本项目涉及的</w:t>
            </w:r>
            <w:r>
              <w:rPr>
                <w:rFonts w:hint="eastAsia"/>
                <w:sz w:val="24"/>
                <w:szCs w:val="24"/>
                <w:lang w:eastAsia="zh-CN"/>
              </w:rPr>
              <w:t>南港河</w:t>
            </w:r>
            <w:r>
              <w:rPr>
                <w:kern w:val="0"/>
                <w:sz w:val="24"/>
              </w:rPr>
              <w:t>为 III 类水体，COD、氨氮的 k 值分别取 0.14d</w:t>
            </w:r>
            <w:r>
              <w:rPr>
                <w:kern w:val="0"/>
                <w:sz w:val="24"/>
                <w:vertAlign w:val="superscript"/>
              </w:rPr>
              <w:t>-1</w:t>
            </w:r>
            <w:r>
              <w:rPr>
                <w:kern w:val="0"/>
                <w:sz w:val="24"/>
              </w:rPr>
              <w:t>（1.6×10</w:t>
            </w:r>
            <w:r>
              <w:rPr>
                <w:kern w:val="0"/>
                <w:sz w:val="24"/>
                <w:vertAlign w:val="superscript"/>
              </w:rPr>
              <w:t>-6</w:t>
            </w:r>
            <w:r>
              <w:rPr>
                <w:kern w:val="0"/>
                <w:sz w:val="24"/>
              </w:rPr>
              <w:t xml:space="preserve"> S</w:t>
            </w:r>
            <w:r>
              <w:rPr>
                <w:kern w:val="0"/>
                <w:sz w:val="24"/>
                <w:vertAlign w:val="superscript"/>
              </w:rPr>
              <w:t>-1</w:t>
            </w:r>
            <w:r>
              <w:rPr>
                <w:kern w:val="0"/>
                <w:sz w:val="24"/>
              </w:rPr>
              <w:t>）、0.12d</w:t>
            </w:r>
            <w:r>
              <w:rPr>
                <w:kern w:val="0"/>
                <w:sz w:val="24"/>
                <w:vertAlign w:val="superscript"/>
              </w:rPr>
              <w:t>-1</w:t>
            </w:r>
            <w:r>
              <w:rPr>
                <w:kern w:val="0"/>
                <w:sz w:val="24"/>
              </w:rPr>
              <w:t>（1.4×10</w:t>
            </w:r>
            <w:r>
              <w:rPr>
                <w:kern w:val="0"/>
                <w:sz w:val="24"/>
                <w:vertAlign w:val="superscript"/>
              </w:rPr>
              <w:t>-6</w:t>
            </w:r>
            <w:r>
              <w:rPr>
                <w:kern w:val="0"/>
                <w:sz w:val="24"/>
              </w:rPr>
              <w:t xml:space="preserve"> S</w:t>
            </w:r>
            <w:r>
              <w:rPr>
                <w:kern w:val="0"/>
                <w:sz w:val="24"/>
                <w:vertAlign w:val="superscript"/>
              </w:rPr>
              <w:t>-1</w:t>
            </w:r>
            <w:r>
              <w:rPr>
                <w:kern w:val="0"/>
                <w:sz w:val="24"/>
              </w:rPr>
              <w:t>）。经计算，本项目α、Pe值如下：</w:t>
            </w:r>
          </w:p>
          <w:p>
            <w:pPr>
              <w:spacing w:line="360" w:lineRule="auto"/>
              <w:ind w:firstLine="482" w:firstLineChars="200"/>
              <w:jc w:val="center"/>
              <w:rPr>
                <w:b/>
                <w:bCs/>
                <w:kern w:val="0"/>
                <w:sz w:val="24"/>
              </w:rPr>
            </w:pPr>
            <w:r>
              <w:rPr>
                <w:rFonts w:hint="eastAsia"/>
                <w:b/>
                <w:bCs/>
                <w:kern w:val="0"/>
                <w:sz w:val="24"/>
              </w:rPr>
              <w:t>表7.2-</w:t>
            </w:r>
            <w:r>
              <w:rPr>
                <w:rFonts w:hint="eastAsia"/>
                <w:b/>
                <w:bCs/>
                <w:kern w:val="0"/>
                <w:sz w:val="24"/>
                <w:lang w:val="en-US" w:eastAsia="zh-CN"/>
              </w:rPr>
              <w:t>9</w:t>
            </w:r>
            <w:r>
              <w:rPr>
                <w:rFonts w:hint="eastAsia"/>
                <w:b/>
                <w:bCs/>
                <w:kern w:val="0"/>
                <w:sz w:val="24"/>
              </w:rPr>
              <w:t xml:space="preserve">  </w:t>
            </w:r>
            <w:r>
              <w:rPr>
                <w:b/>
                <w:bCs/>
                <w:kern w:val="0"/>
                <w:sz w:val="24"/>
              </w:rPr>
              <w:t>α、Pe</w:t>
            </w:r>
            <w:r>
              <w:rPr>
                <w:rFonts w:hint="eastAsia"/>
                <w:b/>
                <w:bCs/>
                <w:kern w:val="0"/>
                <w:sz w:val="24"/>
              </w:rPr>
              <w:t>计算结果表</w:t>
            </w:r>
          </w:p>
          <w:tbl>
            <w:tblPr>
              <w:tblStyle w:val="27"/>
              <w:tblW w:w="95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92"/>
              <w:gridCol w:w="1591"/>
              <w:gridCol w:w="3234"/>
              <w:gridCol w:w="31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183" w:type="dxa"/>
                  <w:gridSpan w:val="2"/>
                  <w:vAlign w:val="center"/>
                </w:tcPr>
                <w:p>
                  <w:pPr>
                    <w:jc w:val="center"/>
                    <w:rPr>
                      <w:kern w:val="0"/>
                      <w:szCs w:val="21"/>
                    </w:rPr>
                  </w:pPr>
                  <w:r>
                    <w:rPr>
                      <w:kern w:val="0"/>
                      <w:szCs w:val="21"/>
                    </w:rPr>
                    <w:t>项目</w:t>
                  </w:r>
                </w:p>
              </w:tc>
              <w:tc>
                <w:tcPr>
                  <w:tcW w:w="3234" w:type="dxa"/>
                  <w:vAlign w:val="center"/>
                </w:tcPr>
                <w:p>
                  <w:pPr>
                    <w:jc w:val="center"/>
                    <w:rPr>
                      <w:kern w:val="0"/>
                      <w:szCs w:val="21"/>
                    </w:rPr>
                  </w:pPr>
                  <w:r>
                    <w:rPr>
                      <w:kern w:val="0"/>
                      <w:szCs w:val="21"/>
                    </w:rPr>
                    <w:t>COD</w:t>
                  </w:r>
                </w:p>
              </w:tc>
              <w:tc>
                <w:tcPr>
                  <w:tcW w:w="3132" w:type="dxa"/>
                  <w:vAlign w:val="center"/>
                </w:tcPr>
                <w:p>
                  <w:pPr>
                    <w:jc w:val="center"/>
                    <w:rPr>
                      <w:kern w:val="0"/>
                      <w:szCs w:val="21"/>
                    </w:rPr>
                  </w:pPr>
                  <w:r>
                    <w:rPr>
                      <w:kern w:val="0"/>
                      <w:szCs w:val="21"/>
                    </w:rPr>
                    <w:t>NH</w:t>
                  </w:r>
                  <w:r>
                    <w:rPr>
                      <w:kern w:val="0"/>
                      <w:szCs w:val="21"/>
                      <w:vertAlign w:val="subscript"/>
                    </w:rPr>
                    <w:t>3</w:t>
                  </w:r>
                  <w:r>
                    <w:rPr>
                      <w:kern w:val="0"/>
                      <w:szCs w:val="21"/>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92" w:type="dxa"/>
                  <w:vMerge w:val="restart"/>
                  <w:vAlign w:val="center"/>
                </w:tcPr>
                <w:p>
                  <w:pPr>
                    <w:jc w:val="center"/>
                    <w:rPr>
                      <w:kern w:val="0"/>
                      <w:szCs w:val="21"/>
                    </w:rPr>
                  </w:pPr>
                  <w:r>
                    <w:rPr>
                      <w:kern w:val="0"/>
                      <w:szCs w:val="21"/>
                    </w:rPr>
                    <w:t>金脱河</w:t>
                  </w:r>
                </w:p>
              </w:tc>
              <w:tc>
                <w:tcPr>
                  <w:tcW w:w="1591" w:type="dxa"/>
                  <w:vAlign w:val="center"/>
                </w:tcPr>
                <w:p>
                  <w:pPr>
                    <w:jc w:val="center"/>
                    <w:rPr>
                      <w:kern w:val="0"/>
                      <w:szCs w:val="21"/>
                    </w:rPr>
                  </w:pPr>
                  <w:r>
                    <w:rPr>
                      <w:kern w:val="0"/>
                      <w:szCs w:val="21"/>
                    </w:rPr>
                    <w:t xml:space="preserve"> α值</w:t>
                  </w:r>
                </w:p>
              </w:tc>
              <w:tc>
                <w:tcPr>
                  <w:tcW w:w="3234" w:type="dxa"/>
                  <w:vAlign w:val="center"/>
                </w:tcPr>
                <w:p>
                  <w:pPr>
                    <w:jc w:val="center"/>
                    <w:rPr>
                      <w:kern w:val="0"/>
                      <w:szCs w:val="21"/>
                    </w:rPr>
                  </w:pPr>
                  <w:r>
                    <w:rPr>
                      <w:kern w:val="0"/>
                      <w:szCs w:val="21"/>
                    </w:rPr>
                    <w:t>3.7×10</w:t>
                  </w:r>
                  <w:r>
                    <w:rPr>
                      <w:kern w:val="0"/>
                      <w:szCs w:val="21"/>
                      <w:vertAlign w:val="superscript"/>
                    </w:rPr>
                    <w:t>-6</w:t>
                  </w:r>
                </w:p>
              </w:tc>
              <w:tc>
                <w:tcPr>
                  <w:tcW w:w="3132" w:type="dxa"/>
                  <w:vAlign w:val="center"/>
                </w:tcPr>
                <w:p>
                  <w:pPr>
                    <w:jc w:val="center"/>
                    <w:rPr>
                      <w:rFonts w:hint="eastAsia" w:eastAsia="宋体"/>
                      <w:kern w:val="0"/>
                      <w:szCs w:val="21"/>
                      <w:lang w:val="en-US" w:eastAsia="zh-CN"/>
                    </w:rPr>
                  </w:pPr>
                  <w:r>
                    <w:rPr>
                      <w:kern w:val="0"/>
                      <w:szCs w:val="21"/>
                    </w:rPr>
                    <w:t>3.2×10</w:t>
                  </w:r>
                  <w:r>
                    <w:rPr>
                      <w:kern w:val="0"/>
                      <w:szCs w:val="21"/>
                      <w:vertAlign w:val="superscript"/>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92" w:type="dxa"/>
                  <w:vMerge w:val="continue"/>
                  <w:vAlign w:val="center"/>
                </w:tcPr>
                <w:p>
                  <w:pPr>
                    <w:jc w:val="center"/>
                    <w:rPr>
                      <w:kern w:val="0"/>
                      <w:szCs w:val="21"/>
                    </w:rPr>
                  </w:pPr>
                </w:p>
              </w:tc>
              <w:tc>
                <w:tcPr>
                  <w:tcW w:w="1591" w:type="dxa"/>
                  <w:vAlign w:val="center"/>
                </w:tcPr>
                <w:p>
                  <w:pPr>
                    <w:jc w:val="center"/>
                    <w:rPr>
                      <w:kern w:val="0"/>
                      <w:szCs w:val="21"/>
                    </w:rPr>
                  </w:pPr>
                  <w:r>
                    <w:rPr>
                      <w:kern w:val="0"/>
                      <w:szCs w:val="21"/>
                    </w:rPr>
                    <w:t>Pe值</w:t>
                  </w:r>
                </w:p>
              </w:tc>
              <w:tc>
                <w:tcPr>
                  <w:tcW w:w="6366" w:type="dxa"/>
                  <w:gridSpan w:val="2"/>
                  <w:vAlign w:val="center"/>
                </w:tcPr>
                <w:p>
                  <w:pPr>
                    <w:jc w:val="center"/>
                    <w:rPr>
                      <w:kern w:val="0"/>
                      <w:szCs w:val="21"/>
                    </w:rPr>
                  </w:pPr>
                  <w:r>
                    <w:rPr>
                      <w:kern w:val="0"/>
                      <w:szCs w:val="21"/>
                    </w:rPr>
                    <w:t>5.73</w:t>
                  </w:r>
                </w:p>
              </w:tc>
            </w:tr>
          </w:tbl>
          <w:p>
            <w:pPr>
              <w:spacing w:line="360" w:lineRule="auto"/>
              <w:ind w:firstLine="480" w:firstLineChars="200"/>
              <w:rPr>
                <w:kern w:val="0"/>
                <w:sz w:val="24"/>
              </w:rPr>
            </w:pPr>
            <w:r>
              <w:rPr>
                <w:kern w:val="0"/>
                <w:sz w:val="24"/>
              </w:rPr>
              <w:t>由上表可知，</w:t>
            </w:r>
            <w:r>
              <w:rPr>
                <w:rFonts w:hint="eastAsia"/>
                <w:sz w:val="24"/>
                <w:szCs w:val="24"/>
                <w:lang w:eastAsia="zh-CN"/>
              </w:rPr>
              <w:t>南港河</w:t>
            </w:r>
            <w:r>
              <w:rPr>
                <w:kern w:val="0"/>
                <w:sz w:val="24"/>
              </w:rPr>
              <w:t>的α 小于 0.027、Pe 值大于 1。根据导则附录E.3.2.1，</w:t>
            </w:r>
            <w:r>
              <w:rPr>
                <w:rFonts w:hint="eastAsia"/>
                <w:sz w:val="24"/>
                <w:szCs w:val="24"/>
                <w:lang w:eastAsia="zh-CN"/>
              </w:rPr>
              <w:t>南港河</w:t>
            </w:r>
            <w:r>
              <w:rPr>
                <w:kern w:val="0"/>
                <w:sz w:val="24"/>
              </w:rPr>
              <w:t>的地表水环境影响预测适用对流降解模型。</w:t>
            </w:r>
          </w:p>
          <w:p>
            <w:pPr>
              <w:spacing w:line="360" w:lineRule="auto"/>
              <w:ind w:firstLine="480" w:firstLineChars="200"/>
              <w:rPr>
                <w:kern w:val="0"/>
                <w:sz w:val="24"/>
              </w:rPr>
            </w:pPr>
            <w:r>
              <w:rPr>
                <w:kern w:val="0"/>
                <w:sz w:val="24"/>
              </w:rPr>
              <w:t>对流降解模型：</w:t>
            </w:r>
          </w:p>
          <w:p>
            <w:pPr>
              <w:spacing w:line="360" w:lineRule="auto"/>
              <w:ind w:firstLine="420" w:firstLineChars="200"/>
              <w:jc w:val="center"/>
              <w:rPr>
                <w:kern w:val="0"/>
                <w:sz w:val="24"/>
              </w:rPr>
            </w:pPr>
            <w:r>
              <w:drawing>
                <wp:inline distT="0" distB="0" distL="114300" distR="114300">
                  <wp:extent cx="1653540" cy="405765"/>
                  <wp:effectExtent l="0" t="0" r="3810" b="13335"/>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26"/>
                          <a:stretch>
                            <a:fillRect/>
                          </a:stretch>
                        </pic:blipFill>
                        <pic:spPr>
                          <a:xfrm>
                            <a:off x="0" y="0"/>
                            <a:ext cx="1653540" cy="405765"/>
                          </a:xfrm>
                          <a:prstGeom prst="rect">
                            <a:avLst/>
                          </a:prstGeom>
                          <a:noFill/>
                          <a:ln w="9525">
                            <a:noFill/>
                          </a:ln>
                        </pic:spPr>
                      </pic:pic>
                    </a:graphicData>
                  </a:graphic>
                </wp:inline>
              </w:drawing>
            </w:r>
          </w:p>
          <w:p>
            <w:pPr>
              <w:spacing w:line="360" w:lineRule="auto"/>
              <w:ind w:firstLine="480" w:firstLineChars="200"/>
              <w:rPr>
                <w:kern w:val="0"/>
                <w:sz w:val="24"/>
              </w:rPr>
            </w:pPr>
            <w:r>
              <w:rPr>
                <w:rFonts w:hint="eastAsia"/>
                <w:kern w:val="0"/>
                <w:sz w:val="24"/>
              </w:rPr>
              <w:t>式中：</w:t>
            </w:r>
          </w:p>
          <w:p>
            <w:pPr>
              <w:spacing w:line="360" w:lineRule="auto"/>
              <w:ind w:firstLine="480" w:firstLineChars="200"/>
              <w:rPr>
                <w:kern w:val="0"/>
                <w:sz w:val="24"/>
              </w:rPr>
            </w:pPr>
            <w:r>
              <w:rPr>
                <w:rFonts w:hint="eastAsia"/>
                <w:kern w:val="0"/>
                <w:sz w:val="24"/>
              </w:rPr>
              <w:t>C</w:t>
            </w:r>
            <w:r>
              <w:rPr>
                <w:rFonts w:hint="eastAsia"/>
                <w:kern w:val="0"/>
                <w:sz w:val="24"/>
                <w:vertAlign w:val="subscript"/>
              </w:rPr>
              <w:t>0</w:t>
            </w:r>
            <w:r>
              <w:rPr>
                <w:rFonts w:hint="eastAsia"/>
                <w:kern w:val="0"/>
                <w:sz w:val="24"/>
              </w:rPr>
              <w:t>——初始断面污染物浓度，mg/L。取完全混合后污染物浓度；</w:t>
            </w:r>
          </w:p>
          <w:p>
            <w:pPr>
              <w:spacing w:line="360" w:lineRule="auto"/>
              <w:ind w:firstLine="480" w:firstLineChars="200"/>
              <w:rPr>
                <w:kern w:val="0"/>
                <w:sz w:val="24"/>
              </w:rPr>
            </w:pPr>
            <w:r>
              <w:rPr>
                <w:rFonts w:hint="eastAsia"/>
                <w:kern w:val="0"/>
                <w:sz w:val="24"/>
              </w:rPr>
              <w:t>C——距离x处污染物浓度，mg/L；</w:t>
            </w:r>
          </w:p>
          <w:p>
            <w:pPr>
              <w:spacing w:line="360" w:lineRule="auto"/>
              <w:ind w:firstLine="480" w:firstLineChars="200"/>
              <w:rPr>
                <w:kern w:val="0"/>
                <w:sz w:val="24"/>
              </w:rPr>
            </w:pPr>
            <w:r>
              <w:rPr>
                <w:rFonts w:hint="eastAsia"/>
                <w:kern w:val="0"/>
                <w:sz w:val="24"/>
              </w:rPr>
              <w:t>x——河流沿程坐标，m；</w:t>
            </w:r>
          </w:p>
          <w:p>
            <w:pPr>
              <w:spacing w:line="360" w:lineRule="auto"/>
              <w:ind w:firstLine="480" w:firstLineChars="200"/>
              <w:rPr>
                <w:kern w:val="0"/>
                <w:sz w:val="24"/>
              </w:rPr>
            </w:pPr>
            <w:r>
              <w:rPr>
                <w:rFonts w:hint="eastAsia" w:ascii="宋体" w:hAnsi="宋体" w:cs="宋体"/>
                <w:kern w:val="0"/>
                <w:sz w:val="24"/>
              </w:rPr>
              <w:t>⑤</w:t>
            </w:r>
            <w:r>
              <w:rPr>
                <w:rFonts w:hint="eastAsia"/>
                <w:kern w:val="0"/>
                <w:sz w:val="24"/>
              </w:rPr>
              <w:t xml:space="preserve"> 预测结果和评价</w:t>
            </w:r>
          </w:p>
          <w:p>
            <w:pPr>
              <w:spacing w:line="360" w:lineRule="auto"/>
              <w:ind w:firstLine="480" w:firstLineChars="200"/>
              <w:rPr>
                <w:kern w:val="0"/>
                <w:sz w:val="24"/>
              </w:rPr>
            </w:pPr>
            <w:r>
              <w:rPr>
                <w:rFonts w:hint="eastAsia"/>
                <w:kern w:val="0"/>
                <w:sz w:val="24"/>
              </w:rPr>
              <w:t>预测正常工况</w:t>
            </w:r>
            <w:r>
              <w:rPr>
                <w:rFonts w:hint="eastAsia"/>
                <w:kern w:val="0"/>
                <w:sz w:val="24"/>
                <w:lang w:eastAsia="zh-CN"/>
              </w:rPr>
              <w:t>奇家社区污水处理站</w:t>
            </w:r>
            <w:r>
              <w:rPr>
                <w:rFonts w:hint="eastAsia"/>
                <w:kern w:val="0"/>
                <w:sz w:val="24"/>
              </w:rPr>
              <w:t>尾水排放进入</w:t>
            </w:r>
            <w:r>
              <w:rPr>
                <w:rFonts w:hint="eastAsia"/>
                <w:kern w:val="0"/>
                <w:sz w:val="24"/>
                <w:lang w:eastAsia="zh-CN"/>
              </w:rPr>
              <w:t>南港河</w:t>
            </w:r>
            <w:r>
              <w:rPr>
                <w:rFonts w:hint="eastAsia"/>
                <w:kern w:val="0"/>
                <w:sz w:val="24"/>
              </w:rPr>
              <w:t>后的污染物浓度，预测结果见表7.2-</w:t>
            </w:r>
            <w:r>
              <w:rPr>
                <w:rFonts w:hint="eastAsia"/>
                <w:kern w:val="0"/>
                <w:sz w:val="24"/>
                <w:lang w:val="en-US" w:eastAsia="zh-CN"/>
              </w:rPr>
              <w:t>10</w:t>
            </w:r>
            <w:r>
              <w:rPr>
                <w:rFonts w:hint="eastAsia"/>
                <w:kern w:val="0"/>
                <w:sz w:val="24"/>
              </w:rPr>
              <w:t>。</w:t>
            </w:r>
          </w:p>
          <w:p>
            <w:pPr>
              <w:spacing w:line="360" w:lineRule="auto"/>
              <w:ind w:firstLine="482" w:firstLineChars="200"/>
              <w:jc w:val="center"/>
              <w:rPr>
                <w:rFonts w:hint="eastAsia"/>
                <w:b/>
                <w:bCs/>
                <w:kern w:val="0"/>
                <w:sz w:val="24"/>
              </w:rPr>
            </w:pPr>
            <w:r>
              <w:rPr>
                <w:rFonts w:hint="eastAsia"/>
                <w:b/>
                <w:bCs/>
                <w:kern w:val="0"/>
                <w:sz w:val="24"/>
              </w:rPr>
              <w:t>表7.2-</w:t>
            </w:r>
            <w:r>
              <w:rPr>
                <w:rFonts w:hint="eastAsia"/>
                <w:b/>
                <w:bCs/>
                <w:kern w:val="0"/>
                <w:sz w:val="24"/>
                <w:lang w:val="en-US" w:eastAsia="zh-CN"/>
              </w:rPr>
              <w:t>10</w:t>
            </w:r>
            <w:r>
              <w:rPr>
                <w:rFonts w:hint="eastAsia"/>
                <w:b/>
                <w:bCs/>
                <w:kern w:val="0"/>
                <w:sz w:val="24"/>
              </w:rPr>
              <w:t xml:space="preserve">   项目尾水对地表水环境的影响预测  单位：mg/L</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5"/>
              <w:gridCol w:w="5239"/>
              <w:gridCol w:w="1751"/>
              <w:gridCol w:w="1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390" w:type="pct"/>
                  <w:vAlign w:val="center"/>
                </w:tcPr>
                <w:p>
                  <w:pPr>
                    <w:jc w:val="center"/>
                    <w:rPr>
                      <w:kern w:val="0"/>
                      <w:szCs w:val="21"/>
                    </w:rPr>
                  </w:pPr>
                  <w:r>
                    <w:rPr>
                      <w:kern w:val="0"/>
                      <w:szCs w:val="21"/>
                    </w:rPr>
                    <w:t>河流</w:t>
                  </w:r>
                </w:p>
              </w:tc>
              <w:tc>
                <w:tcPr>
                  <w:tcW w:w="2743" w:type="pct"/>
                  <w:vAlign w:val="center"/>
                </w:tcPr>
                <w:p>
                  <w:pPr>
                    <w:jc w:val="center"/>
                    <w:rPr>
                      <w:kern w:val="0"/>
                      <w:szCs w:val="21"/>
                    </w:rPr>
                  </w:pPr>
                  <w:r>
                    <w:rPr>
                      <w:kern w:val="0"/>
                      <w:szCs w:val="21"/>
                    </w:rPr>
                    <w:t>断面</w:t>
                  </w:r>
                </w:p>
              </w:tc>
              <w:tc>
                <w:tcPr>
                  <w:tcW w:w="917" w:type="pct"/>
                  <w:vAlign w:val="center"/>
                </w:tcPr>
                <w:p>
                  <w:pPr>
                    <w:jc w:val="center"/>
                    <w:rPr>
                      <w:rFonts w:hint="eastAsia" w:ascii="Times New Roman" w:hAnsi="Times New Roman" w:eastAsia="宋体" w:cs="Times New Roman"/>
                      <w:kern w:val="0"/>
                      <w:sz w:val="21"/>
                      <w:szCs w:val="21"/>
                      <w:lang w:val="en-US" w:eastAsia="zh-CN" w:bidi="ar-SA"/>
                    </w:rPr>
                  </w:pPr>
                  <w:r>
                    <w:rPr>
                      <w:rFonts w:hint="eastAsia"/>
                      <w:kern w:val="0"/>
                      <w:szCs w:val="21"/>
                    </w:rPr>
                    <w:t>COD</w:t>
                  </w:r>
                </w:p>
              </w:tc>
              <w:tc>
                <w:tcPr>
                  <w:tcW w:w="948" w:type="pct"/>
                  <w:vAlign w:val="center"/>
                </w:tcPr>
                <w:p>
                  <w:pPr>
                    <w:jc w:val="center"/>
                    <w:rPr>
                      <w:rFonts w:hint="eastAsia" w:ascii="Times New Roman" w:hAnsi="Times New Roman" w:eastAsia="宋体" w:cs="Times New Roman"/>
                      <w:kern w:val="0"/>
                      <w:sz w:val="21"/>
                      <w:szCs w:val="21"/>
                      <w:lang w:val="en-US" w:eastAsia="zh-CN" w:bidi="ar-SA"/>
                    </w:rPr>
                  </w:pPr>
                  <w:r>
                    <w:rPr>
                      <w:rFonts w:hint="eastAsia"/>
                      <w:kern w:val="0"/>
                      <w:szCs w:val="21"/>
                    </w:rPr>
                    <w:t>NH</w:t>
                  </w:r>
                  <w:r>
                    <w:rPr>
                      <w:rFonts w:hint="eastAsia"/>
                      <w:kern w:val="0"/>
                      <w:szCs w:val="21"/>
                      <w:vertAlign w:val="subscript"/>
                    </w:rPr>
                    <w:t>3</w:t>
                  </w:r>
                  <w:r>
                    <w:rPr>
                      <w:rFonts w:hint="eastAsia"/>
                      <w:kern w:val="0"/>
                      <w:szCs w:val="21"/>
                    </w:rPr>
                    <w: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0" w:type="pct"/>
                  <w:vMerge w:val="restart"/>
                  <w:vAlign w:val="center"/>
                </w:tcPr>
                <w:p>
                  <w:pPr>
                    <w:jc w:val="center"/>
                    <w:rPr>
                      <w:kern w:val="0"/>
                      <w:szCs w:val="21"/>
                    </w:rPr>
                  </w:pPr>
                  <w:r>
                    <w:rPr>
                      <w:rFonts w:hint="eastAsia"/>
                      <w:kern w:val="0"/>
                      <w:szCs w:val="21"/>
                    </w:rPr>
                    <w:t>金脱河</w:t>
                  </w:r>
                </w:p>
              </w:tc>
              <w:tc>
                <w:tcPr>
                  <w:tcW w:w="2743" w:type="pct"/>
                  <w:vAlign w:val="center"/>
                </w:tcPr>
                <w:p>
                  <w:pPr>
                    <w:jc w:val="center"/>
                    <w:rPr>
                      <w:kern w:val="0"/>
                      <w:szCs w:val="21"/>
                    </w:rPr>
                  </w:pPr>
                  <w:r>
                    <w:rPr>
                      <w:kern w:val="0"/>
                      <w:szCs w:val="21"/>
                    </w:rPr>
                    <w:t>排污口下游</w:t>
                  </w:r>
                  <w:r>
                    <w:rPr>
                      <w:rFonts w:hint="eastAsia"/>
                      <w:kern w:val="0"/>
                      <w:szCs w:val="21"/>
                      <w:lang w:val="en-US" w:eastAsia="zh-CN"/>
                    </w:rPr>
                    <w:t>219</w:t>
                  </w:r>
                  <w:r>
                    <w:rPr>
                      <w:kern w:val="0"/>
                      <w:szCs w:val="21"/>
                    </w:rPr>
                    <w:t>m（完全混合断面）</w:t>
                  </w:r>
                </w:p>
              </w:tc>
              <w:tc>
                <w:tcPr>
                  <w:tcW w:w="917" w:type="pct"/>
                  <w:vAlign w:val="center"/>
                </w:tcPr>
                <w:p>
                  <w:pPr>
                    <w:jc w:val="center"/>
                    <w:rPr>
                      <w:rFonts w:hint="default" w:eastAsia="宋体"/>
                      <w:kern w:val="0"/>
                      <w:szCs w:val="21"/>
                      <w:lang w:val="en-US" w:eastAsia="zh-CN"/>
                    </w:rPr>
                  </w:pPr>
                  <w:r>
                    <w:rPr>
                      <w:rFonts w:hint="eastAsia"/>
                      <w:kern w:val="0"/>
                      <w:szCs w:val="21"/>
                      <w:lang w:val="en-US" w:eastAsia="zh-CN"/>
                    </w:rPr>
                    <w:t>20.33</w:t>
                  </w:r>
                </w:p>
              </w:tc>
              <w:tc>
                <w:tcPr>
                  <w:tcW w:w="948" w:type="pct"/>
                  <w:vAlign w:val="center"/>
                </w:tcPr>
                <w:p>
                  <w:pPr>
                    <w:jc w:val="center"/>
                    <w:rPr>
                      <w:rFonts w:hint="default" w:eastAsia="宋体"/>
                      <w:kern w:val="0"/>
                      <w:szCs w:val="21"/>
                      <w:lang w:val="en-US" w:eastAsia="zh-CN"/>
                    </w:rPr>
                  </w:pPr>
                  <w:r>
                    <w:rPr>
                      <w:rFonts w:hint="eastAsia"/>
                      <w:kern w:val="0"/>
                      <w:szCs w:val="21"/>
                    </w:rPr>
                    <w:t>0.</w:t>
                  </w:r>
                  <w:r>
                    <w:rPr>
                      <w:rFonts w:hint="eastAsia"/>
                      <w:kern w:val="0"/>
                      <w:szCs w:val="21"/>
                      <w:lang w:val="en-US" w:eastAsia="zh-CN"/>
                    </w:rPr>
                    <w:t>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0" w:type="pct"/>
                  <w:vMerge w:val="continue"/>
                  <w:vAlign w:val="center"/>
                </w:tcPr>
                <w:p>
                  <w:pPr>
                    <w:jc w:val="center"/>
                    <w:rPr>
                      <w:kern w:val="0"/>
                      <w:szCs w:val="21"/>
                    </w:rPr>
                  </w:pPr>
                </w:p>
              </w:tc>
              <w:tc>
                <w:tcPr>
                  <w:tcW w:w="2743" w:type="pct"/>
                  <w:vAlign w:val="center"/>
                </w:tcPr>
                <w:p>
                  <w:pPr>
                    <w:jc w:val="center"/>
                    <w:rPr>
                      <w:kern w:val="0"/>
                      <w:szCs w:val="21"/>
                    </w:rPr>
                  </w:pPr>
                  <w:r>
                    <w:rPr>
                      <w:rFonts w:hint="eastAsia"/>
                      <w:kern w:val="0"/>
                      <w:szCs w:val="21"/>
                    </w:rPr>
                    <w:t>达标性</w:t>
                  </w:r>
                </w:p>
              </w:tc>
              <w:tc>
                <w:tcPr>
                  <w:tcW w:w="917" w:type="pct"/>
                  <w:vAlign w:val="center"/>
                </w:tcPr>
                <w:p>
                  <w:pPr>
                    <w:jc w:val="center"/>
                    <w:rPr>
                      <w:rFonts w:hint="eastAsia" w:eastAsia="宋体"/>
                      <w:kern w:val="0"/>
                      <w:szCs w:val="21"/>
                      <w:lang w:eastAsia="zh-CN"/>
                    </w:rPr>
                  </w:pPr>
                  <w:r>
                    <w:rPr>
                      <w:rFonts w:hint="eastAsia"/>
                      <w:kern w:val="0"/>
                      <w:szCs w:val="21"/>
                      <w:lang w:eastAsia="zh-CN"/>
                    </w:rPr>
                    <w:t>超标</w:t>
                  </w:r>
                </w:p>
              </w:tc>
              <w:tc>
                <w:tcPr>
                  <w:tcW w:w="948" w:type="pct"/>
                  <w:vAlign w:val="center"/>
                </w:tcPr>
                <w:p>
                  <w:pPr>
                    <w:jc w:val="center"/>
                    <w:rPr>
                      <w:rFonts w:hint="eastAsia" w:eastAsia="宋体"/>
                      <w:kern w:val="0"/>
                      <w:szCs w:val="21"/>
                      <w:lang w:eastAsia="zh-CN"/>
                    </w:rPr>
                  </w:pPr>
                  <w:r>
                    <w:rPr>
                      <w:rFonts w:hint="eastAsia"/>
                      <w:kern w:val="0"/>
                      <w:szCs w:val="21"/>
                      <w:lang w:eastAsia="zh-CN"/>
                    </w:rPr>
                    <w:t>达标</w:t>
                  </w:r>
                </w:p>
              </w:tc>
            </w:tr>
          </w:tbl>
          <w:p>
            <w:pPr>
              <w:spacing w:line="360" w:lineRule="auto"/>
              <w:ind w:firstLine="480" w:firstLineChars="200"/>
              <w:rPr>
                <w:rFonts w:hint="eastAsia"/>
                <w:kern w:val="0"/>
                <w:sz w:val="24"/>
                <w:u w:val="single"/>
              </w:rPr>
            </w:pPr>
            <w:r>
              <w:rPr>
                <w:rFonts w:hint="eastAsia"/>
                <w:kern w:val="0"/>
                <w:sz w:val="24"/>
                <w:u w:val="single"/>
              </w:rPr>
              <w:t>上表预测结果表明，项目尾水排入</w:t>
            </w:r>
            <w:r>
              <w:rPr>
                <w:rFonts w:hint="eastAsia"/>
                <w:kern w:val="0"/>
                <w:sz w:val="24"/>
                <w:u w:val="single"/>
                <w:lang w:eastAsia="zh-CN"/>
              </w:rPr>
              <w:t>南港河</w:t>
            </w:r>
            <w:r>
              <w:rPr>
                <w:rFonts w:hint="eastAsia"/>
                <w:kern w:val="0"/>
                <w:sz w:val="24"/>
                <w:u w:val="single"/>
              </w:rPr>
              <w:t>后，完全混合后 COD</w:t>
            </w:r>
            <w:r>
              <w:rPr>
                <w:rFonts w:hint="eastAsia"/>
                <w:kern w:val="0"/>
                <w:sz w:val="24"/>
                <w:u w:val="single"/>
                <w:lang w:eastAsia="zh-CN"/>
              </w:rPr>
              <w:t>超标，</w:t>
            </w:r>
            <w:r>
              <w:rPr>
                <w:rFonts w:hint="eastAsia"/>
                <w:kern w:val="0"/>
                <w:sz w:val="24"/>
                <w:u w:val="single"/>
              </w:rPr>
              <w:t>NH</w:t>
            </w:r>
            <w:r>
              <w:rPr>
                <w:rFonts w:hint="eastAsia"/>
                <w:kern w:val="0"/>
                <w:sz w:val="24"/>
                <w:u w:val="single"/>
                <w:vertAlign w:val="subscript"/>
              </w:rPr>
              <w:t>3</w:t>
            </w:r>
            <w:r>
              <w:rPr>
                <w:rFonts w:hint="eastAsia"/>
                <w:kern w:val="0"/>
                <w:sz w:val="24"/>
                <w:u w:val="single"/>
              </w:rPr>
              <w:t>-N的浓度满足《地表水环境质量标准》（GB3838-2002）中的Ⅲ类标准。</w:t>
            </w:r>
            <w:r>
              <w:rPr>
                <w:rFonts w:hint="eastAsia"/>
                <w:kern w:val="0"/>
                <w:sz w:val="24"/>
                <w:u w:val="single"/>
                <w:lang w:val="en-US" w:eastAsia="zh-CN"/>
              </w:rPr>
              <w:t>COD超标的原因是目前南港河因区域</w:t>
            </w:r>
            <w:r>
              <w:rPr>
                <w:rFonts w:hint="default" w:ascii="Times New Roman" w:hAnsi="Times New Roman" w:eastAsia="宋体" w:cs="Times New Roman"/>
                <w:b w:val="0"/>
                <w:bCs w:val="0"/>
                <w:color w:val="auto"/>
                <w:spacing w:val="0"/>
                <w:w w:val="100"/>
                <w:kern w:val="0"/>
                <w:position w:val="0"/>
                <w:sz w:val="24"/>
                <w:szCs w:val="24"/>
                <w:highlight w:val="none"/>
                <w:u w:val="single"/>
                <w:lang w:val="en-US" w:eastAsia="zh-CN" w:bidi="ar-SA"/>
              </w:rPr>
              <w:t>污水管网未完全铺设、部分居民生活污水直接</w:t>
            </w:r>
            <w:r>
              <w:rPr>
                <w:rFonts w:hint="eastAsia" w:eastAsia="宋体" w:cs="Times New Roman"/>
                <w:b w:val="0"/>
                <w:bCs w:val="0"/>
                <w:color w:val="auto"/>
                <w:spacing w:val="0"/>
                <w:w w:val="100"/>
                <w:kern w:val="0"/>
                <w:position w:val="0"/>
                <w:sz w:val="24"/>
                <w:szCs w:val="24"/>
                <w:highlight w:val="none"/>
                <w:u w:val="single"/>
                <w:lang w:val="en-US" w:eastAsia="zh-CN" w:bidi="ar-SA"/>
              </w:rPr>
              <w:t>排放</w:t>
            </w:r>
            <w:r>
              <w:rPr>
                <w:rFonts w:hint="eastAsia"/>
                <w:kern w:val="0"/>
                <w:sz w:val="24"/>
                <w:u w:val="single"/>
                <w:lang w:val="en-US" w:eastAsia="zh-CN"/>
              </w:rPr>
              <w:t>，南港河现状COD超标。待本项目建成后，通过各管网的雨污分流、COS调节池的建设，减少区域雨水混入污水处理厂处理现象，奇家社区污水处理站及区域污水提升泵站建成后，污水经收集或收集处理后进入罗家坡污水处理厂，罗家坡污水处理厂进水水质将有所提升；进而南港河水质将有所改善</w:t>
            </w:r>
            <w:r>
              <w:rPr>
                <w:rFonts w:hint="eastAsia"/>
                <w:kern w:val="0"/>
                <w:sz w:val="24"/>
                <w:u w:val="single"/>
              </w:rPr>
              <w:t>。</w:t>
            </w:r>
          </w:p>
          <w:p>
            <w:pPr>
              <w:pStyle w:val="2"/>
              <w:numPr>
                <w:ilvl w:val="2"/>
                <w:numId w:val="0"/>
              </w:numPr>
              <w:ind w:leftChars="0"/>
              <w:rPr>
                <w:kern w:val="0"/>
                <w:sz w:val="24"/>
              </w:rPr>
            </w:pPr>
            <w:r>
              <w:rPr>
                <w:rFonts w:hint="eastAsia"/>
                <w:kern w:val="0"/>
                <w:sz w:val="24"/>
                <w:lang w:val="en-US" w:eastAsia="zh-CN"/>
              </w:rPr>
              <w:t xml:space="preserve">    </w:t>
            </w:r>
            <w:r>
              <w:rPr>
                <w:rFonts w:hint="eastAsia"/>
                <w:kern w:val="0"/>
                <w:sz w:val="24"/>
                <w:lang w:eastAsia="zh-CN"/>
              </w:rPr>
              <w:t>（</w:t>
            </w:r>
            <w:r>
              <w:rPr>
                <w:rFonts w:hint="eastAsia"/>
                <w:kern w:val="0"/>
                <w:sz w:val="24"/>
                <w:lang w:val="en-US" w:eastAsia="zh-CN"/>
              </w:rPr>
              <w:t>4</w:t>
            </w:r>
            <w:r>
              <w:rPr>
                <w:rFonts w:hint="eastAsia"/>
                <w:kern w:val="0"/>
                <w:sz w:val="24"/>
                <w:lang w:eastAsia="zh-CN"/>
              </w:rPr>
              <w:t>）</w:t>
            </w:r>
            <w:r>
              <w:rPr>
                <w:rFonts w:hint="eastAsia"/>
                <w:kern w:val="0"/>
                <w:sz w:val="24"/>
              </w:rPr>
              <w:t>本项目环境效益分析</w:t>
            </w:r>
          </w:p>
          <w:p>
            <w:pPr>
              <w:spacing w:line="360" w:lineRule="auto"/>
              <w:ind w:firstLine="480" w:firstLineChars="200"/>
              <w:rPr>
                <w:rStyle w:val="33"/>
              </w:rPr>
            </w:pPr>
            <w:r>
              <w:rPr>
                <w:rFonts w:hint="eastAsia"/>
                <w:kern w:val="0"/>
                <w:sz w:val="24"/>
              </w:rPr>
              <w:t>本项目为污水处理站及污水配套管网建设工程，项目建成后，纳污范围内的生活污水不再直排进入周围水体，</w:t>
            </w:r>
            <w:r>
              <w:rPr>
                <w:rFonts w:hint="eastAsia"/>
                <w:kern w:val="0"/>
                <w:sz w:val="24"/>
                <w:lang w:eastAsia="zh-CN"/>
              </w:rPr>
              <w:t>奇家社区污水处理站处理后</w:t>
            </w:r>
            <w:r>
              <w:rPr>
                <w:rFonts w:hint="eastAsia"/>
                <w:kern w:val="0"/>
                <w:sz w:val="24"/>
              </w:rPr>
              <w:t>COD削减量为</w:t>
            </w:r>
            <w:r>
              <w:rPr>
                <w:rFonts w:hint="eastAsia"/>
                <w:kern w:val="0"/>
                <w:sz w:val="24"/>
                <w:lang w:val="en-US" w:eastAsia="zh-CN"/>
              </w:rPr>
              <w:t>28.1</w:t>
            </w:r>
            <w:r>
              <w:rPr>
                <w:rFonts w:hint="eastAsia"/>
                <w:kern w:val="0"/>
                <w:sz w:val="24"/>
              </w:rPr>
              <w:t>t/a，NH</w:t>
            </w:r>
            <w:r>
              <w:rPr>
                <w:rFonts w:hint="eastAsia"/>
                <w:kern w:val="0"/>
                <w:sz w:val="24"/>
                <w:vertAlign w:val="subscript"/>
              </w:rPr>
              <w:t>3</w:t>
            </w:r>
            <w:r>
              <w:rPr>
                <w:rFonts w:hint="eastAsia"/>
                <w:kern w:val="0"/>
                <w:sz w:val="24"/>
              </w:rPr>
              <w:t>-N削减量为2.</w:t>
            </w:r>
            <w:r>
              <w:rPr>
                <w:rFonts w:hint="eastAsia"/>
                <w:kern w:val="0"/>
                <w:sz w:val="24"/>
                <w:lang w:val="en-US" w:eastAsia="zh-CN"/>
              </w:rPr>
              <w:t>8</w:t>
            </w:r>
            <w:r>
              <w:rPr>
                <w:rFonts w:hint="eastAsia"/>
                <w:kern w:val="0"/>
                <w:sz w:val="24"/>
              </w:rPr>
              <w:t>t/a</w:t>
            </w:r>
            <w:r>
              <w:rPr>
                <w:rFonts w:hint="eastAsia"/>
                <w:kern w:val="0"/>
                <w:sz w:val="24"/>
                <w:lang w:eastAsia="zh-CN"/>
              </w:rPr>
              <w:t>；</w:t>
            </w:r>
            <w:r>
              <w:rPr>
                <w:rFonts w:hint="eastAsia"/>
                <w:kern w:val="0"/>
                <w:sz w:val="24"/>
                <w:lang w:val="en-US" w:eastAsia="zh-CN"/>
              </w:rPr>
              <w:t>3个湿塘附近居民生活污水经各自污水处理站处理后</w:t>
            </w:r>
            <w:r>
              <w:rPr>
                <w:rFonts w:hint="eastAsia"/>
                <w:kern w:val="0"/>
                <w:sz w:val="24"/>
              </w:rPr>
              <w:t>COD削减量为</w:t>
            </w:r>
            <w:r>
              <w:rPr>
                <w:rFonts w:hint="eastAsia"/>
                <w:kern w:val="0"/>
                <w:sz w:val="24"/>
                <w:lang w:val="en-US" w:eastAsia="zh-CN"/>
              </w:rPr>
              <w:t>1.91</w:t>
            </w:r>
            <w:r>
              <w:rPr>
                <w:rFonts w:hint="eastAsia"/>
                <w:kern w:val="0"/>
                <w:sz w:val="24"/>
              </w:rPr>
              <w:t>t/a，NH</w:t>
            </w:r>
            <w:r>
              <w:rPr>
                <w:rFonts w:hint="eastAsia"/>
                <w:kern w:val="0"/>
                <w:sz w:val="24"/>
                <w:vertAlign w:val="subscript"/>
              </w:rPr>
              <w:t>3</w:t>
            </w:r>
            <w:r>
              <w:rPr>
                <w:rFonts w:hint="eastAsia"/>
                <w:kern w:val="0"/>
                <w:sz w:val="24"/>
              </w:rPr>
              <w:t>-N削减量为</w:t>
            </w:r>
            <w:r>
              <w:rPr>
                <w:rFonts w:hint="eastAsia"/>
                <w:kern w:val="0"/>
                <w:sz w:val="24"/>
                <w:lang w:val="en-US" w:eastAsia="zh-CN"/>
              </w:rPr>
              <w:t>0.12</w:t>
            </w:r>
            <w:r>
              <w:rPr>
                <w:rFonts w:hint="eastAsia"/>
                <w:kern w:val="0"/>
                <w:sz w:val="24"/>
              </w:rPr>
              <w:t>t/a</w:t>
            </w:r>
            <w:r>
              <w:rPr>
                <w:rFonts w:hint="eastAsia"/>
                <w:kern w:val="0"/>
                <w:sz w:val="24"/>
                <w:lang w:eastAsia="zh-CN"/>
              </w:rPr>
              <w:t>；</w:t>
            </w:r>
            <w:r>
              <w:rPr>
                <w:rFonts w:hint="eastAsia"/>
                <w:kern w:val="0"/>
                <w:sz w:val="24"/>
              </w:rPr>
              <w:t>大大降低了周围地表水体的负荷，减轻了对周围水体的污染，使周围地表水质逐渐改善，项目的建设对周围地表水环境将产生长远的有利影响。</w:t>
            </w:r>
          </w:p>
          <w:p>
            <w:pPr>
              <w:spacing w:line="360" w:lineRule="auto"/>
              <w:ind w:firstLine="480" w:firstLineChars="200"/>
              <w:rPr>
                <w:rFonts w:hint="eastAsia"/>
                <w:sz w:val="24"/>
              </w:rPr>
            </w:pPr>
            <w:r>
              <w:rPr>
                <w:rFonts w:hint="eastAsia"/>
                <w:sz w:val="24"/>
                <w:lang w:val="en-US" w:eastAsia="zh-CN"/>
              </w:rPr>
              <w:t>（5）</w:t>
            </w:r>
            <w:r>
              <w:rPr>
                <w:rFonts w:hint="eastAsia"/>
                <w:sz w:val="24"/>
              </w:rPr>
              <w:t>废水污染物排放信息</w:t>
            </w:r>
          </w:p>
          <w:p>
            <w:pPr>
              <w:spacing w:line="360" w:lineRule="auto"/>
              <w:ind w:firstLine="480" w:firstLineChars="200"/>
              <w:rPr>
                <w:sz w:val="24"/>
              </w:rPr>
            </w:pPr>
            <w:r>
              <w:rPr>
                <w:rFonts w:hint="eastAsia"/>
                <w:sz w:val="24"/>
              </w:rPr>
              <w:t>本项目废水类别、污染物及污染治理设施信息见表</w:t>
            </w:r>
            <w:r>
              <w:rPr>
                <w:rFonts w:hint="eastAsia"/>
                <w:sz w:val="24"/>
                <w:lang w:val="en-US" w:eastAsia="zh-CN"/>
              </w:rPr>
              <w:t>7.2-11</w:t>
            </w:r>
            <w:r>
              <w:rPr>
                <w:rFonts w:hint="eastAsia"/>
                <w:sz w:val="24"/>
              </w:rPr>
              <w:t>，废水排放口基本情况见表</w:t>
            </w:r>
            <w:r>
              <w:rPr>
                <w:rFonts w:hint="eastAsia"/>
                <w:sz w:val="24"/>
                <w:lang w:val="en-US" w:eastAsia="zh-CN"/>
              </w:rPr>
              <w:t>7.2-12</w:t>
            </w:r>
            <w:r>
              <w:rPr>
                <w:rFonts w:hint="eastAsia"/>
                <w:sz w:val="24"/>
              </w:rPr>
              <w:t>，地表水监测断面位置见表</w:t>
            </w:r>
            <w:r>
              <w:rPr>
                <w:rFonts w:hint="eastAsia"/>
                <w:sz w:val="24"/>
                <w:lang w:val="en-US" w:eastAsia="zh-CN"/>
              </w:rPr>
              <w:t>7.2-13</w:t>
            </w:r>
            <w:r>
              <w:rPr>
                <w:rFonts w:hint="eastAsia"/>
                <w:sz w:val="24"/>
              </w:rPr>
              <w:t>，废水污染物排放信息见表</w:t>
            </w:r>
            <w:r>
              <w:rPr>
                <w:rFonts w:hint="eastAsia"/>
                <w:sz w:val="24"/>
                <w:lang w:val="en-US" w:eastAsia="zh-CN"/>
              </w:rPr>
              <w:t>7.2-14</w:t>
            </w:r>
            <w:r>
              <w:rPr>
                <w:rFonts w:hint="eastAsia"/>
                <w:sz w:val="24"/>
              </w:rPr>
              <w:t>。</w:t>
            </w:r>
          </w:p>
          <w:p>
            <w:pPr>
              <w:jc w:val="center"/>
              <w:rPr>
                <w:b/>
                <w:bCs/>
                <w:sz w:val="24"/>
                <w:szCs w:val="24"/>
              </w:rPr>
            </w:pPr>
            <w:r>
              <w:rPr>
                <w:rFonts w:hint="eastAsia"/>
                <w:b/>
                <w:bCs/>
                <w:sz w:val="24"/>
                <w:szCs w:val="24"/>
              </w:rPr>
              <w:t>表</w:t>
            </w:r>
            <w:r>
              <w:rPr>
                <w:rFonts w:hint="eastAsia"/>
                <w:b/>
                <w:bCs/>
                <w:sz w:val="24"/>
                <w:szCs w:val="24"/>
                <w:lang w:val="en-US" w:eastAsia="zh-CN"/>
              </w:rPr>
              <w:t>7.2-11</w:t>
            </w:r>
            <w:r>
              <w:rPr>
                <w:rFonts w:hint="eastAsia"/>
                <w:b/>
                <w:bCs/>
                <w:sz w:val="24"/>
                <w:szCs w:val="24"/>
              </w:rPr>
              <w:t xml:space="preserve">   本项目废水类别、污染物及污染治理设施信息表</w:t>
            </w:r>
          </w:p>
          <w:tbl>
            <w:tblPr>
              <w:tblStyle w:val="26"/>
              <w:tblW w:w="9555"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426"/>
              <w:gridCol w:w="426"/>
              <w:gridCol w:w="1038"/>
              <w:gridCol w:w="832"/>
              <w:gridCol w:w="939"/>
              <w:gridCol w:w="755"/>
              <w:gridCol w:w="948"/>
              <w:gridCol w:w="1177"/>
              <w:gridCol w:w="426"/>
              <w:gridCol w:w="742"/>
              <w:gridCol w:w="1846"/>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411" w:type="dxa"/>
                  <w:vMerge w:val="restart"/>
                  <w:tcBorders>
                    <w:tl2br w:val="nil"/>
                    <w:tr2bl w:val="nil"/>
                  </w:tcBorders>
                  <w:noWrap w:val="0"/>
                  <w:vAlign w:val="center"/>
                </w:tcPr>
                <w:p>
                  <w:pPr>
                    <w:widowControl/>
                    <w:jc w:val="center"/>
                    <w:textAlignment w:val="center"/>
                  </w:pPr>
                  <w:r>
                    <w:rPr>
                      <w:rFonts w:hint="eastAsia"/>
                    </w:rPr>
                    <w:t>序号</w:t>
                  </w:r>
                </w:p>
              </w:tc>
              <w:tc>
                <w:tcPr>
                  <w:tcW w:w="406" w:type="dxa"/>
                  <w:vMerge w:val="restart"/>
                  <w:tcBorders>
                    <w:tl2br w:val="nil"/>
                    <w:tr2bl w:val="nil"/>
                  </w:tcBorders>
                  <w:noWrap w:val="0"/>
                  <w:vAlign w:val="center"/>
                </w:tcPr>
                <w:p>
                  <w:pPr>
                    <w:widowControl/>
                    <w:jc w:val="center"/>
                    <w:textAlignment w:val="center"/>
                  </w:pPr>
                  <w:r>
                    <w:rPr>
                      <w:rFonts w:hint="eastAsia"/>
                    </w:rPr>
                    <w:t>废水类别</w:t>
                  </w:r>
                </w:p>
              </w:tc>
              <w:tc>
                <w:tcPr>
                  <w:tcW w:w="1038" w:type="dxa"/>
                  <w:vMerge w:val="restart"/>
                  <w:tcBorders>
                    <w:tl2br w:val="nil"/>
                    <w:tr2bl w:val="nil"/>
                  </w:tcBorders>
                  <w:noWrap w:val="0"/>
                  <w:vAlign w:val="center"/>
                </w:tcPr>
                <w:p>
                  <w:pPr>
                    <w:widowControl/>
                    <w:jc w:val="center"/>
                    <w:textAlignment w:val="center"/>
                  </w:pPr>
                  <w:r>
                    <w:rPr>
                      <w:rFonts w:hint="eastAsia"/>
                    </w:rPr>
                    <w:t>污染物种类</w:t>
                  </w:r>
                </w:p>
              </w:tc>
              <w:tc>
                <w:tcPr>
                  <w:tcW w:w="840" w:type="dxa"/>
                  <w:vMerge w:val="restart"/>
                  <w:tcBorders>
                    <w:tl2br w:val="nil"/>
                    <w:tr2bl w:val="nil"/>
                  </w:tcBorders>
                  <w:noWrap w:val="0"/>
                  <w:vAlign w:val="center"/>
                </w:tcPr>
                <w:p>
                  <w:pPr>
                    <w:widowControl/>
                    <w:jc w:val="center"/>
                    <w:textAlignment w:val="center"/>
                  </w:pPr>
                  <w:r>
                    <w:rPr>
                      <w:rFonts w:hint="eastAsia"/>
                    </w:rPr>
                    <w:t>排放去向</w:t>
                  </w:r>
                </w:p>
              </w:tc>
              <w:tc>
                <w:tcPr>
                  <w:tcW w:w="945" w:type="dxa"/>
                  <w:vMerge w:val="restart"/>
                  <w:tcBorders>
                    <w:tl2br w:val="nil"/>
                    <w:tr2bl w:val="nil"/>
                  </w:tcBorders>
                  <w:noWrap w:val="0"/>
                  <w:vAlign w:val="center"/>
                </w:tcPr>
                <w:p>
                  <w:pPr>
                    <w:widowControl/>
                    <w:jc w:val="center"/>
                    <w:textAlignment w:val="center"/>
                  </w:pPr>
                  <w:r>
                    <w:rPr>
                      <w:rFonts w:hint="eastAsia"/>
                    </w:rPr>
                    <w:t>排放规律</w:t>
                  </w:r>
                </w:p>
              </w:tc>
              <w:tc>
                <w:tcPr>
                  <w:tcW w:w="2901" w:type="dxa"/>
                  <w:gridSpan w:val="3"/>
                  <w:tcBorders>
                    <w:tl2br w:val="nil"/>
                    <w:tr2bl w:val="nil"/>
                  </w:tcBorders>
                  <w:noWrap w:val="0"/>
                  <w:vAlign w:val="center"/>
                </w:tcPr>
                <w:p>
                  <w:pPr>
                    <w:widowControl/>
                    <w:jc w:val="center"/>
                    <w:textAlignment w:val="center"/>
                  </w:pPr>
                  <w:r>
                    <w:rPr>
                      <w:rFonts w:hint="eastAsia"/>
                    </w:rPr>
                    <w:t>污染治理设施</w:t>
                  </w:r>
                </w:p>
              </w:tc>
              <w:tc>
                <w:tcPr>
                  <w:tcW w:w="394" w:type="dxa"/>
                  <w:vMerge w:val="restart"/>
                  <w:tcBorders>
                    <w:tl2br w:val="nil"/>
                    <w:tr2bl w:val="nil"/>
                  </w:tcBorders>
                  <w:noWrap w:val="0"/>
                  <w:vAlign w:val="center"/>
                </w:tcPr>
                <w:p>
                  <w:pPr>
                    <w:widowControl/>
                    <w:jc w:val="center"/>
                    <w:textAlignment w:val="center"/>
                  </w:pPr>
                  <w:r>
                    <w:rPr>
                      <w:rFonts w:hint="eastAsia"/>
                    </w:rPr>
                    <w:t>排放口编号</w:t>
                  </w:r>
                </w:p>
              </w:tc>
              <w:tc>
                <w:tcPr>
                  <w:tcW w:w="748" w:type="dxa"/>
                  <w:vMerge w:val="restart"/>
                  <w:tcBorders>
                    <w:tl2br w:val="nil"/>
                    <w:tr2bl w:val="nil"/>
                  </w:tcBorders>
                  <w:noWrap w:val="0"/>
                  <w:vAlign w:val="center"/>
                </w:tcPr>
                <w:p>
                  <w:pPr>
                    <w:widowControl/>
                    <w:jc w:val="center"/>
                    <w:textAlignment w:val="center"/>
                  </w:pPr>
                  <w:r>
                    <w:rPr>
                      <w:rFonts w:hint="eastAsia"/>
                    </w:rPr>
                    <w:t>排放口设置是否符合要求</w:t>
                  </w:r>
                </w:p>
              </w:tc>
              <w:tc>
                <w:tcPr>
                  <w:tcW w:w="1872" w:type="dxa"/>
                  <w:vMerge w:val="restart"/>
                  <w:tcBorders>
                    <w:tl2br w:val="nil"/>
                    <w:tr2bl w:val="nil"/>
                  </w:tcBorders>
                  <w:noWrap w:val="0"/>
                  <w:vAlign w:val="center"/>
                </w:tcPr>
                <w:p>
                  <w:pPr>
                    <w:widowControl/>
                    <w:jc w:val="center"/>
                    <w:textAlignment w:val="center"/>
                  </w:pPr>
                  <w:r>
                    <w:rPr>
                      <w:rFonts w:hint="eastAsia"/>
                    </w:rPr>
                    <w:t>排放口类型</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411" w:type="dxa"/>
                  <w:vMerge w:val="continue"/>
                  <w:tcBorders>
                    <w:tl2br w:val="nil"/>
                    <w:tr2bl w:val="nil"/>
                  </w:tcBorders>
                  <w:noWrap w:val="0"/>
                  <w:vAlign w:val="center"/>
                </w:tcPr>
                <w:p>
                  <w:pPr>
                    <w:jc w:val="center"/>
                  </w:pPr>
                </w:p>
              </w:tc>
              <w:tc>
                <w:tcPr>
                  <w:tcW w:w="406" w:type="dxa"/>
                  <w:vMerge w:val="continue"/>
                  <w:tcBorders>
                    <w:tl2br w:val="nil"/>
                    <w:tr2bl w:val="nil"/>
                  </w:tcBorders>
                  <w:noWrap w:val="0"/>
                  <w:vAlign w:val="center"/>
                </w:tcPr>
                <w:p>
                  <w:pPr>
                    <w:jc w:val="center"/>
                  </w:pPr>
                </w:p>
              </w:tc>
              <w:tc>
                <w:tcPr>
                  <w:tcW w:w="1038" w:type="dxa"/>
                  <w:vMerge w:val="continue"/>
                  <w:tcBorders>
                    <w:tl2br w:val="nil"/>
                    <w:tr2bl w:val="nil"/>
                  </w:tcBorders>
                  <w:noWrap w:val="0"/>
                  <w:vAlign w:val="center"/>
                </w:tcPr>
                <w:p>
                  <w:pPr>
                    <w:jc w:val="center"/>
                  </w:pPr>
                </w:p>
              </w:tc>
              <w:tc>
                <w:tcPr>
                  <w:tcW w:w="840" w:type="dxa"/>
                  <w:vMerge w:val="continue"/>
                  <w:tcBorders>
                    <w:tl2br w:val="nil"/>
                    <w:tr2bl w:val="nil"/>
                  </w:tcBorders>
                  <w:noWrap w:val="0"/>
                  <w:vAlign w:val="center"/>
                </w:tcPr>
                <w:p>
                  <w:pPr>
                    <w:jc w:val="center"/>
                  </w:pPr>
                </w:p>
              </w:tc>
              <w:tc>
                <w:tcPr>
                  <w:tcW w:w="945" w:type="dxa"/>
                  <w:vMerge w:val="continue"/>
                  <w:tcBorders>
                    <w:tl2br w:val="nil"/>
                    <w:tr2bl w:val="nil"/>
                  </w:tcBorders>
                  <w:noWrap w:val="0"/>
                  <w:vAlign w:val="center"/>
                </w:tcPr>
                <w:p>
                  <w:pPr>
                    <w:jc w:val="center"/>
                  </w:pPr>
                </w:p>
              </w:tc>
              <w:tc>
                <w:tcPr>
                  <w:tcW w:w="761" w:type="dxa"/>
                  <w:tcBorders>
                    <w:tl2br w:val="nil"/>
                    <w:tr2bl w:val="nil"/>
                  </w:tcBorders>
                  <w:noWrap w:val="0"/>
                  <w:vAlign w:val="center"/>
                </w:tcPr>
                <w:p>
                  <w:pPr>
                    <w:jc w:val="center"/>
                  </w:pPr>
                  <w:r>
                    <w:rPr>
                      <w:rFonts w:hint="eastAsia"/>
                    </w:rPr>
                    <w:t>污染治理设施编号</w:t>
                  </w:r>
                </w:p>
              </w:tc>
              <w:tc>
                <w:tcPr>
                  <w:tcW w:w="958" w:type="dxa"/>
                  <w:tcBorders>
                    <w:tl2br w:val="nil"/>
                    <w:tr2bl w:val="nil"/>
                  </w:tcBorders>
                  <w:noWrap w:val="0"/>
                  <w:vAlign w:val="center"/>
                </w:tcPr>
                <w:p>
                  <w:pPr>
                    <w:jc w:val="center"/>
                  </w:pPr>
                  <w:r>
                    <w:rPr>
                      <w:rFonts w:hint="eastAsia"/>
                    </w:rPr>
                    <w:t>污染治理设施名称</w:t>
                  </w:r>
                </w:p>
              </w:tc>
              <w:tc>
                <w:tcPr>
                  <w:tcW w:w="1182" w:type="dxa"/>
                  <w:tcBorders>
                    <w:tl2br w:val="nil"/>
                    <w:tr2bl w:val="nil"/>
                  </w:tcBorders>
                  <w:noWrap w:val="0"/>
                  <w:vAlign w:val="center"/>
                </w:tcPr>
                <w:p>
                  <w:pPr>
                    <w:jc w:val="center"/>
                  </w:pPr>
                  <w:r>
                    <w:rPr>
                      <w:rFonts w:hint="eastAsia"/>
                    </w:rPr>
                    <w:t>污染治理设施工艺</w:t>
                  </w:r>
                </w:p>
              </w:tc>
              <w:tc>
                <w:tcPr>
                  <w:tcW w:w="394" w:type="dxa"/>
                  <w:vMerge w:val="continue"/>
                  <w:tcBorders>
                    <w:tl2br w:val="nil"/>
                    <w:tr2bl w:val="nil"/>
                  </w:tcBorders>
                  <w:noWrap w:val="0"/>
                  <w:vAlign w:val="center"/>
                </w:tcPr>
                <w:p>
                  <w:pPr>
                    <w:jc w:val="center"/>
                  </w:pPr>
                </w:p>
              </w:tc>
              <w:tc>
                <w:tcPr>
                  <w:tcW w:w="748" w:type="dxa"/>
                  <w:vMerge w:val="continue"/>
                  <w:tcBorders>
                    <w:tl2br w:val="nil"/>
                    <w:tr2bl w:val="nil"/>
                  </w:tcBorders>
                  <w:noWrap w:val="0"/>
                  <w:vAlign w:val="center"/>
                </w:tcPr>
                <w:p>
                  <w:pPr>
                    <w:jc w:val="center"/>
                  </w:pPr>
                </w:p>
              </w:tc>
              <w:tc>
                <w:tcPr>
                  <w:tcW w:w="1872" w:type="dxa"/>
                  <w:vMerge w:val="continue"/>
                  <w:tcBorders>
                    <w:tl2br w:val="nil"/>
                    <w:tr2bl w:val="nil"/>
                  </w:tcBorders>
                  <w:noWrap w:val="0"/>
                  <w:vAlign w:val="center"/>
                </w:tcPr>
                <w:p>
                  <w:pPr>
                    <w:jc w:val="cente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411" w:type="dxa"/>
                  <w:tcBorders>
                    <w:tl2br w:val="nil"/>
                    <w:tr2bl w:val="nil"/>
                  </w:tcBorders>
                  <w:noWrap w:val="0"/>
                  <w:vAlign w:val="center"/>
                </w:tcPr>
                <w:p>
                  <w:pPr>
                    <w:widowControl/>
                    <w:jc w:val="center"/>
                    <w:textAlignment w:val="center"/>
                  </w:pPr>
                  <w:r>
                    <w:rPr>
                      <w:rFonts w:hint="eastAsia"/>
                    </w:rPr>
                    <w:t>1</w:t>
                  </w:r>
                </w:p>
              </w:tc>
              <w:tc>
                <w:tcPr>
                  <w:tcW w:w="406" w:type="dxa"/>
                  <w:tcBorders>
                    <w:tl2br w:val="nil"/>
                    <w:tr2bl w:val="nil"/>
                  </w:tcBorders>
                  <w:noWrap w:val="0"/>
                  <w:vAlign w:val="center"/>
                </w:tcPr>
                <w:p>
                  <w:pPr>
                    <w:widowControl/>
                    <w:jc w:val="center"/>
                    <w:textAlignment w:val="center"/>
                  </w:pPr>
                  <w:r>
                    <w:rPr>
                      <w:rFonts w:hint="eastAsia"/>
                    </w:rPr>
                    <w:t>生活污水</w:t>
                  </w:r>
                </w:p>
              </w:tc>
              <w:tc>
                <w:tcPr>
                  <w:tcW w:w="1038" w:type="dxa"/>
                  <w:tcBorders>
                    <w:tl2br w:val="nil"/>
                    <w:tr2bl w:val="nil"/>
                  </w:tcBorders>
                  <w:noWrap w:val="0"/>
                  <w:vAlign w:val="center"/>
                </w:tcPr>
                <w:p>
                  <w:pPr>
                    <w:widowControl/>
                    <w:jc w:val="left"/>
                    <w:textAlignment w:val="center"/>
                  </w:pPr>
                  <w:r>
                    <w:rPr>
                      <w:szCs w:val="21"/>
                    </w:rPr>
                    <w:t>COD</w:t>
                  </w:r>
                  <w:r>
                    <w:rPr>
                      <w:rFonts w:hint="eastAsia"/>
                    </w:rPr>
                    <w:t>、</w:t>
                  </w:r>
                  <w:r>
                    <w:rPr>
                      <w:szCs w:val="21"/>
                    </w:rPr>
                    <w:t>BOD</w:t>
                  </w:r>
                  <w:r>
                    <w:rPr>
                      <w:szCs w:val="21"/>
                      <w:vertAlign w:val="subscript"/>
                    </w:rPr>
                    <w:t>5</w:t>
                  </w:r>
                  <w:r>
                    <w:rPr>
                      <w:rFonts w:hint="eastAsia"/>
                    </w:rPr>
                    <w:t>、</w:t>
                  </w:r>
                  <w:r>
                    <w:rPr>
                      <w:szCs w:val="21"/>
                    </w:rPr>
                    <w:t>SS</w:t>
                  </w:r>
                  <w:r>
                    <w:rPr>
                      <w:rFonts w:hint="eastAsia"/>
                    </w:rPr>
                    <w:t>、</w:t>
                  </w:r>
                  <w:r>
                    <w:rPr>
                      <w:szCs w:val="21"/>
                    </w:rPr>
                    <w:t>NH</w:t>
                  </w:r>
                  <w:r>
                    <w:rPr>
                      <w:szCs w:val="21"/>
                      <w:vertAlign w:val="subscript"/>
                    </w:rPr>
                    <w:t>3</w:t>
                  </w:r>
                  <w:r>
                    <w:rPr>
                      <w:szCs w:val="21"/>
                    </w:rPr>
                    <w:t>-N</w:t>
                  </w:r>
                  <w:r>
                    <w:rPr>
                      <w:rFonts w:hint="eastAsia"/>
                    </w:rPr>
                    <w:t>、</w:t>
                  </w:r>
                  <w:r>
                    <w:rPr>
                      <w:szCs w:val="21"/>
                    </w:rPr>
                    <w:t>TN</w:t>
                  </w:r>
                  <w:r>
                    <w:rPr>
                      <w:rFonts w:hint="eastAsia"/>
                    </w:rPr>
                    <w:t>、</w:t>
                  </w:r>
                  <w:r>
                    <w:rPr>
                      <w:szCs w:val="21"/>
                    </w:rPr>
                    <w:t>TP</w:t>
                  </w:r>
                </w:p>
              </w:tc>
              <w:tc>
                <w:tcPr>
                  <w:tcW w:w="840" w:type="dxa"/>
                  <w:tcBorders>
                    <w:tl2br w:val="nil"/>
                    <w:tr2bl w:val="nil"/>
                  </w:tcBorders>
                  <w:noWrap w:val="0"/>
                  <w:vAlign w:val="center"/>
                </w:tcPr>
                <w:p>
                  <w:pPr>
                    <w:widowControl/>
                    <w:jc w:val="center"/>
                    <w:textAlignment w:val="center"/>
                    <w:rPr>
                      <w:rFonts w:hint="eastAsia" w:eastAsia="宋体"/>
                      <w:lang w:val="en-US" w:eastAsia="zh-CN"/>
                    </w:rPr>
                  </w:pPr>
                  <w:r>
                    <w:rPr>
                      <w:rFonts w:hint="eastAsia"/>
                    </w:rPr>
                    <w:t>直接进入</w:t>
                  </w:r>
                  <w:r>
                    <w:rPr>
                      <w:rFonts w:hint="eastAsia"/>
                      <w:lang w:val="en-US" w:eastAsia="zh-CN"/>
                    </w:rPr>
                    <w:t>南侧小溪</w:t>
                  </w:r>
                </w:p>
              </w:tc>
              <w:tc>
                <w:tcPr>
                  <w:tcW w:w="945" w:type="dxa"/>
                  <w:tcBorders>
                    <w:tl2br w:val="nil"/>
                    <w:tr2bl w:val="nil"/>
                  </w:tcBorders>
                  <w:noWrap w:val="0"/>
                  <w:vAlign w:val="center"/>
                </w:tcPr>
                <w:p>
                  <w:pPr>
                    <w:widowControl/>
                    <w:jc w:val="center"/>
                    <w:textAlignment w:val="center"/>
                  </w:pPr>
                  <w:r>
                    <w:rPr>
                      <w:rFonts w:hint="eastAsia"/>
                    </w:rPr>
                    <w:t>连续排放，流量不稳定，但有周期性规律</w:t>
                  </w:r>
                </w:p>
              </w:tc>
              <w:tc>
                <w:tcPr>
                  <w:tcW w:w="761" w:type="dxa"/>
                  <w:tcBorders>
                    <w:tl2br w:val="nil"/>
                    <w:tr2bl w:val="nil"/>
                  </w:tcBorders>
                  <w:noWrap w:val="0"/>
                  <w:vAlign w:val="center"/>
                </w:tcPr>
                <w:p>
                  <w:pPr>
                    <w:widowControl/>
                    <w:jc w:val="center"/>
                    <w:textAlignment w:val="center"/>
                  </w:pPr>
                  <w:r>
                    <w:rPr>
                      <w:rFonts w:hint="eastAsia"/>
                    </w:rPr>
                    <w:t>1#</w:t>
                  </w:r>
                </w:p>
              </w:tc>
              <w:tc>
                <w:tcPr>
                  <w:tcW w:w="958" w:type="dxa"/>
                  <w:tcBorders>
                    <w:tl2br w:val="nil"/>
                    <w:tr2bl w:val="nil"/>
                  </w:tcBorders>
                  <w:noWrap w:val="0"/>
                  <w:vAlign w:val="center"/>
                </w:tcPr>
                <w:p>
                  <w:pPr>
                    <w:widowControl/>
                    <w:jc w:val="center"/>
                    <w:textAlignment w:val="center"/>
                  </w:pPr>
                  <w:r>
                    <w:rPr>
                      <w:rFonts w:hint="eastAsia"/>
                      <w:szCs w:val="21"/>
                      <w:lang w:val="en-US" w:eastAsia="zh-CN"/>
                    </w:rPr>
                    <w:t>奇家社区污水处理站</w:t>
                  </w:r>
                </w:p>
              </w:tc>
              <w:tc>
                <w:tcPr>
                  <w:tcW w:w="1182" w:type="dxa"/>
                  <w:tcBorders>
                    <w:tl2br w:val="nil"/>
                    <w:tr2bl w:val="nil"/>
                  </w:tcBorders>
                  <w:noWrap w:val="0"/>
                  <w:vAlign w:val="center"/>
                </w:tcPr>
                <w:p>
                  <w:pPr>
                    <w:widowControl/>
                    <w:jc w:val="center"/>
                    <w:textAlignment w:val="center"/>
                  </w:pPr>
                  <w:r>
                    <w:rPr>
                      <w:rFonts w:hint="eastAsia"/>
                      <w:lang w:val="en-US" w:eastAsia="zh-CN"/>
                    </w:rPr>
                    <w:t>三格式化粪池+提升井+调节池+</w:t>
                  </w:r>
                  <w:r>
                    <w:rPr>
                      <w:rFonts w:hint="eastAsia"/>
                      <w:lang w:eastAsia="zh-CN"/>
                    </w:rPr>
                    <w:t>PTA</w:t>
                  </w:r>
                  <w:r>
                    <w:rPr>
                      <w:rFonts w:hint="eastAsia"/>
                      <w:vertAlign w:val="superscript"/>
                      <w:lang w:eastAsia="zh-CN"/>
                    </w:rPr>
                    <w:t>2</w:t>
                  </w:r>
                  <w:r>
                    <w:rPr>
                      <w:rFonts w:hint="eastAsia"/>
                      <w:lang w:eastAsia="zh-CN"/>
                    </w:rPr>
                    <w:t>O</w:t>
                  </w:r>
                  <w:r>
                    <w:rPr>
                      <w:rFonts w:hint="eastAsia"/>
                      <w:lang w:val="en-US" w:eastAsia="zh-CN"/>
                    </w:rPr>
                    <w:t>一体化污水综合处理装置+消毒工艺组合</w:t>
                  </w:r>
                </w:p>
              </w:tc>
              <w:tc>
                <w:tcPr>
                  <w:tcW w:w="394" w:type="dxa"/>
                  <w:tcBorders>
                    <w:tl2br w:val="nil"/>
                    <w:tr2bl w:val="nil"/>
                  </w:tcBorders>
                  <w:noWrap w:val="0"/>
                  <w:vAlign w:val="center"/>
                </w:tcPr>
                <w:p>
                  <w:pPr>
                    <w:widowControl/>
                    <w:jc w:val="center"/>
                    <w:textAlignment w:val="center"/>
                  </w:pPr>
                  <w:r>
                    <w:rPr>
                      <w:rFonts w:hint="eastAsia"/>
                    </w:rPr>
                    <w:t>1#</w:t>
                  </w:r>
                </w:p>
              </w:tc>
              <w:tc>
                <w:tcPr>
                  <w:tcW w:w="748" w:type="dxa"/>
                  <w:tcBorders>
                    <w:tl2br w:val="nil"/>
                    <w:tr2bl w:val="nil"/>
                  </w:tcBorders>
                  <w:noWrap w:val="0"/>
                  <w:vAlign w:val="center"/>
                </w:tcPr>
                <w:p>
                  <w:pPr>
                    <w:widowControl/>
                    <w:jc w:val="center"/>
                    <w:textAlignment w:val="center"/>
                    <w:rPr>
                      <w:rFonts w:hint="eastAsia"/>
                    </w:rPr>
                  </w:pPr>
                  <w:r>
                    <w:rPr>
                      <w:rFonts w:hint="eastAsia"/>
                    </w:rPr>
                    <w:fldChar w:fldCharType="begin"/>
                  </w:r>
                  <w:r>
                    <w:rPr>
                      <w:rFonts w:hint="eastAsia"/>
                    </w:rPr>
                    <w:instrText xml:space="preserve"> EQ \o\ac(□,</w:instrText>
                  </w:r>
                  <w:r>
                    <w:rPr>
                      <w:rFonts w:hint="eastAsia"/>
                      <w:position w:val="2"/>
                      <w:sz w:val="14"/>
                    </w:rPr>
                    <w:instrText xml:space="preserve">√</w:instrText>
                  </w:r>
                  <w:r>
                    <w:rPr>
                      <w:rFonts w:hint="eastAsia"/>
                    </w:rPr>
                    <w:instrText xml:space="preserve">)</w:instrText>
                  </w:r>
                  <w:r>
                    <w:rPr>
                      <w:rFonts w:hint="eastAsia"/>
                    </w:rPr>
                    <w:fldChar w:fldCharType="end"/>
                  </w:r>
                  <w:r>
                    <w:rPr>
                      <w:rFonts w:hint="eastAsia"/>
                    </w:rPr>
                    <w:t>是</w:t>
                  </w:r>
                </w:p>
                <w:p>
                  <w:pPr>
                    <w:widowControl/>
                    <w:jc w:val="center"/>
                    <w:textAlignment w:val="center"/>
                  </w:pPr>
                  <w:r>
                    <w:rPr>
                      <w:rFonts w:hint="eastAsia"/>
                    </w:rPr>
                    <w:fldChar w:fldCharType="begin"/>
                  </w:r>
                  <w:r>
                    <w:rPr>
                      <w:rFonts w:hint="eastAsia"/>
                    </w:rPr>
                    <w:instrText xml:space="preserve"> EQ \o\ac(□)</w:instrText>
                  </w:r>
                  <w:r>
                    <w:rPr>
                      <w:rFonts w:hint="eastAsia"/>
                    </w:rPr>
                    <w:fldChar w:fldCharType="end"/>
                  </w:r>
                  <w:r>
                    <w:rPr>
                      <w:rFonts w:hint="eastAsia"/>
                    </w:rPr>
                    <w:t>否</w:t>
                  </w:r>
                </w:p>
              </w:tc>
              <w:tc>
                <w:tcPr>
                  <w:tcW w:w="1872" w:type="dxa"/>
                  <w:tcBorders>
                    <w:tl2br w:val="nil"/>
                    <w:tr2bl w:val="nil"/>
                  </w:tcBorders>
                  <w:noWrap w:val="0"/>
                  <w:vAlign w:val="center"/>
                </w:tcPr>
                <w:p>
                  <w:pPr>
                    <w:widowControl/>
                    <w:jc w:val="left"/>
                    <w:textAlignment w:val="center"/>
                    <w:rPr>
                      <w:rFonts w:hint="eastAsia"/>
                    </w:rPr>
                  </w:pPr>
                  <w:r>
                    <w:rPr>
                      <w:rFonts w:hint="eastAsia"/>
                    </w:rPr>
                    <w:fldChar w:fldCharType="begin"/>
                  </w:r>
                  <w:r>
                    <w:rPr>
                      <w:rFonts w:hint="eastAsia"/>
                    </w:rPr>
                    <w:instrText xml:space="preserve"> EQ \o\ac(□,</w:instrText>
                  </w:r>
                  <w:r>
                    <w:rPr>
                      <w:rFonts w:hint="eastAsia"/>
                      <w:position w:val="2"/>
                      <w:sz w:val="14"/>
                    </w:rPr>
                    <w:instrText xml:space="preserve">√</w:instrText>
                  </w:r>
                  <w:r>
                    <w:rPr>
                      <w:rFonts w:hint="eastAsia"/>
                    </w:rPr>
                    <w:instrText xml:space="preserve">)</w:instrText>
                  </w:r>
                  <w:r>
                    <w:rPr>
                      <w:rFonts w:hint="eastAsia"/>
                    </w:rPr>
                    <w:fldChar w:fldCharType="end"/>
                  </w:r>
                  <w:r>
                    <w:rPr>
                      <w:rFonts w:hint="eastAsia"/>
                    </w:rPr>
                    <w:t>企业总排</w:t>
                  </w:r>
                </w:p>
                <w:p>
                  <w:pPr>
                    <w:widowControl/>
                    <w:jc w:val="left"/>
                    <w:textAlignment w:val="center"/>
                    <w:rPr>
                      <w:rFonts w:hint="eastAsia"/>
                    </w:rPr>
                  </w:pPr>
                  <w:r>
                    <w:rPr>
                      <w:rFonts w:hint="eastAsia"/>
                    </w:rPr>
                    <w:fldChar w:fldCharType="begin"/>
                  </w:r>
                  <w:r>
                    <w:rPr>
                      <w:rFonts w:hint="eastAsia"/>
                    </w:rPr>
                    <w:instrText xml:space="preserve"> EQ \o\ac(□)</w:instrText>
                  </w:r>
                  <w:r>
                    <w:rPr>
                      <w:rFonts w:hint="eastAsia"/>
                    </w:rPr>
                    <w:fldChar w:fldCharType="end"/>
                  </w:r>
                  <w:r>
                    <w:rPr>
                      <w:rFonts w:hint="eastAsia"/>
                    </w:rPr>
                    <w:t>雨水排放</w:t>
                  </w:r>
                </w:p>
                <w:p>
                  <w:pPr>
                    <w:widowControl/>
                    <w:jc w:val="left"/>
                    <w:textAlignment w:val="center"/>
                    <w:rPr>
                      <w:rFonts w:hint="eastAsia"/>
                    </w:rPr>
                  </w:pPr>
                  <w:r>
                    <w:rPr>
                      <w:rFonts w:hint="eastAsia"/>
                    </w:rPr>
                    <w:fldChar w:fldCharType="begin"/>
                  </w:r>
                  <w:r>
                    <w:rPr>
                      <w:rFonts w:hint="eastAsia"/>
                    </w:rPr>
                    <w:instrText xml:space="preserve"> EQ \o\ac(□)</w:instrText>
                  </w:r>
                  <w:r>
                    <w:rPr>
                      <w:rFonts w:hint="eastAsia"/>
                    </w:rPr>
                    <w:fldChar w:fldCharType="end"/>
                  </w:r>
                  <w:r>
                    <w:rPr>
                      <w:rFonts w:hint="eastAsia"/>
                    </w:rPr>
                    <w:t>清净下水排放</w:t>
                  </w:r>
                </w:p>
                <w:p>
                  <w:pPr>
                    <w:widowControl/>
                    <w:jc w:val="left"/>
                    <w:textAlignment w:val="center"/>
                    <w:rPr>
                      <w:rFonts w:hint="eastAsia"/>
                    </w:rPr>
                  </w:pPr>
                  <w:r>
                    <w:rPr>
                      <w:rFonts w:hint="eastAsia"/>
                    </w:rPr>
                    <w:fldChar w:fldCharType="begin"/>
                  </w:r>
                  <w:r>
                    <w:rPr>
                      <w:rFonts w:hint="eastAsia"/>
                    </w:rPr>
                    <w:instrText xml:space="preserve"> EQ \o\ac(□)</w:instrText>
                  </w:r>
                  <w:r>
                    <w:rPr>
                      <w:rFonts w:hint="eastAsia"/>
                    </w:rPr>
                    <w:fldChar w:fldCharType="end"/>
                  </w:r>
                  <w:r>
                    <w:rPr>
                      <w:rFonts w:hint="eastAsia"/>
                    </w:rPr>
                    <w:t>温排水排放</w:t>
                  </w:r>
                </w:p>
                <w:p>
                  <w:pPr>
                    <w:widowControl/>
                    <w:jc w:val="left"/>
                    <w:textAlignment w:val="center"/>
                  </w:pPr>
                  <w:r>
                    <w:rPr>
                      <w:rFonts w:hint="eastAsia"/>
                    </w:rPr>
                    <w:fldChar w:fldCharType="begin"/>
                  </w:r>
                  <w:r>
                    <w:rPr>
                      <w:rFonts w:hint="eastAsia"/>
                    </w:rPr>
                    <w:instrText xml:space="preserve"> EQ \o\ac(□)</w:instrText>
                  </w:r>
                  <w:r>
                    <w:rPr>
                      <w:rFonts w:hint="eastAsia"/>
                    </w:rPr>
                    <w:fldChar w:fldCharType="end"/>
                  </w:r>
                  <w:r>
                    <w:rPr>
                      <w:rFonts w:hint="eastAsia"/>
                    </w:rPr>
                    <w:t>车间或车间处理设施排放</w:t>
                  </w:r>
                </w:p>
              </w:tc>
            </w:tr>
          </w:tbl>
          <w:p>
            <w:pPr>
              <w:jc w:val="center"/>
              <w:rPr>
                <w:b/>
                <w:bCs/>
                <w:sz w:val="24"/>
                <w:szCs w:val="24"/>
              </w:rPr>
            </w:pPr>
            <w:r>
              <w:rPr>
                <w:rFonts w:hint="eastAsia"/>
                <w:b/>
                <w:bCs/>
                <w:sz w:val="24"/>
                <w:szCs w:val="24"/>
              </w:rPr>
              <w:t>表</w:t>
            </w:r>
            <w:r>
              <w:rPr>
                <w:rFonts w:hint="eastAsia"/>
                <w:b/>
                <w:bCs/>
                <w:sz w:val="24"/>
                <w:szCs w:val="24"/>
                <w:lang w:val="en-US" w:eastAsia="zh-CN"/>
              </w:rPr>
              <w:t>7.2-12</w:t>
            </w:r>
            <w:r>
              <w:rPr>
                <w:rFonts w:hint="eastAsia"/>
                <w:b/>
                <w:bCs/>
                <w:sz w:val="24"/>
                <w:szCs w:val="24"/>
              </w:rPr>
              <w:t xml:space="preserve">  本项目废水直接排放口基本情况表</w:t>
            </w:r>
          </w:p>
          <w:tbl>
            <w:tblPr>
              <w:tblStyle w:val="26"/>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57" w:type="dxa"/>
                <w:bottom w:w="0" w:type="dxa"/>
                <w:right w:w="57" w:type="dxa"/>
              </w:tblCellMar>
            </w:tblPr>
            <w:tblGrid>
              <w:gridCol w:w="324"/>
              <w:gridCol w:w="337"/>
              <w:gridCol w:w="1532"/>
              <w:gridCol w:w="1539"/>
              <w:gridCol w:w="548"/>
              <w:gridCol w:w="338"/>
              <w:gridCol w:w="554"/>
              <w:gridCol w:w="327"/>
              <w:gridCol w:w="334"/>
              <w:gridCol w:w="326"/>
              <w:gridCol w:w="1532"/>
              <w:gridCol w:w="1539"/>
              <w:gridCol w:w="324"/>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312" w:hRule="atLeast"/>
                <w:jc w:val="center"/>
              </w:trPr>
              <w:tc>
                <w:tcPr>
                  <w:tcW w:w="331"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序号</w:t>
                  </w:r>
                </w:p>
              </w:tc>
              <w:tc>
                <w:tcPr>
                  <w:tcW w:w="699"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排放口编号</w:t>
                  </w:r>
                </w:p>
              </w:tc>
              <w:tc>
                <w:tcPr>
                  <w:tcW w:w="1647" w:type="dxa"/>
                  <w:gridSpan w:val="2"/>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排放口地理坐标</w:t>
                  </w:r>
                </w:p>
              </w:tc>
              <w:tc>
                <w:tcPr>
                  <w:tcW w:w="939"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废水排放量（万t/a）</w:t>
                  </w:r>
                </w:p>
              </w:tc>
              <w:tc>
                <w:tcPr>
                  <w:tcW w:w="743"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排放去向</w:t>
                  </w:r>
                </w:p>
              </w:tc>
              <w:tc>
                <w:tcPr>
                  <w:tcW w:w="1147"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排放规律</w:t>
                  </w:r>
                </w:p>
              </w:tc>
              <w:tc>
                <w:tcPr>
                  <w:tcW w:w="427"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间歇排放时段</w:t>
                  </w:r>
                </w:p>
              </w:tc>
              <w:tc>
                <w:tcPr>
                  <w:tcW w:w="998" w:type="dxa"/>
                  <w:gridSpan w:val="2"/>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受纳自然水体信息</w:t>
                  </w:r>
                </w:p>
              </w:tc>
              <w:tc>
                <w:tcPr>
                  <w:tcW w:w="2292" w:type="dxa"/>
                  <w:gridSpan w:val="2"/>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汇入受纳自然水体处地理坐标</w:t>
                  </w:r>
                </w:p>
              </w:tc>
              <w:tc>
                <w:tcPr>
                  <w:tcW w:w="331" w:type="dxa"/>
                  <w:vMerge w:val="restart"/>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312" w:hRule="atLeast"/>
                <w:jc w:val="center"/>
              </w:trPr>
              <w:tc>
                <w:tcPr>
                  <w:tcW w:w="331"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699"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751" w:type="dxa"/>
                  <w:vMerge w:val="restart"/>
                  <w:tcBorders>
                    <w:tl2br w:val="nil"/>
                    <w:tr2bl w:val="nil"/>
                  </w:tcBorders>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经度</w:t>
                  </w:r>
                </w:p>
              </w:tc>
              <w:tc>
                <w:tcPr>
                  <w:tcW w:w="896" w:type="dxa"/>
                  <w:vMerge w:val="restart"/>
                  <w:tcBorders>
                    <w:tl2br w:val="nil"/>
                    <w:tr2bl w:val="nil"/>
                  </w:tcBorders>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纬度</w:t>
                  </w:r>
                </w:p>
              </w:tc>
              <w:tc>
                <w:tcPr>
                  <w:tcW w:w="939"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743"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1147"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427"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998" w:type="dxa"/>
                  <w:gridSpan w:val="2"/>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2292" w:type="dxa"/>
                  <w:gridSpan w:val="2"/>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331" w:type="dxa"/>
                  <w:vMerge w:val="continue"/>
                  <w:tcBorders>
                    <w:tl2br w:val="nil"/>
                    <w:tr2bl w:val="nil"/>
                  </w:tcBorders>
                  <w:noWrap w:val="0"/>
                  <w:vAlign w:val="center"/>
                </w:tcPr>
                <w:p>
                  <w:pPr>
                    <w:jc w:val="center"/>
                    <w:rPr>
                      <w:rFonts w:hint="default" w:ascii="Times New Roman" w:hAnsi="Times New Roman" w:cs="Times New Roman"/>
                      <w:sz w:val="21"/>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727" w:hRule="atLeast"/>
                <w:jc w:val="center"/>
              </w:trPr>
              <w:tc>
                <w:tcPr>
                  <w:tcW w:w="331"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699"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751"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896"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939"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743"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1147"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427" w:type="dxa"/>
                  <w:vMerge w:val="continue"/>
                  <w:tcBorders>
                    <w:tl2br w:val="nil"/>
                    <w:tr2bl w:val="nil"/>
                  </w:tcBorders>
                  <w:noWrap w:val="0"/>
                  <w:vAlign w:val="center"/>
                </w:tcPr>
                <w:p>
                  <w:pPr>
                    <w:jc w:val="center"/>
                    <w:rPr>
                      <w:rFonts w:hint="default" w:ascii="Times New Roman" w:hAnsi="Times New Roman" w:cs="Times New Roman"/>
                      <w:sz w:val="21"/>
                      <w:szCs w:val="21"/>
                    </w:rPr>
                  </w:pPr>
                </w:p>
              </w:tc>
              <w:tc>
                <w:tcPr>
                  <w:tcW w:w="622" w:type="dxa"/>
                  <w:tcBorders>
                    <w:tl2br w:val="nil"/>
                    <w:tr2bl w:val="nil"/>
                  </w:tcBorders>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名称</w:t>
                  </w:r>
                </w:p>
              </w:tc>
              <w:tc>
                <w:tcPr>
                  <w:tcW w:w="376" w:type="dxa"/>
                  <w:tcBorders>
                    <w:tl2br w:val="nil"/>
                    <w:tr2bl w:val="nil"/>
                  </w:tcBorders>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受纳水体功能目标</w:t>
                  </w:r>
                </w:p>
              </w:tc>
              <w:tc>
                <w:tcPr>
                  <w:tcW w:w="1190" w:type="dxa"/>
                  <w:tcBorders>
                    <w:tl2br w:val="nil"/>
                    <w:tr2bl w:val="nil"/>
                  </w:tcBorders>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经度</w:t>
                  </w:r>
                </w:p>
              </w:tc>
              <w:tc>
                <w:tcPr>
                  <w:tcW w:w="1102" w:type="dxa"/>
                  <w:tcBorders>
                    <w:tl2br w:val="nil"/>
                    <w:tr2bl w:val="nil"/>
                  </w:tcBorders>
                  <w:noWrap w:val="0"/>
                  <w:vAlign w:val="center"/>
                </w:tcPr>
                <w:p>
                  <w:pPr>
                    <w:jc w:val="center"/>
                    <w:rPr>
                      <w:rFonts w:hint="default" w:ascii="Times New Roman" w:hAnsi="Times New Roman" w:cs="Times New Roman"/>
                      <w:sz w:val="21"/>
                      <w:szCs w:val="21"/>
                    </w:rPr>
                  </w:pPr>
                  <w:r>
                    <w:rPr>
                      <w:rFonts w:hint="default" w:ascii="Times New Roman" w:hAnsi="Times New Roman" w:cs="Times New Roman"/>
                      <w:sz w:val="21"/>
                      <w:szCs w:val="21"/>
                    </w:rPr>
                    <w:t>纬度</w:t>
                  </w:r>
                </w:p>
              </w:tc>
              <w:tc>
                <w:tcPr>
                  <w:tcW w:w="331" w:type="dxa"/>
                  <w:vMerge w:val="continue"/>
                  <w:tcBorders>
                    <w:tl2br w:val="nil"/>
                    <w:tr2bl w:val="nil"/>
                  </w:tcBorders>
                  <w:noWrap w:val="0"/>
                  <w:vAlign w:val="center"/>
                </w:tcPr>
                <w:p>
                  <w:pPr>
                    <w:jc w:val="center"/>
                    <w:rPr>
                      <w:rFonts w:hint="default" w:ascii="Times New Roman" w:hAnsi="Times New Roman" w:cs="Times New Roman"/>
                      <w:sz w:val="21"/>
                      <w:szCs w:val="21"/>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jc w:val="center"/>
              </w:trPr>
              <w:tc>
                <w:tcPr>
                  <w:tcW w:w="331"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699"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1#</w:t>
                  </w:r>
                </w:p>
              </w:tc>
              <w:tc>
                <w:tcPr>
                  <w:tcW w:w="751" w:type="dxa"/>
                  <w:tcBorders>
                    <w:tl2br w:val="nil"/>
                    <w:tr2bl w:val="nil"/>
                  </w:tcBorders>
                  <w:noWrap w:val="0"/>
                  <w:vAlign w:val="center"/>
                </w:tcPr>
                <w:p>
                  <w:pPr>
                    <w:widowControl/>
                    <w:jc w:val="center"/>
                    <w:textAlignment w:val="center"/>
                    <w:rPr>
                      <w:rFonts w:hint="default" w:ascii="Times New Roman" w:hAnsi="Times New Roman" w:cs="Times New Roman"/>
                      <w:spacing w:val="-11"/>
                      <w:sz w:val="21"/>
                      <w:szCs w:val="21"/>
                    </w:rPr>
                  </w:pPr>
                  <w:r>
                    <w:rPr>
                      <w:rFonts w:hint="default" w:ascii="Times New Roman" w:hAnsi="Times New Roman" w:cs="Times New Roman"/>
                      <w:sz w:val="21"/>
                      <w:szCs w:val="21"/>
                    </w:rPr>
                    <w:t>113°9′42.13170″</w:t>
                  </w:r>
                </w:p>
              </w:tc>
              <w:tc>
                <w:tcPr>
                  <w:tcW w:w="896" w:type="dxa"/>
                  <w:tcBorders>
                    <w:tl2br w:val="nil"/>
                    <w:tr2bl w:val="nil"/>
                  </w:tcBorders>
                  <w:noWrap w:val="0"/>
                  <w:vAlign w:val="center"/>
                </w:tcPr>
                <w:p>
                  <w:pPr>
                    <w:widowControl/>
                    <w:jc w:val="center"/>
                    <w:textAlignment w:val="center"/>
                    <w:rPr>
                      <w:rFonts w:hint="default" w:ascii="Times New Roman" w:hAnsi="Times New Roman" w:cs="Times New Roman"/>
                      <w:spacing w:val="-11"/>
                      <w:sz w:val="21"/>
                      <w:szCs w:val="21"/>
                    </w:rPr>
                  </w:pPr>
                  <w:r>
                    <w:rPr>
                      <w:rFonts w:hint="default" w:ascii="Times New Roman" w:hAnsi="Times New Roman" w:cs="Times New Roman"/>
                      <w:sz w:val="21"/>
                      <w:szCs w:val="21"/>
                    </w:rPr>
                    <w:t>29°19′32.85151″</w:t>
                  </w:r>
                </w:p>
              </w:tc>
              <w:tc>
                <w:tcPr>
                  <w:tcW w:w="939" w:type="dxa"/>
                  <w:tcBorders>
                    <w:tl2br w:val="nil"/>
                    <w:tr2bl w:val="nil"/>
                  </w:tcBorders>
                  <w:noWrap w:val="0"/>
                  <w:vAlign w:val="center"/>
                </w:tcPr>
                <w:p>
                  <w:pPr>
                    <w:widowControl/>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8.03</w:t>
                  </w:r>
                </w:p>
              </w:tc>
              <w:tc>
                <w:tcPr>
                  <w:tcW w:w="743"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直接进入</w:t>
                  </w:r>
                  <w:r>
                    <w:rPr>
                      <w:rFonts w:hint="default" w:ascii="Times New Roman" w:hAnsi="Times New Roman" w:cs="Times New Roman"/>
                      <w:sz w:val="21"/>
                      <w:szCs w:val="21"/>
                      <w:lang w:val="en-US" w:eastAsia="zh-CN"/>
                    </w:rPr>
                    <w:t>金脱河</w:t>
                  </w:r>
                </w:p>
              </w:tc>
              <w:tc>
                <w:tcPr>
                  <w:tcW w:w="1147"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连续排放，流量不稳定，但有周期性规律</w:t>
                  </w:r>
                </w:p>
              </w:tc>
              <w:tc>
                <w:tcPr>
                  <w:tcW w:w="427"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622" w:type="dxa"/>
                  <w:tcBorders>
                    <w:tl2br w:val="nil"/>
                    <w:tr2bl w:val="nil"/>
                  </w:tcBorders>
                  <w:noWrap w:val="0"/>
                  <w:vAlign w:val="center"/>
                </w:tcPr>
                <w:p>
                  <w:pPr>
                    <w:widowControl/>
                    <w:jc w:val="center"/>
                    <w:textAlignment w:val="center"/>
                    <w:rPr>
                      <w:rFonts w:hint="default" w:ascii="Times New Roman" w:hAnsi="Times New Roman" w:eastAsia="宋体" w:cs="Times New Roman"/>
                      <w:sz w:val="21"/>
                      <w:szCs w:val="21"/>
                      <w:lang w:val="en-US" w:eastAsia="zh-CN"/>
                    </w:rPr>
                  </w:pPr>
                  <w:r>
                    <w:rPr>
                      <w:rFonts w:hint="eastAsia"/>
                      <w:lang w:val="en-US" w:eastAsia="zh-CN"/>
                    </w:rPr>
                    <w:t>南侧小溪</w:t>
                  </w:r>
                </w:p>
              </w:tc>
              <w:tc>
                <w:tcPr>
                  <w:tcW w:w="376"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 3 \* ROMAN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III</w:t>
                  </w:r>
                  <w:r>
                    <w:rPr>
                      <w:rFonts w:hint="default" w:ascii="Times New Roman" w:hAnsi="Times New Roman" w:cs="Times New Roman"/>
                      <w:sz w:val="21"/>
                      <w:szCs w:val="21"/>
                    </w:rPr>
                    <w:fldChar w:fldCharType="end"/>
                  </w:r>
                  <w:r>
                    <w:rPr>
                      <w:rFonts w:hint="default" w:ascii="Times New Roman" w:hAnsi="Times New Roman" w:cs="Times New Roman"/>
                      <w:sz w:val="21"/>
                      <w:szCs w:val="21"/>
                    </w:rPr>
                    <w:t>类</w:t>
                  </w:r>
                </w:p>
              </w:tc>
              <w:tc>
                <w:tcPr>
                  <w:tcW w:w="1190" w:type="dxa"/>
                  <w:tcBorders>
                    <w:tl2br w:val="nil"/>
                    <w:tr2bl w:val="nil"/>
                  </w:tcBorders>
                  <w:noWrap w:val="0"/>
                  <w:vAlign w:val="center"/>
                </w:tcPr>
                <w:p>
                  <w:pPr>
                    <w:widowControl/>
                    <w:jc w:val="center"/>
                    <w:textAlignment w:val="center"/>
                    <w:rPr>
                      <w:rFonts w:hint="default" w:ascii="Times New Roman" w:hAnsi="Times New Roman" w:cs="Times New Roman"/>
                      <w:spacing w:val="-11"/>
                      <w:sz w:val="21"/>
                      <w:szCs w:val="21"/>
                    </w:rPr>
                  </w:pPr>
                  <w:r>
                    <w:rPr>
                      <w:rFonts w:hint="default" w:ascii="Times New Roman" w:hAnsi="Times New Roman" w:cs="Times New Roman"/>
                    </w:rPr>
                    <w:t>113°9′41.83236″</w:t>
                  </w:r>
                </w:p>
              </w:tc>
              <w:tc>
                <w:tcPr>
                  <w:tcW w:w="1102" w:type="dxa"/>
                  <w:tcBorders>
                    <w:tl2br w:val="nil"/>
                    <w:tr2bl w:val="nil"/>
                  </w:tcBorders>
                  <w:noWrap w:val="0"/>
                  <w:vAlign w:val="center"/>
                </w:tcPr>
                <w:p>
                  <w:pPr>
                    <w:widowControl/>
                    <w:jc w:val="center"/>
                    <w:textAlignment w:val="center"/>
                    <w:rPr>
                      <w:rFonts w:hint="default" w:ascii="Times New Roman" w:hAnsi="Times New Roman" w:cs="Times New Roman"/>
                      <w:spacing w:val="-11"/>
                      <w:sz w:val="21"/>
                      <w:szCs w:val="21"/>
                    </w:rPr>
                  </w:pPr>
                  <w:r>
                    <w:rPr>
                      <w:rFonts w:hint="default" w:ascii="Times New Roman" w:hAnsi="Times New Roman" w:cs="Times New Roman"/>
                    </w:rPr>
                    <w:t>29°19′32.65839″</w:t>
                  </w:r>
                </w:p>
              </w:tc>
              <w:tc>
                <w:tcPr>
                  <w:tcW w:w="331" w:type="dxa"/>
                  <w:tcBorders>
                    <w:tl2br w:val="nil"/>
                    <w:tr2bl w:val="nil"/>
                  </w:tcBorders>
                  <w:noWrap w:val="0"/>
                  <w:vAlign w:val="center"/>
                </w:tcPr>
                <w:p>
                  <w:pPr>
                    <w:widowControl/>
                    <w:jc w:val="center"/>
                    <w:textAlignment w:val="center"/>
                    <w:rPr>
                      <w:rFonts w:hint="default" w:ascii="Times New Roman" w:hAnsi="Times New Roman" w:cs="Times New Roman"/>
                      <w:sz w:val="21"/>
                      <w:szCs w:val="21"/>
                    </w:rPr>
                  </w:pPr>
                  <w:r>
                    <w:rPr>
                      <w:rFonts w:hint="default" w:ascii="Times New Roman" w:hAnsi="Times New Roman" w:cs="Times New Roman"/>
                      <w:sz w:val="21"/>
                      <w:szCs w:val="21"/>
                    </w:rPr>
                    <w:t>/</w:t>
                  </w:r>
                </w:p>
              </w:tc>
            </w:tr>
          </w:tbl>
          <w:p>
            <w:pPr>
              <w:jc w:val="center"/>
              <w:rPr>
                <w:b/>
                <w:bCs/>
                <w:sz w:val="24"/>
                <w:szCs w:val="24"/>
              </w:rPr>
            </w:pPr>
            <w:r>
              <w:rPr>
                <w:rFonts w:hint="eastAsia"/>
                <w:b/>
                <w:bCs/>
                <w:sz w:val="24"/>
                <w:szCs w:val="24"/>
              </w:rPr>
              <w:t>表</w:t>
            </w:r>
            <w:r>
              <w:rPr>
                <w:rFonts w:hint="eastAsia"/>
                <w:b/>
                <w:bCs/>
                <w:sz w:val="24"/>
                <w:szCs w:val="24"/>
                <w:lang w:val="en-US" w:eastAsia="zh-CN"/>
              </w:rPr>
              <w:t>7.2-13</w:t>
            </w:r>
            <w:r>
              <w:rPr>
                <w:rFonts w:hint="eastAsia"/>
                <w:b/>
                <w:bCs/>
                <w:sz w:val="24"/>
                <w:szCs w:val="24"/>
              </w:rPr>
              <w:t xml:space="preserve">  本项目废水污染物排放执行标准表</w:t>
            </w:r>
          </w:p>
          <w:tbl>
            <w:tblPr>
              <w:tblStyle w:val="26"/>
              <w:tblW w:w="9555"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57" w:type="dxa"/>
                <w:bottom w:w="0" w:type="dxa"/>
                <w:right w:w="57" w:type="dxa"/>
              </w:tblCellMar>
            </w:tblPr>
            <w:tblGrid>
              <w:gridCol w:w="1095"/>
              <w:gridCol w:w="1319"/>
              <w:gridCol w:w="2602"/>
              <w:gridCol w:w="2208"/>
              <w:gridCol w:w="2331"/>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jc w:val="center"/>
              </w:trPr>
              <w:tc>
                <w:tcPr>
                  <w:tcW w:w="1095" w:type="dxa"/>
                  <w:vMerge w:val="restart"/>
                  <w:tcBorders>
                    <w:tl2br w:val="nil"/>
                    <w:tr2bl w:val="nil"/>
                  </w:tcBorders>
                  <w:noWrap w:val="0"/>
                  <w:vAlign w:val="center"/>
                </w:tcPr>
                <w:p>
                  <w:pPr>
                    <w:widowControl/>
                    <w:spacing w:line="320" w:lineRule="exact"/>
                    <w:jc w:val="center"/>
                    <w:textAlignment w:val="center"/>
                    <w:rPr>
                      <w:szCs w:val="21"/>
                    </w:rPr>
                  </w:pPr>
                  <w:r>
                    <w:rPr>
                      <w:rFonts w:hint="eastAsia"/>
                      <w:szCs w:val="21"/>
                    </w:rPr>
                    <w:t>序号</w:t>
                  </w:r>
                </w:p>
              </w:tc>
              <w:tc>
                <w:tcPr>
                  <w:tcW w:w="1319" w:type="dxa"/>
                  <w:vMerge w:val="restart"/>
                  <w:tcBorders>
                    <w:tl2br w:val="nil"/>
                    <w:tr2bl w:val="nil"/>
                  </w:tcBorders>
                  <w:noWrap w:val="0"/>
                  <w:vAlign w:val="center"/>
                </w:tcPr>
                <w:p>
                  <w:pPr>
                    <w:widowControl/>
                    <w:spacing w:line="320" w:lineRule="exact"/>
                    <w:jc w:val="center"/>
                    <w:textAlignment w:val="center"/>
                    <w:rPr>
                      <w:szCs w:val="21"/>
                    </w:rPr>
                  </w:pPr>
                  <w:r>
                    <w:rPr>
                      <w:rFonts w:hint="eastAsia"/>
                      <w:szCs w:val="21"/>
                    </w:rPr>
                    <w:t>排放口编号</w:t>
                  </w:r>
                </w:p>
              </w:tc>
              <w:tc>
                <w:tcPr>
                  <w:tcW w:w="2602" w:type="dxa"/>
                  <w:vMerge w:val="restart"/>
                  <w:tcBorders>
                    <w:tl2br w:val="nil"/>
                    <w:tr2bl w:val="nil"/>
                  </w:tcBorders>
                  <w:noWrap w:val="0"/>
                  <w:vAlign w:val="center"/>
                </w:tcPr>
                <w:p>
                  <w:pPr>
                    <w:widowControl/>
                    <w:spacing w:line="320" w:lineRule="exact"/>
                    <w:jc w:val="center"/>
                    <w:textAlignment w:val="center"/>
                    <w:rPr>
                      <w:szCs w:val="21"/>
                    </w:rPr>
                  </w:pPr>
                  <w:r>
                    <w:rPr>
                      <w:rFonts w:hint="eastAsia"/>
                      <w:szCs w:val="21"/>
                    </w:rPr>
                    <w:t>污染物种类</w:t>
                  </w:r>
                </w:p>
              </w:tc>
              <w:tc>
                <w:tcPr>
                  <w:tcW w:w="4539" w:type="dxa"/>
                  <w:gridSpan w:val="2"/>
                  <w:tcBorders>
                    <w:tl2br w:val="nil"/>
                    <w:tr2bl w:val="nil"/>
                  </w:tcBorders>
                  <w:noWrap w:val="0"/>
                  <w:vAlign w:val="center"/>
                </w:tcPr>
                <w:p>
                  <w:pPr>
                    <w:widowControl/>
                    <w:spacing w:line="320" w:lineRule="exact"/>
                    <w:jc w:val="center"/>
                    <w:textAlignment w:val="center"/>
                    <w:rPr>
                      <w:szCs w:val="21"/>
                    </w:rPr>
                  </w:pPr>
                  <w:r>
                    <w:rPr>
                      <w:rFonts w:hint="eastAsia"/>
                      <w:szCs w:val="21"/>
                    </w:rPr>
                    <w:t>国家或地方污染物排放标准及其他按规定商定的排放协议</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90" w:hRule="atLeast"/>
                <w:jc w:val="center"/>
              </w:trPr>
              <w:tc>
                <w:tcPr>
                  <w:tcW w:w="1095" w:type="dxa"/>
                  <w:vMerge w:val="continue"/>
                  <w:tcBorders>
                    <w:tl2br w:val="nil"/>
                    <w:tr2bl w:val="nil"/>
                  </w:tcBorders>
                  <w:noWrap w:val="0"/>
                  <w:vAlign w:val="center"/>
                </w:tcPr>
                <w:p>
                  <w:pPr>
                    <w:spacing w:line="320" w:lineRule="exact"/>
                    <w:jc w:val="center"/>
                    <w:rPr>
                      <w:szCs w:val="21"/>
                    </w:rPr>
                  </w:pPr>
                </w:p>
              </w:tc>
              <w:tc>
                <w:tcPr>
                  <w:tcW w:w="1319" w:type="dxa"/>
                  <w:vMerge w:val="continue"/>
                  <w:tcBorders>
                    <w:tl2br w:val="nil"/>
                    <w:tr2bl w:val="nil"/>
                  </w:tcBorders>
                  <w:noWrap w:val="0"/>
                  <w:vAlign w:val="center"/>
                </w:tcPr>
                <w:p>
                  <w:pPr>
                    <w:widowControl/>
                    <w:jc w:val="center"/>
                    <w:textAlignment w:val="center"/>
                    <w:rPr>
                      <w:szCs w:val="21"/>
                    </w:rPr>
                  </w:pPr>
                </w:p>
              </w:tc>
              <w:tc>
                <w:tcPr>
                  <w:tcW w:w="2602" w:type="dxa"/>
                  <w:vMerge w:val="continue"/>
                  <w:tcBorders>
                    <w:tl2br w:val="nil"/>
                    <w:tr2bl w:val="nil"/>
                  </w:tcBorders>
                  <w:noWrap w:val="0"/>
                  <w:vAlign w:val="center"/>
                </w:tcPr>
                <w:p>
                  <w:pPr>
                    <w:spacing w:line="320" w:lineRule="exact"/>
                    <w:jc w:val="center"/>
                    <w:rPr>
                      <w:szCs w:val="21"/>
                    </w:rPr>
                  </w:pPr>
                </w:p>
              </w:tc>
              <w:tc>
                <w:tcPr>
                  <w:tcW w:w="2208" w:type="dxa"/>
                  <w:tcBorders>
                    <w:tl2br w:val="nil"/>
                    <w:tr2bl w:val="nil"/>
                  </w:tcBorders>
                  <w:noWrap w:val="0"/>
                  <w:vAlign w:val="center"/>
                </w:tcPr>
                <w:p>
                  <w:pPr>
                    <w:widowControl/>
                    <w:jc w:val="center"/>
                    <w:textAlignment w:val="center"/>
                    <w:rPr>
                      <w:szCs w:val="21"/>
                    </w:rPr>
                  </w:pPr>
                  <w:r>
                    <w:rPr>
                      <w:rFonts w:hint="eastAsia"/>
                      <w:szCs w:val="21"/>
                    </w:rPr>
                    <w:t>名称</w:t>
                  </w:r>
                </w:p>
              </w:tc>
              <w:tc>
                <w:tcPr>
                  <w:tcW w:w="2331" w:type="dxa"/>
                  <w:tcBorders>
                    <w:tl2br w:val="nil"/>
                    <w:tr2bl w:val="nil"/>
                  </w:tcBorders>
                  <w:noWrap w:val="0"/>
                  <w:vAlign w:val="center"/>
                </w:tcPr>
                <w:p>
                  <w:pPr>
                    <w:spacing w:line="320" w:lineRule="exact"/>
                    <w:jc w:val="center"/>
                    <w:rPr>
                      <w:szCs w:val="21"/>
                    </w:rPr>
                  </w:pPr>
                  <w:r>
                    <w:rPr>
                      <w:rFonts w:hint="eastAsia"/>
                      <w:szCs w:val="21"/>
                    </w:rPr>
                    <w:t>浓度限值（mg/L）</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450" w:hRule="atLeast"/>
                <w:jc w:val="center"/>
              </w:trPr>
              <w:tc>
                <w:tcPr>
                  <w:tcW w:w="1095" w:type="dxa"/>
                  <w:vMerge w:val="restart"/>
                  <w:tcBorders>
                    <w:tl2br w:val="nil"/>
                    <w:tr2bl w:val="nil"/>
                  </w:tcBorders>
                  <w:noWrap w:val="0"/>
                  <w:vAlign w:val="center"/>
                </w:tcPr>
                <w:p>
                  <w:pPr>
                    <w:spacing w:line="320" w:lineRule="exact"/>
                    <w:jc w:val="center"/>
                    <w:rPr>
                      <w:szCs w:val="21"/>
                    </w:rPr>
                  </w:pPr>
                  <w:r>
                    <w:rPr>
                      <w:rFonts w:hint="eastAsia"/>
                      <w:szCs w:val="21"/>
                    </w:rPr>
                    <w:t>1</w:t>
                  </w:r>
                </w:p>
              </w:tc>
              <w:tc>
                <w:tcPr>
                  <w:tcW w:w="1319" w:type="dxa"/>
                  <w:vMerge w:val="restart"/>
                  <w:tcBorders>
                    <w:tl2br w:val="nil"/>
                    <w:tr2bl w:val="nil"/>
                  </w:tcBorders>
                  <w:noWrap w:val="0"/>
                  <w:vAlign w:val="center"/>
                </w:tcPr>
                <w:p>
                  <w:pPr>
                    <w:widowControl/>
                    <w:jc w:val="center"/>
                    <w:textAlignment w:val="center"/>
                    <w:rPr>
                      <w:szCs w:val="21"/>
                    </w:rPr>
                  </w:pPr>
                  <w:r>
                    <w:rPr>
                      <w:rFonts w:hint="eastAsia"/>
                      <w:szCs w:val="21"/>
                    </w:rPr>
                    <w:t>1#</w:t>
                  </w:r>
                </w:p>
              </w:tc>
              <w:tc>
                <w:tcPr>
                  <w:tcW w:w="2602" w:type="dxa"/>
                  <w:tcBorders>
                    <w:tl2br w:val="nil"/>
                    <w:tr2bl w:val="nil"/>
                  </w:tcBorders>
                  <w:noWrap w:val="0"/>
                  <w:vAlign w:val="center"/>
                </w:tcPr>
                <w:p>
                  <w:pPr>
                    <w:spacing w:line="320" w:lineRule="exact"/>
                    <w:jc w:val="center"/>
                    <w:rPr>
                      <w:szCs w:val="21"/>
                    </w:rPr>
                  </w:pPr>
                  <w:r>
                    <w:rPr>
                      <w:szCs w:val="21"/>
                    </w:rPr>
                    <w:t>COD</w:t>
                  </w:r>
                </w:p>
              </w:tc>
              <w:tc>
                <w:tcPr>
                  <w:tcW w:w="2208" w:type="dxa"/>
                  <w:vMerge w:val="restart"/>
                  <w:tcBorders>
                    <w:tl2br w:val="nil"/>
                    <w:tr2bl w:val="nil"/>
                  </w:tcBorders>
                  <w:noWrap w:val="0"/>
                  <w:vAlign w:val="center"/>
                </w:tcPr>
                <w:p>
                  <w:pPr>
                    <w:widowControl/>
                    <w:jc w:val="center"/>
                    <w:textAlignment w:val="center"/>
                    <w:rPr>
                      <w:szCs w:val="21"/>
                    </w:rPr>
                  </w:pPr>
                  <w:r>
                    <w:rPr>
                      <w:rFonts w:hint="eastAsia"/>
                      <w:szCs w:val="21"/>
                    </w:rPr>
                    <w:t>《城镇污水处理厂污染物排放标准》（GB18918-2002）一级A标准。</w:t>
                  </w:r>
                </w:p>
              </w:tc>
              <w:tc>
                <w:tcPr>
                  <w:tcW w:w="2331" w:type="dxa"/>
                  <w:tcBorders>
                    <w:tl2br w:val="nil"/>
                    <w:tr2bl w:val="nil"/>
                  </w:tcBorders>
                  <w:noWrap w:val="0"/>
                  <w:vAlign w:val="center"/>
                </w:tcPr>
                <w:p>
                  <w:pPr>
                    <w:widowControl/>
                    <w:jc w:val="center"/>
                    <w:textAlignment w:val="center"/>
                    <w:rPr>
                      <w:rFonts w:hint="eastAsia" w:eastAsia="宋体"/>
                      <w:szCs w:val="21"/>
                      <w:lang w:val="en-US" w:eastAsia="zh-CN"/>
                    </w:rPr>
                  </w:pPr>
                  <w:r>
                    <w:rPr>
                      <w:rFonts w:hint="eastAsia"/>
                      <w:szCs w:val="21"/>
                      <w:lang w:val="en-US" w:eastAsia="zh-CN"/>
                    </w:rPr>
                    <w:t>50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430" w:hRule="atLeast"/>
                <w:jc w:val="center"/>
              </w:trPr>
              <w:tc>
                <w:tcPr>
                  <w:tcW w:w="1095" w:type="dxa"/>
                  <w:vMerge w:val="continue"/>
                  <w:tcBorders>
                    <w:tl2br w:val="nil"/>
                    <w:tr2bl w:val="nil"/>
                  </w:tcBorders>
                  <w:noWrap w:val="0"/>
                  <w:vAlign w:val="center"/>
                </w:tcPr>
                <w:p>
                  <w:pPr>
                    <w:spacing w:line="320" w:lineRule="exact"/>
                    <w:jc w:val="center"/>
                    <w:rPr>
                      <w:rFonts w:hint="eastAsia"/>
                      <w:szCs w:val="21"/>
                    </w:rPr>
                  </w:pPr>
                </w:p>
              </w:tc>
              <w:tc>
                <w:tcPr>
                  <w:tcW w:w="1319" w:type="dxa"/>
                  <w:vMerge w:val="continue"/>
                  <w:tcBorders>
                    <w:tl2br w:val="nil"/>
                    <w:tr2bl w:val="nil"/>
                  </w:tcBorders>
                  <w:noWrap w:val="0"/>
                  <w:vAlign w:val="center"/>
                </w:tcPr>
                <w:p>
                  <w:pPr>
                    <w:widowControl/>
                    <w:jc w:val="center"/>
                    <w:textAlignment w:val="center"/>
                    <w:rPr>
                      <w:rFonts w:hint="eastAsia"/>
                      <w:szCs w:val="21"/>
                    </w:rPr>
                  </w:pPr>
                </w:p>
              </w:tc>
              <w:tc>
                <w:tcPr>
                  <w:tcW w:w="2602" w:type="dxa"/>
                  <w:tcBorders>
                    <w:tl2br w:val="nil"/>
                    <w:tr2bl w:val="nil"/>
                  </w:tcBorders>
                  <w:noWrap w:val="0"/>
                  <w:vAlign w:val="center"/>
                </w:tcPr>
                <w:p>
                  <w:pPr>
                    <w:spacing w:line="320" w:lineRule="exact"/>
                    <w:jc w:val="center"/>
                    <w:rPr>
                      <w:szCs w:val="21"/>
                    </w:rPr>
                  </w:pPr>
                  <w:r>
                    <w:rPr>
                      <w:szCs w:val="21"/>
                    </w:rPr>
                    <w:t>BOD</w:t>
                  </w:r>
                  <w:r>
                    <w:rPr>
                      <w:szCs w:val="21"/>
                      <w:vertAlign w:val="subscript"/>
                    </w:rPr>
                    <w:t>5</w:t>
                  </w:r>
                </w:p>
              </w:tc>
              <w:tc>
                <w:tcPr>
                  <w:tcW w:w="2208" w:type="dxa"/>
                  <w:vMerge w:val="continue"/>
                  <w:tcBorders>
                    <w:tl2br w:val="nil"/>
                    <w:tr2bl w:val="nil"/>
                  </w:tcBorders>
                  <w:noWrap w:val="0"/>
                  <w:vAlign w:val="center"/>
                </w:tcPr>
                <w:p>
                  <w:pPr>
                    <w:widowControl/>
                    <w:jc w:val="center"/>
                    <w:textAlignment w:val="center"/>
                    <w:rPr>
                      <w:szCs w:val="21"/>
                    </w:rPr>
                  </w:pPr>
                </w:p>
              </w:tc>
              <w:tc>
                <w:tcPr>
                  <w:tcW w:w="2331" w:type="dxa"/>
                  <w:tcBorders>
                    <w:tl2br w:val="nil"/>
                    <w:tr2bl w:val="nil"/>
                  </w:tcBorders>
                  <w:noWrap w:val="0"/>
                  <w:vAlign w:val="center"/>
                </w:tcPr>
                <w:p>
                  <w:pPr>
                    <w:widowControl/>
                    <w:jc w:val="center"/>
                    <w:textAlignment w:val="center"/>
                    <w:rPr>
                      <w:rFonts w:hint="eastAsia" w:eastAsia="宋体"/>
                      <w:szCs w:val="21"/>
                      <w:lang w:val="en-US" w:eastAsia="zh-CN"/>
                    </w:rPr>
                  </w:pPr>
                  <w:r>
                    <w:rPr>
                      <w:rFonts w:hint="eastAsia"/>
                      <w:szCs w:val="21"/>
                      <w:lang w:val="en-US" w:eastAsia="zh-CN"/>
                    </w:rPr>
                    <w:t>10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460" w:hRule="atLeast"/>
                <w:jc w:val="center"/>
              </w:trPr>
              <w:tc>
                <w:tcPr>
                  <w:tcW w:w="1095" w:type="dxa"/>
                  <w:vMerge w:val="continue"/>
                  <w:tcBorders>
                    <w:tl2br w:val="nil"/>
                    <w:tr2bl w:val="nil"/>
                  </w:tcBorders>
                  <w:noWrap w:val="0"/>
                  <w:vAlign w:val="center"/>
                </w:tcPr>
                <w:p>
                  <w:pPr>
                    <w:spacing w:line="320" w:lineRule="exact"/>
                    <w:jc w:val="center"/>
                    <w:rPr>
                      <w:rFonts w:hint="eastAsia"/>
                      <w:szCs w:val="21"/>
                    </w:rPr>
                  </w:pPr>
                </w:p>
              </w:tc>
              <w:tc>
                <w:tcPr>
                  <w:tcW w:w="1319" w:type="dxa"/>
                  <w:vMerge w:val="continue"/>
                  <w:tcBorders>
                    <w:tl2br w:val="nil"/>
                    <w:tr2bl w:val="nil"/>
                  </w:tcBorders>
                  <w:noWrap w:val="0"/>
                  <w:vAlign w:val="center"/>
                </w:tcPr>
                <w:p>
                  <w:pPr>
                    <w:widowControl/>
                    <w:jc w:val="center"/>
                    <w:textAlignment w:val="center"/>
                    <w:rPr>
                      <w:rFonts w:hint="eastAsia"/>
                      <w:szCs w:val="21"/>
                    </w:rPr>
                  </w:pPr>
                </w:p>
              </w:tc>
              <w:tc>
                <w:tcPr>
                  <w:tcW w:w="2602" w:type="dxa"/>
                  <w:tcBorders>
                    <w:tl2br w:val="nil"/>
                    <w:tr2bl w:val="nil"/>
                  </w:tcBorders>
                  <w:noWrap w:val="0"/>
                  <w:vAlign w:val="center"/>
                </w:tcPr>
                <w:p>
                  <w:pPr>
                    <w:spacing w:line="320" w:lineRule="exact"/>
                    <w:jc w:val="center"/>
                    <w:rPr>
                      <w:szCs w:val="21"/>
                    </w:rPr>
                  </w:pPr>
                  <w:r>
                    <w:rPr>
                      <w:szCs w:val="21"/>
                    </w:rPr>
                    <w:t>SS</w:t>
                  </w:r>
                </w:p>
              </w:tc>
              <w:tc>
                <w:tcPr>
                  <w:tcW w:w="2208" w:type="dxa"/>
                  <w:vMerge w:val="continue"/>
                  <w:tcBorders>
                    <w:tl2br w:val="nil"/>
                    <w:tr2bl w:val="nil"/>
                  </w:tcBorders>
                  <w:noWrap w:val="0"/>
                  <w:vAlign w:val="center"/>
                </w:tcPr>
                <w:p>
                  <w:pPr>
                    <w:widowControl/>
                    <w:jc w:val="center"/>
                    <w:textAlignment w:val="center"/>
                    <w:rPr>
                      <w:szCs w:val="21"/>
                    </w:rPr>
                  </w:pPr>
                </w:p>
              </w:tc>
              <w:tc>
                <w:tcPr>
                  <w:tcW w:w="2331" w:type="dxa"/>
                  <w:tcBorders>
                    <w:tl2br w:val="nil"/>
                    <w:tr2bl w:val="nil"/>
                  </w:tcBorders>
                  <w:noWrap w:val="0"/>
                  <w:vAlign w:val="center"/>
                </w:tcPr>
                <w:p>
                  <w:pPr>
                    <w:widowControl/>
                    <w:jc w:val="center"/>
                    <w:textAlignment w:val="center"/>
                    <w:rPr>
                      <w:rFonts w:hint="eastAsia" w:eastAsia="宋体"/>
                      <w:szCs w:val="21"/>
                      <w:lang w:val="en-US" w:eastAsia="zh-CN"/>
                    </w:rPr>
                  </w:pPr>
                  <w:r>
                    <w:rPr>
                      <w:rFonts w:hint="eastAsia"/>
                      <w:szCs w:val="21"/>
                      <w:lang w:val="en-US" w:eastAsia="zh-CN"/>
                    </w:rPr>
                    <w:t>10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385" w:hRule="atLeast"/>
                <w:jc w:val="center"/>
              </w:trPr>
              <w:tc>
                <w:tcPr>
                  <w:tcW w:w="1095" w:type="dxa"/>
                  <w:vMerge w:val="continue"/>
                  <w:tcBorders>
                    <w:tl2br w:val="nil"/>
                    <w:tr2bl w:val="nil"/>
                  </w:tcBorders>
                  <w:noWrap w:val="0"/>
                  <w:vAlign w:val="center"/>
                </w:tcPr>
                <w:p>
                  <w:pPr>
                    <w:spacing w:line="320" w:lineRule="exact"/>
                    <w:jc w:val="center"/>
                    <w:rPr>
                      <w:rFonts w:hint="eastAsia"/>
                      <w:szCs w:val="21"/>
                    </w:rPr>
                  </w:pPr>
                </w:p>
              </w:tc>
              <w:tc>
                <w:tcPr>
                  <w:tcW w:w="1319" w:type="dxa"/>
                  <w:vMerge w:val="continue"/>
                  <w:tcBorders>
                    <w:tl2br w:val="nil"/>
                    <w:tr2bl w:val="nil"/>
                  </w:tcBorders>
                  <w:noWrap w:val="0"/>
                  <w:vAlign w:val="center"/>
                </w:tcPr>
                <w:p>
                  <w:pPr>
                    <w:widowControl/>
                    <w:jc w:val="center"/>
                    <w:textAlignment w:val="center"/>
                    <w:rPr>
                      <w:rFonts w:hint="eastAsia"/>
                      <w:szCs w:val="21"/>
                    </w:rPr>
                  </w:pPr>
                </w:p>
              </w:tc>
              <w:tc>
                <w:tcPr>
                  <w:tcW w:w="2602" w:type="dxa"/>
                  <w:tcBorders>
                    <w:tl2br w:val="nil"/>
                    <w:tr2bl w:val="nil"/>
                  </w:tcBorders>
                  <w:noWrap w:val="0"/>
                  <w:vAlign w:val="center"/>
                </w:tcPr>
                <w:p>
                  <w:pPr>
                    <w:spacing w:line="320" w:lineRule="exact"/>
                    <w:jc w:val="center"/>
                    <w:rPr>
                      <w:szCs w:val="21"/>
                    </w:rPr>
                  </w:pPr>
                  <w:r>
                    <w:rPr>
                      <w:szCs w:val="21"/>
                    </w:rPr>
                    <w:t>NH</w:t>
                  </w:r>
                  <w:r>
                    <w:rPr>
                      <w:szCs w:val="21"/>
                      <w:vertAlign w:val="subscript"/>
                    </w:rPr>
                    <w:t>3</w:t>
                  </w:r>
                  <w:r>
                    <w:rPr>
                      <w:szCs w:val="21"/>
                    </w:rPr>
                    <w:t>-N</w:t>
                  </w:r>
                </w:p>
              </w:tc>
              <w:tc>
                <w:tcPr>
                  <w:tcW w:w="2208" w:type="dxa"/>
                  <w:vMerge w:val="continue"/>
                  <w:tcBorders>
                    <w:tl2br w:val="nil"/>
                    <w:tr2bl w:val="nil"/>
                  </w:tcBorders>
                  <w:noWrap w:val="0"/>
                  <w:vAlign w:val="center"/>
                </w:tcPr>
                <w:p>
                  <w:pPr>
                    <w:widowControl/>
                    <w:jc w:val="center"/>
                    <w:textAlignment w:val="center"/>
                    <w:rPr>
                      <w:szCs w:val="21"/>
                    </w:rPr>
                  </w:pPr>
                </w:p>
              </w:tc>
              <w:tc>
                <w:tcPr>
                  <w:tcW w:w="2331" w:type="dxa"/>
                  <w:tcBorders>
                    <w:tl2br w:val="nil"/>
                    <w:tr2bl w:val="nil"/>
                  </w:tcBorders>
                  <w:noWrap w:val="0"/>
                  <w:vAlign w:val="center"/>
                </w:tcPr>
                <w:p>
                  <w:pPr>
                    <w:widowControl/>
                    <w:jc w:val="center"/>
                    <w:textAlignment w:val="center"/>
                    <w:rPr>
                      <w:rFonts w:hint="eastAsia" w:eastAsia="宋体"/>
                      <w:szCs w:val="21"/>
                      <w:lang w:val="en-US" w:eastAsia="zh-CN"/>
                    </w:rPr>
                  </w:pPr>
                  <w:r>
                    <w:rPr>
                      <w:rFonts w:hint="eastAsia"/>
                      <w:szCs w:val="21"/>
                      <w:lang w:val="en-US" w:eastAsia="zh-CN"/>
                    </w:rPr>
                    <w:t>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485" w:hRule="atLeast"/>
                <w:jc w:val="center"/>
              </w:trPr>
              <w:tc>
                <w:tcPr>
                  <w:tcW w:w="1095" w:type="dxa"/>
                  <w:vMerge w:val="continue"/>
                  <w:tcBorders>
                    <w:tl2br w:val="nil"/>
                    <w:tr2bl w:val="nil"/>
                  </w:tcBorders>
                  <w:noWrap w:val="0"/>
                  <w:vAlign w:val="center"/>
                </w:tcPr>
                <w:p>
                  <w:pPr>
                    <w:spacing w:line="320" w:lineRule="exact"/>
                    <w:jc w:val="center"/>
                    <w:rPr>
                      <w:rFonts w:hint="eastAsia"/>
                      <w:szCs w:val="21"/>
                    </w:rPr>
                  </w:pPr>
                </w:p>
              </w:tc>
              <w:tc>
                <w:tcPr>
                  <w:tcW w:w="1319" w:type="dxa"/>
                  <w:vMerge w:val="continue"/>
                  <w:tcBorders>
                    <w:tl2br w:val="nil"/>
                    <w:tr2bl w:val="nil"/>
                  </w:tcBorders>
                  <w:noWrap w:val="0"/>
                  <w:vAlign w:val="center"/>
                </w:tcPr>
                <w:p>
                  <w:pPr>
                    <w:widowControl/>
                    <w:jc w:val="center"/>
                    <w:textAlignment w:val="center"/>
                    <w:rPr>
                      <w:rFonts w:hint="eastAsia"/>
                      <w:szCs w:val="21"/>
                    </w:rPr>
                  </w:pPr>
                </w:p>
              </w:tc>
              <w:tc>
                <w:tcPr>
                  <w:tcW w:w="2602" w:type="dxa"/>
                  <w:tcBorders>
                    <w:tl2br w:val="nil"/>
                    <w:tr2bl w:val="nil"/>
                  </w:tcBorders>
                  <w:noWrap w:val="0"/>
                  <w:vAlign w:val="center"/>
                </w:tcPr>
                <w:p>
                  <w:pPr>
                    <w:spacing w:line="320" w:lineRule="exact"/>
                    <w:jc w:val="center"/>
                    <w:rPr>
                      <w:szCs w:val="21"/>
                    </w:rPr>
                  </w:pPr>
                  <w:r>
                    <w:rPr>
                      <w:szCs w:val="21"/>
                    </w:rPr>
                    <w:t>TN</w:t>
                  </w:r>
                </w:p>
              </w:tc>
              <w:tc>
                <w:tcPr>
                  <w:tcW w:w="2208" w:type="dxa"/>
                  <w:vMerge w:val="continue"/>
                  <w:tcBorders>
                    <w:tl2br w:val="nil"/>
                    <w:tr2bl w:val="nil"/>
                  </w:tcBorders>
                  <w:noWrap w:val="0"/>
                  <w:vAlign w:val="center"/>
                </w:tcPr>
                <w:p>
                  <w:pPr>
                    <w:widowControl/>
                    <w:jc w:val="center"/>
                    <w:textAlignment w:val="center"/>
                    <w:rPr>
                      <w:szCs w:val="21"/>
                    </w:rPr>
                  </w:pPr>
                </w:p>
              </w:tc>
              <w:tc>
                <w:tcPr>
                  <w:tcW w:w="2331" w:type="dxa"/>
                  <w:tcBorders>
                    <w:tl2br w:val="nil"/>
                    <w:tr2bl w:val="nil"/>
                  </w:tcBorders>
                  <w:noWrap w:val="0"/>
                  <w:vAlign w:val="center"/>
                </w:tcPr>
                <w:p>
                  <w:pPr>
                    <w:widowControl/>
                    <w:jc w:val="center"/>
                    <w:textAlignment w:val="center"/>
                    <w:rPr>
                      <w:rFonts w:hint="eastAsia" w:eastAsia="宋体"/>
                      <w:szCs w:val="21"/>
                      <w:lang w:val="en-US" w:eastAsia="zh-CN"/>
                    </w:rPr>
                  </w:pPr>
                  <w:r>
                    <w:rPr>
                      <w:rFonts w:hint="eastAsia"/>
                      <w:szCs w:val="21"/>
                      <w:lang w:val="en-US" w:eastAsia="zh-CN"/>
                    </w:rPr>
                    <w:t>15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trHeight w:val="386" w:hRule="atLeast"/>
                <w:jc w:val="center"/>
              </w:trPr>
              <w:tc>
                <w:tcPr>
                  <w:tcW w:w="1095" w:type="dxa"/>
                  <w:vMerge w:val="continue"/>
                  <w:tcBorders>
                    <w:tl2br w:val="nil"/>
                    <w:tr2bl w:val="nil"/>
                  </w:tcBorders>
                  <w:noWrap w:val="0"/>
                  <w:vAlign w:val="center"/>
                </w:tcPr>
                <w:p>
                  <w:pPr>
                    <w:spacing w:line="320" w:lineRule="exact"/>
                    <w:jc w:val="center"/>
                    <w:rPr>
                      <w:rFonts w:hint="eastAsia"/>
                      <w:szCs w:val="21"/>
                    </w:rPr>
                  </w:pPr>
                </w:p>
              </w:tc>
              <w:tc>
                <w:tcPr>
                  <w:tcW w:w="1319" w:type="dxa"/>
                  <w:vMerge w:val="continue"/>
                  <w:tcBorders>
                    <w:tl2br w:val="nil"/>
                    <w:tr2bl w:val="nil"/>
                  </w:tcBorders>
                  <w:noWrap w:val="0"/>
                  <w:vAlign w:val="center"/>
                </w:tcPr>
                <w:p>
                  <w:pPr>
                    <w:widowControl/>
                    <w:jc w:val="center"/>
                    <w:textAlignment w:val="center"/>
                    <w:rPr>
                      <w:rFonts w:hint="eastAsia"/>
                      <w:szCs w:val="21"/>
                    </w:rPr>
                  </w:pPr>
                </w:p>
              </w:tc>
              <w:tc>
                <w:tcPr>
                  <w:tcW w:w="2602" w:type="dxa"/>
                  <w:tcBorders>
                    <w:tl2br w:val="nil"/>
                    <w:tr2bl w:val="nil"/>
                  </w:tcBorders>
                  <w:noWrap w:val="0"/>
                  <w:vAlign w:val="center"/>
                </w:tcPr>
                <w:p>
                  <w:pPr>
                    <w:spacing w:line="320" w:lineRule="exact"/>
                    <w:jc w:val="center"/>
                    <w:rPr>
                      <w:szCs w:val="21"/>
                    </w:rPr>
                  </w:pPr>
                  <w:r>
                    <w:rPr>
                      <w:szCs w:val="21"/>
                    </w:rPr>
                    <w:t>TP</w:t>
                  </w:r>
                </w:p>
              </w:tc>
              <w:tc>
                <w:tcPr>
                  <w:tcW w:w="2208" w:type="dxa"/>
                  <w:vMerge w:val="continue"/>
                  <w:tcBorders>
                    <w:tl2br w:val="nil"/>
                    <w:tr2bl w:val="nil"/>
                  </w:tcBorders>
                  <w:noWrap w:val="0"/>
                  <w:vAlign w:val="center"/>
                </w:tcPr>
                <w:p>
                  <w:pPr>
                    <w:widowControl/>
                    <w:jc w:val="center"/>
                    <w:textAlignment w:val="center"/>
                    <w:rPr>
                      <w:szCs w:val="21"/>
                    </w:rPr>
                  </w:pPr>
                </w:p>
              </w:tc>
              <w:tc>
                <w:tcPr>
                  <w:tcW w:w="2331" w:type="dxa"/>
                  <w:tcBorders>
                    <w:tl2br w:val="nil"/>
                    <w:tr2bl w:val="nil"/>
                  </w:tcBorders>
                  <w:noWrap w:val="0"/>
                  <w:vAlign w:val="center"/>
                </w:tcPr>
                <w:p>
                  <w:pPr>
                    <w:widowControl/>
                    <w:jc w:val="center"/>
                    <w:textAlignment w:val="center"/>
                    <w:rPr>
                      <w:rFonts w:hint="eastAsia" w:eastAsia="宋体"/>
                      <w:szCs w:val="21"/>
                      <w:lang w:val="en-US" w:eastAsia="zh-CN"/>
                    </w:rPr>
                  </w:pPr>
                  <w:r>
                    <w:rPr>
                      <w:rFonts w:hint="eastAsia"/>
                      <w:szCs w:val="21"/>
                      <w:lang w:val="en-US" w:eastAsia="zh-CN"/>
                    </w:rPr>
                    <w:t>0.5</w:t>
                  </w:r>
                </w:p>
              </w:tc>
            </w:tr>
          </w:tbl>
          <w:p>
            <w:pPr>
              <w:jc w:val="center"/>
              <w:rPr>
                <w:b/>
                <w:bCs/>
                <w:szCs w:val="21"/>
              </w:rPr>
            </w:pPr>
            <w:r>
              <w:rPr>
                <w:rFonts w:hint="eastAsia"/>
                <w:b/>
                <w:bCs/>
                <w:sz w:val="24"/>
                <w:szCs w:val="24"/>
              </w:rPr>
              <w:t>表</w:t>
            </w:r>
            <w:r>
              <w:rPr>
                <w:rFonts w:hint="eastAsia"/>
                <w:b/>
                <w:bCs/>
                <w:sz w:val="24"/>
                <w:szCs w:val="24"/>
                <w:lang w:val="en-US" w:eastAsia="zh-CN"/>
              </w:rPr>
              <w:t>7.2-14</w:t>
            </w:r>
            <w:r>
              <w:rPr>
                <w:rFonts w:hint="eastAsia"/>
                <w:b/>
                <w:bCs/>
                <w:sz w:val="24"/>
                <w:szCs w:val="24"/>
              </w:rPr>
              <w:t xml:space="preserve">   本项目废水污染物排放信息表</w:t>
            </w:r>
          </w:p>
          <w:tbl>
            <w:tblPr>
              <w:tblStyle w:val="26"/>
              <w:tblW w:w="9555"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57" w:type="dxa"/>
                <w:bottom w:w="0" w:type="dxa"/>
                <w:right w:w="57" w:type="dxa"/>
              </w:tblCellMar>
            </w:tblPr>
            <w:tblGrid>
              <w:gridCol w:w="917"/>
              <w:gridCol w:w="1300"/>
              <w:gridCol w:w="1981"/>
              <w:gridCol w:w="3603"/>
              <w:gridCol w:w="1754"/>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tcBorders>
                    <w:tl2br w:val="nil"/>
                    <w:tr2bl w:val="nil"/>
                  </w:tcBorders>
                  <w:noWrap w:val="0"/>
                  <w:vAlign w:val="center"/>
                </w:tcPr>
                <w:p>
                  <w:pPr>
                    <w:widowControl/>
                    <w:spacing w:line="340" w:lineRule="exact"/>
                    <w:jc w:val="center"/>
                    <w:textAlignment w:val="center"/>
                    <w:rPr>
                      <w:szCs w:val="21"/>
                    </w:rPr>
                  </w:pPr>
                  <w:r>
                    <w:rPr>
                      <w:rFonts w:hint="eastAsia"/>
                      <w:szCs w:val="21"/>
                    </w:rPr>
                    <w:t>序号</w:t>
                  </w:r>
                </w:p>
              </w:tc>
              <w:tc>
                <w:tcPr>
                  <w:tcW w:w="1300" w:type="dxa"/>
                  <w:tcBorders>
                    <w:tl2br w:val="nil"/>
                    <w:tr2bl w:val="nil"/>
                  </w:tcBorders>
                  <w:noWrap w:val="0"/>
                  <w:vAlign w:val="center"/>
                </w:tcPr>
                <w:p>
                  <w:pPr>
                    <w:widowControl/>
                    <w:spacing w:line="340" w:lineRule="exact"/>
                    <w:jc w:val="center"/>
                    <w:textAlignment w:val="center"/>
                    <w:rPr>
                      <w:szCs w:val="21"/>
                    </w:rPr>
                  </w:pPr>
                  <w:r>
                    <w:rPr>
                      <w:rFonts w:hint="eastAsia"/>
                      <w:szCs w:val="21"/>
                    </w:rPr>
                    <w:t>排放口编号</w:t>
                  </w:r>
                </w:p>
              </w:tc>
              <w:tc>
                <w:tcPr>
                  <w:tcW w:w="1981" w:type="dxa"/>
                  <w:tcBorders>
                    <w:tl2br w:val="nil"/>
                    <w:tr2bl w:val="nil"/>
                  </w:tcBorders>
                  <w:noWrap w:val="0"/>
                  <w:vAlign w:val="center"/>
                </w:tcPr>
                <w:p>
                  <w:pPr>
                    <w:widowControl/>
                    <w:spacing w:line="340" w:lineRule="exact"/>
                    <w:jc w:val="center"/>
                    <w:textAlignment w:val="center"/>
                    <w:rPr>
                      <w:szCs w:val="21"/>
                    </w:rPr>
                  </w:pPr>
                  <w:r>
                    <w:rPr>
                      <w:rFonts w:hint="eastAsia"/>
                      <w:szCs w:val="21"/>
                    </w:rPr>
                    <w:t>污染物种类</w:t>
                  </w:r>
                </w:p>
              </w:tc>
              <w:tc>
                <w:tcPr>
                  <w:tcW w:w="3603" w:type="dxa"/>
                  <w:tcBorders>
                    <w:tl2br w:val="nil"/>
                    <w:tr2bl w:val="nil"/>
                  </w:tcBorders>
                  <w:noWrap w:val="0"/>
                  <w:vAlign w:val="center"/>
                </w:tcPr>
                <w:p>
                  <w:pPr>
                    <w:widowControl/>
                    <w:spacing w:line="340" w:lineRule="exact"/>
                    <w:jc w:val="center"/>
                    <w:textAlignment w:val="center"/>
                    <w:rPr>
                      <w:szCs w:val="21"/>
                    </w:rPr>
                  </w:pPr>
                  <w:r>
                    <w:rPr>
                      <w:rFonts w:hint="eastAsia"/>
                      <w:szCs w:val="21"/>
                    </w:rPr>
                    <w:t>排放浓度（mg/L）</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rPr>
                    <w:t>年排放量（t/a）</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vMerge w:val="restart"/>
                  <w:tcBorders>
                    <w:tl2br w:val="nil"/>
                    <w:tr2bl w:val="nil"/>
                  </w:tcBorders>
                  <w:noWrap w:val="0"/>
                  <w:vAlign w:val="center"/>
                </w:tcPr>
                <w:p>
                  <w:pPr>
                    <w:spacing w:line="340" w:lineRule="exact"/>
                    <w:jc w:val="center"/>
                    <w:rPr>
                      <w:szCs w:val="21"/>
                    </w:rPr>
                  </w:pPr>
                  <w:r>
                    <w:rPr>
                      <w:rFonts w:hint="eastAsia"/>
                      <w:szCs w:val="21"/>
                    </w:rPr>
                    <w:t>1</w:t>
                  </w:r>
                </w:p>
              </w:tc>
              <w:tc>
                <w:tcPr>
                  <w:tcW w:w="1300" w:type="dxa"/>
                  <w:vMerge w:val="restart"/>
                  <w:tcBorders>
                    <w:tl2br w:val="nil"/>
                    <w:tr2bl w:val="nil"/>
                  </w:tcBorders>
                  <w:noWrap w:val="0"/>
                  <w:vAlign w:val="center"/>
                </w:tcPr>
                <w:p>
                  <w:pPr>
                    <w:widowControl/>
                    <w:spacing w:line="340" w:lineRule="exact"/>
                    <w:jc w:val="center"/>
                    <w:textAlignment w:val="center"/>
                    <w:rPr>
                      <w:szCs w:val="21"/>
                    </w:rPr>
                  </w:pPr>
                  <w:r>
                    <w:rPr>
                      <w:rFonts w:hint="eastAsia"/>
                    </w:rPr>
                    <w:t>1#</w:t>
                  </w:r>
                </w:p>
              </w:tc>
              <w:tc>
                <w:tcPr>
                  <w:tcW w:w="1981" w:type="dxa"/>
                  <w:tcBorders>
                    <w:tl2br w:val="nil"/>
                    <w:tr2bl w:val="nil"/>
                  </w:tcBorders>
                  <w:noWrap w:val="0"/>
                  <w:vAlign w:val="center"/>
                </w:tcPr>
                <w:p>
                  <w:pPr>
                    <w:spacing w:line="340" w:lineRule="exact"/>
                    <w:jc w:val="center"/>
                    <w:rPr>
                      <w:szCs w:val="21"/>
                    </w:rPr>
                  </w:pPr>
                  <w:r>
                    <w:rPr>
                      <w:szCs w:val="21"/>
                    </w:rPr>
                    <w:t>COD</w:t>
                  </w:r>
                </w:p>
              </w:tc>
              <w:tc>
                <w:tcPr>
                  <w:tcW w:w="3603" w:type="dxa"/>
                  <w:tcBorders>
                    <w:tl2br w:val="nil"/>
                    <w:tr2bl w:val="nil"/>
                  </w:tcBorders>
                  <w:noWrap w:val="0"/>
                  <w:vAlign w:val="center"/>
                </w:tcPr>
                <w:p>
                  <w:pPr>
                    <w:widowControl/>
                    <w:spacing w:line="340" w:lineRule="exact"/>
                    <w:jc w:val="center"/>
                    <w:textAlignment w:val="center"/>
                    <w:rPr>
                      <w:rFonts w:hint="eastAsia" w:eastAsia="宋体"/>
                      <w:szCs w:val="21"/>
                      <w:lang w:val="en-US" w:eastAsia="zh-CN"/>
                    </w:rPr>
                  </w:pPr>
                  <w:r>
                    <w:rPr>
                      <w:rFonts w:hint="eastAsia"/>
                      <w:szCs w:val="21"/>
                      <w:lang w:val="en-US" w:eastAsia="zh-CN"/>
                    </w:rPr>
                    <w:t>50</w:t>
                  </w:r>
                </w:p>
              </w:tc>
              <w:tc>
                <w:tcPr>
                  <w:tcW w:w="1754" w:type="dxa"/>
                  <w:tcBorders>
                    <w:tl2br w:val="nil"/>
                    <w:tr2bl w:val="nil"/>
                  </w:tcBorders>
                  <w:noWrap w:val="0"/>
                  <w:vAlign w:val="center"/>
                </w:tcPr>
                <w:p>
                  <w:pPr>
                    <w:widowControl/>
                    <w:spacing w:line="340" w:lineRule="exact"/>
                    <w:jc w:val="center"/>
                    <w:textAlignment w:val="center"/>
                    <w:rPr>
                      <w:rFonts w:hint="default" w:eastAsia="宋体"/>
                      <w:szCs w:val="21"/>
                      <w:lang w:val="en-US" w:eastAsia="zh-CN"/>
                    </w:rPr>
                  </w:pPr>
                  <w:r>
                    <w:rPr>
                      <w:rFonts w:hint="eastAsia"/>
                      <w:szCs w:val="21"/>
                      <w:lang w:val="en-US" w:eastAsia="zh-CN"/>
                    </w:rPr>
                    <w:t>4.0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vMerge w:val="continue"/>
                  <w:tcBorders>
                    <w:tl2br w:val="nil"/>
                    <w:tr2bl w:val="nil"/>
                  </w:tcBorders>
                  <w:noWrap w:val="0"/>
                  <w:vAlign w:val="center"/>
                </w:tcPr>
                <w:p>
                  <w:pPr>
                    <w:spacing w:line="340" w:lineRule="exact"/>
                    <w:jc w:val="center"/>
                    <w:rPr>
                      <w:szCs w:val="21"/>
                    </w:rPr>
                  </w:pPr>
                </w:p>
              </w:tc>
              <w:tc>
                <w:tcPr>
                  <w:tcW w:w="1300" w:type="dxa"/>
                  <w:vMerge w:val="continue"/>
                  <w:tcBorders>
                    <w:tl2br w:val="nil"/>
                    <w:tr2bl w:val="nil"/>
                  </w:tcBorders>
                  <w:noWrap w:val="0"/>
                  <w:vAlign w:val="center"/>
                </w:tcPr>
                <w:p>
                  <w:pPr>
                    <w:spacing w:line="340" w:lineRule="exact"/>
                    <w:jc w:val="center"/>
                    <w:rPr>
                      <w:szCs w:val="21"/>
                    </w:rPr>
                  </w:pPr>
                </w:p>
              </w:tc>
              <w:tc>
                <w:tcPr>
                  <w:tcW w:w="1981" w:type="dxa"/>
                  <w:tcBorders>
                    <w:tl2br w:val="nil"/>
                    <w:tr2bl w:val="nil"/>
                  </w:tcBorders>
                  <w:noWrap w:val="0"/>
                  <w:vAlign w:val="center"/>
                </w:tcPr>
                <w:p>
                  <w:pPr>
                    <w:spacing w:line="340" w:lineRule="exact"/>
                    <w:jc w:val="center"/>
                    <w:rPr>
                      <w:szCs w:val="21"/>
                    </w:rPr>
                  </w:pPr>
                  <w:r>
                    <w:rPr>
                      <w:szCs w:val="21"/>
                    </w:rPr>
                    <w:t>BOD</w:t>
                  </w:r>
                  <w:r>
                    <w:rPr>
                      <w:szCs w:val="21"/>
                      <w:vertAlign w:val="subscript"/>
                    </w:rPr>
                    <w:t>5</w:t>
                  </w:r>
                </w:p>
              </w:tc>
              <w:tc>
                <w:tcPr>
                  <w:tcW w:w="3603" w:type="dxa"/>
                  <w:tcBorders>
                    <w:tl2br w:val="nil"/>
                    <w:tr2bl w:val="nil"/>
                  </w:tcBorders>
                  <w:noWrap w:val="0"/>
                  <w:vAlign w:val="center"/>
                </w:tcPr>
                <w:p>
                  <w:pPr>
                    <w:widowControl/>
                    <w:spacing w:line="340" w:lineRule="exact"/>
                    <w:jc w:val="center"/>
                    <w:textAlignment w:val="center"/>
                    <w:rPr>
                      <w:rFonts w:hint="eastAsia" w:eastAsia="宋体"/>
                      <w:szCs w:val="21"/>
                      <w:lang w:val="en-US" w:eastAsia="zh-CN"/>
                    </w:rPr>
                  </w:pPr>
                  <w:r>
                    <w:rPr>
                      <w:rFonts w:hint="eastAsia"/>
                      <w:szCs w:val="21"/>
                      <w:lang w:val="en-US" w:eastAsia="zh-CN"/>
                    </w:rPr>
                    <w:t>10</w:t>
                  </w:r>
                </w:p>
              </w:tc>
              <w:tc>
                <w:tcPr>
                  <w:tcW w:w="1754" w:type="dxa"/>
                  <w:tcBorders>
                    <w:tl2br w:val="nil"/>
                    <w:tr2bl w:val="nil"/>
                  </w:tcBorders>
                  <w:noWrap w:val="0"/>
                  <w:vAlign w:val="center"/>
                </w:tcPr>
                <w:p>
                  <w:pPr>
                    <w:widowControl/>
                    <w:spacing w:line="340" w:lineRule="exact"/>
                    <w:jc w:val="center"/>
                    <w:textAlignment w:val="center"/>
                    <w:rPr>
                      <w:rFonts w:hint="default" w:eastAsia="宋体"/>
                      <w:szCs w:val="21"/>
                      <w:lang w:val="en-US" w:eastAsia="zh-CN"/>
                    </w:rPr>
                  </w:pPr>
                  <w:r>
                    <w:rPr>
                      <w:rFonts w:hint="eastAsia"/>
                      <w:szCs w:val="21"/>
                      <w:lang w:val="en-US" w:eastAsia="zh-CN"/>
                    </w:rPr>
                    <w:t>0.8</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vMerge w:val="continue"/>
                  <w:tcBorders>
                    <w:tl2br w:val="nil"/>
                    <w:tr2bl w:val="nil"/>
                  </w:tcBorders>
                  <w:noWrap w:val="0"/>
                  <w:vAlign w:val="center"/>
                </w:tcPr>
                <w:p>
                  <w:pPr>
                    <w:spacing w:line="340" w:lineRule="exact"/>
                    <w:jc w:val="center"/>
                    <w:rPr>
                      <w:szCs w:val="21"/>
                    </w:rPr>
                  </w:pPr>
                </w:p>
              </w:tc>
              <w:tc>
                <w:tcPr>
                  <w:tcW w:w="1300" w:type="dxa"/>
                  <w:vMerge w:val="continue"/>
                  <w:tcBorders>
                    <w:tl2br w:val="nil"/>
                    <w:tr2bl w:val="nil"/>
                  </w:tcBorders>
                  <w:noWrap w:val="0"/>
                  <w:vAlign w:val="center"/>
                </w:tcPr>
                <w:p>
                  <w:pPr>
                    <w:spacing w:line="340" w:lineRule="exact"/>
                    <w:jc w:val="center"/>
                    <w:rPr>
                      <w:szCs w:val="21"/>
                    </w:rPr>
                  </w:pPr>
                </w:p>
              </w:tc>
              <w:tc>
                <w:tcPr>
                  <w:tcW w:w="1981" w:type="dxa"/>
                  <w:tcBorders>
                    <w:tl2br w:val="nil"/>
                    <w:tr2bl w:val="nil"/>
                  </w:tcBorders>
                  <w:noWrap w:val="0"/>
                  <w:vAlign w:val="center"/>
                </w:tcPr>
                <w:p>
                  <w:pPr>
                    <w:spacing w:line="340" w:lineRule="exact"/>
                    <w:jc w:val="center"/>
                    <w:rPr>
                      <w:szCs w:val="21"/>
                    </w:rPr>
                  </w:pPr>
                  <w:r>
                    <w:rPr>
                      <w:szCs w:val="21"/>
                    </w:rPr>
                    <w:t>SS</w:t>
                  </w:r>
                </w:p>
              </w:tc>
              <w:tc>
                <w:tcPr>
                  <w:tcW w:w="3603" w:type="dxa"/>
                  <w:tcBorders>
                    <w:tl2br w:val="nil"/>
                    <w:tr2bl w:val="nil"/>
                  </w:tcBorders>
                  <w:noWrap w:val="0"/>
                  <w:vAlign w:val="center"/>
                </w:tcPr>
                <w:p>
                  <w:pPr>
                    <w:widowControl/>
                    <w:spacing w:line="340" w:lineRule="exact"/>
                    <w:jc w:val="center"/>
                    <w:textAlignment w:val="center"/>
                    <w:rPr>
                      <w:rFonts w:hint="eastAsia" w:eastAsia="宋体"/>
                      <w:szCs w:val="21"/>
                      <w:lang w:val="en-US" w:eastAsia="zh-CN"/>
                    </w:rPr>
                  </w:pPr>
                  <w:r>
                    <w:rPr>
                      <w:rFonts w:hint="eastAsia"/>
                      <w:szCs w:val="21"/>
                      <w:lang w:val="en-US" w:eastAsia="zh-CN"/>
                    </w:rPr>
                    <w:t>10</w:t>
                  </w:r>
                </w:p>
              </w:tc>
              <w:tc>
                <w:tcPr>
                  <w:tcW w:w="1754" w:type="dxa"/>
                  <w:tcBorders>
                    <w:tl2br w:val="nil"/>
                    <w:tr2bl w:val="nil"/>
                  </w:tcBorders>
                  <w:noWrap w:val="0"/>
                  <w:vAlign w:val="center"/>
                </w:tcPr>
                <w:p>
                  <w:pPr>
                    <w:widowControl/>
                    <w:spacing w:line="340" w:lineRule="exact"/>
                    <w:jc w:val="center"/>
                    <w:textAlignment w:val="center"/>
                    <w:rPr>
                      <w:rFonts w:hint="default" w:eastAsia="宋体"/>
                      <w:szCs w:val="21"/>
                      <w:lang w:val="en-US" w:eastAsia="zh-CN"/>
                    </w:rPr>
                  </w:pPr>
                  <w:r>
                    <w:rPr>
                      <w:rFonts w:hint="eastAsia"/>
                      <w:szCs w:val="21"/>
                      <w:lang w:val="en-US" w:eastAsia="zh-CN"/>
                    </w:rPr>
                    <w:t>0.8</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vMerge w:val="continue"/>
                  <w:tcBorders>
                    <w:tl2br w:val="nil"/>
                    <w:tr2bl w:val="nil"/>
                  </w:tcBorders>
                  <w:noWrap w:val="0"/>
                  <w:vAlign w:val="center"/>
                </w:tcPr>
                <w:p>
                  <w:pPr>
                    <w:spacing w:line="340" w:lineRule="exact"/>
                    <w:jc w:val="center"/>
                    <w:rPr>
                      <w:szCs w:val="21"/>
                    </w:rPr>
                  </w:pPr>
                </w:p>
              </w:tc>
              <w:tc>
                <w:tcPr>
                  <w:tcW w:w="1300" w:type="dxa"/>
                  <w:vMerge w:val="continue"/>
                  <w:tcBorders>
                    <w:tl2br w:val="nil"/>
                    <w:tr2bl w:val="nil"/>
                  </w:tcBorders>
                  <w:noWrap w:val="0"/>
                  <w:vAlign w:val="center"/>
                </w:tcPr>
                <w:p>
                  <w:pPr>
                    <w:spacing w:line="340" w:lineRule="exact"/>
                    <w:jc w:val="center"/>
                    <w:rPr>
                      <w:szCs w:val="21"/>
                    </w:rPr>
                  </w:pPr>
                </w:p>
              </w:tc>
              <w:tc>
                <w:tcPr>
                  <w:tcW w:w="1981" w:type="dxa"/>
                  <w:tcBorders>
                    <w:tl2br w:val="nil"/>
                    <w:tr2bl w:val="nil"/>
                  </w:tcBorders>
                  <w:noWrap w:val="0"/>
                  <w:vAlign w:val="center"/>
                </w:tcPr>
                <w:p>
                  <w:pPr>
                    <w:spacing w:line="340" w:lineRule="exact"/>
                    <w:jc w:val="center"/>
                    <w:rPr>
                      <w:szCs w:val="21"/>
                    </w:rPr>
                  </w:pPr>
                  <w:r>
                    <w:rPr>
                      <w:szCs w:val="21"/>
                    </w:rPr>
                    <w:t>NH</w:t>
                  </w:r>
                  <w:r>
                    <w:rPr>
                      <w:szCs w:val="21"/>
                      <w:vertAlign w:val="subscript"/>
                    </w:rPr>
                    <w:t>3</w:t>
                  </w:r>
                  <w:r>
                    <w:rPr>
                      <w:szCs w:val="21"/>
                    </w:rPr>
                    <w:t>-N</w:t>
                  </w:r>
                </w:p>
              </w:tc>
              <w:tc>
                <w:tcPr>
                  <w:tcW w:w="3603" w:type="dxa"/>
                  <w:tcBorders>
                    <w:tl2br w:val="nil"/>
                    <w:tr2bl w:val="nil"/>
                  </w:tcBorders>
                  <w:noWrap w:val="0"/>
                  <w:vAlign w:val="center"/>
                </w:tcPr>
                <w:p>
                  <w:pPr>
                    <w:widowControl/>
                    <w:spacing w:line="340" w:lineRule="exact"/>
                    <w:jc w:val="center"/>
                    <w:textAlignment w:val="center"/>
                    <w:rPr>
                      <w:rFonts w:hint="eastAsia" w:eastAsia="宋体"/>
                      <w:szCs w:val="21"/>
                      <w:lang w:val="en-US" w:eastAsia="zh-CN"/>
                    </w:rPr>
                  </w:pPr>
                  <w:r>
                    <w:rPr>
                      <w:rFonts w:hint="eastAsia"/>
                      <w:szCs w:val="21"/>
                      <w:lang w:val="en-US" w:eastAsia="zh-CN"/>
                    </w:rPr>
                    <w:t>5</w:t>
                  </w:r>
                </w:p>
              </w:tc>
              <w:tc>
                <w:tcPr>
                  <w:tcW w:w="1754" w:type="dxa"/>
                  <w:tcBorders>
                    <w:tl2br w:val="nil"/>
                    <w:tr2bl w:val="nil"/>
                  </w:tcBorders>
                  <w:noWrap w:val="0"/>
                  <w:vAlign w:val="center"/>
                </w:tcPr>
                <w:p>
                  <w:pPr>
                    <w:widowControl/>
                    <w:spacing w:line="340" w:lineRule="exact"/>
                    <w:jc w:val="center"/>
                    <w:textAlignment w:val="center"/>
                    <w:rPr>
                      <w:rFonts w:hint="default" w:eastAsia="宋体"/>
                      <w:szCs w:val="21"/>
                      <w:lang w:val="en-US" w:eastAsia="zh-CN"/>
                    </w:rPr>
                  </w:pPr>
                  <w:r>
                    <w:rPr>
                      <w:rFonts w:hint="eastAsia"/>
                      <w:szCs w:val="21"/>
                      <w:lang w:val="en-US" w:eastAsia="zh-CN"/>
                    </w:rPr>
                    <w:t>0.4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vMerge w:val="continue"/>
                  <w:tcBorders>
                    <w:tl2br w:val="nil"/>
                    <w:tr2bl w:val="nil"/>
                  </w:tcBorders>
                  <w:noWrap w:val="0"/>
                  <w:vAlign w:val="center"/>
                </w:tcPr>
                <w:p>
                  <w:pPr>
                    <w:spacing w:line="340" w:lineRule="exact"/>
                    <w:jc w:val="center"/>
                    <w:rPr>
                      <w:szCs w:val="21"/>
                    </w:rPr>
                  </w:pPr>
                </w:p>
              </w:tc>
              <w:tc>
                <w:tcPr>
                  <w:tcW w:w="1300" w:type="dxa"/>
                  <w:vMerge w:val="continue"/>
                  <w:tcBorders>
                    <w:tl2br w:val="nil"/>
                    <w:tr2bl w:val="nil"/>
                  </w:tcBorders>
                  <w:noWrap w:val="0"/>
                  <w:vAlign w:val="center"/>
                </w:tcPr>
                <w:p>
                  <w:pPr>
                    <w:spacing w:line="340" w:lineRule="exact"/>
                    <w:jc w:val="center"/>
                    <w:rPr>
                      <w:szCs w:val="21"/>
                    </w:rPr>
                  </w:pPr>
                </w:p>
              </w:tc>
              <w:tc>
                <w:tcPr>
                  <w:tcW w:w="1981" w:type="dxa"/>
                  <w:tcBorders>
                    <w:tl2br w:val="nil"/>
                    <w:tr2bl w:val="nil"/>
                  </w:tcBorders>
                  <w:noWrap w:val="0"/>
                  <w:vAlign w:val="center"/>
                </w:tcPr>
                <w:p>
                  <w:pPr>
                    <w:spacing w:line="340" w:lineRule="exact"/>
                    <w:jc w:val="center"/>
                    <w:rPr>
                      <w:szCs w:val="21"/>
                    </w:rPr>
                  </w:pPr>
                  <w:r>
                    <w:rPr>
                      <w:szCs w:val="21"/>
                    </w:rPr>
                    <w:t>TN</w:t>
                  </w:r>
                </w:p>
              </w:tc>
              <w:tc>
                <w:tcPr>
                  <w:tcW w:w="3603" w:type="dxa"/>
                  <w:tcBorders>
                    <w:tl2br w:val="nil"/>
                    <w:tr2bl w:val="nil"/>
                  </w:tcBorders>
                  <w:noWrap w:val="0"/>
                  <w:vAlign w:val="center"/>
                </w:tcPr>
                <w:p>
                  <w:pPr>
                    <w:widowControl/>
                    <w:spacing w:line="340" w:lineRule="exact"/>
                    <w:jc w:val="center"/>
                    <w:textAlignment w:val="center"/>
                    <w:rPr>
                      <w:rFonts w:hint="eastAsia" w:eastAsia="宋体"/>
                      <w:szCs w:val="21"/>
                      <w:lang w:val="en-US" w:eastAsia="zh-CN"/>
                    </w:rPr>
                  </w:pPr>
                  <w:r>
                    <w:rPr>
                      <w:rFonts w:hint="eastAsia"/>
                      <w:szCs w:val="21"/>
                      <w:lang w:val="en-US" w:eastAsia="zh-CN"/>
                    </w:rPr>
                    <w:t>15</w:t>
                  </w:r>
                </w:p>
              </w:tc>
              <w:tc>
                <w:tcPr>
                  <w:tcW w:w="1754" w:type="dxa"/>
                  <w:tcBorders>
                    <w:tl2br w:val="nil"/>
                    <w:tr2bl w:val="nil"/>
                  </w:tcBorders>
                  <w:noWrap w:val="0"/>
                  <w:vAlign w:val="center"/>
                </w:tcPr>
                <w:p>
                  <w:pPr>
                    <w:widowControl/>
                    <w:spacing w:line="340" w:lineRule="exact"/>
                    <w:jc w:val="center"/>
                    <w:textAlignment w:val="center"/>
                    <w:rPr>
                      <w:rFonts w:hint="default" w:eastAsia="宋体"/>
                      <w:szCs w:val="21"/>
                      <w:lang w:val="en-US" w:eastAsia="zh-CN"/>
                    </w:rPr>
                  </w:pPr>
                  <w:r>
                    <w:rPr>
                      <w:rFonts w:hint="eastAsia"/>
                      <w:szCs w:val="21"/>
                      <w:lang w:val="en-US" w:eastAsia="zh-CN"/>
                    </w:rPr>
                    <w:t>1.2</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917" w:type="dxa"/>
                  <w:vMerge w:val="continue"/>
                  <w:tcBorders>
                    <w:tl2br w:val="nil"/>
                    <w:tr2bl w:val="nil"/>
                  </w:tcBorders>
                  <w:noWrap w:val="0"/>
                  <w:vAlign w:val="center"/>
                </w:tcPr>
                <w:p>
                  <w:pPr>
                    <w:spacing w:line="340" w:lineRule="exact"/>
                    <w:jc w:val="center"/>
                    <w:rPr>
                      <w:szCs w:val="21"/>
                    </w:rPr>
                  </w:pPr>
                </w:p>
              </w:tc>
              <w:tc>
                <w:tcPr>
                  <w:tcW w:w="1300" w:type="dxa"/>
                  <w:vMerge w:val="continue"/>
                  <w:tcBorders>
                    <w:tl2br w:val="nil"/>
                    <w:tr2bl w:val="nil"/>
                  </w:tcBorders>
                  <w:noWrap w:val="0"/>
                  <w:vAlign w:val="center"/>
                </w:tcPr>
                <w:p>
                  <w:pPr>
                    <w:spacing w:line="340" w:lineRule="exact"/>
                    <w:jc w:val="center"/>
                    <w:rPr>
                      <w:szCs w:val="21"/>
                    </w:rPr>
                  </w:pPr>
                </w:p>
              </w:tc>
              <w:tc>
                <w:tcPr>
                  <w:tcW w:w="1981" w:type="dxa"/>
                  <w:tcBorders>
                    <w:tl2br w:val="nil"/>
                    <w:tr2bl w:val="nil"/>
                  </w:tcBorders>
                  <w:noWrap w:val="0"/>
                  <w:vAlign w:val="center"/>
                </w:tcPr>
                <w:p>
                  <w:pPr>
                    <w:spacing w:line="340" w:lineRule="exact"/>
                    <w:jc w:val="center"/>
                    <w:rPr>
                      <w:szCs w:val="21"/>
                    </w:rPr>
                  </w:pPr>
                  <w:r>
                    <w:rPr>
                      <w:szCs w:val="21"/>
                    </w:rPr>
                    <w:t>TP</w:t>
                  </w:r>
                </w:p>
              </w:tc>
              <w:tc>
                <w:tcPr>
                  <w:tcW w:w="3603" w:type="dxa"/>
                  <w:tcBorders>
                    <w:tl2br w:val="nil"/>
                    <w:tr2bl w:val="nil"/>
                  </w:tcBorders>
                  <w:noWrap w:val="0"/>
                  <w:vAlign w:val="center"/>
                </w:tcPr>
                <w:p>
                  <w:pPr>
                    <w:widowControl/>
                    <w:spacing w:line="340" w:lineRule="exact"/>
                    <w:jc w:val="center"/>
                    <w:textAlignment w:val="center"/>
                    <w:rPr>
                      <w:rFonts w:hint="eastAsia" w:eastAsia="宋体"/>
                      <w:szCs w:val="21"/>
                      <w:lang w:val="en-US" w:eastAsia="zh-CN"/>
                    </w:rPr>
                  </w:pPr>
                  <w:r>
                    <w:rPr>
                      <w:rFonts w:hint="eastAsia"/>
                      <w:szCs w:val="21"/>
                      <w:lang w:val="en-US" w:eastAsia="zh-CN"/>
                    </w:rPr>
                    <w:t>0.5</w:t>
                  </w:r>
                </w:p>
              </w:tc>
              <w:tc>
                <w:tcPr>
                  <w:tcW w:w="1754" w:type="dxa"/>
                  <w:tcBorders>
                    <w:tl2br w:val="nil"/>
                    <w:tr2bl w:val="nil"/>
                  </w:tcBorders>
                  <w:noWrap w:val="0"/>
                  <w:vAlign w:val="center"/>
                </w:tcPr>
                <w:p>
                  <w:pPr>
                    <w:widowControl/>
                    <w:spacing w:line="340" w:lineRule="exact"/>
                    <w:jc w:val="center"/>
                    <w:textAlignment w:val="center"/>
                    <w:rPr>
                      <w:rFonts w:hint="default" w:eastAsia="宋体"/>
                      <w:szCs w:val="21"/>
                      <w:lang w:val="en-US" w:eastAsia="zh-CN"/>
                    </w:rPr>
                  </w:pPr>
                  <w:r>
                    <w:rPr>
                      <w:rFonts w:hint="eastAsia"/>
                      <w:szCs w:val="21"/>
                      <w:lang w:val="en-US" w:eastAsia="zh-CN"/>
                    </w:rPr>
                    <w:t>0.04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2217" w:type="dxa"/>
                  <w:gridSpan w:val="2"/>
                  <w:vMerge w:val="restart"/>
                  <w:tcBorders>
                    <w:tl2br w:val="nil"/>
                    <w:tr2bl w:val="nil"/>
                  </w:tcBorders>
                  <w:noWrap w:val="0"/>
                  <w:vAlign w:val="center"/>
                </w:tcPr>
                <w:p>
                  <w:pPr>
                    <w:spacing w:line="340" w:lineRule="exact"/>
                    <w:jc w:val="center"/>
                    <w:rPr>
                      <w:szCs w:val="21"/>
                    </w:rPr>
                  </w:pPr>
                  <w:r>
                    <w:rPr>
                      <w:rFonts w:hint="eastAsia"/>
                      <w:szCs w:val="21"/>
                    </w:rPr>
                    <w:t>排放口合计</w:t>
                  </w:r>
                </w:p>
              </w:tc>
              <w:tc>
                <w:tcPr>
                  <w:tcW w:w="5584" w:type="dxa"/>
                  <w:gridSpan w:val="2"/>
                  <w:tcBorders>
                    <w:tl2br w:val="nil"/>
                    <w:tr2bl w:val="nil"/>
                  </w:tcBorders>
                  <w:noWrap w:val="0"/>
                  <w:vAlign w:val="center"/>
                </w:tcPr>
                <w:p>
                  <w:pPr>
                    <w:spacing w:line="340" w:lineRule="exact"/>
                    <w:jc w:val="center"/>
                    <w:rPr>
                      <w:szCs w:val="21"/>
                    </w:rPr>
                  </w:pPr>
                  <w:r>
                    <w:rPr>
                      <w:szCs w:val="21"/>
                    </w:rPr>
                    <w:t>COD</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lang w:val="en-US" w:eastAsia="zh-CN"/>
                    </w:rPr>
                    <w:t>4.0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2217" w:type="dxa"/>
                  <w:gridSpan w:val="2"/>
                  <w:vMerge w:val="continue"/>
                  <w:tcBorders>
                    <w:tl2br w:val="nil"/>
                    <w:tr2bl w:val="nil"/>
                  </w:tcBorders>
                  <w:noWrap w:val="0"/>
                  <w:vAlign w:val="center"/>
                </w:tcPr>
                <w:p>
                  <w:pPr>
                    <w:spacing w:line="340" w:lineRule="exact"/>
                    <w:jc w:val="center"/>
                    <w:rPr>
                      <w:rFonts w:hint="eastAsia"/>
                      <w:szCs w:val="21"/>
                    </w:rPr>
                  </w:pPr>
                </w:p>
              </w:tc>
              <w:tc>
                <w:tcPr>
                  <w:tcW w:w="5584" w:type="dxa"/>
                  <w:gridSpan w:val="2"/>
                  <w:tcBorders>
                    <w:tl2br w:val="nil"/>
                    <w:tr2bl w:val="nil"/>
                  </w:tcBorders>
                  <w:noWrap w:val="0"/>
                  <w:vAlign w:val="center"/>
                </w:tcPr>
                <w:p>
                  <w:pPr>
                    <w:spacing w:line="340" w:lineRule="exact"/>
                    <w:jc w:val="center"/>
                    <w:rPr>
                      <w:szCs w:val="21"/>
                    </w:rPr>
                  </w:pPr>
                  <w:r>
                    <w:rPr>
                      <w:szCs w:val="21"/>
                    </w:rPr>
                    <w:t>BOD</w:t>
                  </w:r>
                  <w:r>
                    <w:rPr>
                      <w:szCs w:val="21"/>
                      <w:vertAlign w:val="subscript"/>
                    </w:rPr>
                    <w:t>5</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lang w:val="en-US" w:eastAsia="zh-CN"/>
                    </w:rPr>
                    <w:t>0.8</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2217" w:type="dxa"/>
                  <w:gridSpan w:val="2"/>
                  <w:vMerge w:val="continue"/>
                  <w:tcBorders>
                    <w:tl2br w:val="nil"/>
                    <w:tr2bl w:val="nil"/>
                  </w:tcBorders>
                  <w:noWrap w:val="0"/>
                  <w:vAlign w:val="center"/>
                </w:tcPr>
                <w:p>
                  <w:pPr>
                    <w:spacing w:line="340" w:lineRule="exact"/>
                    <w:jc w:val="center"/>
                    <w:rPr>
                      <w:rFonts w:hint="eastAsia"/>
                      <w:szCs w:val="21"/>
                    </w:rPr>
                  </w:pPr>
                </w:p>
              </w:tc>
              <w:tc>
                <w:tcPr>
                  <w:tcW w:w="5584" w:type="dxa"/>
                  <w:gridSpan w:val="2"/>
                  <w:tcBorders>
                    <w:tl2br w:val="nil"/>
                    <w:tr2bl w:val="nil"/>
                  </w:tcBorders>
                  <w:noWrap w:val="0"/>
                  <w:vAlign w:val="center"/>
                </w:tcPr>
                <w:p>
                  <w:pPr>
                    <w:spacing w:line="340" w:lineRule="exact"/>
                    <w:jc w:val="center"/>
                    <w:rPr>
                      <w:szCs w:val="21"/>
                    </w:rPr>
                  </w:pPr>
                  <w:r>
                    <w:rPr>
                      <w:szCs w:val="21"/>
                    </w:rPr>
                    <w:t>SS</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lang w:val="en-US" w:eastAsia="zh-CN"/>
                    </w:rPr>
                    <w:t>0.8</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2217" w:type="dxa"/>
                  <w:gridSpan w:val="2"/>
                  <w:vMerge w:val="continue"/>
                  <w:tcBorders>
                    <w:tl2br w:val="nil"/>
                    <w:tr2bl w:val="nil"/>
                  </w:tcBorders>
                  <w:noWrap w:val="0"/>
                  <w:vAlign w:val="center"/>
                </w:tcPr>
                <w:p>
                  <w:pPr>
                    <w:spacing w:line="340" w:lineRule="exact"/>
                    <w:jc w:val="center"/>
                    <w:rPr>
                      <w:rFonts w:hint="eastAsia"/>
                      <w:szCs w:val="21"/>
                    </w:rPr>
                  </w:pPr>
                </w:p>
              </w:tc>
              <w:tc>
                <w:tcPr>
                  <w:tcW w:w="5584" w:type="dxa"/>
                  <w:gridSpan w:val="2"/>
                  <w:tcBorders>
                    <w:tl2br w:val="nil"/>
                    <w:tr2bl w:val="nil"/>
                  </w:tcBorders>
                  <w:noWrap w:val="0"/>
                  <w:vAlign w:val="center"/>
                </w:tcPr>
                <w:p>
                  <w:pPr>
                    <w:spacing w:line="340" w:lineRule="exact"/>
                    <w:jc w:val="center"/>
                    <w:rPr>
                      <w:szCs w:val="21"/>
                    </w:rPr>
                  </w:pPr>
                  <w:r>
                    <w:rPr>
                      <w:szCs w:val="21"/>
                    </w:rPr>
                    <w:t>NH</w:t>
                  </w:r>
                  <w:r>
                    <w:rPr>
                      <w:szCs w:val="21"/>
                      <w:vertAlign w:val="subscript"/>
                    </w:rPr>
                    <w:t>3</w:t>
                  </w:r>
                  <w:r>
                    <w:rPr>
                      <w:szCs w:val="21"/>
                    </w:rPr>
                    <w:t>-N</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lang w:val="en-US" w:eastAsia="zh-CN"/>
                    </w:rPr>
                    <w:t>0.4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2217" w:type="dxa"/>
                  <w:gridSpan w:val="2"/>
                  <w:vMerge w:val="continue"/>
                  <w:tcBorders>
                    <w:tl2br w:val="nil"/>
                    <w:tr2bl w:val="nil"/>
                  </w:tcBorders>
                  <w:noWrap w:val="0"/>
                  <w:vAlign w:val="center"/>
                </w:tcPr>
                <w:p>
                  <w:pPr>
                    <w:spacing w:line="340" w:lineRule="exact"/>
                    <w:jc w:val="center"/>
                    <w:rPr>
                      <w:rFonts w:hint="eastAsia"/>
                      <w:szCs w:val="21"/>
                    </w:rPr>
                  </w:pPr>
                </w:p>
              </w:tc>
              <w:tc>
                <w:tcPr>
                  <w:tcW w:w="5584" w:type="dxa"/>
                  <w:gridSpan w:val="2"/>
                  <w:tcBorders>
                    <w:tl2br w:val="nil"/>
                    <w:tr2bl w:val="nil"/>
                  </w:tcBorders>
                  <w:noWrap w:val="0"/>
                  <w:vAlign w:val="center"/>
                </w:tcPr>
                <w:p>
                  <w:pPr>
                    <w:spacing w:line="340" w:lineRule="exact"/>
                    <w:jc w:val="center"/>
                    <w:rPr>
                      <w:szCs w:val="21"/>
                    </w:rPr>
                  </w:pPr>
                  <w:r>
                    <w:rPr>
                      <w:szCs w:val="21"/>
                    </w:rPr>
                    <w:t>TN</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lang w:val="en-US" w:eastAsia="zh-CN"/>
                    </w:rPr>
                    <w:t>1.2</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jc w:val="center"/>
              </w:trPr>
              <w:tc>
                <w:tcPr>
                  <w:tcW w:w="2217" w:type="dxa"/>
                  <w:gridSpan w:val="2"/>
                  <w:vMerge w:val="continue"/>
                  <w:tcBorders>
                    <w:tl2br w:val="nil"/>
                    <w:tr2bl w:val="nil"/>
                  </w:tcBorders>
                  <w:noWrap w:val="0"/>
                  <w:vAlign w:val="center"/>
                </w:tcPr>
                <w:p>
                  <w:pPr>
                    <w:spacing w:line="340" w:lineRule="exact"/>
                    <w:jc w:val="center"/>
                    <w:rPr>
                      <w:rFonts w:hint="eastAsia"/>
                      <w:szCs w:val="21"/>
                    </w:rPr>
                  </w:pPr>
                </w:p>
              </w:tc>
              <w:tc>
                <w:tcPr>
                  <w:tcW w:w="5584" w:type="dxa"/>
                  <w:gridSpan w:val="2"/>
                  <w:tcBorders>
                    <w:tl2br w:val="nil"/>
                    <w:tr2bl w:val="nil"/>
                  </w:tcBorders>
                  <w:noWrap w:val="0"/>
                  <w:vAlign w:val="center"/>
                </w:tcPr>
                <w:p>
                  <w:pPr>
                    <w:spacing w:line="340" w:lineRule="exact"/>
                    <w:jc w:val="center"/>
                    <w:rPr>
                      <w:szCs w:val="21"/>
                    </w:rPr>
                  </w:pPr>
                  <w:r>
                    <w:rPr>
                      <w:szCs w:val="21"/>
                    </w:rPr>
                    <w:t>TP</w:t>
                  </w:r>
                </w:p>
              </w:tc>
              <w:tc>
                <w:tcPr>
                  <w:tcW w:w="1754" w:type="dxa"/>
                  <w:tcBorders>
                    <w:tl2br w:val="nil"/>
                    <w:tr2bl w:val="nil"/>
                  </w:tcBorders>
                  <w:noWrap w:val="0"/>
                  <w:vAlign w:val="center"/>
                </w:tcPr>
                <w:p>
                  <w:pPr>
                    <w:widowControl/>
                    <w:spacing w:line="340" w:lineRule="exact"/>
                    <w:jc w:val="center"/>
                    <w:textAlignment w:val="center"/>
                    <w:rPr>
                      <w:szCs w:val="21"/>
                    </w:rPr>
                  </w:pPr>
                  <w:r>
                    <w:rPr>
                      <w:rFonts w:hint="eastAsia"/>
                      <w:szCs w:val="21"/>
                      <w:lang w:val="en-US" w:eastAsia="zh-CN"/>
                    </w:rPr>
                    <w:t>0.04</w:t>
                  </w:r>
                </w:p>
              </w:tc>
            </w:tr>
            <w:bookmarkEnd w:id="88"/>
            <w:bookmarkEnd w:id="89"/>
          </w:tbl>
          <w:p>
            <w:pPr>
              <w:pStyle w:val="89"/>
              <w:ind w:firstLine="480" w:firstLineChars="200"/>
              <w:outlineLvl w:val="9"/>
              <w:rPr>
                <w:rFonts w:ascii="Times New Roman" w:hAnsi="Times New Roman"/>
                <w:b w:val="0"/>
                <w:bCs/>
                <w:sz w:val="24"/>
                <w:szCs w:val="24"/>
              </w:rPr>
            </w:pPr>
            <w:bookmarkStart w:id="90" w:name="_Toc22461"/>
            <w:bookmarkStart w:id="91" w:name="_Toc8275"/>
            <w:r>
              <w:rPr>
                <w:rFonts w:ascii="Times New Roman" w:hAnsi="Times New Roman"/>
                <w:b w:val="0"/>
                <w:bCs/>
                <w:sz w:val="24"/>
                <w:szCs w:val="24"/>
              </w:rPr>
              <w:t>3、声环境影响分析</w:t>
            </w:r>
            <w:bookmarkEnd w:id="90"/>
            <w:bookmarkEnd w:id="91"/>
          </w:p>
          <w:p>
            <w:pPr>
              <w:keepNext w:val="0"/>
              <w:keepLines w:val="0"/>
              <w:pageBreakBefore w:val="0"/>
              <w:widowControl w:val="0"/>
              <w:numPr>
                <w:ilvl w:val="0"/>
                <w:numId w:val="17"/>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themeColor="text1"/>
                <w:sz w:val="24"/>
                <w:highlight w:val="none"/>
                <w:lang w:val="en-US" w:eastAsia="zh-CN"/>
                <w14:textFill>
                  <w14:solidFill>
                    <w14:schemeClr w14:val="tx1"/>
                  </w14:solidFill>
                </w14:textFill>
              </w:rPr>
            </w:pPr>
            <w:bookmarkStart w:id="92" w:name="_Toc19289"/>
            <w:bookmarkStart w:id="93" w:name="_Toc22579"/>
            <w:bookmarkStart w:id="94" w:name="_Toc17227"/>
            <w:r>
              <w:rPr>
                <w:rFonts w:hint="default" w:ascii="Times New Roman" w:hAnsi="Times New Roman" w:cs="Times New Roman"/>
                <w:color w:val="000000" w:themeColor="text1"/>
                <w:sz w:val="24"/>
                <w:highlight w:val="none"/>
                <w:lang w:val="en-US" w:eastAsia="zh-CN"/>
                <w14:textFill>
                  <w14:solidFill>
                    <w14:schemeClr w14:val="tx1"/>
                  </w14:solidFill>
                </w14:textFill>
              </w:rPr>
              <w:t>评价等级确定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eastAsia="黑体"/>
                <w:color w:val="000000" w:themeColor="text1"/>
                <w:sz w:val="24"/>
                <w:highlight w:val="none"/>
                <w14:textFill>
                  <w14:solidFill>
                    <w14:schemeClr w14:val="tx1"/>
                  </w14:solidFill>
                </w14:textFill>
              </w:rPr>
            </w:pPr>
            <w:r>
              <w:rPr>
                <w:color w:val="000000" w:themeColor="text1"/>
                <w:sz w:val="24"/>
                <w:highlight w:val="none"/>
                <w14:textFill>
                  <w14:solidFill>
                    <w14:schemeClr w14:val="tx1"/>
                  </w14:solidFill>
                </w14:textFill>
              </w:rPr>
              <w:t>项目选址声环境属</w:t>
            </w:r>
            <w:r>
              <w:rPr>
                <w:color w:val="000000" w:themeColor="text1"/>
                <w:sz w:val="24"/>
                <w:szCs w:val="24"/>
                <w:highlight w:val="none"/>
                <w14:textFill>
                  <w14:solidFill>
                    <w14:schemeClr w14:val="tx1"/>
                  </w14:solidFill>
                </w14:textFill>
              </w:rPr>
              <w:t>2类标准地区。</w:t>
            </w:r>
            <w:r>
              <w:rPr>
                <w:rFonts w:ascii="Times New Roman" w:hAnsi="宋体" w:cs="Times New Roman"/>
                <w:snapToGrid w:val="0"/>
                <w:color w:val="000000" w:themeColor="text1"/>
                <w:kern w:val="0"/>
                <w:sz w:val="24"/>
                <w:szCs w:val="24"/>
                <w:highlight w:val="none"/>
                <w14:textFill>
                  <w14:solidFill>
                    <w14:schemeClr w14:val="tx1"/>
                  </w14:solidFill>
                </w14:textFill>
              </w:rPr>
              <w:t>本</w:t>
            </w:r>
            <w:r>
              <w:rPr>
                <w:rFonts w:hint="eastAsia" w:hAnsi="宋体" w:cs="Times New Roman"/>
                <w:snapToGrid w:val="0"/>
                <w:color w:val="000000" w:themeColor="text1"/>
                <w:kern w:val="0"/>
                <w:sz w:val="24"/>
                <w:szCs w:val="24"/>
                <w:highlight w:val="none"/>
                <w:lang w:val="en-US" w:eastAsia="zh-CN"/>
                <w14:textFill>
                  <w14:solidFill>
                    <w14:schemeClr w14:val="tx1"/>
                  </w14:solidFill>
                </w14:textFill>
              </w:rPr>
              <w:t>次扩建项目</w:t>
            </w:r>
            <w:r>
              <w:rPr>
                <w:rFonts w:hint="eastAsia" w:ascii="Times New Roman" w:hAnsi="宋体" w:cs="Times New Roman"/>
                <w:snapToGrid w:val="0"/>
                <w:color w:val="000000" w:themeColor="text1"/>
                <w:kern w:val="0"/>
                <w:sz w:val="24"/>
                <w:szCs w:val="24"/>
                <w:highlight w:val="none"/>
                <w:lang w:val="en-US" w:eastAsia="zh-CN"/>
                <w14:textFill>
                  <w14:solidFill>
                    <w14:schemeClr w14:val="tx1"/>
                  </w14:solidFill>
                </w14:textFill>
              </w:rPr>
              <w:t>营运期</w:t>
            </w:r>
            <w:r>
              <w:rPr>
                <w:rFonts w:ascii="Times New Roman" w:hAnsi="宋体" w:cs="Times New Roman"/>
                <w:snapToGrid w:val="0"/>
                <w:color w:val="000000" w:themeColor="text1"/>
                <w:kern w:val="0"/>
                <w:sz w:val="24"/>
                <w:szCs w:val="24"/>
                <w:highlight w:val="none"/>
                <w14:textFill>
                  <w14:solidFill>
                    <w14:schemeClr w14:val="tx1"/>
                  </w14:solidFill>
                </w14:textFill>
              </w:rPr>
              <w:t>噪声主要来源于</w:t>
            </w:r>
            <w:r>
              <w:rPr>
                <w:rFonts w:hint="eastAsia" w:hAnsi="宋体" w:cs="Times New Roman"/>
                <w:snapToGrid w:val="0"/>
                <w:color w:val="000000" w:themeColor="text1"/>
                <w:kern w:val="0"/>
                <w:sz w:val="24"/>
                <w:szCs w:val="24"/>
                <w:highlight w:val="none"/>
                <w:lang w:eastAsia="zh-CN"/>
                <w14:textFill>
                  <w14:solidFill>
                    <w14:schemeClr w14:val="tx1"/>
                  </w14:solidFill>
                </w14:textFill>
              </w:rPr>
              <w:t>水泵</w:t>
            </w:r>
            <w:r>
              <w:rPr>
                <w:rFonts w:hint="eastAsia"/>
                <w:sz w:val="24"/>
                <w:szCs w:val="24"/>
                <w:lang w:eastAsia="zh-CN"/>
              </w:rPr>
              <w:t>和</w:t>
            </w:r>
            <w:r>
              <w:rPr>
                <w:rFonts w:hint="eastAsia"/>
                <w:sz w:val="24"/>
                <w:szCs w:val="24"/>
              </w:rPr>
              <w:t>风机等</w:t>
            </w:r>
            <w:r>
              <w:rPr>
                <w:rFonts w:hint="eastAsia"/>
                <w:sz w:val="24"/>
                <w:szCs w:val="24"/>
                <w:lang w:eastAsia="zh-CN"/>
              </w:rPr>
              <w:t>设备噪声</w:t>
            </w:r>
            <w:r>
              <w:rPr>
                <w:color w:val="000000" w:themeColor="text1"/>
                <w:sz w:val="24"/>
                <w:szCs w:val="24"/>
                <w:highlight w:val="none"/>
                <w14:textFill>
                  <w14:solidFill>
                    <w14:schemeClr w14:val="tx1"/>
                  </w14:solidFill>
                </w14:textFill>
              </w:rPr>
              <w:t>。项目建设前后噪声级的增加量以及受影响人口变化情况均不明显，建设前后建设项目边界噪声声级的增加量＜3dB（A），属于非敏感区的建设项目，</w:t>
            </w:r>
            <w:r>
              <w:rPr>
                <w:color w:val="000000" w:themeColor="text1"/>
                <w:kern w:val="0"/>
                <w:sz w:val="24"/>
                <w:szCs w:val="24"/>
                <w:highlight w:val="none"/>
                <w14:textFill>
                  <w14:solidFill>
                    <w14:schemeClr w14:val="tx1"/>
                  </w14:solidFill>
                </w14:textFill>
              </w:rPr>
              <w:t>对周围环境影响较小。</w:t>
            </w:r>
            <w:r>
              <w:rPr>
                <w:color w:val="000000" w:themeColor="text1"/>
                <w:sz w:val="24"/>
                <w:szCs w:val="24"/>
                <w:highlight w:val="none"/>
                <w14:textFill>
                  <w14:solidFill>
                    <w14:schemeClr w14:val="tx1"/>
                  </w14:solidFill>
                </w14:textFill>
              </w:rPr>
              <w:t>根据</w:t>
            </w:r>
            <w:r>
              <w:rPr>
                <w:rFonts w:hint="eastAsia"/>
                <w:color w:val="000000" w:themeColor="text1"/>
                <w:sz w:val="24"/>
                <w:szCs w:val="24"/>
                <w:highlight w:val="none"/>
                <w14:textFill>
                  <w14:solidFill>
                    <w14:schemeClr w14:val="tx1"/>
                  </w14:solidFill>
                </w14:textFill>
              </w:rPr>
              <w:t>“</w:t>
            </w:r>
            <w:r>
              <w:rPr>
                <w:color w:val="000000" w:themeColor="text1"/>
                <w:sz w:val="24"/>
                <w:szCs w:val="24"/>
                <w:highlight w:val="none"/>
                <w14:textFill>
                  <w14:solidFill>
                    <w14:schemeClr w14:val="tx1"/>
                  </w14:solidFill>
                </w14:textFill>
              </w:rPr>
              <w:t>导则</w:t>
            </w:r>
            <w:r>
              <w:rPr>
                <w:rFonts w:hint="eastAsia"/>
                <w:color w:val="000000" w:themeColor="text1"/>
                <w:sz w:val="24"/>
                <w:szCs w:val="24"/>
                <w:highlight w:val="none"/>
                <w14:textFill>
                  <w14:solidFill>
                    <w14:schemeClr w14:val="tx1"/>
                  </w14:solidFill>
                </w14:textFill>
              </w:rPr>
              <w:t>”</w:t>
            </w:r>
            <w:r>
              <w:rPr>
                <w:color w:val="000000" w:themeColor="text1"/>
                <w:sz w:val="24"/>
                <w:highlight w:val="none"/>
                <w14:textFill>
                  <w14:solidFill>
                    <w14:schemeClr w14:val="tx1"/>
                  </w14:solidFill>
                </w14:textFill>
              </w:rPr>
              <w:t>HJ/T2.4-2009中评价工作分级的规定，确定本次声环境影响评价工作等级为二级。声环境评价工作等级判定结果见下表。</w:t>
            </w:r>
          </w:p>
          <w:p>
            <w:pPr>
              <w:pStyle w:val="8"/>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center"/>
              <w:textAlignment w:val="auto"/>
              <w:rPr>
                <w:rFonts w:eastAsia="黑体"/>
                <w:color w:val="000000" w:themeColor="text1"/>
                <w:sz w:val="24"/>
                <w:highlight w:val="none"/>
                <w14:textFill>
                  <w14:solidFill>
                    <w14:schemeClr w14:val="tx1"/>
                  </w14:solidFill>
                </w14:textFill>
              </w:rPr>
            </w:pPr>
            <w:r>
              <w:rPr>
                <w:rFonts w:eastAsia="黑体"/>
                <w:color w:val="000000" w:themeColor="text1"/>
                <w:sz w:val="24"/>
                <w:highlight w:val="none"/>
                <w14:textFill>
                  <w14:solidFill>
                    <w14:schemeClr w14:val="tx1"/>
                  </w14:solidFill>
                </w14:textFill>
              </w:rPr>
              <w:t>表</w:t>
            </w:r>
            <w:r>
              <w:rPr>
                <w:rFonts w:hint="eastAsia" w:eastAsia="黑体"/>
                <w:color w:val="000000" w:themeColor="text1"/>
                <w:sz w:val="24"/>
                <w:highlight w:val="none"/>
                <w:lang w:val="en-US" w:eastAsia="zh-CN"/>
                <w14:textFill>
                  <w14:solidFill>
                    <w14:schemeClr w14:val="tx1"/>
                  </w14:solidFill>
                </w14:textFill>
              </w:rPr>
              <w:t>7.2-15</w:t>
            </w:r>
            <w:r>
              <w:rPr>
                <w:rFonts w:eastAsia="黑体"/>
                <w:color w:val="000000" w:themeColor="text1"/>
                <w:sz w:val="24"/>
                <w:highlight w:val="none"/>
                <w14:textFill>
                  <w14:solidFill>
                    <w14:schemeClr w14:val="tx1"/>
                  </w14:solidFill>
                </w14:textFill>
              </w:rPr>
              <w:t xml:space="preserve"> 声环境评价工作等级判定结果</w:t>
            </w:r>
          </w:p>
          <w:tbl>
            <w:tblPr>
              <w:tblStyle w:val="26"/>
              <w:tblW w:w="4999"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5339"/>
              <w:gridCol w:w="4213"/>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38" w:hRule="atLeast"/>
                <w:jc w:val="center"/>
              </w:trPr>
              <w:tc>
                <w:tcPr>
                  <w:tcW w:w="2794"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项目</w:t>
                  </w:r>
                </w:p>
              </w:tc>
              <w:tc>
                <w:tcPr>
                  <w:tcW w:w="2205"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内容</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66" w:hRule="atLeast"/>
                <w:jc w:val="center"/>
              </w:trPr>
              <w:tc>
                <w:tcPr>
                  <w:tcW w:w="2794"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周围环境适用标准</w:t>
                  </w:r>
                </w:p>
              </w:tc>
              <w:tc>
                <w:tcPr>
                  <w:tcW w:w="2205"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GB3096-2008中2类</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80" w:hRule="atLeast"/>
                <w:jc w:val="center"/>
              </w:trPr>
              <w:tc>
                <w:tcPr>
                  <w:tcW w:w="2794"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周围环境受项目影响噪声增加量</w:t>
                  </w:r>
                </w:p>
              </w:tc>
              <w:tc>
                <w:tcPr>
                  <w:tcW w:w="2205"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3dB(A)以内</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436" w:hRule="atLeast"/>
                <w:jc w:val="center"/>
              </w:trPr>
              <w:tc>
                <w:tcPr>
                  <w:tcW w:w="2794"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受影响人口数量变化情况</w:t>
                  </w:r>
                </w:p>
              </w:tc>
              <w:tc>
                <w:tcPr>
                  <w:tcW w:w="2205"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变化不大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67" w:hRule="atLeast"/>
                <w:jc w:val="center"/>
              </w:trPr>
              <w:tc>
                <w:tcPr>
                  <w:tcW w:w="2794"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评价工作等级</w:t>
                  </w:r>
                </w:p>
              </w:tc>
              <w:tc>
                <w:tcPr>
                  <w:tcW w:w="2205" w:type="pct"/>
                  <w:tcBorders>
                    <w:tl2br w:val="nil"/>
                    <w:tr2bl w:val="nil"/>
                  </w:tcBorders>
                  <w:noWrap w:val="0"/>
                  <w:vAlign w:val="center"/>
                </w:tcPr>
                <w:p>
                  <w:pPr>
                    <w:jc w:val="center"/>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二级</w:t>
                  </w:r>
                </w:p>
              </w:tc>
            </w:tr>
          </w:tbl>
          <w:p>
            <w:pPr>
              <w:pStyle w:val="8"/>
              <w:ind w:firstLine="480"/>
              <w:rPr>
                <w:rFonts w:hint="default" w:eastAsia="宋体"/>
                <w:color w:val="000000" w:themeColor="text1"/>
                <w:sz w:val="24"/>
                <w:highlight w:val="none"/>
                <w:u w:val="none"/>
                <w:lang w:val="en-US" w:eastAsia="zh-CN"/>
                <w14:textFill>
                  <w14:solidFill>
                    <w14:schemeClr w14:val="tx1"/>
                  </w14:solidFill>
                </w14:textFill>
              </w:rPr>
            </w:pPr>
            <w:r>
              <w:rPr>
                <w:rFonts w:hint="eastAsia"/>
                <w:color w:val="000000" w:themeColor="text1"/>
                <w:sz w:val="24"/>
                <w:highlight w:val="none"/>
                <w:u w:val="none"/>
                <w:lang w:eastAsia="zh-CN"/>
                <w14:textFill>
                  <w14:solidFill>
                    <w14:schemeClr w14:val="tx1"/>
                  </w14:solidFill>
                </w14:textFill>
              </w:rPr>
              <w:t>（</w:t>
            </w:r>
            <w:r>
              <w:rPr>
                <w:rFonts w:hint="eastAsia"/>
                <w:color w:val="000000" w:themeColor="text1"/>
                <w:sz w:val="24"/>
                <w:highlight w:val="none"/>
                <w:u w:val="none"/>
                <w:lang w:val="en-US" w:eastAsia="zh-CN"/>
                <w14:textFill>
                  <w14:solidFill>
                    <w14:schemeClr w14:val="tx1"/>
                  </w14:solidFill>
                </w14:textFill>
              </w:rPr>
              <w:t>2</w:t>
            </w:r>
            <w:r>
              <w:rPr>
                <w:rFonts w:hint="eastAsia"/>
                <w:color w:val="000000" w:themeColor="text1"/>
                <w:sz w:val="24"/>
                <w:highlight w:val="none"/>
                <w:u w:val="none"/>
                <w:lang w:eastAsia="zh-CN"/>
                <w14:textFill>
                  <w14:solidFill>
                    <w14:schemeClr w14:val="tx1"/>
                  </w14:solidFill>
                </w14:textFill>
              </w:rPr>
              <w:t>）</w:t>
            </w:r>
            <w:r>
              <w:rPr>
                <w:rFonts w:hint="eastAsia"/>
                <w:color w:val="000000" w:themeColor="text1"/>
                <w:sz w:val="24"/>
                <w:highlight w:val="none"/>
                <w:u w:val="none"/>
                <w:lang w:val="en-US" w:eastAsia="zh-CN"/>
                <w14:textFill>
                  <w14:solidFill>
                    <w14:schemeClr w14:val="tx1"/>
                  </w14:solidFill>
                </w14:textFill>
              </w:rPr>
              <w:t>影响分析</w:t>
            </w:r>
          </w:p>
          <w:p>
            <w:pPr>
              <w:pStyle w:val="2"/>
              <w:numPr>
                <w:ilvl w:val="2"/>
                <w:numId w:val="0"/>
              </w:numPr>
              <w:ind w:firstLine="480" w:firstLineChars="200"/>
              <w:rPr>
                <w:rFonts w:hint="eastAsia" w:eastAsia="宋体"/>
                <w:u w:val="single"/>
                <w:lang w:eastAsia="zh-CN"/>
              </w:rPr>
            </w:pPr>
            <w:r>
              <w:rPr>
                <w:rFonts w:hint="eastAsia"/>
                <w:u w:val="single"/>
              </w:rPr>
              <w:t>本项目风机和水泵运行会产生噪声，是污水处理厂主要噪声污染源。但是由于本工程设备进行有效的减振、隔声处理，有效地降低噪声源强，同时通过加强厂区绿化，使噪声传至厂界降至60dB（A）以下，满足标准要求。</w:t>
            </w:r>
            <w:bookmarkEnd w:id="92"/>
            <w:r>
              <w:rPr>
                <w:rFonts w:hint="eastAsia"/>
                <w:u w:val="single"/>
                <w:lang w:eastAsia="zh-CN"/>
              </w:rPr>
              <w:t>因此项目营运期噪声对周边环境产生的影响较小，不会对周围环境敏感点产生长远的不利影响。</w:t>
            </w:r>
          </w:p>
          <w:p>
            <w:pPr>
              <w:pStyle w:val="89"/>
              <w:ind w:firstLine="480" w:firstLineChars="200"/>
              <w:outlineLvl w:val="9"/>
              <w:rPr>
                <w:rFonts w:ascii="Times New Roman" w:hAnsi="Times New Roman"/>
                <w:b w:val="0"/>
                <w:bCs/>
                <w:sz w:val="24"/>
                <w:szCs w:val="24"/>
              </w:rPr>
            </w:pPr>
            <w:r>
              <w:rPr>
                <w:rFonts w:ascii="Times New Roman" w:hAnsi="Times New Roman"/>
                <w:b w:val="0"/>
                <w:bCs/>
                <w:sz w:val="24"/>
                <w:szCs w:val="24"/>
              </w:rPr>
              <w:t>4、固体废物环境影响分析</w:t>
            </w:r>
            <w:bookmarkEnd w:id="93"/>
            <w:bookmarkEnd w:id="94"/>
          </w:p>
          <w:p>
            <w:pPr>
              <w:pStyle w:val="89"/>
              <w:spacing w:line="360" w:lineRule="auto"/>
              <w:ind w:firstLine="480" w:firstLineChars="200"/>
              <w:outlineLvl w:val="9"/>
              <w:rPr>
                <w:rFonts w:hint="eastAsia" w:ascii="Times New Roman" w:hAnsi="Times New Roman"/>
                <w:b w:val="0"/>
                <w:kern w:val="0"/>
                <w:sz w:val="24"/>
                <w:szCs w:val="24"/>
                <w:lang w:eastAsia="zh-CN"/>
              </w:rPr>
            </w:pPr>
            <w:bookmarkStart w:id="95" w:name="_Toc27394"/>
            <w:bookmarkStart w:id="96" w:name="_Toc24874"/>
            <w:r>
              <w:rPr>
                <w:rFonts w:hint="eastAsia" w:ascii="Times New Roman" w:hAnsi="Times New Roman"/>
                <w:b w:val="0"/>
                <w:kern w:val="0"/>
                <w:sz w:val="24"/>
                <w:szCs w:val="24"/>
                <w:lang w:eastAsia="zh-CN"/>
              </w:rPr>
              <w:t>项目营运期固废主要为奇家社区污水处理站产生的污泥，剩余污泥每天产生量（含水率80%）约为22kg/10</w:t>
            </w:r>
            <w:r>
              <w:rPr>
                <w:rFonts w:hint="eastAsia" w:ascii="Times New Roman" w:hAnsi="Times New Roman"/>
                <w:b w:val="0"/>
                <w:kern w:val="0"/>
                <w:sz w:val="24"/>
                <w:szCs w:val="24"/>
                <w:vertAlign w:val="superscript"/>
                <w:lang w:eastAsia="zh-CN"/>
              </w:rPr>
              <w:t>3</w:t>
            </w:r>
            <w:r>
              <w:rPr>
                <w:rFonts w:hint="eastAsia" w:ascii="Times New Roman" w:hAnsi="Times New Roman"/>
                <w:b w:val="0"/>
                <w:kern w:val="0"/>
                <w:sz w:val="24"/>
                <w:szCs w:val="24"/>
                <w:lang w:eastAsia="zh-CN"/>
              </w:rPr>
              <w:t>m</w:t>
            </w:r>
            <w:r>
              <w:rPr>
                <w:rFonts w:hint="eastAsia" w:ascii="Times New Roman" w:hAnsi="Times New Roman"/>
                <w:b w:val="0"/>
                <w:kern w:val="0"/>
                <w:sz w:val="24"/>
                <w:szCs w:val="24"/>
                <w:vertAlign w:val="superscript"/>
                <w:lang w:eastAsia="zh-CN"/>
              </w:rPr>
              <w:t>3</w:t>
            </w:r>
            <w:r>
              <w:rPr>
                <w:rFonts w:hint="eastAsia" w:ascii="Times New Roman" w:hAnsi="Times New Roman"/>
                <w:b w:val="0"/>
                <w:kern w:val="0"/>
                <w:sz w:val="24"/>
                <w:szCs w:val="24"/>
                <w:lang w:eastAsia="zh-CN"/>
              </w:rPr>
              <w:t>污水。本项目污水规模为</w:t>
            </w:r>
            <w:r>
              <w:rPr>
                <w:rFonts w:hint="eastAsia" w:ascii="Times New Roman" w:hAnsi="Times New Roman"/>
                <w:b w:val="0"/>
                <w:kern w:val="0"/>
                <w:sz w:val="24"/>
                <w:szCs w:val="24"/>
                <w:lang w:val="en-US" w:eastAsia="zh-CN"/>
              </w:rPr>
              <w:t>22</w:t>
            </w:r>
            <w:r>
              <w:rPr>
                <w:rFonts w:hint="eastAsia" w:ascii="Times New Roman" w:hAnsi="Times New Roman"/>
                <w:b w:val="0"/>
                <w:kern w:val="0"/>
                <w:sz w:val="24"/>
                <w:szCs w:val="24"/>
                <w:lang w:eastAsia="zh-CN"/>
              </w:rPr>
              <w:t>0m</w:t>
            </w:r>
            <w:r>
              <w:rPr>
                <w:rFonts w:hint="eastAsia" w:ascii="Times New Roman" w:hAnsi="Times New Roman"/>
                <w:b w:val="0"/>
                <w:kern w:val="0"/>
                <w:sz w:val="24"/>
                <w:szCs w:val="24"/>
                <w:vertAlign w:val="superscript"/>
                <w:lang w:eastAsia="zh-CN"/>
              </w:rPr>
              <w:t>3</w:t>
            </w:r>
            <w:r>
              <w:rPr>
                <w:rFonts w:hint="eastAsia" w:ascii="Times New Roman" w:hAnsi="Times New Roman"/>
                <w:b w:val="0"/>
                <w:kern w:val="0"/>
                <w:sz w:val="24"/>
                <w:szCs w:val="24"/>
                <w:lang w:eastAsia="zh-CN"/>
              </w:rPr>
              <w:t>/d、污泥含水率为80%，则本项目建成后污泥产生量约为</w:t>
            </w:r>
            <w:r>
              <w:rPr>
                <w:rFonts w:hint="eastAsia" w:ascii="Times New Roman" w:hAnsi="Times New Roman"/>
                <w:b w:val="0"/>
                <w:kern w:val="0"/>
                <w:sz w:val="24"/>
                <w:szCs w:val="24"/>
                <w:lang w:val="en-US" w:eastAsia="zh-CN"/>
              </w:rPr>
              <w:t>4.84</w:t>
            </w:r>
            <w:r>
              <w:rPr>
                <w:rFonts w:hint="eastAsia" w:ascii="Times New Roman" w:hAnsi="Times New Roman"/>
                <w:b w:val="0"/>
                <w:kern w:val="0"/>
                <w:sz w:val="24"/>
                <w:szCs w:val="24"/>
                <w:lang w:eastAsia="zh-CN"/>
              </w:rPr>
              <w:t>kg/d，合</w:t>
            </w:r>
            <w:r>
              <w:rPr>
                <w:rFonts w:hint="eastAsia" w:ascii="Times New Roman" w:hAnsi="Times New Roman"/>
                <w:b w:val="0"/>
                <w:kern w:val="0"/>
                <w:sz w:val="24"/>
                <w:szCs w:val="24"/>
                <w:lang w:val="en-US" w:eastAsia="zh-CN"/>
              </w:rPr>
              <w:t>1.8</w:t>
            </w:r>
            <w:r>
              <w:rPr>
                <w:rFonts w:hint="eastAsia" w:ascii="Times New Roman" w:hAnsi="Times New Roman"/>
                <w:b w:val="0"/>
                <w:kern w:val="0"/>
                <w:sz w:val="24"/>
                <w:szCs w:val="24"/>
                <w:lang w:eastAsia="zh-CN"/>
              </w:rPr>
              <w:t>t/a。污泥在污泥储存池内暂存后定期外运至罗家坡污水处理厂集中处置。</w:t>
            </w:r>
          </w:p>
          <w:p>
            <w:pPr>
              <w:pStyle w:val="89"/>
              <w:numPr>
                <w:ilvl w:val="0"/>
                <w:numId w:val="13"/>
              </w:numPr>
              <w:spacing w:line="360" w:lineRule="auto"/>
              <w:ind w:left="0" w:leftChars="0" w:firstLine="480" w:firstLineChars="200"/>
              <w:outlineLvl w:val="9"/>
              <w:rPr>
                <w:rFonts w:hint="eastAsia"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地下水环境影响分析</w:t>
            </w:r>
          </w:p>
          <w:p>
            <w:pPr>
              <w:spacing w:line="360" w:lineRule="auto"/>
              <w:ind w:firstLine="480" w:firstLineChars="200"/>
              <w:rPr>
                <w:rFonts w:hint="eastAsia" w:ascii="Times New Roman" w:hAnsi="Times New Roman" w:eastAsia="宋体" w:cs="Times New Roman"/>
                <w:b w:val="0"/>
                <w:kern w:val="0"/>
                <w:sz w:val="24"/>
                <w:szCs w:val="24"/>
                <w:lang w:val="en-US" w:eastAsia="zh-CN" w:bidi="ar-SA"/>
              </w:rPr>
            </w:pPr>
            <w:r>
              <w:rPr>
                <w:rFonts w:hint="eastAsia" w:ascii="Times New Roman" w:hAnsi="Times New Roman" w:eastAsia="宋体" w:cs="Times New Roman"/>
                <w:b w:val="0"/>
                <w:kern w:val="0"/>
                <w:sz w:val="24"/>
                <w:szCs w:val="24"/>
                <w:lang w:val="en-US" w:eastAsia="zh-CN" w:bidi="ar-SA"/>
              </w:rPr>
              <w:t>根据《环境影响评价技术导则地下水环境》（HJ610-2016）中地下水环境影响评价工作等级划分的原则对工程评价工作等级进行划分。根据HJ610-2016附录A，本项目属于“U城镇基础设施及房地产</w:t>
            </w:r>
            <w:r>
              <w:rPr>
                <w:rFonts w:hint="default" w:ascii="Times New Roman" w:hAnsi="Times New Roman" w:eastAsia="宋体" w:cs="Times New Roman"/>
                <w:b w:val="0"/>
                <w:kern w:val="0"/>
                <w:sz w:val="24"/>
                <w:szCs w:val="24"/>
                <w:lang w:val="en-US" w:eastAsia="zh-CN" w:bidi="ar-SA"/>
              </w:rPr>
              <w:t>”中的“144、生活污水集中处理”，属于</w:t>
            </w:r>
            <w:r>
              <w:rPr>
                <w:rFonts w:hint="default" w:ascii="Times New Roman" w:hAnsi="Times New Roman" w:eastAsia="黑体" w:cs="Times New Roman"/>
                <w:b w:val="0"/>
                <w:kern w:val="0"/>
                <w:sz w:val="24"/>
                <w:szCs w:val="24"/>
                <w:lang w:val="en-US" w:eastAsia="ja-JP" w:bidi="ar-SA"/>
              </w:rPr>
              <w:t>Ⅲ</w:t>
            </w:r>
            <w:r>
              <w:rPr>
                <w:rFonts w:hint="eastAsia" w:ascii="Times New Roman" w:hAnsi="Times New Roman" w:eastAsia="宋体" w:cs="Times New Roman"/>
                <w:b w:val="0"/>
                <w:kern w:val="0"/>
                <w:sz w:val="24"/>
                <w:szCs w:val="24"/>
                <w:lang w:val="en-US" w:eastAsia="zh-CN" w:bidi="ar-SA"/>
              </w:rPr>
              <w:t>类项目；项目所在地周边居民用水由市政自来水供水系统提供，周边无集中式饮用水源，评价范围内无集中式饮用水源分布，项目下游无分散式水源，也不涉及其他地下水敏感区，地下水环境敏感程度为不敏感。根据地下水环境影响分级表7.2-16可知，本项目地下水环境影响评价等级为三级。</w:t>
            </w:r>
          </w:p>
          <w:p>
            <w:pPr>
              <w:pStyle w:val="15"/>
              <w:jc w:val="center"/>
              <w:rPr>
                <w:rFonts w:ascii="Times New Roman" w:hAnsi="Times New Roman" w:eastAsia="宋体"/>
                <w:b/>
                <w:sz w:val="24"/>
                <w:szCs w:val="24"/>
              </w:rPr>
            </w:pPr>
            <w:r>
              <w:rPr>
                <w:rFonts w:ascii="Times New Roman" w:hAnsi="Times New Roman" w:eastAsia="宋体"/>
                <w:b/>
                <w:sz w:val="24"/>
                <w:szCs w:val="24"/>
              </w:rPr>
              <w:t>表</w:t>
            </w:r>
            <w:r>
              <w:rPr>
                <w:rFonts w:hint="eastAsia" w:ascii="Times New Roman" w:hAnsi="Times New Roman" w:eastAsia="宋体"/>
                <w:b/>
                <w:sz w:val="24"/>
                <w:szCs w:val="24"/>
                <w:lang w:val="en-US" w:eastAsia="zh-CN"/>
              </w:rPr>
              <w:t>7.2-16</w:t>
            </w:r>
            <w:r>
              <w:rPr>
                <w:rFonts w:ascii="Times New Roman" w:hAnsi="Times New Roman" w:eastAsia="宋体"/>
                <w:b/>
                <w:sz w:val="24"/>
                <w:szCs w:val="24"/>
              </w:rPr>
              <w:t xml:space="preserve">  本项目地下水环境影响评价工作等级划分表</w:t>
            </w:r>
          </w:p>
          <w:tbl>
            <w:tblPr>
              <w:tblStyle w:val="27"/>
              <w:tblW w:w="4998"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581"/>
              <w:gridCol w:w="2056"/>
              <w:gridCol w:w="2427"/>
              <w:gridCol w:w="2486"/>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84" w:hRule="atLeast"/>
                <w:jc w:val="center"/>
              </w:trPr>
              <w:tc>
                <w:tcPr>
                  <w:tcW w:w="1351" w:type="pct"/>
                  <w:tcBorders>
                    <w:tl2br w:val="single" w:color="auto" w:sz="2" w:space="0"/>
                  </w:tcBorders>
                </w:tcPr>
                <w:p>
                  <w:pPr>
                    <w:jc w:val="right"/>
                    <w:rPr>
                      <w:rFonts w:ascii="Times New Roman" w:hAnsi="Times New Roman" w:eastAsia="宋体" w:cs="Times New Roman"/>
                      <w:sz w:val="21"/>
                      <w:szCs w:val="21"/>
                    </w:rPr>
                  </w:pPr>
                  <w:r>
                    <w:rPr>
                      <w:rFonts w:ascii="Times New Roman" w:hAnsi="Times New Roman" w:eastAsia="宋体" w:cs="Times New Roman"/>
                      <w:sz w:val="21"/>
                      <w:szCs w:val="21"/>
                    </w:rPr>
                    <w:t>项目类型</w:t>
                  </w:r>
                </w:p>
                <w:p>
                  <w:pPr>
                    <w:snapToGrid w:val="0"/>
                    <w:spacing w:line="240" w:lineRule="auto"/>
                    <w:jc w:val="right"/>
                    <w:rPr>
                      <w:rFonts w:ascii="Times New Roman" w:hAnsi="Times New Roman" w:eastAsia="宋体" w:cs="Times New Roman"/>
                      <w:sz w:val="21"/>
                      <w:szCs w:val="21"/>
                    </w:rPr>
                  </w:pPr>
                </w:p>
                <w:p>
                  <w:pPr>
                    <w:snapToGrid w:val="0"/>
                    <w:spacing w:line="240" w:lineRule="auto"/>
                    <w:jc w:val="left"/>
                    <w:rPr>
                      <w:rFonts w:ascii="Times New Roman" w:hAnsi="Times New Roman" w:eastAsia="宋体" w:cs="Times New Roman"/>
                      <w:sz w:val="21"/>
                      <w:szCs w:val="21"/>
                    </w:rPr>
                  </w:pPr>
                  <w:r>
                    <w:rPr>
                      <w:rFonts w:ascii="Times New Roman" w:hAnsi="Times New Roman" w:eastAsia="宋体" w:cs="Times New Roman"/>
                      <w:sz w:val="21"/>
                      <w:szCs w:val="21"/>
                    </w:rPr>
                    <w:t>环境敏感程度</w:t>
                  </w:r>
                </w:p>
              </w:tc>
              <w:tc>
                <w:tcPr>
                  <w:tcW w:w="1076" w:type="pct"/>
                  <w:tcBorders>
                    <w:tl2br w:val="nil"/>
                    <w:tr2bl w:val="nil"/>
                  </w:tcBorders>
                  <w:vAlign w:val="center"/>
                </w:tcPr>
                <w:p>
                  <w:pPr>
                    <w:jc w:val="center"/>
                    <w:rPr>
                      <w:rFonts w:ascii="Times New Roman" w:hAnsi="Times New Roman" w:eastAsia="宋体" w:cs="Times New Roman"/>
                      <w:sz w:val="21"/>
                      <w:szCs w:val="21"/>
                    </w:rPr>
                  </w:pPr>
                  <w:r>
                    <w:rPr>
                      <w:rFonts w:ascii="Times New Roman" w:hAnsi="Times New Roman" w:eastAsia="宋体" w:cs="Times New Roman"/>
                      <w:sz w:val="21"/>
                      <w:szCs w:val="21"/>
                    </w:rPr>
                    <w:fldChar w:fldCharType="begin"/>
                  </w:r>
                  <w:r>
                    <w:rPr>
                      <w:rFonts w:ascii="Times New Roman" w:hAnsi="Times New Roman" w:eastAsia="宋体" w:cs="Times New Roman"/>
                      <w:sz w:val="21"/>
                      <w:szCs w:val="21"/>
                    </w:rPr>
                    <w:instrText xml:space="preserve"> = 1 \* ROMAN \* MERGEFORMAT </w:instrText>
                  </w:r>
                  <w:r>
                    <w:rPr>
                      <w:rFonts w:ascii="Times New Roman" w:hAnsi="Times New Roman" w:eastAsia="宋体" w:cs="Times New Roman"/>
                      <w:sz w:val="21"/>
                      <w:szCs w:val="21"/>
                    </w:rPr>
                    <w:fldChar w:fldCharType="separate"/>
                  </w:r>
                  <w:r>
                    <w:rPr>
                      <w:rFonts w:ascii="Times New Roman" w:hAnsi="Times New Roman" w:eastAsia="宋体" w:cs="Times New Roman"/>
                    </w:rPr>
                    <w:t>I</w:t>
                  </w:r>
                  <w:r>
                    <w:rPr>
                      <w:rFonts w:ascii="Times New Roman" w:hAnsi="Times New Roman" w:eastAsia="宋体" w:cs="Times New Roman"/>
                      <w:sz w:val="21"/>
                      <w:szCs w:val="21"/>
                    </w:rPr>
                    <w:fldChar w:fldCharType="end"/>
                  </w:r>
                  <w:r>
                    <w:rPr>
                      <w:rFonts w:ascii="Times New Roman" w:hAnsi="Times New Roman" w:eastAsia="宋体" w:cs="Times New Roman"/>
                      <w:sz w:val="21"/>
                      <w:szCs w:val="21"/>
                    </w:rPr>
                    <w:t>类项目</w:t>
                  </w:r>
                </w:p>
              </w:tc>
              <w:tc>
                <w:tcPr>
                  <w:tcW w:w="1270" w:type="pct"/>
                  <w:tcBorders>
                    <w:tl2br w:val="nil"/>
                    <w:tr2bl w:val="nil"/>
                  </w:tcBorders>
                  <w:vAlign w:val="center"/>
                </w:tcPr>
                <w:p>
                  <w:pPr>
                    <w:jc w:val="center"/>
                    <w:rPr>
                      <w:rFonts w:ascii="Times New Roman" w:hAnsi="Times New Roman" w:eastAsia="宋体" w:cs="Times New Roman"/>
                      <w:sz w:val="21"/>
                      <w:szCs w:val="21"/>
                    </w:rPr>
                  </w:pPr>
                  <w:r>
                    <w:rPr>
                      <w:rFonts w:ascii="Times New Roman" w:hAnsi="Times New Roman" w:eastAsia="宋体" w:cs="Times New Roman"/>
                      <w:sz w:val="21"/>
                      <w:szCs w:val="21"/>
                    </w:rPr>
                    <w:fldChar w:fldCharType="begin"/>
                  </w:r>
                  <w:r>
                    <w:rPr>
                      <w:rFonts w:ascii="Times New Roman" w:hAnsi="Times New Roman" w:eastAsia="宋体" w:cs="Times New Roman"/>
                      <w:sz w:val="21"/>
                      <w:szCs w:val="21"/>
                    </w:rPr>
                    <w:instrText xml:space="preserve"> = 2 \* ROMAN \* MERGEFORMAT </w:instrText>
                  </w:r>
                  <w:r>
                    <w:rPr>
                      <w:rFonts w:ascii="Times New Roman" w:hAnsi="Times New Roman" w:eastAsia="宋体" w:cs="Times New Roman"/>
                      <w:sz w:val="21"/>
                      <w:szCs w:val="21"/>
                    </w:rPr>
                    <w:fldChar w:fldCharType="separate"/>
                  </w:r>
                  <w:r>
                    <w:rPr>
                      <w:rFonts w:ascii="Times New Roman" w:hAnsi="Times New Roman" w:eastAsia="宋体" w:cs="Times New Roman"/>
                    </w:rPr>
                    <w:t>II</w:t>
                  </w:r>
                  <w:r>
                    <w:rPr>
                      <w:rFonts w:ascii="Times New Roman" w:hAnsi="Times New Roman" w:eastAsia="宋体" w:cs="Times New Roman"/>
                      <w:sz w:val="21"/>
                      <w:szCs w:val="21"/>
                    </w:rPr>
                    <w:fldChar w:fldCharType="end"/>
                  </w:r>
                  <w:r>
                    <w:rPr>
                      <w:rFonts w:ascii="Times New Roman" w:hAnsi="Times New Roman" w:eastAsia="宋体" w:cs="Times New Roman"/>
                      <w:sz w:val="21"/>
                      <w:szCs w:val="21"/>
                    </w:rPr>
                    <w:t>类项目</w:t>
                  </w:r>
                </w:p>
              </w:tc>
              <w:tc>
                <w:tcPr>
                  <w:tcW w:w="1301" w:type="pct"/>
                  <w:tcBorders>
                    <w:tl2br w:val="nil"/>
                    <w:tr2bl w:val="nil"/>
                  </w:tcBorders>
                  <w:vAlign w:val="center"/>
                </w:tcPr>
                <w:p>
                  <w:pPr>
                    <w:jc w:val="center"/>
                    <w:rPr>
                      <w:rFonts w:ascii="Times New Roman" w:hAnsi="Times New Roman" w:eastAsia="宋体" w:cs="Times New Roman"/>
                      <w:sz w:val="21"/>
                      <w:szCs w:val="21"/>
                    </w:rPr>
                  </w:pPr>
                  <w:r>
                    <w:rPr>
                      <w:rFonts w:ascii="Times New Roman" w:hAnsi="Times New Roman" w:eastAsia="宋体" w:cs="Times New Roman"/>
                      <w:sz w:val="21"/>
                      <w:szCs w:val="21"/>
                    </w:rPr>
                    <w:fldChar w:fldCharType="begin"/>
                  </w:r>
                  <w:r>
                    <w:rPr>
                      <w:rFonts w:ascii="Times New Roman" w:hAnsi="Times New Roman" w:eastAsia="宋体" w:cs="Times New Roman"/>
                      <w:sz w:val="21"/>
                      <w:szCs w:val="21"/>
                    </w:rPr>
                    <w:instrText xml:space="preserve"> = 3 \* ROMAN \* MERGEFORMAT </w:instrText>
                  </w:r>
                  <w:r>
                    <w:rPr>
                      <w:rFonts w:ascii="Times New Roman" w:hAnsi="Times New Roman" w:eastAsia="宋体" w:cs="Times New Roman"/>
                      <w:sz w:val="21"/>
                      <w:szCs w:val="21"/>
                    </w:rPr>
                    <w:fldChar w:fldCharType="separate"/>
                  </w:r>
                  <w:r>
                    <w:rPr>
                      <w:rFonts w:ascii="Times New Roman" w:hAnsi="Times New Roman" w:eastAsia="宋体" w:cs="Times New Roman"/>
                    </w:rPr>
                    <w:t>III</w:t>
                  </w:r>
                  <w:r>
                    <w:rPr>
                      <w:rFonts w:ascii="Times New Roman" w:hAnsi="Times New Roman" w:eastAsia="宋体" w:cs="Times New Roman"/>
                      <w:sz w:val="21"/>
                      <w:szCs w:val="21"/>
                    </w:rPr>
                    <w:fldChar w:fldCharType="end"/>
                  </w:r>
                  <w:r>
                    <w:rPr>
                      <w:rFonts w:ascii="Times New Roman" w:hAnsi="Times New Roman" w:eastAsia="宋体" w:cs="Times New Roman"/>
                      <w:sz w:val="21"/>
                      <w:szCs w:val="21"/>
                    </w:rPr>
                    <w:t>类项目</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351" w:type="pct"/>
                  <w:tcBorders>
                    <w:tl2br w:val="nil"/>
                    <w:tr2bl w:val="nil"/>
                  </w:tcBorders>
                </w:tcPr>
                <w:p>
                  <w:pPr>
                    <w:snapToGrid w:val="0"/>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敏感</w:t>
                  </w:r>
                </w:p>
              </w:tc>
              <w:tc>
                <w:tcPr>
                  <w:tcW w:w="1076"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一</w:t>
                  </w:r>
                </w:p>
              </w:tc>
              <w:tc>
                <w:tcPr>
                  <w:tcW w:w="1270"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一</w:t>
                  </w:r>
                </w:p>
              </w:tc>
              <w:tc>
                <w:tcPr>
                  <w:tcW w:w="1301"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二</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351"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较敏感</w:t>
                  </w:r>
                </w:p>
              </w:tc>
              <w:tc>
                <w:tcPr>
                  <w:tcW w:w="1076" w:type="pct"/>
                  <w:tcBorders>
                    <w:tl2br w:val="nil"/>
                    <w:tr2bl w:val="nil"/>
                  </w:tcBorders>
                  <w:shd w:val="clear" w:color="auto" w:fill="auto"/>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一</w:t>
                  </w:r>
                </w:p>
              </w:tc>
              <w:tc>
                <w:tcPr>
                  <w:tcW w:w="1270"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二</w:t>
                  </w:r>
                </w:p>
              </w:tc>
              <w:tc>
                <w:tcPr>
                  <w:tcW w:w="1301"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三</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351"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不敏感</w:t>
                  </w:r>
                </w:p>
              </w:tc>
              <w:tc>
                <w:tcPr>
                  <w:tcW w:w="1076" w:type="pct"/>
                  <w:tcBorders>
                    <w:tl2br w:val="nil"/>
                    <w:tr2bl w:val="nil"/>
                  </w:tcBorders>
                  <w:shd w:val="clear" w:color="auto" w:fill="BEBEBE" w:themeFill="background1" w:themeFillShade="BF"/>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二</w:t>
                  </w:r>
                </w:p>
              </w:tc>
              <w:tc>
                <w:tcPr>
                  <w:tcW w:w="1270"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三</w:t>
                  </w:r>
                </w:p>
              </w:tc>
              <w:tc>
                <w:tcPr>
                  <w:tcW w:w="1301" w:type="pct"/>
                  <w:tcBorders>
                    <w:tl2br w:val="nil"/>
                    <w:tr2bl w:val="nil"/>
                  </w:tcBorders>
                </w:tcPr>
                <w:p>
                  <w:pPr>
                    <w:spacing w:line="240" w:lineRule="auto"/>
                    <w:jc w:val="center"/>
                    <w:rPr>
                      <w:rFonts w:ascii="Times New Roman" w:hAnsi="Times New Roman" w:eastAsia="宋体" w:cs="Times New Roman"/>
                      <w:sz w:val="21"/>
                      <w:szCs w:val="21"/>
                    </w:rPr>
                  </w:pPr>
                  <w:r>
                    <w:rPr>
                      <w:rFonts w:ascii="Times New Roman" w:hAnsi="Times New Roman" w:eastAsia="宋体" w:cs="Times New Roman"/>
                      <w:sz w:val="21"/>
                      <w:szCs w:val="21"/>
                    </w:rPr>
                    <w:t>三</w:t>
                  </w:r>
                </w:p>
              </w:tc>
            </w:tr>
          </w:tbl>
          <w:p>
            <w:pPr>
              <w:spacing w:line="360" w:lineRule="auto"/>
              <w:ind w:firstLine="480" w:firstLineChars="200"/>
              <w:rPr>
                <w:rFonts w:hint="eastAsia"/>
                <w:sz w:val="24"/>
                <w:u w:val="none"/>
              </w:rPr>
            </w:pPr>
            <w:r>
              <w:rPr>
                <w:rFonts w:hint="eastAsia"/>
                <w:sz w:val="24"/>
                <w:u w:val="none"/>
              </w:rPr>
              <w:t>项目运营过程污水处理池体破裂、污水管破裂泄漏等导致污水下渗可能对当地地下水环境造成影响，因此，要求污水处理设施应设置严格的工程防渗措施。</w:t>
            </w:r>
          </w:p>
          <w:p>
            <w:pPr>
              <w:spacing w:line="365" w:lineRule="auto"/>
              <w:ind w:firstLine="480" w:firstLineChars="200"/>
              <w:rPr>
                <w:rFonts w:hint="eastAsia"/>
                <w:sz w:val="24"/>
                <w:u w:val="none"/>
              </w:rPr>
            </w:pPr>
            <w:r>
              <w:rPr>
                <w:rFonts w:hint="eastAsia"/>
                <w:sz w:val="24"/>
                <w:u w:val="none"/>
              </w:rPr>
              <w:t>①一般防渗区：本项目地下水一般防渗区为</w:t>
            </w:r>
            <w:r>
              <w:rPr>
                <w:rFonts w:hint="eastAsia"/>
                <w:sz w:val="24"/>
                <w:u w:val="none"/>
                <w:lang w:eastAsia="zh-CN"/>
              </w:rPr>
              <w:t>各污水处理构筑物</w:t>
            </w:r>
            <w:r>
              <w:rPr>
                <w:rFonts w:hint="eastAsia"/>
                <w:sz w:val="24"/>
                <w:u w:val="none"/>
              </w:rPr>
              <w:t>，可采用抗渗混凝土或其他防渗性能等效的材料，等效防渗厚度≥1.5m、渗透系数为≤1×10</w:t>
            </w:r>
            <w:r>
              <w:rPr>
                <w:rFonts w:hint="eastAsia"/>
                <w:sz w:val="24"/>
                <w:u w:val="none"/>
                <w:vertAlign w:val="superscript"/>
              </w:rPr>
              <w:t>-7</w:t>
            </w:r>
            <w:r>
              <w:rPr>
                <w:rFonts w:hint="eastAsia"/>
                <w:sz w:val="24"/>
                <w:u w:val="none"/>
              </w:rPr>
              <w:t xml:space="preserve"> cm/s的粘土层的防渗性能。</w:t>
            </w:r>
          </w:p>
          <w:p>
            <w:pPr>
              <w:spacing w:line="365" w:lineRule="auto"/>
              <w:ind w:firstLine="480" w:firstLineChars="200"/>
              <w:rPr>
                <w:rFonts w:hint="eastAsia"/>
                <w:sz w:val="24"/>
                <w:u w:val="none"/>
              </w:rPr>
            </w:pPr>
            <w:r>
              <w:rPr>
                <w:rFonts w:hint="eastAsia"/>
                <w:sz w:val="24"/>
                <w:u w:val="none"/>
              </w:rPr>
              <w:t>②简单防渗区：本项目地下水简单防渗区为配电柜、门卫等地面，可采取一般地面硬化。</w:t>
            </w:r>
          </w:p>
          <w:p>
            <w:pPr>
              <w:spacing w:line="360" w:lineRule="auto"/>
              <w:ind w:firstLine="480"/>
              <w:rPr>
                <w:sz w:val="24"/>
                <w:szCs w:val="24"/>
              </w:rPr>
            </w:pPr>
            <w:r>
              <w:rPr>
                <w:rFonts w:hint="eastAsia"/>
                <w:sz w:val="24"/>
                <w:u w:val="none"/>
              </w:rPr>
              <w:t>综上所述，在确保各项防渗措施得以落实，并加强维护和厂区环境管理的前提下，可有效控制本项目污水下渗现象，避免污染地下水，因此，在采取相应防渗措施的前提下，本项目不会对区域地下水环境产生明显影响。</w:t>
            </w:r>
          </w:p>
          <w:p>
            <w:pPr>
              <w:pStyle w:val="89"/>
              <w:numPr>
                <w:ilvl w:val="0"/>
                <w:numId w:val="13"/>
              </w:numPr>
              <w:spacing w:line="360" w:lineRule="auto"/>
              <w:ind w:left="0" w:leftChars="0" w:firstLine="480" w:firstLineChars="200"/>
              <w:outlineLvl w:val="9"/>
              <w:rPr>
                <w:rFonts w:hint="default"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土壤环境影响分析</w:t>
            </w:r>
          </w:p>
          <w:p>
            <w:pPr>
              <w:pStyle w:val="2"/>
              <w:numPr>
                <w:ilvl w:val="2"/>
                <w:numId w:val="0"/>
              </w:numPr>
              <w:ind w:firstLine="480" w:firstLineChars="200"/>
            </w:pPr>
            <w:r>
              <w:rPr>
                <w:rFonts w:hint="eastAsia" w:ascii="Times New Roman" w:hAnsi="Times New Roman" w:eastAsia="宋体" w:cs="Times New Roman"/>
                <w:color w:val="auto"/>
                <w:szCs w:val="24"/>
                <w:lang w:val="en-US" w:eastAsia="zh-CN"/>
              </w:rPr>
              <w:t>根据《环境影响评价技术导则 土壤环境试行》HJ964-2018附录A.1，土壤环境评价项目类别，本项目属于</w:t>
            </w:r>
            <w:r>
              <w:rPr>
                <w:rFonts w:hint="eastAsia" w:ascii="Times New Roman" w:hAnsi="Times New Roman" w:cs="Times New Roman"/>
                <w:color w:val="auto"/>
                <w:szCs w:val="24"/>
                <w:lang w:val="en-US" w:eastAsia="zh-CN"/>
              </w:rPr>
              <w:t>“电力热力燃气及水生产和供应业中</w:t>
            </w:r>
            <w:r>
              <w:rPr>
                <w:rFonts w:hint="eastAsia"/>
              </w:rPr>
              <w:t>生活污水处理项目</w:t>
            </w:r>
            <w:r>
              <w:rPr>
                <w:rFonts w:hint="eastAsia" w:ascii="Times New Roman" w:hAnsi="Times New Roman" w:cs="Times New Roman"/>
                <w:color w:val="auto"/>
                <w:szCs w:val="24"/>
                <w:lang w:val="en-US" w:eastAsia="zh-CN"/>
              </w:rPr>
              <w:t>”</w:t>
            </w:r>
            <w:r>
              <w:rPr>
                <w:rFonts w:hint="eastAsia" w:ascii="Times New Roman" w:hAnsi="Times New Roman" w:eastAsia="宋体" w:cs="Times New Roman"/>
                <w:color w:val="auto"/>
                <w:szCs w:val="24"/>
                <w:lang w:val="en-US" w:eastAsia="zh-CN"/>
              </w:rPr>
              <w:t>，为Ⅲ类项目，且本项目</w:t>
            </w:r>
            <w:r>
              <w:rPr>
                <w:rFonts w:hint="eastAsia" w:ascii="Times New Roman" w:hAnsi="Times New Roman" w:cs="Times New Roman"/>
                <w:color w:val="auto"/>
                <w:szCs w:val="24"/>
                <w:lang w:val="en-US" w:eastAsia="zh-CN"/>
              </w:rPr>
              <w:t>污水处理站</w:t>
            </w:r>
            <w:r>
              <w:rPr>
                <w:rFonts w:hint="eastAsia" w:ascii="Times New Roman" w:hAnsi="Times New Roman" w:eastAsia="宋体" w:cs="Times New Roman"/>
                <w:color w:val="auto"/>
                <w:szCs w:val="24"/>
                <w:lang w:val="en-US" w:eastAsia="zh-CN"/>
              </w:rPr>
              <w:t>占地面积为</w:t>
            </w:r>
            <w:r>
              <w:rPr>
                <w:rFonts w:hint="eastAsia"/>
                <w:szCs w:val="24"/>
                <w:lang w:val="en-US" w:eastAsia="zh-CN"/>
              </w:rPr>
              <w:t>1000</w:t>
            </w:r>
            <w:r>
              <w:rPr>
                <w:rFonts w:hint="eastAsia" w:ascii="Times New Roman" w:hAnsi="Times New Roman" w:eastAsia="宋体" w:cs="Times New Roman"/>
                <w:color w:val="auto"/>
                <w:szCs w:val="24"/>
                <w:lang w:val="en-US" w:eastAsia="zh-CN"/>
              </w:rPr>
              <w:t>平方米，根据导则6.2.2.1，本项目建设用地小于5公顷，属于小型，</w:t>
            </w:r>
            <w:r>
              <w:rPr>
                <w:rFonts w:hint="eastAsia" w:ascii="Times New Roman" w:hAnsi="Times New Roman" w:cs="Times New Roman"/>
                <w:color w:val="auto"/>
                <w:szCs w:val="24"/>
                <w:lang w:val="en-US" w:eastAsia="zh-CN"/>
              </w:rPr>
              <w:t>周边土地为耕地和居民点，土壤敏感程度为敏感</w:t>
            </w:r>
            <w:r>
              <w:rPr>
                <w:rFonts w:hint="eastAsia" w:ascii="Times New Roman" w:hAnsi="Times New Roman" w:eastAsia="宋体" w:cs="Times New Roman"/>
                <w:color w:val="auto"/>
                <w:szCs w:val="24"/>
                <w:lang w:val="en-US" w:eastAsia="zh-CN"/>
              </w:rPr>
              <w:t>，因此对照导则中表4，项目</w:t>
            </w:r>
            <w:r>
              <w:rPr>
                <w:rFonts w:hint="eastAsia"/>
              </w:rPr>
              <w:t>土壤评价等级为三级。</w:t>
            </w:r>
          </w:p>
          <w:p>
            <w:pPr>
              <w:pStyle w:val="89"/>
              <w:numPr>
                <w:ilvl w:val="0"/>
                <w:numId w:val="0"/>
              </w:numPr>
              <w:spacing w:line="360" w:lineRule="auto"/>
              <w:ind w:firstLine="480" w:firstLineChars="200"/>
              <w:outlineLvl w:val="9"/>
              <w:rPr>
                <w:rFonts w:hint="default" w:ascii="Times New Roman" w:hAnsi="Times New Roman"/>
                <w:b w:val="0"/>
                <w:kern w:val="0"/>
                <w:sz w:val="24"/>
                <w:szCs w:val="24"/>
                <w:lang w:val="en-US" w:eastAsia="zh-CN"/>
              </w:rPr>
            </w:pPr>
            <w:r>
              <w:rPr>
                <w:rFonts w:hint="eastAsia" w:ascii="Times New Roman" w:hAnsi="Times New Roman"/>
                <w:b w:val="0"/>
                <w:kern w:val="0"/>
                <w:sz w:val="24"/>
                <w:szCs w:val="24"/>
                <w:lang w:val="en-US" w:eastAsia="zh-CN"/>
              </w:rPr>
              <w:t>项目污水处理站对土壤的影响主要为</w:t>
            </w:r>
            <w:r>
              <w:rPr>
                <w:rFonts w:hint="default" w:ascii="Times New Roman" w:hAnsi="Times New Roman"/>
                <w:b w:val="0"/>
                <w:kern w:val="0"/>
                <w:sz w:val="24"/>
                <w:szCs w:val="24"/>
                <w:lang w:val="en-US" w:eastAsia="zh-CN"/>
              </w:rPr>
              <w:t>事故情况下，</w:t>
            </w:r>
            <w:r>
              <w:rPr>
                <w:rFonts w:hint="eastAsia" w:ascii="Times New Roman" w:hAnsi="Times New Roman"/>
                <w:b w:val="0"/>
                <w:kern w:val="0"/>
                <w:sz w:val="24"/>
                <w:szCs w:val="24"/>
                <w:lang w:val="en-US" w:eastAsia="zh-CN"/>
              </w:rPr>
              <w:t>废水处理设施</w:t>
            </w:r>
            <w:r>
              <w:rPr>
                <w:rFonts w:hint="default" w:ascii="Times New Roman" w:hAnsi="Times New Roman"/>
                <w:b w:val="0"/>
                <w:kern w:val="0"/>
                <w:sz w:val="24"/>
                <w:szCs w:val="24"/>
                <w:lang w:val="en-US" w:eastAsia="zh-CN"/>
              </w:rPr>
              <w:t>等底部防渗层破裂，导致废水污染厂区周边土壤环境，由于地下水及土壤污染难以发现，也难以采取措施治理。因此要求建设单位做好厂区地面防渗工作，避免废水渗漏污染土壤环境。运营期加强管道及设备的日常检查和维护管理，确保管道及设备不出现跑、冒、滴、漏的现象出现，可减少事故情况下对土壤环境的影响。</w:t>
            </w:r>
          </w:p>
          <w:bookmarkEnd w:id="95"/>
          <w:bookmarkEnd w:id="96"/>
          <w:p>
            <w:pPr>
              <w:pStyle w:val="8"/>
              <w:keepNext w:val="0"/>
              <w:keepLines w:val="0"/>
              <w:pageBreakBefore w:val="0"/>
              <w:widowControl w:val="0"/>
              <w:kinsoku/>
              <w:wordWrap/>
              <w:overflowPunct w:val="0"/>
              <w:topLinePunct w:val="0"/>
              <w:autoSpaceDE w:val="0"/>
              <w:autoSpaceDN w:val="0"/>
              <w:bidi w:val="0"/>
              <w:adjustRightInd w:val="0"/>
              <w:snapToGrid/>
              <w:spacing w:line="360" w:lineRule="auto"/>
              <w:ind w:left="0" w:leftChars="0" w:right="0" w:rightChars="0" w:firstLine="0" w:firstLineChars="0"/>
              <w:jc w:val="both"/>
              <w:textAlignment w:val="auto"/>
              <w:outlineLvl w:val="9"/>
              <w:rPr>
                <w:b/>
                <w:snapToGrid w:val="0"/>
                <w:color w:val="auto"/>
                <w:sz w:val="24"/>
              </w:rPr>
            </w:pPr>
            <w:r>
              <w:rPr>
                <w:rFonts w:hint="eastAsia"/>
                <w:b/>
                <w:snapToGrid w:val="0"/>
                <w:color w:val="auto"/>
                <w:sz w:val="24"/>
                <w:lang w:val="en-US" w:eastAsia="zh-CN"/>
              </w:rPr>
              <w:t>7.</w:t>
            </w:r>
            <w:r>
              <w:rPr>
                <w:b/>
                <w:snapToGrid w:val="0"/>
                <w:color w:val="auto"/>
                <w:sz w:val="24"/>
              </w:rPr>
              <w:t>3</w:t>
            </w:r>
            <w:r>
              <w:rPr>
                <w:rFonts w:hint="eastAsia"/>
                <w:b/>
                <w:snapToGrid w:val="0"/>
                <w:color w:val="auto"/>
                <w:sz w:val="24"/>
                <w:lang w:val="en-US" w:eastAsia="zh-CN"/>
              </w:rPr>
              <w:t xml:space="preserve"> </w:t>
            </w:r>
            <w:r>
              <w:rPr>
                <w:b/>
                <w:snapToGrid w:val="0"/>
                <w:color w:val="auto"/>
                <w:sz w:val="24"/>
              </w:rPr>
              <w:t>项目建设可行性分析</w:t>
            </w:r>
          </w:p>
          <w:p>
            <w:pPr>
              <w:pStyle w:val="2"/>
              <w:pageBreakBefore w:val="0"/>
              <w:widowControl w:val="0"/>
              <w:numPr>
                <w:ilvl w:val="2"/>
                <w:numId w:val="0"/>
              </w:numPr>
              <w:kinsoku/>
              <w:wordWrap/>
              <w:topLinePunct w:val="0"/>
              <w:bidi w:val="0"/>
              <w:adjustRightInd/>
              <w:snapToGrid/>
              <w:spacing w:line="360" w:lineRule="auto"/>
              <w:ind w:firstLine="480" w:firstLineChars="200"/>
              <w:textAlignment w:val="auto"/>
              <w:rPr>
                <w:color w:val="auto"/>
                <w:sz w:val="24"/>
                <w:szCs w:val="24"/>
              </w:rPr>
            </w:pPr>
            <w:bookmarkStart w:id="97" w:name="_Toc23058"/>
            <w:bookmarkStart w:id="98" w:name="_Toc20879"/>
            <w:bookmarkStart w:id="99" w:name="_Toc22885"/>
            <w:r>
              <w:rPr>
                <w:color w:val="auto"/>
                <w:sz w:val="24"/>
                <w:szCs w:val="24"/>
              </w:rPr>
              <w:t>（1）产业政策符合性分析</w:t>
            </w:r>
            <w:bookmarkEnd w:id="97"/>
            <w:bookmarkEnd w:id="98"/>
            <w:bookmarkEnd w:id="99"/>
          </w:p>
          <w:p>
            <w:pPr>
              <w:pageBreakBefore w:val="0"/>
              <w:widowControl w:val="0"/>
              <w:kinsoku/>
              <w:wordWrap/>
              <w:topLinePunct w:val="0"/>
              <w:bidi w:val="0"/>
              <w:adjustRightInd/>
              <w:snapToGrid/>
              <w:spacing w:line="360" w:lineRule="auto"/>
              <w:ind w:firstLine="480" w:firstLineChars="200"/>
              <w:jc w:val="left"/>
              <w:textAlignment w:val="auto"/>
              <w:rPr>
                <w:rFonts w:ascii="Times New Roman" w:hAnsi="宋体"/>
                <w:snapToGrid w:val="0"/>
                <w:color w:val="auto"/>
                <w:kern w:val="0"/>
                <w:sz w:val="24"/>
                <w:szCs w:val="24"/>
                <w:highlight w:val="none"/>
              </w:rPr>
            </w:pPr>
            <w:r>
              <w:rPr>
                <w:rFonts w:hint="eastAsia" w:hAnsi="宋体"/>
                <w:snapToGrid w:val="0"/>
                <w:color w:val="auto"/>
                <w:kern w:val="0"/>
                <w:sz w:val="24"/>
                <w:szCs w:val="24"/>
                <w:highlight w:val="none"/>
                <w:lang w:val="en-US" w:eastAsia="zh-CN"/>
              </w:rPr>
              <w:t>根据</w:t>
            </w:r>
            <w:r>
              <w:rPr>
                <w:rStyle w:val="62"/>
                <w:rFonts w:hint="default" w:ascii="Times New Roman" w:hAnsi="Times New Roman"/>
                <w:color w:val="auto"/>
              </w:rPr>
              <w:t>《产业结构调整</w:t>
            </w:r>
            <w:r>
              <w:rPr>
                <w:rStyle w:val="62"/>
                <w:rFonts w:hint="default" w:ascii="Times New Roman" w:hAnsi="Times New Roman"/>
                <w:color w:val="auto"/>
                <w:sz w:val="24"/>
                <w:szCs w:val="24"/>
              </w:rPr>
              <w:t>指导目录（201</w:t>
            </w:r>
            <w:r>
              <w:rPr>
                <w:rStyle w:val="62"/>
                <w:rFonts w:hint="default" w:ascii="Times New Roman" w:hAnsi="Times New Roman"/>
                <w:color w:val="auto"/>
                <w:sz w:val="24"/>
                <w:szCs w:val="24"/>
                <w:lang w:val="en-US" w:eastAsia="zh-CN"/>
              </w:rPr>
              <w:t>9</w:t>
            </w:r>
            <w:r>
              <w:rPr>
                <w:rStyle w:val="62"/>
                <w:rFonts w:hint="default" w:ascii="Times New Roman" w:hAnsi="Times New Roman"/>
                <w:color w:val="auto"/>
                <w:sz w:val="24"/>
                <w:szCs w:val="24"/>
              </w:rPr>
              <w:t>年本）（修正）》</w:t>
            </w:r>
            <w:r>
              <w:rPr>
                <w:rFonts w:hint="eastAsia" w:hAnsi="宋体"/>
                <w:snapToGrid w:val="0"/>
                <w:color w:val="auto"/>
                <w:kern w:val="0"/>
                <w:sz w:val="24"/>
                <w:szCs w:val="24"/>
                <w:highlight w:val="none"/>
                <w:lang w:eastAsia="zh-CN"/>
              </w:rPr>
              <w:t>，</w:t>
            </w:r>
            <w:r>
              <w:rPr>
                <w:rFonts w:hint="eastAsia" w:hAnsi="宋体"/>
                <w:color w:val="000000"/>
                <w:spacing w:val="4"/>
                <w:sz w:val="24"/>
                <w:szCs w:val="24"/>
                <w:highlight w:val="none"/>
              </w:rPr>
              <w:t>本建设项目为该产业目录中鼓励类第</w:t>
            </w:r>
            <w:r>
              <w:rPr>
                <w:rFonts w:hint="eastAsia" w:hAnsi="宋体"/>
                <w:color w:val="000000"/>
                <w:spacing w:val="4"/>
                <w:sz w:val="24"/>
                <w:szCs w:val="24"/>
                <w:highlight w:val="none"/>
                <w:lang w:val="en-US" w:eastAsia="zh-CN"/>
              </w:rPr>
              <w:t>二</w:t>
            </w:r>
            <w:r>
              <w:rPr>
                <w:rFonts w:hint="eastAsia" w:hAnsi="宋体"/>
                <w:color w:val="000000"/>
                <w:spacing w:val="4"/>
                <w:sz w:val="24"/>
                <w:szCs w:val="24"/>
                <w:highlight w:val="none"/>
              </w:rPr>
              <w:t>项第</w:t>
            </w:r>
            <w:r>
              <w:rPr>
                <w:rFonts w:hint="eastAsia" w:hAnsi="宋体"/>
                <w:color w:val="000000"/>
                <w:spacing w:val="4"/>
                <w:sz w:val="24"/>
                <w:szCs w:val="24"/>
                <w:highlight w:val="none"/>
                <w:lang w:val="en-US" w:eastAsia="zh-CN"/>
              </w:rPr>
              <w:t>1</w:t>
            </w:r>
            <w:r>
              <w:rPr>
                <w:rFonts w:hint="eastAsia" w:hAnsi="宋体"/>
                <w:color w:val="000000"/>
                <w:spacing w:val="4"/>
                <w:sz w:val="24"/>
                <w:szCs w:val="24"/>
                <w:highlight w:val="none"/>
              </w:rPr>
              <w:t>条“</w:t>
            </w:r>
            <w:r>
              <w:rPr>
                <w:rFonts w:hint="eastAsia" w:hAnsi="宋体"/>
                <w:color w:val="000000"/>
                <w:spacing w:val="4"/>
                <w:sz w:val="24"/>
                <w:szCs w:val="24"/>
                <w:highlight w:val="none"/>
                <w:lang w:val="en-US" w:eastAsia="zh-CN"/>
              </w:rPr>
              <w:t>江河湖海堤防建设及河道治理工程”</w:t>
            </w:r>
            <w:r>
              <w:rPr>
                <w:rFonts w:hint="eastAsia" w:hAnsi="宋体"/>
                <w:color w:val="000000"/>
                <w:spacing w:val="4"/>
                <w:sz w:val="24"/>
                <w:szCs w:val="24"/>
                <w:highlight w:val="none"/>
                <w:lang w:eastAsia="zh-CN"/>
              </w:rPr>
              <w:t>、第二十二项第</w:t>
            </w:r>
            <w:r>
              <w:rPr>
                <w:rFonts w:hint="eastAsia" w:hAnsi="宋体"/>
                <w:color w:val="000000"/>
                <w:spacing w:val="4"/>
                <w:sz w:val="24"/>
                <w:szCs w:val="24"/>
                <w:highlight w:val="none"/>
                <w:lang w:val="en-US" w:eastAsia="zh-CN"/>
              </w:rPr>
              <w:t>9条“城镇供排水管网工程检测及修复与改造工程”、</w:t>
            </w:r>
            <w:r>
              <w:rPr>
                <w:rFonts w:ascii="Times New Roman" w:hAnsi="Times New Roman" w:eastAsia="宋体" w:cs="Times New Roman"/>
                <w:sz w:val="24"/>
                <w:szCs w:val="24"/>
              </w:rPr>
              <w:t>第三十八</w:t>
            </w:r>
            <w:r>
              <w:rPr>
                <w:rFonts w:hint="eastAsia" w:ascii="Times New Roman" w:hAnsi="Times New Roman" w:eastAsia="宋体" w:cs="Times New Roman"/>
                <w:sz w:val="24"/>
                <w:szCs w:val="24"/>
                <w:lang w:eastAsia="zh-CN"/>
              </w:rPr>
              <w:t>项</w:t>
            </w:r>
            <w:r>
              <w:rPr>
                <w:rFonts w:ascii="Times New Roman" w:hAnsi="Times New Roman" w:eastAsia="宋体" w:cs="Times New Roman"/>
                <w:sz w:val="24"/>
                <w:szCs w:val="24"/>
              </w:rPr>
              <w:t>第15</w:t>
            </w:r>
            <w:r>
              <w:rPr>
                <w:rFonts w:hint="eastAsia" w:ascii="Times New Roman" w:hAnsi="Times New Roman" w:eastAsia="宋体" w:cs="Times New Roman"/>
                <w:sz w:val="24"/>
                <w:szCs w:val="24"/>
                <w:lang w:eastAsia="zh-CN"/>
              </w:rPr>
              <w:t>条“</w:t>
            </w:r>
            <w:r>
              <w:rPr>
                <w:rFonts w:ascii="Times New Roman" w:hAnsi="Times New Roman" w:eastAsia="宋体" w:cs="Times New Roman"/>
                <w:sz w:val="24"/>
                <w:szCs w:val="24"/>
              </w:rPr>
              <w:t>三废”综合利用及治理工程</w:t>
            </w:r>
            <w:r>
              <w:rPr>
                <w:rFonts w:hint="eastAsia" w:ascii="Times New Roman" w:hAnsi="Times New Roman" w:eastAsia="宋体" w:cs="Times New Roman"/>
                <w:sz w:val="24"/>
                <w:szCs w:val="24"/>
                <w:lang w:eastAsia="zh-CN"/>
              </w:rPr>
              <w:t>”</w:t>
            </w:r>
            <w:r>
              <w:rPr>
                <w:rFonts w:hint="eastAsia" w:hAnsi="宋体"/>
                <w:color w:val="000000"/>
                <w:spacing w:val="4"/>
                <w:sz w:val="24"/>
                <w:szCs w:val="24"/>
                <w:highlight w:val="none"/>
              </w:rPr>
              <w:t>的范围，为国家鼓励类项目。</w:t>
            </w:r>
            <w:r>
              <w:rPr>
                <w:rFonts w:ascii="Times New Roman" w:hAnsi="宋体"/>
                <w:snapToGrid w:val="0"/>
                <w:color w:val="auto"/>
                <w:kern w:val="0"/>
                <w:sz w:val="24"/>
                <w:szCs w:val="24"/>
                <w:highlight w:val="none"/>
              </w:rPr>
              <w:t>因此项目建设符合国家产业政策。</w:t>
            </w:r>
          </w:p>
          <w:p>
            <w:pPr>
              <w:pStyle w:val="21"/>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textAlignment w:val="auto"/>
              <w:rPr>
                <w:rFonts w:hint="eastAsia"/>
                <w:sz w:val="24"/>
                <w:szCs w:val="24"/>
                <w:lang w:val="en-US" w:eastAsia="zh-CN"/>
              </w:rPr>
            </w:pPr>
            <w:r>
              <w:rPr>
                <w:rFonts w:hint="eastAsia"/>
                <w:sz w:val="24"/>
                <w:szCs w:val="24"/>
                <w:lang w:val="en-US" w:eastAsia="zh-CN"/>
              </w:rPr>
              <w:t>（2）本项目与《岳阳中心城区排水专项规划》(2011-2030)的符合性分析</w:t>
            </w:r>
          </w:p>
          <w:p>
            <w:pPr>
              <w:pStyle w:val="9"/>
              <w:keepNext w:val="0"/>
              <w:keepLines w:val="0"/>
              <w:pageBreakBefore w:val="0"/>
              <w:widowControl w:val="0"/>
              <w:kinsoku/>
              <w:wordWrap/>
              <w:overflowPunct/>
              <w:topLinePunct w:val="0"/>
              <w:autoSpaceDE/>
              <w:autoSpaceDN/>
              <w:bidi w:val="0"/>
              <w:adjustRightInd/>
              <w:snapToGrid/>
              <w:spacing w:line="360" w:lineRule="auto"/>
              <w:ind w:leftChars="0" w:firstLine="480" w:firstLineChars="200"/>
              <w:textAlignment w:val="auto"/>
              <w:rPr>
                <w:sz w:val="24"/>
                <w:szCs w:val="24"/>
                <w:lang w:val="en-US" w:eastAsia="zh-CN"/>
              </w:rPr>
            </w:pPr>
            <w:r>
              <w:rPr>
                <w:rFonts w:hint="eastAsia"/>
                <w:sz w:val="24"/>
                <w:szCs w:val="24"/>
                <w:lang w:val="en-US" w:eastAsia="zh-CN"/>
              </w:rPr>
              <w:t>岳阳市中心城区的排水体制为：已建老城区原有合流制系统改造为截流式合流制，当条件成熟时，逐步实施对原有合流制系统进行分流制改造，其余新规划区域及新建区为完全分流制。本项目主要对已建成老城区原有合流制系统进行分流制改造，项目的建设可有效</w:t>
            </w:r>
            <w:r>
              <w:rPr>
                <w:rFonts w:hint="default" w:ascii="Times New Roman" w:hAnsi="Times New Roman" w:eastAsia="宋体" w:cs="Times New Roman"/>
                <w:color w:val="000000"/>
                <w:kern w:val="0"/>
                <w:sz w:val="24"/>
                <w:szCs w:val="24"/>
                <w:lang w:val="en-US" w:eastAsia="zh-CN" w:bidi="ar"/>
              </w:rPr>
              <w:t>解决区域</w:t>
            </w:r>
            <w:r>
              <w:rPr>
                <w:rFonts w:hint="eastAsia" w:cs="Times New Roman"/>
                <w:color w:val="000000"/>
                <w:kern w:val="0"/>
                <w:sz w:val="24"/>
                <w:szCs w:val="24"/>
                <w:lang w:val="en-US" w:eastAsia="zh-CN" w:bidi="ar"/>
              </w:rPr>
              <w:t>污水收集系统问题</w:t>
            </w:r>
            <w:r>
              <w:rPr>
                <w:rFonts w:hint="default" w:ascii="Times New Roman" w:hAnsi="Times New Roman" w:eastAsia="宋体" w:cs="Times New Roman"/>
                <w:color w:val="000000"/>
                <w:kern w:val="0"/>
                <w:sz w:val="24"/>
                <w:szCs w:val="24"/>
                <w:lang w:val="en-US" w:eastAsia="zh-CN" w:bidi="ar"/>
              </w:rPr>
              <w:t>，保证罗家坡污水厂高质高效运行，提升和长效保持南北港河水质</w:t>
            </w:r>
            <w:r>
              <w:rPr>
                <w:rFonts w:hint="eastAsia" w:ascii="Times New Roman" w:hAnsi="Times New Roman" w:eastAsia="宋体" w:cs="Times New Roman"/>
                <w:color w:val="000000"/>
                <w:kern w:val="0"/>
                <w:sz w:val="24"/>
                <w:szCs w:val="24"/>
                <w:lang w:val="en-US" w:eastAsia="zh-CN" w:bidi="ar"/>
              </w:rPr>
              <w:t>，因此项目建设与</w:t>
            </w:r>
            <w:r>
              <w:rPr>
                <w:rFonts w:hint="eastAsia"/>
                <w:sz w:val="24"/>
                <w:szCs w:val="24"/>
                <w:lang w:val="en-US" w:eastAsia="zh-CN"/>
              </w:rPr>
              <w:t>《岳阳中心城区排水专项规划》(2011-2030)相符。</w:t>
            </w:r>
          </w:p>
          <w:p>
            <w:pPr>
              <w:keepNext w:val="0"/>
              <w:keepLines w:val="0"/>
              <w:pageBreakBefore w:val="0"/>
              <w:widowControl w:val="0"/>
              <w:numPr>
                <w:ilvl w:val="0"/>
                <w:numId w:val="0"/>
              </w:numPr>
              <w:tabs>
                <w:tab w:val="left" w:pos="360"/>
              </w:tabs>
              <w:kinsoku/>
              <w:wordWrap/>
              <w:overflowPunct/>
              <w:topLinePunct w:val="0"/>
              <w:autoSpaceDE/>
              <w:autoSpaceDN/>
              <w:bidi w:val="0"/>
              <w:adjustRightInd/>
              <w:snapToGrid/>
              <w:spacing w:line="360" w:lineRule="auto"/>
              <w:ind w:leftChars="0" w:firstLine="480" w:firstLineChars="200"/>
              <w:textAlignment w:val="auto"/>
              <w:outlineLvl w:val="9"/>
              <w:rPr>
                <w:rFonts w:hint="eastAsia"/>
                <w:b w:val="0"/>
                <w:bCs/>
                <w:snapToGrid w:val="0"/>
                <w:color w:val="auto"/>
                <w:sz w:val="24"/>
                <w:u w:val="single"/>
                <w:lang w:val="en-US" w:eastAsia="zh-CN"/>
              </w:rPr>
            </w:pPr>
            <w:r>
              <w:rPr>
                <w:rFonts w:hint="eastAsia"/>
                <w:b w:val="0"/>
                <w:bCs/>
                <w:snapToGrid w:val="0"/>
                <w:color w:val="auto"/>
                <w:sz w:val="24"/>
                <w:u w:val="single"/>
                <w:lang w:val="en-US" w:eastAsia="zh-CN"/>
              </w:rPr>
              <w:t>（3）调蓄池、泵站选址可行性分析</w:t>
            </w:r>
          </w:p>
          <w:p>
            <w:pPr>
              <w:pStyle w:val="2"/>
              <w:pageBreakBefore w:val="0"/>
              <w:widowControl w:val="0"/>
              <w:numPr>
                <w:ilvl w:val="2"/>
                <w:numId w:val="0"/>
              </w:numPr>
              <w:kinsoku/>
              <w:wordWrap/>
              <w:overflowPunct/>
              <w:topLinePunct w:val="0"/>
              <w:autoSpaceDE/>
              <w:autoSpaceDN/>
              <w:bidi w:val="0"/>
              <w:adjustRightInd/>
              <w:snapToGrid/>
              <w:ind w:leftChars="0" w:firstLine="480" w:firstLineChars="200"/>
              <w:textAlignment w:val="auto"/>
              <w:rPr>
                <w:rFonts w:hint="default"/>
                <w:u w:val="single"/>
                <w:lang w:val="en-US" w:eastAsia="zh-CN"/>
              </w:rPr>
            </w:pPr>
            <w:r>
              <w:rPr>
                <w:rFonts w:hint="eastAsia"/>
                <w:u w:val="single"/>
                <w:lang w:val="en-US" w:eastAsia="zh-CN"/>
              </w:rPr>
              <w:t>调蓄池位于</w:t>
            </w:r>
            <w:r>
              <w:rPr>
                <w:rFonts w:hint="eastAsia"/>
                <w:sz w:val="24"/>
                <w:szCs w:val="24"/>
                <w:u w:val="single"/>
                <w:lang w:val="en-US" w:eastAsia="zh-CN"/>
              </w:rPr>
              <w:t>在长康路和107国道交口东北侧、长康路立交桥辅道下。</w:t>
            </w:r>
            <w:r>
              <w:rPr>
                <w:rFonts w:hint="default"/>
                <w:u w:val="single"/>
                <w:lang w:val="en-US" w:eastAsia="zh-CN"/>
              </w:rPr>
              <w:t>长康路立交桥下用地为公共绿地。本次合流制溢流污水调蓄工程拟建于长康路立交桥辅道下，建设地下式调蓄池，占地约 2600m</w:t>
            </w:r>
            <w:r>
              <w:rPr>
                <w:rFonts w:hint="default"/>
                <w:u w:val="single"/>
                <w:vertAlign w:val="superscript"/>
                <w:lang w:val="en-US" w:eastAsia="zh-CN"/>
              </w:rPr>
              <w:t>2</w:t>
            </w:r>
            <w:r>
              <w:rPr>
                <w:rFonts w:hint="default"/>
                <w:u w:val="single"/>
                <w:lang w:val="en-US" w:eastAsia="zh-CN"/>
              </w:rPr>
              <w:t>，既能提升现状绿地景观效果，又可达到合流制溢流污染控制目的</w:t>
            </w:r>
            <w:r>
              <w:rPr>
                <w:rFonts w:hint="eastAsia"/>
                <w:u w:val="single"/>
                <w:lang w:val="en-US" w:eastAsia="zh-CN"/>
              </w:rPr>
              <w:t>，因此选址合理可行。</w:t>
            </w:r>
          </w:p>
          <w:p>
            <w:pPr>
              <w:pStyle w:val="2"/>
              <w:pageBreakBefore w:val="0"/>
              <w:widowControl w:val="0"/>
              <w:numPr>
                <w:ilvl w:val="2"/>
                <w:numId w:val="0"/>
              </w:numPr>
              <w:kinsoku/>
              <w:wordWrap/>
              <w:overflowPunct/>
              <w:topLinePunct w:val="0"/>
              <w:autoSpaceDE/>
              <w:autoSpaceDN/>
              <w:bidi w:val="0"/>
              <w:adjustRightInd/>
              <w:snapToGrid/>
              <w:ind w:leftChars="0" w:firstLine="480" w:firstLineChars="200"/>
              <w:textAlignment w:val="auto"/>
              <w:rPr>
                <w:rFonts w:hint="default"/>
                <w:u w:val="single"/>
                <w:lang w:val="en-US" w:eastAsia="zh-CN"/>
              </w:rPr>
            </w:pPr>
            <w:r>
              <w:rPr>
                <w:rFonts w:hint="eastAsia"/>
                <w:u w:val="single"/>
                <w:lang w:val="en-US" w:eastAsia="zh-CN"/>
              </w:rPr>
              <w:t>本项目拟设岳阳大道污水提升泵站、枣子山污水提升泵站和廖家巷污水提升泵站，岳阳大道污水提升泵站在工业园区附近，将园区污水接入污水提升泵站。枣子山路提升泵站可就近收集周边生活污水和弘毅中学生活污水。廖家巷污水提升泵站位于廖家巷居民集中区附近，便于收集周边生活污水。项目污水提升泵站与周边居民最近距离在25m以上，且为封闭式，运营期对周边声环境影响较小。因此选址合理可行。</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textAlignment w:val="auto"/>
              <w:outlineLvl w:val="9"/>
              <w:rPr>
                <w:b/>
                <w:snapToGrid w:val="0"/>
                <w:color w:val="auto"/>
                <w:sz w:val="24"/>
              </w:rPr>
            </w:pPr>
            <w:r>
              <w:rPr>
                <w:rFonts w:hint="eastAsia"/>
                <w:b/>
                <w:snapToGrid w:val="0"/>
                <w:color w:val="auto"/>
                <w:sz w:val="24"/>
                <w:lang w:val="en-US" w:eastAsia="zh-CN"/>
              </w:rPr>
              <w:t>7.4</w:t>
            </w:r>
            <w:r>
              <w:rPr>
                <w:b/>
                <w:snapToGrid w:val="0"/>
                <w:color w:val="auto"/>
                <w:sz w:val="24"/>
              </w:rPr>
              <w:t>项目环保投资估算</w:t>
            </w:r>
          </w:p>
          <w:p>
            <w:pPr>
              <w:pStyle w:val="8"/>
              <w:keepNext w:val="0"/>
              <w:keepLines w:val="0"/>
              <w:pageBreakBefore w:val="0"/>
              <w:widowControl w:val="0"/>
              <w:kinsoku/>
              <w:wordWrap/>
              <w:topLinePunct w:val="0"/>
              <w:bidi w:val="0"/>
              <w:adjustRightInd/>
              <w:snapToGrid/>
              <w:spacing w:line="360" w:lineRule="auto"/>
              <w:ind w:firstLine="480"/>
              <w:textAlignment w:val="auto"/>
              <w:outlineLvl w:val="9"/>
              <w:rPr>
                <w:rFonts w:hint="default" w:ascii="Times New Roman" w:hAnsi="Times New Roman" w:cs="Times New Roman" w:eastAsiaTheme="minorEastAsia"/>
                <w:b/>
                <w:bCs/>
                <w:color w:val="auto"/>
                <w:sz w:val="24"/>
                <w:szCs w:val="24"/>
                <w:u w:val="none"/>
              </w:rPr>
            </w:pPr>
            <w:r>
              <w:rPr>
                <w:color w:val="auto"/>
                <w:sz w:val="24"/>
                <w:szCs w:val="24"/>
                <w:u w:val="none"/>
              </w:rPr>
              <w:t>本项目环保投资估算详见表</w:t>
            </w:r>
            <w:r>
              <w:rPr>
                <w:rFonts w:hint="eastAsia"/>
                <w:color w:val="auto"/>
                <w:sz w:val="24"/>
                <w:szCs w:val="24"/>
                <w:u w:val="none"/>
                <w:lang w:val="en-US" w:eastAsia="zh-CN"/>
              </w:rPr>
              <w:t>7.4-1</w:t>
            </w:r>
            <w:r>
              <w:rPr>
                <w:color w:val="auto"/>
                <w:sz w:val="24"/>
                <w:szCs w:val="24"/>
                <w:u w:val="none"/>
              </w:rPr>
              <w:t>。</w:t>
            </w:r>
            <w:bookmarkStart w:id="100" w:name="OLE_LINK13"/>
            <w:r>
              <w:rPr>
                <w:color w:val="auto"/>
                <w:sz w:val="24"/>
                <w:szCs w:val="24"/>
                <w:u w:val="none"/>
              </w:rPr>
              <w:t>项目总投资</w:t>
            </w:r>
            <w:r>
              <w:rPr>
                <w:rFonts w:hint="eastAsia" w:ascii="Times New Roman" w:hAnsi="Times New Roman"/>
                <w:color w:val="auto"/>
                <w:sz w:val="24"/>
                <w:szCs w:val="24"/>
                <w:highlight w:val="none"/>
                <w:u w:val="none"/>
                <w:lang w:val="en-US" w:eastAsia="zh-CN"/>
              </w:rPr>
              <w:t>68871.08</w:t>
            </w:r>
            <w:r>
              <w:rPr>
                <w:color w:val="auto"/>
                <w:sz w:val="24"/>
                <w:szCs w:val="24"/>
                <w:u w:val="none"/>
              </w:rPr>
              <w:t>万元，用于环保方面的投资估算约</w:t>
            </w:r>
            <w:r>
              <w:rPr>
                <w:rFonts w:hint="eastAsia"/>
                <w:color w:val="auto"/>
                <w:sz w:val="24"/>
                <w:szCs w:val="24"/>
                <w:highlight w:val="none"/>
                <w:u w:val="none"/>
                <w:lang w:val="en-US" w:eastAsia="zh-CN"/>
              </w:rPr>
              <w:t>305</w:t>
            </w:r>
            <w:r>
              <w:rPr>
                <w:color w:val="auto"/>
                <w:sz w:val="24"/>
                <w:szCs w:val="24"/>
                <w:highlight w:val="none"/>
                <w:u w:val="none"/>
              </w:rPr>
              <w:t>万元，占总投资的</w:t>
            </w:r>
            <w:r>
              <w:rPr>
                <w:rFonts w:hint="eastAsia"/>
                <w:color w:val="auto"/>
                <w:sz w:val="24"/>
                <w:szCs w:val="24"/>
                <w:highlight w:val="none"/>
                <w:u w:val="none"/>
                <w:lang w:val="en-US" w:eastAsia="zh-CN"/>
              </w:rPr>
              <w:t>0.44</w:t>
            </w:r>
            <w:r>
              <w:rPr>
                <w:color w:val="auto"/>
                <w:sz w:val="24"/>
                <w:szCs w:val="24"/>
                <w:highlight w:val="none"/>
                <w:u w:val="none"/>
              </w:rPr>
              <w:t>%。</w:t>
            </w:r>
            <w:bookmarkEnd w:id="100"/>
          </w:p>
          <w:p>
            <w:pPr>
              <w:pStyle w:val="7"/>
              <w:keepNext w:val="0"/>
              <w:keepLines w:val="0"/>
              <w:pageBreakBefore w:val="0"/>
              <w:widowControl w:val="0"/>
              <w:kinsoku/>
              <w:wordWrap/>
              <w:topLinePunct w:val="0"/>
              <w:bidi w:val="0"/>
              <w:adjustRightInd/>
              <w:snapToGrid/>
              <w:spacing w:line="360" w:lineRule="auto"/>
              <w:jc w:val="center"/>
              <w:textAlignment w:val="auto"/>
              <w:outlineLvl w:val="9"/>
              <w:rPr>
                <w:rFonts w:hint="default" w:ascii="Times New Roman" w:hAnsi="Times New Roman" w:cs="Times New Roman" w:eastAsiaTheme="minorEastAsia"/>
                <w:b/>
                <w:bCs/>
                <w:color w:val="auto"/>
                <w:sz w:val="24"/>
                <w:szCs w:val="24"/>
                <w:u w:val="none"/>
              </w:rPr>
            </w:pPr>
            <w:r>
              <w:rPr>
                <w:rFonts w:hint="default" w:ascii="Times New Roman" w:hAnsi="Times New Roman" w:cs="Times New Roman" w:eastAsiaTheme="minorEastAsia"/>
                <w:b/>
                <w:bCs/>
                <w:color w:val="auto"/>
                <w:sz w:val="24"/>
                <w:szCs w:val="24"/>
                <w:u w:val="none"/>
              </w:rPr>
              <w:t>表</w:t>
            </w:r>
            <w:r>
              <w:rPr>
                <w:rFonts w:hint="default" w:ascii="Times New Roman" w:hAnsi="Times New Roman" w:cs="Times New Roman" w:eastAsiaTheme="minorEastAsia"/>
                <w:b/>
                <w:bCs/>
                <w:color w:val="auto"/>
                <w:sz w:val="24"/>
                <w:szCs w:val="24"/>
                <w:u w:val="none"/>
                <w:lang w:val="en-US" w:eastAsia="zh-CN"/>
              </w:rPr>
              <w:t>7.</w:t>
            </w:r>
            <w:r>
              <w:rPr>
                <w:rFonts w:hint="eastAsia" w:ascii="Times New Roman" w:hAnsi="Times New Roman" w:cs="Times New Roman" w:eastAsiaTheme="minorEastAsia"/>
                <w:b/>
                <w:bCs/>
                <w:color w:val="auto"/>
                <w:sz w:val="24"/>
                <w:szCs w:val="24"/>
                <w:u w:val="none"/>
                <w:lang w:val="en-US" w:eastAsia="zh-CN"/>
              </w:rPr>
              <w:t>4</w:t>
            </w:r>
            <w:r>
              <w:rPr>
                <w:rFonts w:hint="default" w:ascii="Times New Roman" w:hAnsi="Times New Roman" w:cs="Times New Roman" w:eastAsiaTheme="minorEastAsia"/>
                <w:b/>
                <w:bCs/>
                <w:color w:val="auto"/>
                <w:sz w:val="24"/>
                <w:szCs w:val="24"/>
                <w:u w:val="none"/>
                <w:lang w:val="en-US" w:eastAsia="zh-CN"/>
              </w:rPr>
              <w:t>-1</w:t>
            </w:r>
            <w:r>
              <w:rPr>
                <w:rFonts w:hint="default" w:ascii="Times New Roman" w:hAnsi="Times New Roman" w:cs="Times New Roman" w:eastAsiaTheme="minorEastAsia"/>
                <w:b/>
                <w:bCs/>
                <w:color w:val="auto"/>
                <w:sz w:val="24"/>
                <w:szCs w:val="24"/>
                <w:u w:val="none"/>
              </w:rPr>
              <w:t xml:space="preserve">  环保投资估算表</w:t>
            </w:r>
          </w:p>
          <w:tbl>
            <w:tblPr>
              <w:tblStyle w:val="26"/>
              <w:tblW w:w="9545"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1213"/>
              <w:gridCol w:w="2206"/>
              <w:gridCol w:w="4398"/>
              <w:gridCol w:w="1728"/>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bCs/>
                      <w:sz w:val="21"/>
                      <w:szCs w:val="21"/>
                      <w:u w:val="single"/>
                    </w:rPr>
                  </w:pPr>
                  <w:r>
                    <w:rPr>
                      <w:bCs/>
                      <w:sz w:val="21"/>
                      <w:szCs w:val="21"/>
                      <w:u w:val="single"/>
                    </w:rPr>
                    <w:t>时期</w:t>
                  </w: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bCs/>
                      <w:sz w:val="21"/>
                      <w:szCs w:val="21"/>
                      <w:u w:val="single"/>
                    </w:rPr>
                  </w:pPr>
                  <w:r>
                    <w:rPr>
                      <w:bCs/>
                      <w:sz w:val="21"/>
                      <w:szCs w:val="21"/>
                      <w:u w:val="single"/>
                    </w:rPr>
                    <w:t>污染控制类型</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bCs/>
                      <w:sz w:val="21"/>
                      <w:szCs w:val="21"/>
                      <w:u w:val="single"/>
                    </w:rPr>
                  </w:pPr>
                  <w:r>
                    <w:rPr>
                      <w:bCs/>
                      <w:sz w:val="21"/>
                      <w:szCs w:val="21"/>
                      <w:u w:val="single"/>
                    </w:rPr>
                    <w:t>环保措施</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bCs/>
                      <w:sz w:val="21"/>
                      <w:szCs w:val="21"/>
                      <w:u w:val="single"/>
                    </w:rPr>
                  </w:pPr>
                  <w:r>
                    <w:rPr>
                      <w:bCs/>
                      <w:sz w:val="21"/>
                      <w:szCs w:val="21"/>
                      <w:u w:val="single"/>
                    </w:rPr>
                    <w:t>投资（万元）</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restart"/>
                  <w:tcBorders>
                    <w:top w:val="single" w:color="auto" w:sz="6" w:space="0"/>
                    <w:left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施工期</w:t>
                  </w:r>
                </w:p>
              </w:tc>
              <w:tc>
                <w:tcPr>
                  <w:tcW w:w="2206" w:type="dxa"/>
                  <w:vMerge w:val="restart"/>
                  <w:tcBorders>
                    <w:top w:val="single" w:color="auto" w:sz="6" w:space="0"/>
                    <w:left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eastAsia="zh-CN"/>
                    </w:rPr>
                  </w:pPr>
                  <w:r>
                    <w:rPr>
                      <w:rFonts w:hint="eastAsia"/>
                      <w:sz w:val="21"/>
                      <w:szCs w:val="21"/>
                      <w:u w:val="single"/>
                      <w:lang w:eastAsia="zh-CN"/>
                    </w:rPr>
                    <w:t>废气污染控制</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扬尘控制</w:t>
                  </w:r>
                  <w:r>
                    <w:rPr>
                      <w:rFonts w:hint="eastAsia"/>
                      <w:sz w:val="21"/>
                      <w:szCs w:val="21"/>
                      <w:u w:val="single"/>
                      <w:lang w:eastAsia="zh-CN"/>
                    </w:rPr>
                    <w:t>：</w:t>
                  </w:r>
                  <w:r>
                    <w:rPr>
                      <w:sz w:val="21"/>
                      <w:szCs w:val="21"/>
                      <w:u w:val="single"/>
                    </w:rPr>
                    <w:t>洒水抑尘、硬质围挡</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50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vMerge w:val="continue"/>
                  <w:tcBorders>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eastAsia="zh-CN"/>
                    </w:rPr>
                  </w:pPr>
                  <w:r>
                    <w:rPr>
                      <w:rFonts w:hint="eastAsia"/>
                      <w:sz w:val="21"/>
                      <w:szCs w:val="21"/>
                      <w:u w:val="single"/>
                      <w:lang w:eastAsia="zh-CN"/>
                    </w:rPr>
                    <w:t>淤泥恶臭：</w:t>
                  </w:r>
                  <w:r>
                    <w:rPr>
                      <w:rFonts w:hint="eastAsia" w:cs="Times New Roman"/>
                      <w:kern w:val="0"/>
                      <w:sz w:val="21"/>
                      <w:szCs w:val="21"/>
                      <w:u w:val="single"/>
                      <w:lang w:val="en-US" w:eastAsia="zh-CN"/>
                    </w:rPr>
                    <w:t>脱水场地需建设围挡，使用除臭剂（3处湿塘）</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sz w:val="21"/>
                      <w:szCs w:val="21"/>
                      <w:u w:val="single"/>
                      <w:lang w:val="en-US" w:eastAsia="zh-CN"/>
                    </w:rPr>
                  </w:pPr>
                  <w:r>
                    <w:rPr>
                      <w:rFonts w:hint="eastAsia"/>
                      <w:sz w:val="21"/>
                      <w:szCs w:val="21"/>
                      <w:u w:val="single"/>
                      <w:lang w:val="en-US" w:eastAsia="zh-CN"/>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水污染控制</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val="en-US" w:eastAsia="zh-CN"/>
                    </w:rPr>
                  </w:pPr>
                  <w:r>
                    <w:rPr>
                      <w:rFonts w:hint="eastAsia"/>
                      <w:sz w:val="21"/>
                      <w:szCs w:val="21"/>
                      <w:u w:val="single"/>
                      <w:lang w:val="en-US" w:eastAsia="zh-CN"/>
                    </w:rPr>
                    <w:t>隔油沉淀</w:t>
                  </w:r>
                  <w:r>
                    <w:rPr>
                      <w:sz w:val="21"/>
                      <w:szCs w:val="21"/>
                      <w:u w:val="single"/>
                    </w:rPr>
                    <w:t>池</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50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噪声控制</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val="en-US" w:eastAsia="zh-CN"/>
                    </w:rPr>
                  </w:pPr>
                  <w:r>
                    <w:rPr>
                      <w:sz w:val="21"/>
                      <w:szCs w:val="21"/>
                      <w:u w:val="single"/>
                    </w:rPr>
                    <w:t>选用低噪声设备</w:t>
                  </w:r>
                  <w:r>
                    <w:rPr>
                      <w:rFonts w:hint="eastAsia"/>
                      <w:sz w:val="21"/>
                      <w:szCs w:val="21"/>
                      <w:u w:val="single"/>
                      <w:lang w:eastAsia="zh-CN"/>
                    </w:rPr>
                    <w:t>，</w:t>
                  </w:r>
                  <w:r>
                    <w:rPr>
                      <w:rFonts w:hint="eastAsia"/>
                      <w:sz w:val="21"/>
                      <w:szCs w:val="21"/>
                      <w:u w:val="single"/>
                      <w:lang w:val="en-US" w:eastAsia="zh-CN"/>
                    </w:rPr>
                    <w:t>加强管理</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20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vMerge w:val="restart"/>
                  <w:tcBorders>
                    <w:top w:val="single" w:color="auto" w:sz="6" w:space="0"/>
                    <w:left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固废处理</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val="en-US" w:eastAsia="zh-CN"/>
                    </w:rPr>
                  </w:pPr>
                  <w:r>
                    <w:rPr>
                      <w:rFonts w:hint="eastAsia"/>
                      <w:sz w:val="21"/>
                      <w:szCs w:val="21"/>
                      <w:u w:val="single"/>
                      <w:lang w:val="en-US" w:eastAsia="zh-CN"/>
                    </w:rPr>
                    <w:t>施工弃渣及时收集、清运</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30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vMerge w:val="continue"/>
                  <w:tcBorders>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rFonts w:hint="eastAsia"/>
                      <w:sz w:val="21"/>
                      <w:szCs w:val="21"/>
                      <w:u w:val="single"/>
                      <w:lang w:val="en-US" w:eastAsia="zh-CN"/>
                    </w:rPr>
                    <w:t>淤泥进行脱水后回用于平整边坡</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sz w:val="21"/>
                      <w:szCs w:val="21"/>
                      <w:u w:val="single"/>
                      <w:lang w:val="en-US" w:eastAsia="zh-CN"/>
                    </w:rPr>
                  </w:pPr>
                  <w:r>
                    <w:rPr>
                      <w:rFonts w:hint="eastAsia"/>
                      <w:sz w:val="21"/>
                      <w:szCs w:val="21"/>
                      <w:u w:val="single"/>
                      <w:lang w:val="en-US" w:eastAsia="zh-CN"/>
                    </w:rPr>
                    <w:t>5</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rPr>
                  </w:pPr>
                  <w:r>
                    <w:rPr>
                      <w:rFonts w:hint="eastAsia"/>
                      <w:sz w:val="21"/>
                      <w:szCs w:val="21"/>
                      <w:u w:val="single"/>
                    </w:rPr>
                    <w:t>生态恢复</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val="en-US" w:eastAsia="zh-CN"/>
                    </w:rPr>
                  </w:pPr>
                  <w:r>
                    <w:rPr>
                      <w:rFonts w:hint="eastAsia"/>
                      <w:u w:val="single"/>
                    </w:rPr>
                    <w:t>分层堆放、</w:t>
                  </w:r>
                  <w:r>
                    <w:rPr>
                      <w:rFonts w:ascii="Times New Roman" w:hAnsi="Times New Roman"/>
                      <w:color w:val="000000"/>
                      <w:kern w:val="24"/>
                      <w:szCs w:val="21"/>
                      <w:u w:val="single"/>
                    </w:rPr>
                    <w:t>排水系统、渣土覆盖、施工地生态</w:t>
                  </w:r>
                  <w:r>
                    <w:rPr>
                      <w:rFonts w:hint="eastAsia" w:ascii="Times New Roman" w:hAnsi="Times New Roman"/>
                      <w:color w:val="000000"/>
                      <w:kern w:val="24"/>
                      <w:szCs w:val="21"/>
                      <w:u w:val="single"/>
                    </w:rPr>
                    <w:t>恢复</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100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restart"/>
                  <w:tcBorders>
                    <w:left w:val="single" w:color="auto" w:sz="6" w:space="0"/>
                    <w:right w:val="single" w:color="auto" w:sz="6" w:space="0"/>
                  </w:tcBorders>
                  <w:noWrap w:val="0"/>
                  <w:vAlign w:val="center"/>
                </w:tcPr>
                <w:p>
                  <w:pPr>
                    <w:spacing w:line="240" w:lineRule="auto"/>
                    <w:ind w:firstLine="0" w:firstLineChars="0"/>
                    <w:jc w:val="center"/>
                    <w:rPr>
                      <w:rFonts w:hint="eastAsia" w:eastAsia="宋体"/>
                      <w:sz w:val="21"/>
                      <w:szCs w:val="21"/>
                      <w:u w:val="single"/>
                      <w:lang w:eastAsia="zh-CN"/>
                    </w:rPr>
                  </w:pPr>
                  <w:r>
                    <w:rPr>
                      <w:rFonts w:hint="eastAsia"/>
                      <w:sz w:val="21"/>
                      <w:szCs w:val="21"/>
                      <w:u w:val="single"/>
                      <w:lang w:eastAsia="zh-CN"/>
                    </w:rPr>
                    <w:t>营运期</w:t>
                  </w: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sz w:val="21"/>
                      <w:szCs w:val="21"/>
                      <w:u w:val="single"/>
                      <w:lang w:eastAsia="zh-CN"/>
                    </w:rPr>
                    <w:t>废气污染控制</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rFonts w:hint="eastAsia"/>
                      <w:sz w:val="21"/>
                      <w:szCs w:val="21"/>
                      <w:u w:val="single"/>
                      <w:lang w:val="en-US" w:eastAsia="zh-CN"/>
                    </w:rPr>
                    <w:t>恶臭气体：加盖密闭并喷洒除臭剂（奇家社区污水处理站）</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sz w:val="21"/>
                      <w:szCs w:val="21"/>
                      <w:u w:val="single"/>
                      <w:lang w:val="en-US" w:eastAsia="zh-CN"/>
                    </w:rPr>
                  </w:pPr>
                  <w:r>
                    <w:rPr>
                      <w:rFonts w:hint="eastAsia"/>
                      <w:sz w:val="21"/>
                      <w:szCs w:val="21"/>
                      <w:u w:val="single"/>
                      <w:lang w:val="en-US" w:eastAsia="zh-CN"/>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eastAsia="zh-CN"/>
                    </w:rPr>
                  </w:pPr>
                </w:p>
              </w:tc>
              <w:tc>
                <w:tcPr>
                  <w:tcW w:w="2206" w:type="dxa"/>
                  <w:vMerge w:val="restart"/>
                  <w:tcBorders>
                    <w:top w:val="single" w:color="auto" w:sz="6" w:space="0"/>
                    <w:left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eastAsia="zh-CN"/>
                    </w:rPr>
                  </w:pPr>
                  <w:r>
                    <w:rPr>
                      <w:rFonts w:hint="eastAsia"/>
                      <w:sz w:val="21"/>
                      <w:szCs w:val="21"/>
                      <w:u w:val="single"/>
                      <w:lang w:eastAsia="zh-CN"/>
                    </w:rPr>
                    <w:t>废水处理</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rFonts w:hint="eastAsia"/>
                      <w:u w:val="single"/>
                      <w:lang w:val="en-US" w:eastAsia="zh-CN"/>
                    </w:rPr>
                    <w:t>三格式化粪池+提升井+调节池+</w:t>
                  </w:r>
                  <w:r>
                    <w:rPr>
                      <w:rFonts w:hint="eastAsia"/>
                      <w:u w:val="single"/>
                      <w:lang w:eastAsia="zh-CN"/>
                    </w:rPr>
                    <w:t>PTA</w:t>
                  </w:r>
                  <w:r>
                    <w:rPr>
                      <w:rFonts w:hint="eastAsia"/>
                      <w:u w:val="single"/>
                      <w:vertAlign w:val="superscript"/>
                      <w:lang w:eastAsia="zh-CN"/>
                    </w:rPr>
                    <w:t>2</w:t>
                  </w:r>
                  <w:r>
                    <w:rPr>
                      <w:rFonts w:hint="eastAsia"/>
                      <w:u w:val="single"/>
                      <w:lang w:eastAsia="zh-CN"/>
                    </w:rPr>
                    <w:t>O</w:t>
                  </w:r>
                  <w:r>
                    <w:rPr>
                      <w:rFonts w:hint="eastAsia"/>
                      <w:u w:val="single"/>
                      <w:lang w:val="en-US" w:eastAsia="zh-CN"/>
                    </w:rPr>
                    <w:t>一体化污水综合处理装置+消毒工艺组合</w:t>
                  </w:r>
                </w:p>
              </w:tc>
              <w:tc>
                <w:tcPr>
                  <w:tcW w:w="1728" w:type="dxa"/>
                  <w:vMerge w:val="restart"/>
                  <w:tcBorders>
                    <w:top w:val="single" w:color="auto" w:sz="6" w:space="0"/>
                    <w:left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rFonts w:hint="eastAsia"/>
                      <w:sz w:val="21"/>
                      <w:szCs w:val="21"/>
                      <w:u w:val="single"/>
                      <w:lang w:val="en-US" w:eastAsia="zh-CN"/>
                    </w:rPr>
                    <w:t>工艺投资</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19"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eastAsia="zh-CN"/>
                    </w:rPr>
                  </w:pPr>
                </w:p>
              </w:tc>
              <w:tc>
                <w:tcPr>
                  <w:tcW w:w="2206" w:type="dxa"/>
                  <w:vMerge w:val="continue"/>
                  <w:tcBorders>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eastAsia="zh-CN"/>
                    </w:rPr>
                  </w:pP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rFonts w:hint="eastAsia"/>
                      <w:sz w:val="21"/>
                      <w:szCs w:val="21"/>
                      <w:u w:val="single"/>
                      <w:lang w:val="en-US" w:eastAsia="zh-CN"/>
                    </w:rPr>
                    <w:t>四格池（5处）</w:t>
                  </w:r>
                </w:p>
              </w:tc>
              <w:tc>
                <w:tcPr>
                  <w:tcW w:w="1728" w:type="dxa"/>
                  <w:vMerge w:val="continue"/>
                  <w:tcBorders>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sz w:val="21"/>
                      <w:szCs w:val="21"/>
                      <w:u w:val="single"/>
                    </w:rPr>
                    <w:t>噪声控制</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sz w:val="21"/>
                      <w:szCs w:val="21"/>
                      <w:u w:val="single"/>
                    </w:rPr>
                    <w:t>选用低噪声设备</w:t>
                  </w:r>
                  <w:r>
                    <w:rPr>
                      <w:rFonts w:hint="eastAsia"/>
                      <w:sz w:val="21"/>
                      <w:szCs w:val="21"/>
                      <w:u w:val="single"/>
                      <w:lang w:eastAsia="zh-CN"/>
                    </w:rPr>
                    <w:t>，</w:t>
                  </w:r>
                  <w:r>
                    <w:rPr>
                      <w:rFonts w:hint="eastAsia"/>
                      <w:sz w:val="21"/>
                      <w:szCs w:val="21"/>
                      <w:u w:val="single"/>
                      <w:lang w:val="en-US" w:eastAsia="zh-CN"/>
                    </w:rPr>
                    <w:t>减振、隔声</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sz w:val="21"/>
                      <w:szCs w:val="21"/>
                      <w:u w:val="single"/>
                      <w:lang w:val="en-US" w:eastAsia="zh-CN"/>
                    </w:rPr>
                  </w:pPr>
                  <w:r>
                    <w:rPr>
                      <w:rFonts w:hint="eastAsia"/>
                      <w:sz w:val="21"/>
                      <w:szCs w:val="21"/>
                      <w:u w:val="single"/>
                      <w:lang w:val="en-US" w:eastAsia="zh-CN"/>
                    </w:rPr>
                    <w:t>10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13" w:type="dxa"/>
                  <w:vMerge w:val="continue"/>
                  <w:tcBorders>
                    <w:left w:val="single" w:color="auto" w:sz="6" w:space="0"/>
                    <w:right w:val="single" w:color="auto" w:sz="6" w:space="0"/>
                  </w:tcBorders>
                  <w:noWrap w:val="0"/>
                  <w:vAlign w:val="center"/>
                </w:tcPr>
                <w:p>
                  <w:pPr>
                    <w:spacing w:line="240" w:lineRule="auto"/>
                    <w:ind w:firstLine="0" w:firstLineChars="0"/>
                    <w:jc w:val="center"/>
                    <w:rPr>
                      <w:sz w:val="21"/>
                      <w:szCs w:val="21"/>
                      <w:u w:val="single"/>
                    </w:rPr>
                  </w:pPr>
                </w:p>
              </w:tc>
              <w:tc>
                <w:tcPr>
                  <w:tcW w:w="2206"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sz w:val="21"/>
                      <w:szCs w:val="21"/>
                      <w:u w:val="single"/>
                    </w:rPr>
                    <w:t>固废处理</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eastAsia"/>
                      <w:sz w:val="21"/>
                      <w:szCs w:val="21"/>
                      <w:u w:val="single"/>
                      <w:lang w:val="en-US" w:eastAsia="zh-CN"/>
                    </w:rPr>
                  </w:pPr>
                  <w:r>
                    <w:rPr>
                      <w:rFonts w:hint="eastAsia"/>
                      <w:sz w:val="21"/>
                      <w:szCs w:val="21"/>
                      <w:u w:val="single"/>
                      <w:lang w:val="en-US" w:eastAsia="zh-CN"/>
                    </w:rPr>
                    <w:t>剩余污泥：定期外运至罗家坡污水处理厂集中处置</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sz w:val="21"/>
                      <w:szCs w:val="21"/>
                      <w:u w:val="single"/>
                      <w:lang w:val="en-US" w:eastAsia="zh-CN"/>
                    </w:rPr>
                  </w:pPr>
                  <w:r>
                    <w:rPr>
                      <w:rFonts w:hint="eastAsia"/>
                      <w:sz w:val="21"/>
                      <w:szCs w:val="21"/>
                      <w:u w:val="single"/>
                      <w:lang w:val="en-US" w:eastAsia="zh-CN"/>
                    </w:rPr>
                    <w:t>20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3419" w:type="dxa"/>
                  <w:gridSpan w:val="2"/>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合计</w:t>
                  </w:r>
                </w:p>
              </w:tc>
              <w:tc>
                <w:tcPr>
                  <w:tcW w:w="439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sz w:val="21"/>
                      <w:szCs w:val="21"/>
                      <w:u w:val="single"/>
                    </w:rPr>
                  </w:pPr>
                  <w:r>
                    <w:rPr>
                      <w:sz w:val="21"/>
                      <w:szCs w:val="21"/>
                      <w:u w:val="single"/>
                    </w:rPr>
                    <w:t>/</w:t>
                  </w:r>
                </w:p>
              </w:tc>
              <w:tc>
                <w:tcPr>
                  <w:tcW w:w="1728" w:type="dxa"/>
                  <w:tcBorders>
                    <w:top w:val="single" w:color="auto" w:sz="6" w:space="0"/>
                    <w:left w:val="single" w:color="auto" w:sz="6" w:space="0"/>
                    <w:bottom w:val="single" w:color="auto" w:sz="6" w:space="0"/>
                    <w:right w:val="single" w:color="auto" w:sz="6" w:space="0"/>
                  </w:tcBorders>
                  <w:noWrap w:val="0"/>
                  <w:vAlign w:val="center"/>
                </w:tcPr>
                <w:p>
                  <w:pPr>
                    <w:spacing w:line="240" w:lineRule="auto"/>
                    <w:ind w:firstLine="0" w:firstLineChars="0"/>
                    <w:jc w:val="center"/>
                    <w:rPr>
                      <w:rFonts w:hint="default" w:eastAsia="宋体"/>
                      <w:sz w:val="21"/>
                      <w:szCs w:val="21"/>
                      <w:u w:val="single"/>
                      <w:lang w:val="en-US" w:eastAsia="zh-CN"/>
                    </w:rPr>
                  </w:pPr>
                  <w:r>
                    <w:rPr>
                      <w:rFonts w:hint="eastAsia"/>
                      <w:sz w:val="21"/>
                      <w:szCs w:val="21"/>
                      <w:u w:val="single"/>
                      <w:lang w:val="en-US" w:eastAsia="zh-CN"/>
                    </w:rPr>
                    <w:t>305</w:t>
                  </w:r>
                </w:p>
              </w:tc>
            </w:tr>
          </w:tbl>
          <w:p>
            <w:pPr>
              <w:keepNext w:val="0"/>
              <w:keepLines w:val="0"/>
              <w:pageBreakBefore w:val="0"/>
              <w:widowControl w:val="0"/>
              <w:tabs>
                <w:tab w:val="left" w:pos="360"/>
              </w:tabs>
              <w:kinsoku/>
              <w:wordWrap/>
              <w:overflowPunct/>
              <w:topLinePunct w:val="0"/>
              <w:autoSpaceDE/>
              <w:autoSpaceDN/>
              <w:bidi w:val="0"/>
              <w:adjustRightInd/>
              <w:snapToGrid/>
              <w:spacing w:line="360" w:lineRule="auto"/>
              <w:textAlignment w:val="auto"/>
              <w:outlineLvl w:val="9"/>
              <w:rPr>
                <w:b/>
                <w:snapToGrid w:val="0"/>
                <w:color w:val="auto"/>
                <w:sz w:val="24"/>
                <w:u w:val="none"/>
              </w:rPr>
            </w:pPr>
            <w:r>
              <w:rPr>
                <w:rFonts w:hint="eastAsia"/>
                <w:b/>
                <w:snapToGrid w:val="0"/>
                <w:color w:val="auto"/>
                <w:sz w:val="24"/>
                <w:u w:val="none"/>
                <w:lang w:val="en-US" w:eastAsia="zh-CN"/>
              </w:rPr>
              <w:t>7.5</w:t>
            </w:r>
            <w:r>
              <w:rPr>
                <w:b/>
                <w:snapToGrid w:val="0"/>
                <w:color w:val="auto"/>
                <w:sz w:val="24"/>
                <w:u w:val="none"/>
              </w:rPr>
              <w:t>项目环保监管与验收内容</w:t>
            </w:r>
          </w:p>
          <w:p>
            <w:pPr>
              <w:keepNext w:val="0"/>
              <w:keepLines w:val="0"/>
              <w:pageBreakBefore w:val="0"/>
              <w:widowControl w:val="0"/>
              <w:kinsoku/>
              <w:wordWrap/>
              <w:overflowPunct/>
              <w:topLinePunct w:val="0"/>
              <w:autoSpaceDE/>
              <w:autoSpaceDN/>
              <w:bidi w:val="0"/>
              <w:adjustRightInd/>
              <w:snapToGrid/>
              <w:spacing w:line="360" w:lineRule="auto"/>
              <w:ind w:firstLine="472" w:firstLineChars="197"/>
              <w:jc w:val="left"/>
              <w:textAlignment w:val="auto"/>
              <w:outlineLvl w:val="9"/>
              <w:rPr>
                <w:color w:val="auto"/>
                <w:sz w:val="24"/>
                <w:szCs w:val="24"/>
                <w:u w:val="none"/>
              </w:rPr>
            </w:pPr>
            <w:r>
              <w:rPr>
                <w:color w:val="auto"/>
                <w:sz w:val="24"/>
                <w:szCs w:val="24"/>
                <w:u w:val="none"/>
              </w:rPr>
              <w:t>项目环保监管与验收内容详见表</w:t>
            </w:r>
            <w:r>
              <w:rPr>
                <w:rFonts w:hint="eastAsia"/>
                <w:color w:val="auto"/>
                <w:sz w:val="24"/>
                <w:szCs w:val="24"/>
                <w:u w:val="none"/>
                <w:lang w:val="en-US" w:eastAsia="zh-CN"/>
              </w:rPr>
              <w:t>7.5-1</w:t>
            </w:r>
            <w:r>
              <w:rPr>
                <w:color w:val="auto"/>
                <w:sz w:val="24"/>
                <w:szCs w:val="24"/>
                <w:u w:val="none"/>
              </w:rPr>
              <w:t>。</w:t>
            </w:r>
          </w:p>
          <w:p>
            <w:pPr>
              <w:pStyle w:val="7"/>
              <w:spacing w:line="360" w:lineRule="auto"/>
              <w:jc w:val="center"/>
              <w:rPr>
                <w:rFonts w:hint="default" w:ascii="Times New Roman" w:hAnsi="Times New Roman" w:cs="Times New Roman" w:eastAsiaTheme="minorEastAsia"/>
                <w:b/>
                <w:bCs/>
                <w:color w:val="auto"/>
                <w:sz w:val="24"/>
                <w:szCs w:val="24"/>
                <w:u w:val="none"/>
              </w:rPr>
            </w:pPr>
            <w:r>
              <w:rPr>
                <w:rFonts w:hint="default" w:ascii="Times New Roman" w:hAnsi="Times New Roman" w:cs="Times New Roman" w:eastAsiaTheme="minorEastAsia"/>
                <w:b/>
                <w:bCs/>
                <w:color w:val="auto"/>
                <w:sz w:val="24"/>
                <w:szCs w:val="24"/>
                <w:u w:val="none"/>
              </w:rPr>
              <w:t>表</w:t>
            </w:r>
            <w:r>
              <w:rPr>
                <w:rFonts w:hint="default" w:ascii="Times New Roman" w:hAnsi="Times New Roman" w:cs="Times New Roman" w:eastAsiaTheme="minorEastAsia"/>
                <w:b/>
                <w:bCs/>
                <w:color w:val="auto"/>
                <w:sz w:val="24"/>
                <w:szCs w:val="24"/>
                <w:u w:val="none"/>
                <w:lang w:val="en-US" w:eastAsia="zh-CN"/>
              </w:rPr>
              <w:t>7.</w:t>
            </w:r>
            <w:r>
              <w:rPr>
                <w:rFonts w:hint="eastAsia" w:ascii="Times New Roman" w:hAnsi="Times New Roman" w:cs="Times New Roman" w:eastAsiaTheme="minorEastAsia"/>
                <w:b/>
                <w:bCs/>
                <w:color w:val="auto"/>
                <w:sz w:val="24"/>
                <w:szCs w:val="24"/>
                <w:u w:val="none"/>
                <w:lang w:val="en-US" w:eastAsia="zh-CN"/>
              </w:rPr>
              <w:t>5</w:t>
            </w:r>
            <w:r>
              <w:rPr>
                <w:rFonts w:hint="default" w:ascii="Times New Roman" w:hAnsi="Times New Roman" w:cs="Times New Roman" w:eastAsiaTheme="minorEastAsia"/>
                <w:b/>
                <w:bCs/>
                <w:color w:val="auto"/>
                <w:sz w:val="24"/>
                <w:szCs w:val="24"/>
                <w:u w:val="none"/>
                <w:lang w:val="en-US" w:eastAsia="zh-CN"/>
              </w:rPr>
              <w:t>-1</w:t>
            </w:r>
            <w:r>
              <w:rPr>
                <w:rFonts w:hint="default" w:ascii="Times New Roman" w:hAnsi="Times New Roman" w:cs="Times New Roman" w:eastAsiaTheme="minorEastAsia"/>
                <w:b/>
                <w:bCs/>
                <w:color w:val="auto"/>
                <w:sz w:val="24"/>
                <w:szCs w:val="24"/>
                <w:u w:val="none"/>
              </w:rPr>
              <w:t xml:space="preserve">  环保监管与验收内容一览表</w:t>
            </w:r>
          </w:p>
          <w:tbl>
            <w:tblPr>
              <w:tblStyle w:val="26"/>
              <w:tblW w:w="9434"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539"/>
              <w:gridCol w:w="776"/>
              <w:gridCol w:w="4324"/>
              <w:gridCol w:w="1549"/>
              <w:gridCol w:w="224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09" w:hRule="atLeast"/>
              </w:trPr>
              <w:tc>
                <w:tcPr>
                  <w:tcW w:w="53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时段</w:t>
                  </w: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验收类别</w:t>
                  </w: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防治措施</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验收项目</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验收依据</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539" w:type="dxa"/>
                  <w:vMerge w:val="restart"/>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施</w:t>
                  </w:r>
                </w:p>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工</w:t>
                  </w:r>
                </w:p>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期</w:t>
                  </w:r>
                </w:p>
              </w:tc>
              <w:tc>
                <w:tcPr>
                  <w:tcW w:w="776" w:type="dxa"/>
                  <w:vMerge w:val="restart"/>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大气环境</w:t>
                  </w: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开挖的土方，应保持含水喷湿，防止粉尘飞扬；运输车辆清洗，密闭运输，施工区洒水，施工工地四周设置围挡等</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洒水措施、施工围挡</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达（GB16297-1996）中的无组织排放浓度监控限值</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776"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sz w:val="21"/>
                      <w:szCs w:val="21"/>
                      <w:u w:val="single"/>
                      <w:lang w:eastAsia="zh-CN"/>
                    </w:rPr>
                    <w:t>淤泥恶臭：</w:t>
                  </w:r>
                  <w:r>
                    <w:rPr>
                      <w:rFonts w:hint="eastAsia" w:cs="Times New Roman"/>
                      <w:kern w:val="0"/>
                      <w:sz w:val="21"/>
                      <w:szCs w:val="21"/>
                      <w:u w:val="single"/>
                      <w:lang w:val="en-US" w:eastAsia="zh-CN"/>
                    </w:rPr>
                    <w:t>脱水场地需建设围挡，使用除臭剂（3处湿塘）</w:t>
                  </w:r>
                </w:p>
              </w:tc>
              <w:tc>
                <w:tcPr>
                  <w:tcW w:w="1549" w:type="dxa"/>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kern w:val="2"/>
                      <w:sz w:val="21"/>
                      <w:szCs w:val="21"/>
                      <w:lang w:val="en-US" w:eastAsia="zh-CN" w:bidi="ar-SA"/>
                    </w:rPr>
                  </w:pPr>
                  <w:r>
                    <w:rPr>
                      <w:rFonts w:hint="eastAsia" w:eastAsia="宋体" w:cs="Times New Roman"/>
                      <w:b w:val="0"/>
                      <w:bCs w:val="0"/>
                      <w:sz w:val="21"/>
                      <w:szCs w:val="21"/>
                      <w:lang w:val="en-US" w:eastAsia="zh-CN"/>
                    </w:rPr>
                    <w:t>建设围挡、喷洒除臭剂</w:t>
                  </w:r>
                </w:p>
              </w:tc>
              <w:tc>
                <w:tcPr>
                  <w:tcW w:w="2246" w:type="dxa"/>
                  <w:noWrap w:val="0"/>
                  <w:vAlign w:val="center"/>
                </w:tcPr>
                <w:p>
                  <w:pPr>
                    <w:pStyle w:val="38"/>
                    <w:keepNext w:val="0"/>
                    <w:keepLines w:val="0"/>
                    <w:pageBreakBefore w:val="0"/>
                    <w:kinsoku/>
                    <w:wordWrap/>
                    <w:topLinePunct w:val="0"/>
                    <w:bidi w:val="0"/>
                    <w:adjustRightInd/>
                    <w:snapToGrid/>
                    <w:spacing w:line="240" w:lineRule="auto"/>
                    <w:ind w:firstLine="0" w:firstLineChars="0"/>
                    <w:rPr>
                      <w:rFonts w:hint="default" w:ascii="Times New Roman" w:hAnsi="Times New Roman" w:eastAsia="宋体" w:cs="Times New Roman"/>
                      <w:b w:val="0"/>
                      <w:bCs w:val="0"/>
                      <w:color w:val="000000"/>
                      <w:kern w:val="2"/>
                      <w:sz w:val="21"/>
                      <w:szCs w:val="21"/>
                      <w:lang w:val="en-US" w:eastAsia="zh-CN" w:bidi="ar-SA"/>
                    </w:rPr>
                  </w:pPr>
                  <w:r>
                    <w:rPr>
                      <w:rFonts w:hint="default" w:ascii="Times New Roman" w:hAnsi="Times New Roman" w:eastAsia="宋体" w:cs="Times New Roman"/>
                      <w:b w:val="0"/>
                      <w:bCs w:val="0"/>
                      <w:sz w:val="21"/>
                      <w:szCs w:val="21"/>
                    </w:rPr>
                    <w:t>《恶臭污染物排放标准》（GB14554-93）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水环境</w:t>
                  </w: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施工废水采用隔油沉淀池处理</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沉淀池</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施工废水处理后回用于施工及洒水降尘</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610"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声环境</w:t>
                  </w: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选用低噪声施工设备、合理安排施工时间、降低人为噪声、汽车限速及禁止鸣笛等</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围挡</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达（GB12523－2011）中标准限值要求</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884"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固废</w:t>
                  </w: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弃渣交由渣土部门统一调配；</w:t>
                  </w:r>
                  <w:r>
                    <w:rPr>
                      <w:rFonts w:hint="eastAsia"/>
                      <w:sz w:val="21"/>
                      <w:szCs w:val="21"/>
                      <w:u w:val="single"/>
                      <w:lang w:val="en-US" w:eastAsia="zh-CN"/>
                    </w:rPr>
                    <w:t>淤泥进行脱水后回用于平整边坡</w:t>
                  </w:r>
                </w:p>
              </w:tc>
              <w:tc>
                <w:tcPr>
                  <w:tcW w:w="1549" w:type="dxa"/>
                  <w:noWrap w:val="0"/>
                  <w:vAlign w:val="center"/>
                </w:tcPr>
                <w:p>
                  <w:pPr>
                    <w:pStyle w:val="38"/>
                    <w:keepNext w:val="0"/>
                    <w:keepLines w:val="0"/>
                    <w:pageBreakBefore w:val="0"/>
                    <w:widowControl w:val="0"/>
                    <w:tabs>
                      <w:tab w:val="left" w:pos="396"/>
                    </w:tabs>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w:t>
                  </w:r>
                </w:p>
              </w:tc>
              <w:tc>
                <w:tcPr>
                  <w:tcW w:w="2246" w:type="dxa"/>
                  <w:noWrap w:val="0"/>
                  <w:vAlign w:val="center"/>
                </w:tcPr>
                <w:p>
                  <w:pPr>
                    <w:pStyle w:val="38"/>
                    <w:keepNext w:val="0"/>
                    <w:keepLines w:val="0"/>
                    <w:pageBreakBefore w:val="0"/>
                    <w:widowControl w:val="0"/>
                    <w:tabs>
                      <w:tab w:val="left" w:pos="396"/>
                    </w:tabs>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调查施工期固废处置去向，确保处理率100%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24"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u w:val="single"/>
                      <w:lang w:val="en-US" w:eastAsia="zh-CN"/>
                    </w:rPr>
                  </w:pPr>
                </w:p>
                <w:p>
                  <w:pPr>
                    <w:rPr>
                      <w:rFonts w:hint="default"/>
                      <w:u w:val="single"/>
                      <w:lang w:val="en-US" w:eastAsia="zh-CN"/>
                    </w:rPr>
                  </w:pP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生态</w:t>
                  </w:r>
                </w:p>
              </w:tc>
              <w:tc>
                <w:tcPr>
                  <w:tcW w:w="4324"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u w:val="single"/>
                    </w:rPr>
                    <w:t>分层堆放、</w:t>
                  </w:r>
                  <w:r>
                    <w:rPr>
                      <w:rFonts w:ascii="Times New Roman" w:hAnsi="Times New Roman"/>
                      <w:color w:val="000000"/>
                      <w:kern w:val="24"/>
                      <w:szCs w:val="21"/>
                      <w:u w:val="single"/>
                    </w:rPr>
                    <w:t>排水系统、渣土覆盖、施工地生态</w:t>
                  </w:r>
                  <w:r>
                    <w:rPr>
                      <w:rFonts w:hint="eastAsia" w:ascii="Times New Roman" w:hAnsi="Times New Roman"/>
                      <w:color w:val="000000"/>
                      <w:kern w:val="24"/>
                      <w:szCs w:val="21"/>
                      <w:u w:val="single"/>
                    </w:rPr>
                    <w:t>恢复</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调查生态恢复情况</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24" w:hRule="atLeast"/>
              </w:trPr>
              <w:tc>
                <w:tcPr>
                  <w:tcW w:w="539" w:type="dxa"/>
                  <w:vMerge w:val="restart"/>
                  <w:noWrap w:val="0"/>
                  <w:vAlign w:val="center"/>
                </w:tcPr>
                <w:p>
                  <w:pPr>
                    <w:rPr>
                      <w:rFonts w:hint="default"/>
                      <w:u w:val="single"/>
                      <w:lang w:val="en-US" w:eastAsia="zh-CN"/>
                    </w:rPr>
                  </w:pPr>
                  <w:r>
                    <w:rPr>
                      <w:rFonts w:hint="eastAsia"/>
                      <w:u w:val="single"/>
                      <w:lang w:val="en-US" w:eastAsia="zh-CN"/>
                    </w:rPr>
                    <w:t>营运期</w:t>
                  </w: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ascii="Times New Roman" w:hAnsi="Times New Roman" w:cs="Times New Roman"/>
                      <w:sz w:val="21"/>
                      <w:szCs w:val="21"/>
                      <w:u w:val="single"/>
                      <w:lang w:val="en-US" w:eastAsia="zh-CN" w:bidi="ar"/>
                    </w:rPr>
                    <w:t>废气</w:t>
                  </w:r>
                </w:p>
              </w:tc>
              <w:tc>
                <w:tcPr>
                  <w:tcW w:w="4324" w:type="dxa"/>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sz w:val="21"/>
                      <w:szCs w:val="21"/>
                      <w:u w:val="single"/>
                      <w:lang w:val="en-US" w:eastAsia="zh-CN"/>
                    </w:rPr>
                    <w:t>恶臭气体：加盖密闭并喷洒除臭剂（奇家社区污水处理站）</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sz w:val="21"/>
                      <w:szCs w:val="21"/>
                      <w:u w:val="single"/>
                      <w:lang w:val="en-US" w:eastAsia="zh-CN"/>
                    </w:rPr>
                    <w:t>加盖密闭并喷洒除臭剂</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《恶臭污染物排放标准》（GB14554-93）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24" w:hRule="atLeast"/>
              </w:trPr>
              <w:tc>
                <w:tcPr>
                  <w:tcW w:w="539" w:type="dxa"/>
                  <w:vMerge w:val="continue"/>
                  <w:noWrap w:val="0"/>
                  <w:vAlign w:val="center"/>
                </w:tcPr>
                <w:p>
                  <w:pPr>
                    <w:rPr>
                      <w:rFonts w:hint="default"/>
                      <w:u w:val="single"/>
                      <w:lang w:val="en-US" w:eastAsia="zh-CN"/>
                    </w:rPr>
                  </w:pPr>
                </w:p>
              </w:tc>
              <w:tc>
                <w:tcPr>
                  <w:tcW w:w="776" w:type="dxa"/>
                  <w:vMerge w:val="restart"/>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ascii="Times New Roman" w:hAnsi="Times New Roman" w:cs="Times New Roman"/>
                      <w:sz w:val="21"/>
                      <w:szCs w:val="21"/>
                      <w:u w:val="single"/>
                      <w:lang w:val="en-US" w:eastAsia="zh-CN" w:bidi="ar"/>
                    </w:rPr>
                    <w:t>废水</w:t>
                  </w:r>
                </w:p>
              </w:tc>
              <w:tc>
                <w:tcPr>
                  <w:tcW w:w="4324" w:type="dxa"/>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u w:val="single"/>
                      <w:lang w:val="en-US" w:eastAsia="zh-CN"/>
                    </w:rPr>
                    <w:t>三格式化粪池+提升井+调节池+</w:t>
                  </w:r>
                  <w:r>
                    <w:rPr>
                      <w:rFonts w:hint="eastAsia"/>
                      <w:u w:val="single"/>
                      <w:lang w:eastAsia="zh-CN"/>
                    </w:rPr>
                    <w:t>PTA</w:t>
                  </w:r>
                  <w:r>
                    <w:rPr>
                      <w:rFonts w:hint="eastAsia"/>
                      <w:u w:val="single"/>
                      <w:vertAlign w:val="superscript"/>
                      <w:lang w:eastAsia="zh-CN"/>
                    </w:rPr>
                    <w:t>2</w:t>
                  </w:r>
                  <w:r>
                    <w:rPr>
                      <w:rFonts w:hint="eastAsia"/>
                      <w:u w:val="single"/>
                      <w:lang w:eastAsia="zh-CN"/>
                    </w:rPr>
                    <w:t>O</w:t>
                  </w:r>
                  <w:r>
                    <w:rPr>
                      <w:rFonts w:hint="eastAsia"/>
                      <w:u w:val="single"/>
                      <w:lang w:val="en-US" w:eastAsia="zh-CN"/>
                    </w:rPr>
                    <w:t>一体化污水综合处理装置+消毒工艺组合</w:t>
                  </w:r>
                </w:p>
              </w:tc>
              <w:tc>
                <w:tcPr>
                  <w:tcW w:w="1549" w:type="dxa"/>
                  <w:noWrap w:val="0"/>
                  <w:vAlign w:val="center"/>
                </w:tcPr>
                <w:p>
                  <w:pPr>
                    <w:spacing w:line="240" w:lineRule="auto"/>
                    <w:ind w:firstLine="0" w:firstLineChars="0"/>
                    <w:jc w:val="center"/>
                    <w:rPr>
                      <w:rFonts w:hint="default" w:ascii="Times New Roman" w:hAnsi="Times New Roman" w:eastAsia="宋体" w:cs="Times New Roman"/>
                      <w:kern w:val="2"/>
                      <w:sz w:val="21"/>
                      <w:szCs w:val="21"/>
                      <w:u w:val="single"/>
                      <w:lang w:val="en-US" w:eastAsia="zh-CN" w:bidi="ar-SA"/>
                    </w:rPr>
                  </w:pPr>
                  <w:r>
                    <w:rPr>
                      <w:rFonts w:hint="eastAsia"/>
                      <w:u w:val="single"/>
                      <w:lang w:val="en-US" w:eastAsia="zh-CN"/>
                    </w:rPr>
                    <w:t>三格式化粪池+提升井+调节池+</w:t>
                  </w:r>
                  <w:r>
                    <w:rPr>
                      <w:rFonts w:hint="eastAsia"/>
                      <w:u w:val="single"/>
                      <w:lang w:eastAsia="zh-CN"/>
                    </w:rPr>
                    <w:t>PTA</w:t>
                  </w:r>
                  <w:r>
                    <w:rPr>
                      <w:rFonts w:hint="eastAsia"/>
                      <w:u w:val="single"/>
                      <w:vertAlign w:val="superscript"/>
                      <w:lang w:eastAsia="zh-CN"/>
                    </w:rPr>
                    <w:t>2</w:t>
                  </w:r>
                  <w:r>
                    <w:rPr>
                      <w:rFonts w:hint="eastAsia"/>
                      <w:u w:val="single"/>
                      <w:lang w:eastAsia="zh-CN"/>
                    </w:rPr>
                    <w:t>O</w:t>
                  </w:r>
                  <w:r>
                    <w:rPr>
                      <w:rFonts w:hint="eastAsia"/>
                      <w:u w:val="single"/>
                      <w:lang w:val="en-US" w:eastAsia="zh-CN"/>
                    </w:rPr>
                    <w:t>一体化污水综合处理装置+消毒工艺组合</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default" w:ascii="Times New Roman" w:hAnsi="Times New Roman" w:cs="Times New Roman"/>
                      <w:sz w:val="21"/>
                      <w:szCs w:val="21"/>
                      <w:u w:val="single"/>
                      <w:lang w:val="en-US" w:eastAsia="zh-CN" w:bidi="ar"/>
                    </w:rPr>
                    <w:t>《城镇污水处理厂污染物排放标准》（GB18918-2002）一级标准的A标准，排入小溪，最终汇入南港河</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24" w:hRule="atLeast"/>
              </w:trPr>
              <w:tc>
                <w:tcPr>
                  <w:tcW w:w="539" w:type="dxa"/>
                  <w:vMerge w:val="continue"/>
                  <w:noWrap w:val="0"/>
                  <w:vAlign w:val="center"/>
                </w:tcPr>
                <w:p>
                  <w:pPr>
                    <w:rPr>
                      <w:rFonts w:hint="default"/>
                      <w:u w:val="single"/>
                      <w:lang w:val="en-US" w:eastAsia="zh-CN"/>
                    </w:rPr>
                  </w:pPr>
                </w:p>
              </w:tc>
              <w:tc>
                <w:tcPr>
                  <w:tcW w:w="776"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4324" w:type="dxa"/>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sz w:val="21"/>
                      <w:szCs w:val="21"/>
                      <w:u w:val="single"/>
                      <w:lang w:val="en-US" w:eastAsia="zh-CN"/>
                    </w:rPr>
                    <w:t>四格池（5处）</w:t>
                  </w:r>
                </w:p>
              </w:tc>
              <w:tc>
                <w:tcPr>
                  <w:tcW w:w="1549" w:type="dxa"/>
                  <w:noWrap w:val="0"/>
                  <w:vAlign w:val="center"/>
                </w:tcPr>
                <w:p>
                  <w:pPr>
                    <w:spacing w:line="240" w:lineRule="auto"/>
                    <w:ind w:firstLine="0" w:firstLineChars="0"/>
                    <w:jc w:val="center"/>
                    <w:rPr>
                      <w:rFonts w:hint="default" w:ascii="Times New Roman" w:hAnsi="Times New Roman" w:eastAsia="宋体" w:cs="Times New Roman"/>
                      <w:kern w:val="2"/>
                      <w:sz w:val="21"/>
                      <w:szCs w:val="21"/>
                      <w:u w:val="single"/>
                      <w:lang w:val="en-US" w:eastAsia="zh-CN" w:bidi="ar-SA"/>
                    </w:rPr>
                  </w:pPr>
                  <w:r>
                    <w:rPr>
                      <w:rFonts w:hint="eastAsia"/>
                      <w:sz w:val="21"/>
                      <w:szCs w:val="21"/>
                      <w:u w:val="single"/>
                      <w:lang w:val="en-US" w:eastAsia="zh-CN"/>
                    </w:rPr>
                    <w:t>四格池</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ascii="Times New Roman"/>
                      <w:color w:val="000000" w:themeColor="text1"/>
                      <w:sz w:val="21"/>
                      <w:szCs w:val="21"/>
                      <w:highlight w:val="none"/>
                      <w:u w:val="single"/>
                      <w:lang w:bidi="ar"/>
                      <w14:textFill>
                        <w14:solidFill>
                          <w14:schemeClr w14:val="tx1"/>
                        </w14:solidFill>
                      </w14:textFill>
                    </w:rPr>
                    <w:t>达到</w:t>
                  </w:r>
                  <w:r>
                    <w:rPr>
                      <w:rFonts w:hint="eastAsia" w:ascii="Times New Roman"/>
                      <w:color w:val="000000" w:themeColor="text1"/>
                      <w:sz w:val="21"/>
                      <w:szCs w:val="21"/>
                      <w:highlight w:val="none"/>
                      <w:u w:val="single"/>
                      <w:lang w:bidi="ar"/>
                      <w14:textFill>
                        <w14:solidFill>
                          <w14:schemeClr w14:val="tx1"/>
                        </w14:solidFill>
                      </w14:textFill>
                    </w:rPr>
                    <w:t>《城镇污水处理厂污染物排放标准》（GB18918-2002）一级标准的</w:t>
                  </w:r>
                  <w:r>
                    <w:rPr>
                      <w:rFonts w:hint="eastAsia" w:ascii="Times New Roman"/>
                      <w:color w:val="000000" w:themeColor="text1"/>
                      <w:sz w:val="21"/>
                      <w:szCs w:val="21"/>
                      <w:highlight w:val="none"/>
                      <w:u w:val="single"/>
                      <w:lang w:val="en-US" w:eastAsia="zh-CN" w:bidi="ar"/>
                      <w14:textFill>
                        <w14:solidFill>
                          <w14:schemeClr w14:val="tx1"/>
                        </w14:solidFill>
                      </w14:textFill>
                    </w:rPr>
                    <w:t>B</w:t>
                  </w:r>
                  <w:r>
                    <w:rPr>
                      <w:rFonts w:hint="eastAsia" w:ascii="Times New Roman"/>
                      <w:color w:val="000000" w:themeColor="text1"/>
                      <w:sz w:val="21"/>
                      <w:szCs w:val="21"/>
                      <w:highlight w:val="none"/>
                      <w:u w:val="single"/>
                      <w:lang w:bidi="ar"/>
                      <w14:textFill>
                        <w14:solidFill>
                          <w14:schemeClr w14:val="tx1"/>
                        </w14:solidFill>
                      </w14:textFill>
                    </w:rPr>
                    <w:t>标准</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24"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ascii="Times New Roman" w:hAnsi="Times New Roman" w:cs="Times New Roman"/>
                      <w:sz w:val="21"/>
                      <w:szCs w:val="21"/>
                      <w:u w:val="single"/>
                      <w:lang w:val="en-US" w:eastAsia="zh-CN" w:bidi="ar"/>
                    </w:rPr>
                    <w:t>噪声</w:t>
                  </w:r>
                </w:p>
              </w:tc>
              <w:tc>
                <w:tcPr>
                  <w:tcW w:w="4324" w:type="dxa"/>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sz w:val="21"/>
                      <w:szCs w:val="21"/>
                      <w:u w:val="single"/>
                    </w:rPr>
                    <w:t>选用低噪声设备</w:t>
                  </w:r>
                  <w:r>
                    <w:rPr>
                      <w:rFonts w:hint="eastAsia"/>
                      <w:sz w:val="21"/>
                      <w:szCs w:val="21"/>
                      <w:u w:val="single"/>
                      <w:lang w:eastAsia="zh-CN"/>
                    </w:rPr>
                    <w:t>，</w:t>
                  </w:r>
                  <w:r>
                    <w:rPr>
                      <w:rFonts w:hint="eastAsia"/>
                      <w:sz w:val="21"/>
                      <w:szCs w:val="21"/>
                      <w:u w:val="single"/>
                      <w:lang w:val="en-US" w:eastAsia="zh-CN"/>
                    </w:rPr>
                    <w:t>减振、隔声</w:t>
                  </w:r>
                </w:p>
              </w:tc>
              <w:tc>
                <w:tcPr>
                  <w:tcW w:w="1549" w:type="dxa"/>
                  <w:noWrap w:val="0"/>
                  <w:vAlign w:val="center"/>
                </w:tcPr>
                <w:p>
                  <w:pPr>
                    <w:spacing w:line="240" w:lineRule="auto"/>
                    <w:ind w:firstLine="0" w:firstLineChars="0"/>
                    <w:jc w:val="center"/>
                    <w:rPr>
                      <w:rFonts w:hint="default" w:ascii="Times New Roman" w:hAnsi="Times New Roman" w:eastAsia="宋体" w:cs="Times New Roman"/>
                      <w:kern w:val="2"/>
                      <w:sz w:val="21"/>
                      <w:szCs w:val="21"/>
                      <w:u w:val="single"/>
                      <w:lang w:val="en-US" w:eastAsia="zh-CN" w:bidi="ar-SA"/>
                    </w:rPr>
                  </w:pPr>
                  <w:r>
                    <w:rPr>
                      <w:sz w:val="21"/>
                      <w:szCs w:val="21"/>
                      <w:u w:val="single"/>
                    </w:rPr>
                    <w:t>选用低噪声设备</w:t>
                  </w:r>
                  <w:r>
                    <w:rPr>
                      <w:rFonts w:hint="eastAsia"/>
                      <w:sz w:val="21"/>
                      <w:szCs w:val="21"/>
                      <w:u w:val="single"/>
                      <w:lang w:eastAsia="zh-CN"/>
                    </w:rPr>
                    <w:t>，</w:t>
                  </w:r>
                  <w:r>
                    <w:rPr>
                      <w:rFonts w:hint="eastAsia"/>
                      <w:sz w:val="21"/>
                      <w:szCs w:val="21"/>
                      <w:u w:val="single"/>
                      <w:lang w:val="en-US" w:eastAsia="zh-CN"/>
                    </w:rPr>
                    <w:t>减振、隔声</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ascii="Times New Roman"/>
                      <w:color w:val="000000" w:themeColor="text1"/>
                      <w:sz w:val="21"/>
                      <w:szCs w:val="21"/>
                      <w:highlight w:val="none"/>
                      <w:u w:val="single"/>
                      <w:lang w:bidi="ar"/>
                      <w14:textFill>
                        <w14:solidFill>
                          <w14:schemeClr w14:val="tx1"/>
                        </w14:solidFill>
                      </w14:textFill>
                    </w:rPr>
                    <w:t>达到《工业企业厂界环境噪声排放标准》</w:t>
                  </w:r>
                  <w:r>
                    <w:rPr>
                      <w:rFonts w:hint="eastAsia" w:ascii="Times New Roman" w:hAnsi="Times New Roman"/>
                      <w:color w:val="000000" w:themeColor="text1"/>
                      <w:sz w:val="21"/>
                      <w:szCs w:val="21"/>
                      <w:highlight w:val="none"/>
                      <w:u w:val="single"/>
                      <w:lang w:val="en-US" w:eastAsia="zh-CN" w:bidi="ar"/>
                      <w14:textFill>
                        <w14:solidFill>
                          <w14:schemeClr w14:val="tx1"/>
                        </w14:solidFill>
                      </w14:textFill>
                    </w:rPr>
                    <w:t>2</w:t>
                  </w:r>
                  <w:r>
                    <w:rPr>
                      <w:rFonts w:hint="eastAsia" w:ascii="Times New Roman"/>
                      <w:color w:val="000000" w:themeColor="text1"/>
                      <w:sz w:val="21"/>
                      <w:szCs w:val="21"/>
                      <w:highlight w:val="none"/>
                      <w:u w:val="single"/>
                      <w:lang w:val="en-US" w:eastAsia="zh-CN" w:bidi="ar"/>
                      <w14:textFill>
                        <w14:solidFill>
                          <w14:schemeClr w14:val="tx1"/>
                        </w14:solidFill>
                      </w14:textFill>
                    </w:rPr>
                    <w:t>类</w:t>
                  </w:r>
                  <w:r>
                    <w:rPr>
                      <w:rFonts w:ascii="Times New Roman"/>
                      <w:color w:val="000000" w:themeColor="text1"/>
                      <w:sz w:val="21"/>
                      <w:szCs w:val="21"/>
                      <w:highlight w:val="none"/>
                      <w:u w:val="single"/>
                      <w:lang w:bidi="ar"/>
                      <w14:textFill>
                        <w14:solidFill>
                          <w14:schemeClr w14:val="tx1"/>
                        </w14:solidFill>
                      </w14:textFill>
                    </w:rPr>
                    <w:t>标准</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424" w:hRule="atLeast"/>
              </w:trPr>
              <w:tc>
                <w:tcPr>
                  <w:tcW w:w="539" w:type="dxa"/>
                  <w:vMerge w:val="continue"/>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p>
              </w:tc>
              <w:tc>
                <w:tcPr>
                  <w:tcW w:w="77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ascii="Times New Roman" w:hAnsi="Times New Roman" w:cs="Times New Roman"/>
                      <w:sz w:val="21"/>
                      <w:szCs w:val="21"/>
                      <w:u w:val="single"/>
                      <w:lang w:val="en-US" w:eastAsia="zh-CN" w:bidi="ar"/>
                    </w:rPr>
                    <w:t>固废</w:t>
                  </w:r>
                </w:p>
              </w:tc>
              <w:tc>
                <w:tcPr>
                  <w:tcW w:w="4324" w:type="dxa"/>
                  <w:noWrap w:val="0"/>
                  <w:vAlign w:val="center"/>
                </w:tcPr>
                <w:p>
                  <w:pPr>
                    <w:spacing w:line="240" w:lineRule="auto"/>
                    <w:ind w:firstLine="0" w:firstLineChars="0"/>
                    <w:jc w:val="center"/>
                    <w:rPr>
                      <w:rFonts w:hint="eastAsia" w:ascii="Times New Roman" w:hAnsi="Times New Roman" w:eastAsia="宋体" w:cs="Times New Roman"/>
                      <w:kern w:val="2"/>
                      <w:sz w:val="21"/>
                      <w:szCs w:val="21"/>
                      <w:u w:val="single"/>
                      <w:lang w:val="en-US" w:eastAsia="zh-CN" w:bidi="ar-SA"/>
                    </w:rPr>
                  </w:pPr>
                  <w:r>
                    <w:rPr>
                      <w:rFonts w:hint="eastAsia"/>
                      <w:sz w:val="21"/>
                      <w:szCs w:val="21"/>
                      <w:u w:val="single"/>
                      <w:lang w:val="en-US" w:eastAsia="zh-CN"/>
                    </w:rPr>
                    <w:t>剩余污泥：定期外运至罗家坡污水处理厂集中处置</w:t>
                  </w:r>
                </w:p>
              </w:tc>
              <w:tc>
                <w:tcPr>
                  <w:tcW w:w="1549"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ascii="Times New Roman" w:hAnsi="Times New Roman" w:cs="Times New Roman"/>
                      <w:sz w:val="21"/>
                      <w:szCs w:val="21"/>
                      <w:u w:val="single"/>
                      <w:lang w:val="en-US" w:eastAsia="zh-CN" w:bidi="ar"/>
                    </w:rPr>
                    <w:t>处置协议</w:t>
                  </w:r>
                </w:p>
              </w:tc>
              <w:tc>
                <w:tcPr>
                  <w:tcW w:w="2246" w:type="dxa"/>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cs="Times New Roman"/>
                      <w:sz w:val="21"/>
                      <w:szCs w:val="21"/>
                      <w:u w:val="single"/>
                      <w:lang w:val="en-US" w:eastAsia="zh-CN" w:bidi="ar"/>
                    </w:rPr>
                  </w:pPr>
                  <w:r>
                    <w:rPr>
                      <w:rFonts w:hint="eastAsia" w:ascii="Times New Roman" w:hAnsi="Times New Roman" w:cs="Times New Roman"/>
                      <w:sz w:val="21"/>
                      <w:szCs w:val="21"/>
                      <w:u w:val="single"/>
                      <w:lang w:val="en-US" w:eastAsia="zh-CN" w:bidi="ar"/>
                    </w:rPr>
                    <w:t>资源化</w:t>
                  </w:r>
                </w:p>
              </w:tc>
            </w:tr>
          </w:tbl>
          <w:p>
            <w:pPr>
              <w:pageBreakBefore w:val="0"/>
              <w:kinsoku/>
              <w:wordWrap/>
              <w:overflowPunct/>
              <w:topLinePunct w:val="0"/>
              <w:bidi w:val="0"/>
              <w:snapToGrid w:val="0"/>
              <w:spacing w:line="360" w:lineRule="auto"/>
              <w:jc w:val="left"/>
              <w:textAlignment w:val="auto"/>
              <w:rPr>
                <w:rFonts w:hint="eastAsia"/>
                <w:color w:val="auto"/>
              </w:rPr>
            </w:pPr>
            <w:r>
              <w:rPr>
                <w:rFonts w:hint="eastAsia"/>
                <w:b/>
                <w:snapToGrid w:val="0"/>
                <w:color w:val="auto"/>
                <w:sz w:val="24"/>
                <w:lang w:val="en-US" w:eastAsia="zh-CN"/>
              </w:rPr>
              <w:t>7.6</w:t>
            </w:r>
            <w:r>
              <w:rPr>
                <w:rFonts w:hint="eastAsia" w:ascii="Times New Roman" w:hAnsi="Times New Roman" w:eastAsia="宋体" w:cs="Times New Roman"/>
                <w:b/>
                <w:bCs/>
                <w:color w:val="auto"/>
                <w:sz w:val="24"/>
                <w:lang w:val="en-US" w:eastAsia="zh-CN"/>
              </w:rPr>
              <w:t>环境管理与监测</w:t>
            </w:r>
          </w:p>
          <w:p>
            <w:pPr>
              <w:pageBreakBefore w:val="0"/>
              <w:kinsoku/>
              <w:wordWrap/>
              <w:overflowPunct/>
              <w:topLinePunct w:val="0"/>
              <w:bidi w:val="0"/>
              <w:snapToGrid w:val="0"/>
              <w:spacing w:line="360" w:lineRule="auto"/>
              <w:ind w:firstLine="480" w:firstLineChars="200"/>
              <w:jc w:val="left"/>
              <w:textAlignment w:val="auto"/>
              <w:rPr>
                <w:rFonts w:hint="eastAsia" w:ascii="Times New Roman" w:hAnsi="Times New Roman" w:eastAsia="宋体" w:cs="Times New Roman"/>
                <w:b/>
                <w:color w:val="auto"/>
                <w:kern w:val="0"/>
                <w:sz w:val="24"/>
                <w:szCs w:val="24"/>
                <w:u w:val="none"/>
              </w:rPr>
            </w:pPr>
            <w:r>
              <w:rPr>
                <w:rFonts w:hint="eastAsia" w:ascii="Times New Roman" w:hAnsi="Times New Roman" w:cs="Times New Roman"/>
                <w:color w:val="auto"/>
                <w:sz w:val="24"/>
                <w:u w:val="none"/>
                <w:lang w:eastAsia="zh-CN"/>
              </w:rPr>
              <w:t>工程施工期环境管理与监测详见</w:t>
            </w:r>
            <w:r>
              <w:rPr>
                <w:rFonts w:hint="eastAsia" w:ascii="Times New Roman" w:hAnsi="Times New Roman" w:eastAsia="宋体" w:cs="Times New Roman"/>
                <w:color w:val="auto"/>
                <w:sz w:val="24"/>
                <w:u w:val="none"/>
              </w:rPr>
              <w:t>表</w:t>
            </w:r>
            <w:r>
              <w:rPr>
                <w:rFonts w:hint="eastAsia" w:cs="Times New Roman"/>
                <w:color w:val="auto"/>
                <w:sz w:val="24"/>
                <w:u w:val="none"/>
                <w:lang w:val="en-US" w:eastAsia="zh-CN"/>
              </w:rPr>
              <w:t>7.6-1</w:t>
            </w:r>
            <w:r>
              <w:rPr>
                <w:rFonts w:hint="eastAsia" w:ascii="Times New Roman" w:hAnsi="Times New Roman" w:eastAsia="宋体" w:cs="Times New Roman"/>
                <w:color w:val="auto"/>
                <w:sz w:val="24"/>
                <w:u w:val="none"/>
              </w:rPr>
              <w:t xml:space="preserve">。 </w:t>
            </w:r>
          </w:p>
          <w:p>
            <w:pPr>
              <w:jc w:val="center"/>
              <w:rPr>
                <w:rFonts w:hint="default" w:ascii="Times New Roman" w:hAnsi="Times New Roman" w:eastAsia="宋体" w:cs="Times New Roman"/>
                <w:b/>
                <w:color w:val="auto"/>
                <w:kern w:val="0"/>
                <w:sz w:val="24"/>
                <w:szCs w:val="24"/>
                <w:u w:val="none"/>
              </w:rPr>
            </w:pPr>
            <w:r>
              <w:rPr>
                <w:rFonts w:hint="eastAsia" w:ascii="Times New Roman" w:hAnsi="Times New Roman" w:eastAsia="宋体" w:cs="Times New Roman"/>
                <w:b/>
                <w:color w:val="auto"/>
                <w:kern w:val="0"/>
                <w:sz w:val="24"/>
                <w:szCs w:val="24"/>
                <w:u w:val="none"/>
              </w:rPr>
              <w:t>表</w:t>
            </w:r>
            <w:r>
              <w:rPr>
                <w:rFonts w:hint="eastAsia" w:cs="Times New Roman"/>
                <w:b/>
                <w:color w:val="auto"/>
                <w:kern w:val="0"/>
                <w:sz w:val="24"/>
                <w:szCs w:val="24"/>
                <w:u w:val="none"/>
                <w:lang w:val="en-US" w:eastAsia="zh-CN"/>
              </w:rPr>
              <w:t xml:space="preserve">7.6-1  </w:t>
            </w:r>
            <w:r>
              <w:rPr>
                <w:rFonts w:hint="eastAsia" w:ascii="Times New Roman" w:hAnsi="Times New Roman" w:eastAsia="宋体" w:cs="Times New Roman"/>
                <w:b/>
                <w:color w:val="auto"/>
                <w:kern w:val="0"/>
                <w:sz w:val="24"/>
                <w:szCs w:val="24"/>
                <w:u w:val="none"/>
              </w:rPr>
              <w:t>环境监测计划</w:t>
            </w: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2"/>
              <w:gridCol w:w="84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12" w:type="dxa"/>
                  <w:vAlign w:val="center"/>
                </w:tcPr>
                <w:p>
                  <w:pPr>
                    <w:pStyle w:val="35"/>
                    <w:keepNext w:val="0"/>
                    <w:keepLines w:val="0"/>
                    <w:pageBreakBefore w:val="0"/>
                    <w:kinsoku/>
                    <w:wordWrap/>
                    <w:overflowPunct/>
                    <w:topLinePunct w:val="0"/>
                    <w:bidi w:val="0"/>
                    <w:adjustRightInd/>
                    <w:snapToGrid/>
                    <w:jc w:val="center"/>
                    <w:textAlignment w:val="auto"/>
                    <w:rPr>
                      <w:rFonts w:hint="eastAsia" w:eastAsia="宋体"/>
                      <w:sz w:val="21"/>
                      <w:szCs w:val="21"/>
                      <w:u w:val="none"/>
                      <w:vertAlign w:val="baseline"/>
                      <w:lang w:eastAsia="zh-CN"/>
                    </w:rPr>
                  </w:pPr>
                  <w:r>
                    <w:rPr>
                      <w:rFonts w:hint="eastAsia"/>
                      <w:sz w:val="21"/>
                      <w:szCs w:val="21"/>
                      <w:u w:val="none"/>
                      <w:vertAlign w:val="baseline"/>
                      <w:lang w:eastAsia="zh-CN"/>
                    </w:rPr>
                    <w:t>环境管理</w:t>
                  </w:r>
                </w:p>
              </w:tc>
              <w:tc>
                <w:tcPr>
                  <w:tcW w:w="8437" w:type="dxa"/>
                  <w:vAlign w:val="center"/>
                </w:tcPr>
                <w:p>
                  <w:pPr>
                    <w:keepNext w:val="0"/>
                    <w:keepLines w:val="0"/>
                    <w:pageBreakBefore w:val="0"/>
                    <w:widowControl/>
                    <w:suppressLineNumbers w:val="0"/>
                    <w:kinsoku/>
                    <w:wordWrap/>
                    <w:overflowPunct/>
                    <w:topLinePunct w:val="0"/>
                    <w:bidi w:val="0"/>
                    <w:adjustRightInd/>
                    <w:snapToGrid/>
                    <w:jc w:val="left"/>
                    <w:textAlignment w:val="auto"/>
                    <w:rPr>
                      <w:sz w:val="21"/>
                      <w:szCs w:val="21"/>
                      <w:u w:val="none"/>
                    </w:rPr>
                  </w:pPr>
                  <w:r>
                    <w:rPr>
                      <w:rFonts w:hint="eastAsia" w:ascii="宋体" w:hAnsi="宋体" w:eastAsia="宋体" w:cs="宋体"/>
                      <w:color w:val="000000"/>
                      <w:kern w:val="0"/>
                      <w:sz w:val="21"/>
                      <w:szCs w:val="21"/>
                      <w:u w:val="none"/>
                      <w:lang w:val="en-US" w:eastAsia="zh-CN" w:bidi="ar"/>
                    </w:rPr>
                    <w:t>（</w:t>
                  </w:r>
                  <w:r>
                    <w:rPr>
                      <w:rFonts w:ascii="TimesNewRomanPSMT" w:hAnsi="TimesNewRomanPSMT" w:eastAsia="TimesNewRomanPSMT" w:cs="TimesNewRomanPSMT"/>
                      <w:color w:val="000000"/>
                      <w:kern w:val="0"/>
                      <w:sz w:val="21"/>
                      <w:szCs w:val="21"/>
                      <w:u w:val="none"/>
                      <w:lang w:val="en-US" w:eastAsia="zh-CN" w:bidi="ar"/>
                    </w:rPr>
                    <w:t>1</w:t>
                  </w:r>
                  <w:r>
                    <w:rPr>
                      <w:rFonts w:hint="eastAsia" w:ascii="宋体" w:hAnsi="宋体" w:eastAsia="宋体" w:cs="宋体"/>
                      <w:color w:val="000000"/>
                      <w:kern w:val="0"/>
                      <w:sz w:val="21"/>
                      <w:szCs w:val="21"/>
                      <w:u w:val="none"/>
                      <w:lang w:val="en-US" w:eastAsia="zh-CN" w:bidi="ar"/>
                    </w:rPr>
                    <w:t>）施工期环境管理：施工期设立环境管理办公室。业主和施工队伍要设专门机构和专门人员进行环境管理工作，监督施工队伍在施工过程中落实各项环保措施；环境保护管理机构是工程管理机构的重要组成部分，业务上接受环保部门的指导；施工招投标要把环境保护内容纳入，明确责任和范围；施工期间要实行环境监理制度，编制并提交监理月报和总结报告；业主应委托有相关资质的单位进行环境监测，落实本报告提出的施工期监测计划；工程竣工按照相关规定编制验收调查报告。</w:t>
                  </w:r>
                  <w:r>
                    <w:rPr>
                      <w:rFonts w:hint="default" w:ascii="TimesNewRomanPSMT" w:hAnsi="TimesNewRomanPSMT" w:eastAsia="TimesNewRomanPSMT" w:cs="TimesNewRomanPSMT"/>
                      <w:color w:val="000000"/>
                      <w:kern w:val="0"/>
                      <w:sz w:val="21"/>
                      <w:szCs w:val="21"/>
                      <w:u w:val="none"/>
                      <w:lang w:val="en-US" w:eastAsia="zh-CN" w:bidi="ar"/>
                    </w:rPr>
                    <w:t xml:space="preserve"> </w:t>
                  </w:r>
                </w:p>
                <w:p>
                  <w:pPr>
                    <w:keepNext w:val="0"/>
                    <w:keepLines w:val="0"/>
                    <w:pageBreakBefore w:val="0"/>
                    <w:widowControl/>
                    <w:suppressLineNumbers w:val="0"/>
                    <w:kinsoku/>
                    <w:wordWrap/>
                    <w:overflowPunct/>
                    <w:topLinePunct w:val="0"/>
                    <w:bidi w:val="0"/>
                    <w:adjustRightInd/>
                    <w:snapToGrid/>
                    <w:jc w:val="left"/>
                    <w:textAlignment w:val="auto"/>
                    <w:rPr>
                      <w:sz w:val="21"/>
                      <w:szCs w:val="21"/>
                      <w:u w:val="none"/>
                      <w:vertAlign w:val="baseline"/>
                    </w:rPr>
                  </w:pPr>
                  <w:r>
                    <w:rPr>
                      <w:rFonts w:hint="eastAsia" w:ascii="宋体" w:hAnsi="宋体" w:eastAsia="宋体" w:cs="宋体"/>
                      <w:color w:val="000000"/>
                      <w:kern w:val="0"/>
                      <w:sz w:val="21"/>
                      <w:szCs w:val="21"/>
                      <w:u w:val="none"/>
                      <w:lang w:val="en-US" w:eastAsia="zh-CN" w:bidi="ar"/>
                    </w:rPr>
                    <w:t>（</w:t>
                  </w:r>
                  <w:r>
                    <w:rPr>
                      <w:rFonts w:hint="default" w:ascii="TimesNewRomanPSMT" w:hAnsi="TimesNewRomanPSMT" w:eastAsia="TimesNewRomanPSMT" w:cs="TimesNewRomanPSMT"/>
                      <w:color w:val="000000"/>
                      <w:kern w:val="0"/>
                      <w:sz w:val="21"/>
                      <w:szCs w:val="21"/>
                      <w:u w:val="none"/>
                      <w:lang w:val="en-US" w:eastAsia="zh-CN" w:bidi="ar"/>
                    </w:rPr>
                    <w:t>2</w:t>
                  </w:r>
                  <w:r>
                    <w:rPr>
                      <w:rFonts w:hint="eastAsia" w:ascii="宋体" w:hAnsi="宋体" w:eastAsia="宋体" w:cs="宋体"/>
                      <w:color w:val="000000"/>
                      <w:kern w:val="0"/>
                      <w:sz w:val="21"/>
                      <w:szCs w:val="21"/>
                      <w:u w:val="none"/>
                      <w:lang w:val="en-US" w:eastAsia="zh-CN" w:bidi="ar"/>
                    </w:rPr>
                    <w:t xml:space="preserve">）环境管理办公室的基本职能：使环评中提出的各项合理的环保措施纳入项目最终计划之中，包括合同、文件、施工规划和技术规范；施工期不仅要有常规工程监理，而且要进行环境监测和监理。重视信息反馈，随时鉴别和纠正遗留问题；发现问题应及时与业主和施工单位及有关部门联系，妥善处理。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12" w:type="dxa"/>
                  <w:vAlign w:val="center"/>
                </w:tcPr>
                <w:p>
                  <w:pPr>
                    <w:pStyle w:val="35"/>
                    <w:keepNext w:val="0"/>
                    <w:keepLines w:val="0"/>
                    <w:pageBreakBefore w:val="0"/>
                    <w:kinsoku/>
                    <w:wordWrap/>
                    <w:overflowPunct/>
                    <w:topLinePunct w:val="0"/>
                    <w:bidi w:val="0"/>
                    <w:adjustRightInd/>
                    <w:snapToGrid/>
                    <w:jc w:val="center"/>
                    <w:textAlignment w:val="auto"/>
                    <w:rPr>
                      <w:rFonts w:hint="eastAsia" w:eastAsia="宋体"/>
                      <w:sz w:val="21"/>
                      <w:szCs w:val="21"/>
                      <w:u w:val="none"/>
                      <w:vertAlign w:val="baseline"/>
                      <w:lang w:eastAsia="zh-CN"/>
                    </w:rPr>
                  </w:pPr>
                  <w:r>
                    <w:rPr>
                      <w:rFonts w:hint="eastAsia"/>
                      <w:sz w:val="21"/>
                      <w:szCs w:val="21"/>
                      <w:u w:val="none"/>
                      <w:vertAlign w:val="baseline"/>
                      <w:lang w:eastAsia="zh-CN"/>
                    </w:rPr>
                    <w:t>环境监测</w:t>
                  </w:r>
                </w:p>
              </w:tc>
              <w:tc>
                <w:tcPr>
                  <w:tcW w:w="8437" w:type="dxa"/>
                  <w:vAlign w:val="center"/>
                </w:tcPr>
                <w:p>
                  <w:pPr>
                    <w:keepNext w:val="0"/>
                    <w:keepLines w:val="0"/>
                    <w:pageBreakBefore w:val="0"/>
                    <w:widowControl/>
                    <w:suppressLineNumbers w:val="0"/>
                    <w:kinsoku/>
                    <w:wordWrap/>
                    <w:overflowPunct/>
                    <w:topLinePunct w:val="0"/>
                    <w:bidi w:val="0"/>
                    <w:adjustRightInd/>
                    <w:snapToGrid/>
                    <w:jc w:val="left"/>
                    <w:textAlignment w:val="auto"/>
                    <w:rPr>
                      <w:rFonts w:hint="default" w:ascii="Times New Roman" w:hAnsi="Times New Roman" w:cs="Times New Roman"/>
                      <w:sz w:val="21"/>
                      <w:szCs w:val="21"/>
                      <w:u w:val="none"/>
                    </w:rPr>
                  </w:pPr>
                  <w:r>
                    <w:rPr>
                      <w:rFonts w:hint="default" w:ascii="Times New Roman" w:hAnsi="Times New Roman" w:eastAsia="TimesNewRomanPSMT" w:cs="Times New Roman"/>
                      <w:color w:val="000000"/>
                      <w:kern w:val="0"/>
                      <w:sz w:val="21"/>
                      <w:szCs w:val="21"/>
                      <w:u w:val="none"/>
                      <w:lang w:val="en-US" w:eastAsia="zh-CN" w:bidi="ar"/>
                    </w:rPr>
                    <w:t>1</w:t>
                  </w:r>
                  <w:r>
                    <w:rPr>
                      <w:rFonts w:hint="default" w:ascii="Times New Roman" w:hAnsi="Times New Roman" w:eastAsia="宋体" w:cs="Times New Roman"/>
                      <w:color w:val="000000"/>
                      <w:kern w:val="0"/>
                      <w:sz w:val="21"/>
                      <w:szCs w:val="21"/>
                      <w:u w:val="none"/>
                      <w:lang w:val="en-US" w:eastAsia="zh-CN" w:bidi="ar"/>
                    </w:rPr>
                    <w:t xml:space="preserve">）大气环境监测：通过监测，了解大气污染物对敏感目标的影响，以便改进施工作业方法，减少废气污染物的产生量。 </w:t>
                  </w:r>
                </w:p>
                <w:p>
                  <w:pPr>
                    <w:keepNext w:val="0"/>
                    <w:keepLines w:val="0"/>
                    <w:pageBreakBefore w:val="0"/>
                    <w:widowControl/>
                    <w:suppressLineNumbers w:val="0"/>
                    <w:kinsoku/>
                    <w:wordWrap/>
                    <w:overflowPunct/>
                    <w:topLinePunct w:val="0"/>
                    <w:bidi w:val="0"/>
                    <w:adjustRightInd/>
                    <w:snapToGrid/>
                    <w:jc w:val="left"/>
                    <w:textAlignment w:val="auto"/>
                    <w:rPr>
                      <w:rFonts w:hint="default" w:ascii="Times New Roman" w:hAnsi="Times New Roman" w:cs="Times New Roman"/>
                      <w:sz w:val="21"/>
                      <w:szCs w:val="21"/>
                      <w:u w:val="none"/>
                    </w:rPr>
                  </w:pPr>
                  <w:r>
                    <w:rPr>
                      <w:rFonts w:hint="default" w:ascii="Times New Roman" w:hAnsi="Times New Roman" w:eastAsia="宋体" w:cs="Times New Roman"/>
                      <w:color w:val="000000"/>
                      <w:kern w:val="0"/>
                      <w:sz w:val="21"/>
                      <w:szCs w:val="21"/>
                      <w:u w:val="none"/>
                      <w:lang w:val="en-US" w:eastAsia="zh-CN" w:bidi="ar"/>
                    </w:rPr>
                    <w:t>监测点位：</w:t>
                  </w:r>
                  <w:r>
                    <w:rPr>
                      <w:rFonts w:hint="eastAsia" w:ascii="Times New Roman" w:hAnsi="Times New Roman" w:eastAsia="宋体" w:cs="Times New Roman"/>
                      <w:color w:val="000000"/>
                      <w:kern w:val="0"/>
                      <w:sz w:val="21"/>
                      <w:szCs w:val="21"/>
                      <w:u w:val="none"/>
                      <w:lang w:val="en-US" w:eastAsia="zh-CN" w:bidi="ar"/>
                    </w:rPr>
                    <w:t>施工附近敏感点</w:t>
                  </w:r>
                  <w:r>
                    <w:rPr>
                      <w:rFonts w:hint="default" w:ascii="Times New Roman" w:hAnsi="Times New Roman" w:eastAsia="宋体" w:cs="Times New Roman"/>
                      <w:color w:val="000000"/>
                      <w:kern w:val="0"/>
                      <w:sz w:val="21"/>
                      <w:szCs w:val="21"/>
                      <w:u w:val="none"/>
                      <w:lang w:val="en-US" w:eastAsia="zh-CN" w:bidi="ar"/>
                    </w:rPr>
                    <w:t xml:space="preserve">。 </w:t>
                  </w:r>
                </w:p>
                <w:p>
                  <w:pPr>
                    <w:keepNext w:val="0"/>
                    <w:keepLines w:val="0"/>
                    <w:pageBreakBefore w:val="0"/>
                    <w:widowControl/>
                    <w:suppressLineNumbers w:val="0"/>
                    <w:kinsoku/>
                    <w:wordWrap/>
                    <w:overflowPunct/>
                    <w:topLinePunct w:val="0"/>
                    <w:bidi w:val="0"/>
                    <w:adjustRightInd/>
                    <w:snapToGrid/>
                    <w:jc w:val="left"/>
                    <w:textAlignment w:val="auto"/>
                    <w:rPr>
                      <w:rFonts w:hint="default" w:ascii="Times New Roman" w:hAnsi="Times New Roman" w:cs="Times New Roman"/>
                      <w:sz w:val="21"/>
                      <w:szCs w:val="21"/>
                      <w:u w:val="none"/>
                    </w:rPr>
                  </w:pPr>
                  <w:r>
                    <w:rPr>
                      <w:rFonts w:hint="default" w:ascii="Times New Roman" w:hAnsi="Times New Roman" w:eastAsia="宋体" w:cs="Times New Roman"/>
                      <w:color w:val="000000"/>
                      <w:kern w:val="0"/>
                      <w:sz w:val="21"/>
                      <w:szCs w:val="21"/>
                      <w:u w:val="none"/>
                      <w:lang w:val="en-US" w:eastAsia="zh-CN" w:bidi="ar"/>
                    </w:rPr>
                    <w:t xml:space="preserve">监测项目：TSP。 </w:t>
                  </w:r>
                </w:p>
                <w:p>
                  <w:pPr>
                    <w:keepNext w:val="0"/>
                    <w:keepLines w:val="0"/>
                    <w:pageBreakBefore w:val="0"/>
                    <w:widowControl/>
                    <w:suppressLineNumbers w:val="0"/>
                    <w:kinsoku/>
                    <w:wordWrap/>
                    <w:overflowPunct/>
                    <w:topLinePunct w:val="0"/>
                    <w:bidi w:val="0"/>
                    <w:adjustRightInd/>
                    <w:snapToGrid/>
                    <w:jc w:val="left"/>
                    <w:textAlignment w:val="auto"/>
                    <w:rPr>
                      <w:sz w:val="21"/>
                      <w:szCs w:val="21"/>
                      <w:u w:val="none"/>
                    </w:rPr>
                  </w:pPr>
                  <w:r>
                    <w:rPr>
                      <w:rFonts w:hint="default" w:ascii="Times New Roman" w:hAnsi="Times New Roman" w:eastAsia="宋体" w:cs="Times New Roman"/>
                      <w:color w:val="000000"/>
                      <w:kern w:val="0"/>
                      <w:sz w:val="21"/>
                      <w:szCs w:val="21"/>
                      <w:u w:val="none"/>
                      <w:lang w:val="en-US" w:eastAsia="zh-CN" w:bidi="ar"/>
                    </w:rPr>
                    <w:t>监测频次：</w:t>
                  </w:r>
                  <w:r>
                    <w:rPr>
                      <w:rFonts w:hint="default" w:ascii="Times New Roman" w:hAnsi="Times New Roman" w:eastAsia="TimesNewRomanPSMT" w:cs="Times New Roman"/>
                      <w:color w:val="000000"/>
                      <w:kern w:val="0"/>
                      <w:sz w:val="21"/>
                      <w:szCs w:val="21"/>
                      <w:u w:val="none"/>
                      <w:lang w:val="en-US" w:eastAsia="zh-CN" w:bidi="ar"/>
                    </w:rPr>
                    <w:t xml:space="preserve">1 </w:t>
                  </w:r>
                  <w:r>
                    <w:rPr>
                      <w:rFonts w:hint="default" w:ascii="Times New Roman" w:hAnsi="Times New Roman" w:eastAsia="宋体" w:cs="Times New Roman"/>
                      <w:color w:val="000000"/>
                      <w:kern w:val="0"/>
                      <w:sz w:val="21"/>
                      <w:szCs w:val="21"/>
                      <w:u w:val="none"/>
                      <w:lang w:val="en-US" w:eastAsia="zh-CN" w:bidi="ar"/>
                    </w:rPr>
                    <w:t>次</w:t>
                  </w:r>
                  <w:r>
                    <w:rPr>
                      <w:rFonts w:hint="default" w:ascii="Times New Roman" w:hAnsi="Times New Roman" w:eastAsia="TimesNewRomanPSMT" w:cs="Times New Roman"/>
                      <w:color w:val="000000"/>
                      <w:kern w:val="0"/>
                      <w:sz w:val="21"/>
                      <w:szCs w:val="21"/>
                      <w:u w:val="none"/>
                      <w:lang w:val="en-US" w:eastAsia="zh-CN" w:bidi="ar"/>
                    </w:rPr>
                    <w:t>/</w:t>
                  </w:r>
                  <w:r>
                    <w:rPr>
                      <w:rFonts w:hint="default" w:ascii="Times New Roman" w:hAnsi="Times New Roman" w:eastAsia="宋体" w:cs="Times New Roman"/>
                      <w:color w:val="000000"/>
                      <w:kern w:val="0"/>
                      <w:sz w:val="21"/>
                      <w:szCs w:val="21"/>
                      <w:u w:val="none"/>
                      <w:lang w:val="en-US" w:eastAsia="zh-CN" w:bidi="ar"/>
                    </w:rPr>
                    <w:t>月。</w:t>
                  </w:r>
                  <w:r>
                    <w:rPr>
                      <w:rFonts w:hint="eastAsia" w:ascii="宋体" w:hAnsi="宋体" w:eastAsia="宋体" w:cs="宋体"/>
                      <w:color w:val="000000"/>
                      <w:kern w:val="0"/>
                      <w:sz w:val="21"/>
                      <w:szCs w:val="21"/>
                      <w:u w:val="none"/>
                      <w:lang w:val="en-US" w:eastAsia="zh-CN" w:bidi="ar"/>
                    </w:rPr>
                    <w:t xml:space="preserve"> </w:t>
                  </w:r>
                </w:p>
                <w:p>
                  <w:pPr>
                    <w:keepNext w:val="0"/>
                    <w:keepLines w:val="0"/>
                    <w:pageBreakBefore w:val="0"/>
                    <w:widowControl/>
                    <w:suppressLineNumbers w:val="0"/>
                    <w:kinsoku/>
                    <w:wordWrap/>
                    <w:overflowPunct/>
                    <w:topLinePunct w:val="0"/>
                    <w:bidi w:val="0"/>
                    <w:adjustRightInd/>
                    <w:snapToGrid/>
                    <w:jc w:val="left"/>
                    <w:textAlignment w:val="auto"/>
                    <w:rPr>
                      <w:sz w:val="21"/>
                      <w:szCs w:val="21"/>
                      <w:u w:val="none"/>
                    </w:rPr>
                  </w:pPr>
                  <w:r>
                    <w:rPr>
                      <w:rFonts w:hint="default" w:ascii="TimesNewRomanPSMT" w:hAnsi="TimesNewRomanPSMT" w:eastAsia="TimesNewRomanPSMT" w:cs="TimesNewRomanPSMT"/>
                      <w:color w:val="000000"/>
                      <w:kern w:val="0"/>
                      <w:sz w:val="21"/>
                      <w:szCs w:val="21"/>
                      <w:u w:val="none"/>
                      <w:lang w:val="en-US" w:eastAsia="zh-CN" w:bidi="ar"/>
                    </w:rPr>
                    <w:t>2</w:t>
                  </w:r>
                  <w:r>
                    <w:rPr>
                      <w:rFonts w:hint="eastAsia" w:ascii="宋体" w:hAnsi="宋体" w:eastAsia="宋体" w:cs="宋体"/>
                      <w:color w:val="000000"/>
                      <w:kern w:val="0"/>
                      <w:sz w:val="21"/>
                      <w:szCs w:val="21"/>
                      <w:u w:val="none"/>
                      <w:lang w:val="en-US" w:eastAsia="zh-CN" w:bidi="ar"/>
                    </w:rPr>
                    <w:t xml:space="preserve">）噪声环境监测：通过监测，了解施工机械噪声的影响范围。 </w:t>
                  </w:r>
                </w:p>
                <w:p>
                  <w:pPr>
                    <w:keepNext w:val="0"/>
                    <w:keepLines w:val="0"/>
                    <w:pageBreakBefore w:val="0"/>
                    <w:widowControl/>
                    <w:suppressLineNumbers w:val="0"/>
                    <w:kinsoku/>
                    <w:wordWrap/>
                    <w:overflowPunct/>
                    <w:topLinePunct w:val="0"/>
                    <w:bidi w:val="0"/>
                    <w:adjustRightInd/>
                    <w:snapToGrid/>
                    <w:jc w:val="left"/>
                    <w:textAlignment w:val="auto"/>
                    <w:rPr>
                      <w:sz w:val="21"/>
                      <w:szCs w:val="21"/>
                      <w:u w:val="none"/>
                    </w:rPr>
                  </w:pPr>
                  <w:r>
                    <w:rPr>
                      <w:rFonts w:hint="eastAsia" w:ascii="宋体" w:hAnsi="宋体" w:eastAsia="宋体" w:cs="宋体"/>
                      <w:color w:val="000000"/>
                      <w:kern w:val="0"/>
                      <w:sz w:val="21"/>
                      <w:szCs w:val="21"/>
                      <w:u w:val="none"/>
                      <w:lang w:val="en-US" w:eastAsia="zh-CN" w:bidi="ar"/>
                    </w:rPr>
                    <w:t>监测点位：</w:t>
                  </w:r>
                  <w:r>
                    <w:rPr>
                      <w:rFonts w:hint="eastAsia" w:ascii="Times New Roman" w:hAnsi="Times New Roman" w:eastAsia="宋体" w:cs="Times New Roman"/>
                      <w:color w:val="000000"/>
                      <w:kern w:val="0"/>
                      <w:sz w:val="21"/>
                      <w:szCs w:val="21"/>
                      <w:u w:val="none"/>
                      <w:lang w:val="en-US" w:eastAsia="zh-CN" w:bidi="ar"/>
                    </w:rPr>
                    <w:t>施工附近敏感点</w:t>
                  </w:r>
                  <w:r>
                    <w:rPr>
                      <w:rFonts w:hint="eastAsia" w:ascii="宋体" w:hAnsi="宋体" w:eastAsia="宋体" w:cs="宋体"/>
                      <w:color w:val="000000"/>
                      <w:kern w:val="0"/>
                      <w:sz w:val="21"/>
                      <w:szCs w:val="21"/>
                      <w:u w:val="none"/>
                      <w:lang w:val="en-US" w:eastAsia="zh-CN" w:bidi="ar"/>
                    </w:rPr>
                    <w:t xml:space="preserve">。 </w:t>
                  </w:r>
                </w:p>
                <w:p>
                  <w:pPr>
                    <w:keepNext w:val="0"/>
                    <w:keepLines w:val="0"/>
                    <w:pageBreakBefore w:val="0"/>
                    <w:widowControl/>
                    <w:suppressLineNumbers w:val="0"/>
                    <w:kinsoku/>
                    <w:wordWrap/>
                    <w:overflowPunct/>
                    <w:topLinePunct w:val="0"/>
                    <w:bidi w:val="0"/>
                    <w:adjustRightInd/>
                    <w:snapToGrid/>
                    <w:jc w:val="left"/>
                    <w:textAlignment w:val="auto"/>
                    <w:rPr>
                      <w:sz w:val="21"/>
                      <w:szCs w:val="21"/>
                      <w:u w:val="none"/>
                    </w:rPr>
                  </w:pPr>
                  <w:r>
                    <w:rPr>
                      <w:rFonts w:hint="eastAsia" w:ascii="宋体" w:hAnsi="宋体" w:eastAsia="宋体" w:cs="宋体"/>
                      <w:color w:val="000000"/>
                      <w:kern w:val="0"/>
                      <w:sz w:val="21"/>
                      <w:szCs w:val="21"/>
                      <w:u w:val="none"/>
                      <w:lang w:val="en-US" w:eastAsia="zh-CN" w:bidi="ar"/>
                    </w:rPr>
                    <w:t>监测项目：昼夜等效</w:t>
                  </w:r>
                  <w:r>
                    <w:rPr>
                      <w:rFonts w:hint="default" w:ascii="TimesNewRomanPSMT" w:hAnsi="TimesNewRomanPSMT" w:eastAsia="TimesNewRomanPSMT" w:cs="TimesNewRomanPSMT"/>
                      <w:color w:val="000000"/>
                      <w:kern w:val="0"/>
                      <w:sz w:val="21"/>
                      <w:szCs w:val="21"/>
                      <w:u w:val="none"/>
                      <w:lang w:val="en-US" w:eastAsia="zh-CN" w:bidi="ar"/>
                    </w:rPr>
                    <w:t>A</w:t>
                  </w:r>
                  <w:r>
                    <w:rPr>
                      <w:rFonts w:hint="eastAsia" w:ascii="宋体" w:hAnsi="宋体" w:eastAsia="宋体" w:cs="宋体"/>
                      <w:color w:val="000000"/>
                      <w:kern w:val="0"/>
                      <w:sz w:val="21"/>
                      <w:szCs w:val="21"/>
                      <w:u w:val="none"/>
                      <w:lang w:val="en-US" w:eastAsia="zh-CN" w:bidi="ar"/>
                    </w:rPr>
                    <w:t xml:space="preserve">声级。 </w:t>
                  </w:r>
                </w:p>
                <w:p>
                  <w:pPr>
                    <w:keepNext w:val="0"/>
                    <w:keepLines w:val="0"/>
                    <w:pageBreakBefore w:val="0"/>
                    <w:widowControl/>
                    <w:suppressLineNumbers w:val="0"/>
                    <w:kinsoku/>
                    <w:wordWrap/>
                    <w:overflowPunct/>
                    <w:topLinePunct w:val="0"/>
                    <w:bidi w:val="0"/>
                    <w:adjustRightInd/>
                    <w:snapToGrid/>
                    <w:jc w:val="left"/>
                    <w:textAlignment w:val="auto"/>
                    <w:rPr>
                      <w:sz w:val="21"/>
                      <w:szCs w:val="21"/>
                      <w:u w:val="none"/>
                      <w:vertAlign w:val="baseline"/>
                    </w:rPr>
                  </w:pPr>
                  <w:r>
                    <w:rPr>
                      <w:rFonts w:hint="eastAsia" w:ascii="宋体" w:hAnsi="宋体" w:eastAsia="宋体" w:cs="宋体"/>
                      <w:color w:val="000000"/>
                      <w:kern w:val="0"/>
                      <w:sz w:val="21"/>
                      <w:szCs w:val="21"/>
                      <w:u w:val="none"/>
                      <w:lang w:val="en-US" w:eastAsia="zh-CN" w:bidi="ar"/>
                    </w:rPr>
                    <w:t>监测频次：</w:t>
                  </w:r>
                  <w:r>
                    <w:rPr>
                      <w:rFonts w:hint="default" w:ascii="TimesNewRomanPSMT" w:hAnsi="TimesNewRomanPSMT" w:eastAsia="TimesNewRomanPSMT" w:cs="TimesNewRomanPSMT"/>
                      <w:color w:val="000000"/>
                      <w:kern w:val="0"/>
                      <w:sz w:val="21"/>
                      <w:szCs w:val="21"/>
                      <w:u w:val="none"/>
                      <w:lang w:val="en-US" w:eastAsia="zh-CN" w:bidi="ar"/>
                    </w:rPr>
                    <w:t xml:space="preserve">1 </w:t>
                  </w:r>
                  <w:r>
                    <w:rPr>
                      <w:rFonts w:hint="eastAsia" w:ascii="宋体" w:hAnsi="宋体" w:eastAsia="宋体" w:cs="宋体"/>
                      <w:color w:val="000000"/>
                      <w:kern w:val="0"/>
                      <w:sz w:val="21"/>
                      <w:szCs w:val="21"/>
                      <w:u w:val="none"/>
                      <w:lang w:val="en-US" w:eastAsia="zh-CN" w:bidi="ar"/>
                    </w:rPr>
                    <w:t>次</w:t>
                  </w:r>
                  <w:r>
                    <w:rPr>
                      <w:rFonts w:hint="default" w:ascii="TimesNewRomanPSMT" w:hAnsi="TimesNewRomanPSMT" w:eastAsia="TimesNewRomanPSMT" w:cs="TimesNewRomanPSMT"/>
                      <w:color w:val="000000"/>
                      <w:kern w:val="0"/>
                      <w:sz w:val="21"/>
                      <w:szCs w:val="21"/>
                      <w:u w:val="none"/>
                      <w:lang w:val="en-US" w:eastAsia="zh-CN" w:bidi="ar"/>
                    </w:rPr>
                    <w:t>/</w:t>
                  </w:r>
                  <w:r>
                    <w:rPr>
                      <w:rFonts w:hint="eastAsia" w:ascii="宋体" w:hAnsi="宋体" w:eastAsia="宋体" w:cs="宋体"/>
                      <w:color w:val="000000"/>
                      <w:kern w:val="0"/>
                      <w:sz w:val="21"/>
                      <w:szCs w:val="21"/>
                      <w:u w:val="none"/>
                      <w:lang w:val="en-US" w:eastAsia="zh-CN" w:bidi="ar"/>
                    </w:rPr>
                    <w:t>月。</w:t>
                  </w:r>
                </w:p>
              </w:tc>
            </w:tr>
          </w:tbl>
          <w:p>
            <w:pPr>
              <w:spacing w:line="360" w:lineRule="auto"/>
              <w:ind w:firstLine="480" w:firstLineChars="200"/>
              <w:rPr>
                <w:color w:val="000000" w:themeColor="text1"/>
                <w:sz w:val="24"/>
                <w:highlight w:val="none"/>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根据《排污单位自行监测技术指南  总则》（HJ819-2017），</w:t>
            </w:r>
            <w:r>
              <w:rPr>
                <w:color w:val="000000" w:themeColor="text1"/>
                <w:sz w:val="24"/>
                <w:highlight w:val="none"/>
                <w14:textFill>
                  <w14:solidFill>
                    <w14:schemeClr w14:val="tx1"/>
                  </w14:solidFill>
                </w14:textFill>
              </w:rPr>
              <w:t>为切实做好</w:t>
            </w:r>
            <w:r>
              <w:rPr>
                <w:rFonts w:hint="eastAsia"/>
                <w:color w:val="000000" w:themeColor="text1"/>
                <w:sz w:val="24"/>
                <w:highlight w:val="none"/>
                <w:lang w:eastAsia="zh-CN"/>
                <w14:textFill>
                  <w14:solidFill>
                    <w14:schemeClr w14:val="tx1"/>
                  </w14:solidFill>
                </w14:textFill>
              </w:rPr>
              <w:t>营运期污水处理站各污染物</w:t>
            </w:r>
            <w:r>
              <w:rPr>
                <w:color w:val="000000" w:themeColor="text1"/>
                <w:sz w:val="24"/>
                <w:highlight w:val="none"/>
                <w14:textFill>
                  <w14:solidFill>
                    <w14:schemeClr w14:val="tx1"/>
                  </w14:solidFill>
                </w14:textFill>
              </w:rPr>
              <w:t>的达标排放及污染物排放总量控制，及时了解和掌握建设项目营运期主要污染源污染物的排放情况，建设单位应定期委托有资质的环境监测单位对本项目建设后主要污染源排放的污染物进行监测。</w:t>
            </w:r>
          </w:p>
          <w:p>
            <w:pPr>
              <w:spacing w:line="360" w:lineRule="auto"/>
              <w:ind w:firstLine="480" w:firstLineChars="200"/>
              <w:rPr>
                <w:rFonts w:hint="eastAsia" w:eastAsia="宋体"/>
                <w:color w:val="000000" w:themeColor="text1"/>
                <w:sz w:val="24"/>
                <w:highlight w:val="none"/>
                <w:lang w:val="en-US" w:eastAsia="zh-CN"/>
                <w14:textFill>
                  <w14:solidFill>
                    <w14:schemeClr w14:val="tx1"/>
                  </w14:solidFill>
                </w14:textFill>
              </w:rPr>
            </w:pPr>
            <w:r>
              <w:rPr>
                <w:rFonts w:hint="eastAsia"/>
                <w:color w:val="000000" w:themeColor="text1"/>
                <w:sz w:val="24"/>
                <w:highlight w:val="none"/>
                <w:lang w:val="en-US" w:eastAsia="zh-CN"/>
                <w14:textFill>
                  <w14:solidFill>
                    <w14:schemeClr w14:val="tx1"/>
                  </w14:solidFill>
                </w14:textFill>
              </w:rPr>
              <w:t>环境监测计划</w:t>
            </w:r>
            <w:r>
              <w:rPr>
                <w:color w:val="000000" w:themeColor="text1"/>
                <w:sz w:val="24"/>
                <w:highlight w:val="none"/>
                <w14:textFill>
                  <w14:solidFill>
                    <w14:schemeClr w14:val="tx1"/>
                  </w14:solidFill>
                </w14:textFill>
              </w:rPr>
              <w:t>见表</w:t>
            </w:r>
            <w:r>
              <w:rPr>
                <w:rFonts w:hint="eastAsia"/>
                <w:color w:val="000000" w:themeColor="text1"/>
                <w:sz w:val="24"/>
                <w:highlight w:val="none"/>
                <w14:textFill>
                  <w14:solidFill>
                    <w14:schemeClr w14:val="tx1"/>
                  </w14:solidFill>
                </w14:textFill>
              </w:rPr>
              <w:t>7</w:t>
            </w:r>
            <w:r>
              <w:rPr>
                <w:color w:val="000000" w:themeColor="text1"/>
                <w:sz w:val="24"/>
                <w:highlight w:val="none"/>
                <w14:textFill>
                  <w14:solidFill>
                    <w14:schemeClr w14:val="tx1"/>
                  </w14:solidFill>
                </w14:textFill>
              </w:rPr>
              <w:t>.</w:t>
            </w:r>
            <w:r>
              <w:rPr>
                <w:rFonts w:hint="eastAsia"/>
                <w:color w:val="000000" w:themeColor="text1"/>
                <w:sz w:val="24"/>
                <w:highlight w:val="none"/>
                <w:lang w:val="en-US" w:eastAsia="zh-CN"/>
                <w14:textFill>
                  <w14:solidFill>
                    <w14:schemeClr w14:val="tx1"/>
                  </w14:solidFill>
                </w14:textFill>
              </w:rPr>
              <w:t>6-2</w:t>
            </w:r>
            <w:r>
              <w:rPr>
                <w:rFonts w:hint="eastAsia"/>
                <w:color w:val="000000" w:themeColor="text1"/>
                <w:sz w:val="24"/>
                <w:highlight w:val="none"/>
                <w:lang w:eastAsia="zh-CN"/>
                <w14:textFill>
                  <w14:solidFill>
                    <w14:schemeClr w14:val="tx1"/>
                  </w14:solidFill>
                </w14:textFill>
              </w:rPr>
              <w:t>。</w:t>
            </w:r>
          </w:p>
          <w:p>
            <w:pPr>
              <w:pStyle w:val="7"/>
              <w:jc w:val="center"/>
              <w:rPr>
                <w:rFonts w:hint="default" w:ascii="Times New Roman" w:hAnsi="Times New Roman" w:cs="Times New Roman" w:eastAsiaTheme="minorEastAsia"/>
                <w:b/>
                <w:bCs/>
                <w:color w:val="000000" w:themeColor="text1"/>
                <w:sz w:val="24"/>
                <w:szCs w:val="24"/>
                <w:highlight w:val="none"/>
                <w:lang w:val="zh-CN"/>
                <w14:textFill>
                  <w14:solidFill>
                    <w14:schemeClr w14:val="tx1"/>
                  </w14:solidFill>
                </w14:textFill>
              </w:rPr>
            </w:pPr>
            <w:r>
              <w:rPr>
                <w:rFonts w:hint="default" w:ascii="Times New Roman" w:hAnsi="Times New Roman" w:cs="Times New Roman" w:eastAsiaTheme="minorEastAsia"/>
                <w:b/>
                <w:bCs/>
                <w:color w:val="000000" w:themeColor="text1"/>
                <w:sz w:val="24"/>
                <w:szCs w:val="24"/>
                <w:highlight w:val="none"/>
                <w:lang w:val="zh-CN"/>
                <w14:textFill>
                  <w14:solidFill>
                    <w14:schemeClr w14:val="tx1"/>
                  </w14:solidFill>
                </w14:textFill>
              </w:rPr>
              <w:t>表</w:t>
            </w:r>
            <w:r>
              <w:rPr>
                <w:rFonts w:hint="default" w:ascii="Times New Roman" w:hAnsi="Times New Roman" w:cs="Times New Roman" w:eastAsiaTheme="minorEastAsia"/>
                <w:b/>
                <w:bCs/>
                <w:color w:val="000000" w:themeColor="text1"/>
                <w:sz w:val="24"/>
                <w:szCs w:val="24"/>
                <w:highlight w:val="none"/>
                <w:lang w:val="en-US" w:eastAsia="zh-CN"/>
                <w14:textFill>
                  <w14:solidFill>
                    <w14:schemeClr w14:val="tx1"/>
                  </w14:solidFill>
                </w14:textFill>
              </w:rPr>
              <w:t>7.</w:t>
            </w:r>
            <w:r>
              <w:rPr>
                <w:rFonts w:hint="eastAsia" w:ascii="Times New Roman" w:hAnsi="Times New Roman" w:cs="Times New Roman" w:eastAsiaTheme="minorEastAsia"/>
                <w:b/>
                <w:bCs/>
                <w:color w:val="000000" w:themeColor="text1"/>
                <w:sz w:val="24"/>
                <w:szCs w:val="24"/>
                <w:highlight w:val="none"/>
                <w:lang w:val="en-US" w:eastAsia="zh-CN"/>
                <w14:textFill>
                  <w14:solidFill>
                    <w14:schemeClr w14:val="tx1"/>
                  </w14:solidFill>
                </w14:textFill>
              </w:rPr>
              <w:t>6-2</w:t>
            </w:r>
            <w:r>
              <w:rPr>
                <w:rFonts w:hint="default" w:ascii="Times New Roman" w:hAnsi="Times New Roman" w:cs="Times New Roman" w:eastAsiaTheme="minorEastAsia"/>
                <w:b/>
                <w:bCs/>
                <w:color w:val="000000" w:themeColor="text1"/>
                <w:sz w:val="24"/>
                <w:szCs w:val="24"/>
                <w:highlight w:val="none"/>
                <w:lang w:val="en-US" w:eastAsia="zh-CN"/>
                <w14:textFill>
                  <w14:solidFill>
                    <w14:schemeClr w14:val="tx1"/>
                  </w14:solidFill>
                </w14:textFill>
              </w:rPr>
              <w:t xml:space="preserve">   </w:t>
            </w:r>
            <w:r>
              <w:rPr>
                <w:rFonts w:hint="default" w:ascii="Times New Roman" w:hAnsi="Times New Roman" w:cs="Times New Roman" w:eastAsiaTheme="minorEastAsia"/>
                <w:b/>
                <w:bCs/>
                <w:color w:val="000000" w:themeColor="text1"/>
                <w:sz w:val="24"/>
                <w:szCs w:val="24"/>
                <w:highlight w:val="none"/>
                <w:lang w:val="zh-CN"/>
                <w14:textFill>
                  <w14:solidFill>
                    <w14:schemeClr w14:val="tx1"/>
                  </w14:solidFill>
                </w14:textFill>
              </w:rPr>
              <w:t>环境监测计划</w:t>
            </w:r>
          </w:p>
          <w:tbl>
            <w:tblPr>
              <w:tblStyle w:val="26"/>
              <w:tblW w:w="9529" w:type="dxa"/>
              <w:jc w:val="center"/>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Layout w:type="autofit"/>
              <w:tblCellMar>
                <w:top w:w="0" w:type="dxa"/>
                <w:left w:w="108" w:type="dxa"/>
                <w:bottom w:w="0" w:type="dxa"/>
                <w:right w:w="108" w:type="dxa"/>
              </w:tblCellMar>
            </w:tblPr>
            <w:tblGrid>
              <w:gridCol w:w="1279"/>
              <w:gridCol w:w="2817"/>
              <w:gridCol w:w="3887"/>
              <w:gridCol w:w="1546"/>
            </w:tblGrid>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79"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监测项目</w:t>
                  </w:r>
                </w:p>
              </w:tc>
              <w:tc>
                <w:tcPr>
                  <w:tcW w:w="2817"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监测点位</w:t>
                  </w:r>
                </w:p>
              </w:tc>
              <w:tc>
                <w:tcPr>
                  <w:tcW w:w="3887"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主要监测因子</w:t>
                  </w:r>
                </w:p>
              </w:tc>
              <w:tc>
                <w:tcPr>
                  <w:tcW w:w="1546"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监测频次</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79"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eastAsia" w:ascii="Times New Roman" w:hAnsi="Times New Roman" w:eastAsia="宋体" w:cs="Times New Roman"/>
                      <w:b w:val="0"/>
                      <w:color w:val="000000" w:themeColor="text1"/>
                      <w:sz w:val="21"/>
                      <w:szCs w:val="21"/>
                      <w:highlight w:val="none"/>
                      <w:u w:val="none"/>
                      <w:lang w:eastAsia="zh-CN"/>
                      <w14:textFill>
                        <w14:solidFill>
                          <w14:schemeClr w14:val="tx1"/>
                        </w14:solidFill>
                      </w14:textFill>
                    </w:rPr>
                  </w:pPr>
                  <w:r>
                    <w:rPr>
                      <w:rFonts w:hint="eastAsia" w:eastAsia="宋体" w:cs="Times New Roman"/>
                      <w:b w:val="0"/>
                      <w:color w:val="000000" w:themeColor="text1"/>
                      <w:sz w:val="21"/>
                      <w:szCs w:val="21"/>
                      <w:highlight w:val="none"/>
                      <w:u w:val="none"/>
                      <w:lang w:eastAsia="zh-CN"/>
                      <w14:textFill>
                        <w14:solidFill>
                          <w14:schemeClr w14:val="tx1"/>
                        </w14:solidFill>
                      </w14:textFill>
                    </w:rPr>
                    <w:t>废气</w:t>
                  </w:r>
                </w:p>
              </w:tc>
              <w:tc>
                <w:tcPr>
                  <w:tcW w:w="2817"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eastAsia" w:eastAsia="宋体" w:cs="Times New Roman"/>
                      <w:b w:val="0"/>
                      <w:color w:val="000000" w:themeColor="text1"/>
                      <w:sz w:val="21"/>
                      <w:szCs w:val="21"/>
                      <w:highlight w:val="none"/>
                      <w:u w:val="none"/>
                      <w:lang w:val="en-US" w:eastAsia="zh-CN"/>
                      <w14:textFill>
                        <w14:solidFill>
                          <w14:schemeClr w14:val="tx1"/>
                        </w14:solidFill>
                      </w14:textFill>
                    </w:rPr>
                  </w:pPr>
                  <w:r>
                    <w:rPr>
                      <w:rFonts w:hint="eastAsia" w:eastAsia="宋体" w:cs="Times New Roman"/>
                      <w:b w:val="0"/>
                      <w:color w:val="000000" w:themeColor="text1"/>
                      <w:sz w:val="21"/>
                      <w:szCs w:val="21"/>
                      <w:highlight w:val="none"/>
                      <w:u w:val="none"/>
                      <w:lang w:val="en-US" w:eastAsia="zh-CN"/>
                      <w14:textFill>
                        <w14:solidFill>
                          <w14:schemeClr w14:val="tx1"/>
                        </w14:solidFill>
                      </w14:textFill>
                    </w:rPr>
                    <w:t>污水处理站厂界</w:t>
                  </w:r>
                </w:p>
              </w:tc>
              <w:tc>
                <w:tcPr>
                  <w:tcW w:w="3887"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eastAsia="宋体" w:cs="Times New Roman"/>
                      <w:b w:val="0"/>
                      <w:color w:val="000000" w:themeColor="text1"/>
                      <w:sz w:val="21"/>
                      <w:szCs w:val="21"/>
                      <w:highlight w:val="none"/>
                      <w:u w:val="none"/>
                      <w:lang w:val="en-US" w:eastAsia="zh-CN"/>
                      <w14:textFill>
                        <w14:solidFill>
                          <w14:schemeClr w14:val="tx1"/>
                        </w14:solidFill>
                      </w14:textFill>
                    </w:rPr>
                  </w:pPr>
                  <w:r>
                    <w:rPr>
                      <w:rFonts w:hint="eastAsia" w:eastAsia="宋体" w:cs="Times New Roman"/>
                      <w:b w:val="0"/>
                      <w:color w:val="000000" w:themeColor="text1"/>
                      <w:sz w:val="21"/>
                      <w:szCs w:val="21"/>
                      <w:highlight w:val="none"/>
                      <w:u w:val="none"/>
                      <w:lang w:val="en-US" w:eastAsia="zh-CN"/>
                      <w14:textFill>
                        <w14:solidFill>
                          <w14:schemeClr w14:val="tx1"/>
                        </w14:solidFill>
                      </w14:textFill>
                    </w:rPr>
                    <w:t>NH</w:t>
                  </w:r>
                  <w:r>
                    <w:rPr>
                      <w:rFonts w:hint="eastAsia" w:eastAsia="宋体" w:cs="Times New Roman"/>
                      <w:b w:val="0"/>
                      <w:color w:val="000000" w:themeColor="text1"/>
                      <w:sz w:val="21"/>
                      <w:szCs w:val="21"/>
                      <w:highlight w:val="none"/>
                      <w:u w:val="none"/>
                      <w:vertAlign w:val="subscript"/>
                      <w:lang w:val="en-US" w:eastAsia="zh-CN"/>
                      <w14:textFill>
                        <w14:solidFill>
                          <w14:schemeClr w14:val="tx1"/>
                        </w14:solidFill>
                      </w14:textFill>
                    </w:rPr>
                    <w:t>3</w:t>
                  </w:r>
                  <w:r>
                    <w:rPr>
                      <w:rFonts w:hint="eastAsia" w:eastAsia="宋体" w:cs="Times New Roman"/>
                      <w:b w:val="0"/>
                      <w:color w:val="000000" w:themeColor="text1"/>
                      <w:sz w:val="21"/>
                      <w:szCs w:val="21"/>
                      <w:highlight w:val="none"/>
                      <w:u w:val="none"/>
                      <w:lang w:val="en-US" w:eastAsia="zh-CN"/>
                      <w14:textFill>
                        <w14:solidFill>
                          <w14:schemeClr w14:val="tx1"/>
                        </w14:solidFill>
                      </w14:textFill>
                    </w:rPr>
                    <w:t>、H</w:t>
                  </w:r>
                  <w:r>
                    <w:rPr>
                      <w:rFonts w:hint="eastAsia" w:eastAsia="宋体" w:cs="Times New Roman"/>
                      <w:b w:val="0"/>
                      <w:color w:val="000000" w:themeColor="text1"/>
                      <w:sz w:val="21"/>
                      <w:szCs w:val="21"/>
                      <w:highlight w:val="none"/>
                      <w:u w:val="none"/>
                      <w:vertAlign w:val="subscript"/>
                      <w:lang w:val="en-US" w:eastAsia="zh-CN"/>
                      <w14:textFill>
                        <w14:solidFill>
                          <w14:schemeClr w14:val="tx1"/>
                        </w14:solidFill>
                      </w14:textFill>
                    </w:rPr>
                    <w:t>2</w:t>
                  </w:r>
                  <w:r>
                    <w:rPr>
                      <w:rFonts w:hint="eastAsia" w:eastAsia="宋体" w:cs="Times New Roman"/>
                      <w:b w:val="0"/>
                      <w:color w:val="000000" w:themeColor="text1"/>
                      <w:sz w:val="21"/>
                      <w:szCs w:val="21"/>
                      <w:highlight w:val="none"/>
                      <w:u w:val="none"/>
                      <w:lang w:val="en-US" w:eastAsia="zh-CN"/>
                      <w14:textFill>
                        <w14:solidFill>
                          <w14:schemeClr w14:val="tx1"/>
                        </w14:solidFill>
                      </w14:textFill>
                    </w:rPr>
                    <w:t>S、臭气浓度</w:t>
                  </w:r>
                </w:p>
              </w:tc>
              <w:tc>
                <w:tcPr>
                  <w:tcW w:w="1546"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eastAsia" w:eastAsia="宋体" w:cs="Times New Roman"/>
                      <w:b w:val="0"/>
                      <w:color w:val="000000" w:themeColor="text1"/>
                      <w:sz w:val="21"/>
                      <w:szCs w:val="21"/>
                      <w:highlight w:val="none"/>
                      <w:u w:val="none"/>
                      <w:lang w:val="en-US" w:eastAsia="zh-CN"/>
                      <w14:textFill>
                        <w14:solidFill>
                          <w14:schemeClr w14:val="tx1"/>
                        </w14:solidFill>
                      </w14:textFill>
                    </w:rPr>
                  </w:pPr>
                  <w:r>
                    <w:rPr>
                      <w:rFonts w:hint="eastAsia" w:eastAsia="宋体" w:cs="Times New Roman"/>
                      <w:b w:val="0"/>
                      <w:color w:val="000000" w:themeColor="text1"/>
                      <w:sz w:val="21"/>
                      <w:szCs w:val="21"/>
                      <w:highlight w:val="none"/>
                      <w:u w:val="none"/>
                      <w:lang w:val="en-US" w:eastAsia="zh-CN"/>
                      <w14:textFill>
                        <w14:solidFill>
                          <w14:schemeClr w14:val="tx1"/>
                        </w14:solidFill>
                      </w14:textFill>
                    </w:rPr>
                    <w:t>1</w:t>
                  </w:r>
                  <w:r>
                    <w:rPr>
                      <w:rFonts w:hint="default" w:ascii="Times New Roman" w:hAnsi="Times New Roman" w:eastAsia="宋体" w:cs="Times New Roman"/>
                      <w:b w:val="0"/>
                      <w:color w:val="000000" w:themeColor="text1"/>
                      <w:sz w:val="21"/>
                      <w:szCs w:val="21"/>
                      <w:highlight w:val="none"/>
                      <w:u w:val="none"/>
                      <w:lang w:val="en-US" w:eastAsia="zh-CN"/>
                      <w14:textFill>
                        <w14:solidFill>
                          <w14:schemeClr w14:val="tx1"/>
                        </w14:solidFill>
                      </w14:textFill>
                    </w:rPr>
                    <w:t>次/</w:t>
                  </w:r>
                  <w:r>
                    <w:rPr>
                      <w:rFonts w:hint="eastAsia" w:eastAsia="宋体" w:cs="Times New Roman"/>
                      <w:b w:val="0"/>
                      <w:color w:val="000000" w:themeColor="text1"/>
                      <w:sz w:val="21"/>
                      <w:szCs w:val="21"/>
                      <w:highlight w:val="none"/>
                      <w:u w:val="none"/>
                      <w:lang w:val="en-US" w:eastAsia="zh-CN"/>
                      <w14:textFill>
                        <w14:solidFill>
                          <w14:schemeClr w14:val="tx1"/>
                        </w14:solidFill>
                      </w14:textFill>
                    </w:rPr>
                    <w:t>每年</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79"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噪声</w:t>
                  </w:r>
                </w:p>
              </w:tc>
              <w:tc>
                <w:tcPr>
                  <w:tcW w:w="2817"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eastAsia" w:eastAsia="宋体" w:cs="Times New Roman"/>
                      <w:b w:val="0"/>
                      <w:color w:val="000000" w:themeColor="text1"/>
                      <w:sz w:val="21"/>
                      <w:szCs w:val="21"/>
                      <w:highlight w:val="none"/>
                      <w:u w:val="none"/>
                      <w:lang w:eastAsia="zh-CN"/>
                      <w14:textFill>
                        <w14:solidFill>
                          <w14:schemeClr w14:val="tx1"/>
                        </w14:solidFill>
                      </w14:textFill>
                    </w:rPr>
                    <w:t>污水处理站</w:t>
                  </w: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厂界四周边界外1米</w:t>
                  </w:r>
                </w:p>
              </w:tc>
              <w:tc>
                <w:tcPr>
                  <w:tcW w:w="3887"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14:textFill>
                        <w14:solidFill>
                          <w14:schemeClr w14:val="tx1"/>
                        </w14:solidFill>
                      </w14:textFill>
                    </w:rPr>
                    <w:t>等效连续A声级</w:t>
                  </w:r>
                </w:p>
              </w:tc>
              <w:tc>
                <w:tcPr>
                  <w:tcW w:w="1546"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default" w:ascii="Times New Roman" w:hAnsi="Times New Roman" w:eastAsia="宋体" w:cs="Times New Roman"/>
                      <w:b w:val="0"/>
                      <w:color w:val="000000" w:themeColor="text1"/>
                      <w:sz w:val="21"/>
                      <w:szCs w:val="21"/>
                      <w:highlight w:val="none"/>
                      <w:u w:val="none"/>
                      <w:lang w:val="en-US"/>
                      <w14:textFill>
                        <w14:solidFill>
                          <w14:schemeClr w14:val="tx1"/>
                        </w14:solidFill>
                      </w14:textFill>
                    </w:rPr>
                  </w:pPr>
                  <w:r>
                    <w:rPr>
                      <w:rFonts w:hint="default" w:ascii="Times New Roman" w:hAnsi="Times New Roman" w:eastAsia="宋体" w:cs="Times New Roman"/>
                      <w:b w:val="0"/>
                      <w:color w:val="000000" w:themeColor="text1"/>
                      <w:sz w:val="21"/>
                      <w:szCs w:val="21"/>
                      <w:highlight w:val="none"/>
                      <w:u w:val="none"/>
                      <w:lang w:val="en-US" w:eastAsia="zh-CN"/>
                      <w14:textFill>
                        <w14:solidFill>
                          <w14:schemeClr w14:val="tx1"/>
                        </w14:solidFill>
                      </w14:textFill>
                    </w:rPr>
                    <w:t>1次/</w:t>
                  </w:r>
                  <w:r>
                    <w:rPr>
                      <w:rFonts w:hint="eastAsia" w:eastAsia="宋体" w:cs="Times New Roman"/>
                      <w:b w:val="0"/>
                      <w:color w:val="000000" w:themeColor="text1"/>
                      <w:sz w:val="21"/>
                      <w:szCs w:val="21"/>
                      <w:highlight w:val="none"/>
                      <w:u w:val="none"/>
                      <w:lang w:val="en-US" w:eastAsia="zh-CN"/>
                      <w14:textFill>
                        <w14:solidFill>
                          <w14:schemeClr w14:val="tx1"/>
                        </w14:solidFill>
                      </w14:textFill>
                    </w:rPr>
                    <w:t>每季度</w:t>
                  </w:r>
                </w:p>
              </w:tc>
            </w:tr>
            <w:tr>
              <w:tblPrEx>
                <w:tblBorders>
                  <w:top w:val="single" w:color="auto" w:sz="2" w:space="0"/>
                  <w:left w:val="single" w:color="auto" w:sz="2" w:space="0"/>
                  <w:bottom w:val="single" w:color="auto" w:sz="2" w:space="0"/>
                  <w:right w:val="single" w:color="auto" w:sz="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279"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textAlignment w:val="baseline"/>
                    <w:outlineLvl w:val="9"/>
                    <w:rPr>
                      <w:rFonts w:hint="eastAsia" w:ascii="Times New Roman" w:hAnsi="Times New Roman" w:eastAsia="宋体" w:cs="Times New Roman"/>
                      <w:b w:val="0"/>
                      <w:color w:val="000000" w:themeColor="text1"/>
                      <w:sz w:val="21"/>
                      <w:szCs w:val="21"/>
                      <w:highlight w:val="none"/>
                      <w:u w:val="none"/>
                      <w:lang w:val="en-US" w:eastAsia="zh-CN"/>
                      <w14:textFill>
                        <w14:solidFill>
                          <w14:schemeClr w14:val="tx1"/>
                        </w14:solidFill>
                      </w14:textFill>
                    </w:rPr>
                  </w:pPr>
                  <w:r>
                    <w:rPr>
                      <w:rFonts w:hint="eastAsia" w:eastAsia="宋体" w:cs="Times New Roman"/>
                      <w:b w:val="0"/>
                      <w:color w:val="000000" w:themeColor="text1"/>
                      <w:sz w:val="21"/>
                      <w:szCs w:val="21"/>
                      <w:highlight w:val="none"/>
                      <w:u w:val="none"/>
                      <w:lang w:val="en-US" w:eastAsia="zh-CN"/>
                      <w14:textFill>
                        <w14:solidFill>
                          <w14:schemeClr w14:val="tx1"/>
                        </w14:solidFill>
                      </w14:textFill>
                    </w:rPr>
                    <w:t>废水</w:t>
                  </w:r>
                </w:p>
              </w:tc>
              <w:tc>
                <w:tcPr>
                  <w:tcW w:w="2817" w:type="dxa"/>
                  <w:tcBorders>
                    <w:tl2br w:val="nil"/>
                    <w:tr2bl w:val="nil"/>
                  </w:tcBorders>
                  <w:vAlign w:val="center"/>
                </w:tcPr>
                <w:p>
                  <w:pPr>
                    <w:pStyle w:val="38"/>
                    <w:keepNext w:val="0"/>
                    <w:keepLines w:val="0"/>
                    <w:pageBreakBefore w:val="0"/>
                    <w:widowControl w:val="0"/>
                    <w:tabs>
                      <w:tab w:val="left" w:pos="-2848"/>
                    </w:tabs>
                    <w:kinsoku/>
                    <w:wordWrap/>
                    <w:topLinePunct w:val="0"/>
                    <w:autoSpaceDE w:val="0"/>
                    <w:autoSpaceDN w:val="0"/>
                    <w:bidi w:val="0"/>
                    <w:adjustRightInd/>
                    <w:snapToGrid/>
                    <w:spacing w:line="240" w:lineRule="auto"/>
                    <w:ind w:firstLine="0" w:firstLineChars="0"/>
                    <w:rPr>
                      <w:rFonts w:hint="default" w:ascii="Times New Roman" w:hAnsi="Times New Roman" w:eastAsia="宋体" w:cs="Times New Roman"/>
                      <w:b w:val="0"/>
                      <w:color w:val="000000" w:themeColor="text1"/>
                      <w:kern w:val="2"/>
                      <w:sz w:val="21"/>
                      <w:szCs w:val="21"/>
                      <w:highlight w:val="none"/>
                      <w:u w:val="none"/>
                      <w:lang w:val="en-US" w:eastAsia="zh-CN" w:bidi="ar-SA"/>
                      <w14:textFill>
                        <w14:solidFill>
                          <w14:schemeClr w14:val="tx1"/>
                        </w14:solidFill>
                      </w14:textFill>
                    </w:rPr>
                  </w:pPr>
                  <w:r>
                    <w:rPr>
                      <w:rFonts w:hint="eastAsia" w:ascii="Times New Roman" w:hAnsi="Times New Roman"/>
                      <w:color w:val="000000" w:themeColor="text1"/>
                      <w:szCs w:val="21"/>
                      <w:highlight w:val="none"/>
                      <w:lang w:val="en-US" w:eastAsia="zh-CN"/>
                      <w14:textFill>
                        <w14:solidFill>
                          <w14:schemeClr w14:val="tx1"/>
                        </w14:solidFill>
                      </w14:textFill>
                    </w:rPr>
                    <w:t>污水处理站总</w:t>
                  </w:r>
                  <w:r>
                    <w:rPr>
                      <w:rFonts w:ascii="Times New Roman" w:hAnsi="Times New Roman"/>
                      <w:color w:val="000000" w:themeColor="text1"/>
                      <w:szCs w:val="21"/>
                      <w:highlight w:val="none"/>
                      <w:lang w:val="en-US" w:eastAsia="zh-CN"/>
                      <w14:textFill>
                        <w14:solidFill>
                          <w14:schemeClr w14:val="tx1"/>
                        </w14:solidFill>
                      </w14:textFill>
                    </w:rPr>
                    <w:t>排口</w:t>
                  </w:r>
                </w:p>
              </w:tc>
              <w:tc>
                <w:tcPr>
                  <w:tcW w:w="3887" w:type="dxa"/>
                  <w:tcBorders>
                    <w:tl2br w:val="nil"/>
                    <w:tr2bl w:val="nil"/>
                  </w:tcBorders>
                  <w:vAlign w:val="center"/>
                </w:tcPr>
                <w:p>
                  <w:pPr>
                    <w:pStyle w:val="38"/>
                    <w:keepNext w:val="0"/>
                    <w:keepLines w:val="0"/>
                    <w:pageBreakBefore w:val="0"/>
                    <w:widowControl w:val="0"/>
                    <w:tabs>
                      <w:tab w:val="left" w:pos="-2848"/>
                    </w:tabs>
                    <w:kinsoku/>
                    <w:wordWrap/>
                    <w:topLinePunct w:val="0"/>
                    <w:autoSpaceDE w:val="0"/>
                    <w:autoSpaceDN w:val="0"/>
                    <w:bidi w:val="0"/>
                    <w:adjustRightInd/>
                    <w:snapToGrid/>
                    <w:spacing w:line="240" w:lineRule="auto"/>
                    <w:ind w:left="0" w:leftChars="0" w:firstLine="0" w:firstLineChars="0"/>
                    <w:jc w:val="center"/>
                    <w:rPr>
                      <w:rFonts w:hint="default" w:ascii="Times New Roman" w:hAnsi="Times New Roman" w:eastAsia="宋体" w:cs="Times New Roman"/>
                      <w:b w:val="0"/>
                      <w:color w:val="000000" w:themeColor="text1"/>
                      <w:kern w:val="2"/>
                      <w:sz w:val="21"/>
                      <w:szCs w:val="21"/>
                      <w:highlight w:val="none"/>
                      <w:u w:val="none"/>
                      <w:lang w:val="en-US" w:eastAsia="zh-CN" w:bidi="ar-SA"/>
                      <w14:textFill>
                        <w14:solidFill>
                          <w14:schemeClr w14:val="tx1"/>
                        </w14:solidFill>
                      </w14:textFill>
                    </w:rPr>
                  </w:pPr>
                  <w:r>
                    <w:rPr>
                      <w:rFonts w:hint="eastAsia" w:ascii="Times New Roman" w:hAnsi="Times New Roman"/>
                      <w:color w:val="000000" w:themeColor="text1"/>
                      <w:szCs w:val="21"/>
                      <w:highlight w:val="none"/>
                      <w:lang w:val="en-US" w:eastAsia="zh-CN"/>
                      <w14:textFill>
                        <w14:solidFill>
                          <w14:schemeClr w14:val="tx1"/>
                        </w14:solidFill>
                      </w14:textFill>
                    </w:rPr>
                    <w:t>pH、BOD</w:t>
                  </w:r>
                  <w:r>
                    <w:rPr>
                      <w:rFonts w:hint="eastAsia" w:ascii="Times New Roman" w:hAnsi="Times New Roman"/>
                      <w:color w:val="000000" w:themeColor="text1"/>
                      <w:szCs w:val="21"/>
                      <w:highlight w:val="none"/>
                      <w:vertAlign w:val="subscript"/>
                      <w:lang w:val="en-US" w:eastAsia="zh-CN"/>
                      <w14:textFill>
                        <w14:solidFill>
                          <w14:schemeClr w14:val="tx1"/>
                        </w14:solidFill>
                      </w14:textFill>
                    </w:rPr>
                    <w:t>5</w:t>
                  </w:r>
                  <w:r>
                    <w:rPr>
                      <w:rFonts w:ascii="Times New Roman" w:hAnsi="Times New Roman"/>
                      <w:color w:val="000000" w:themeColor="text1"/>
                      <w:szCs w:val="21"/>
                      <w:highlight w:val="none"/>
                      <w:lang w:val="en-US" w:eastAsia="zh-CN"/>
                      <w14:textFill>
                        <w14:solidFill>
                          <w14:schemeClr w14:val="tx1"/>
                        </w14:solidFill>
                      </w14:textFill>
                    </w:rPr>
                    <w:t>、COD、SS、NH</w:t>
                  </w:r>
                  <w:r>
                    <w:rPr>
                      <w:rFonts w:ascii="Times New Roman" w:hAnsi="Times New Roman"/>
                      <w:color w:val="000000" w:themeColor="text1"/>
                      <w:szCs w:val="21"/>
                      <w:highlight w:val="none"/>
                      <w:vertAlign w:val="subscript"/>
                      <w:lang w:val="en-US" w:eastAsia="zh-CN"/>
                      <w14:textFill>
                        <w14:solidFill>
                          <w14:schemeClr w14:val="tx1"/>
                        </w14:solidFill>
                      </w14:textFill>
                    </w:rPr>
                    <w:t>3</w:t>
                  </w:r>
                  <w:r>
                    <w:rPr>
                      <w:rFonts w:ascii="Times New Roman" w:hAnsi="Times New Roman"/>
                      <w:color w:val="000000" w:themeColor="text1"/>
                      <w:szCs w:val="21"/>
                      <w:highlight w:val="none"/>
                      <w:lang w:val="en-US" w:eastAsia="zh-CN"/>
                      <w14:textFill>
                        <w14:solidFill>
                          <w14:schemeClr w14:val="tx1"/>
                        </w14:solidFill>
                      </w14:textFill>
                    </w:rPr>
                    <w:t>-H</w:t>
                  </w:r>
                  <w:r>
                    <w:rPr>
                      <w:rFonts w:hint="eastAsia" w:ascii="Times New Roman" w:hAnsi="Times New Roman"/>
                      <w:color w:val="000000" w:themeColor="text1"/>
                      <w:szCs w:val="21"/>
                      <w:highlight w:val="none"/>
                      <w:lang w:val="en-US" w:eastAsia="zh-CN"/>
                      <w14:textFill>
                        <w14:solidFill>
                          <w14:schemeClr w14:val="tx1"/>
                        </w14:solidFill>
                      </w14:textFill>
                    </w:rPr>
                    <w:t>、动植物油</w:t>
                  </w:r>
                </w:p>
              </w:tc>
              <w:tc>
                <w:tcPr>
                  <w:tcW w:w="1546" w:type="dxa"/>
                  <w:tcBorders>
                    <w:tl2br w:val="nil"/>
                    <w:tr2bl w:val="nil"/>
                  </w:tcBorders>
                  <w:vAlign w:val="center"/>
                </w:tcPr>
                <w:p>
                  <w:pPr>
                    <w:pStyle w:val="60"/>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leftChars="0" w:right="0" w:rightChars="0" w:firstLine="0"/>
                    <w:textAlignment w:val="baseline"/>
                    <w:outlineLvl w:val="9"/>
                    <w:rPr>
                      <w:rFonts w:hint="default" w:ascii="Times New Roman" w:hAnsi="Times New Roman" w:eastAsia="宋体" w:cs="Times New Roman"/>
                      <w:b w:val="0"/>
                      <w:bCs/>
                      <w:color w:val="000000" w:themeColor="text1"/>
                      <w:kern w:val="0"/>
                      <w:sz w:val="21"/>
                      <w:szCs w:val="21"/>
                      <w:highlight w:val="none"/>
                      <w:u w:val="none"/>
                      <w:lang w:val="en-US" w:eastAsia="zh-CN" w:bidi="ar-SA"/>
                      <w14:textFill>
                        <w14:solidFill>
                          <w14:schemeClr w14:val="tx1"/>
                        </w14:solidFill>
                      </w14:textFill>
                    </w:rPr>
                  </w:pPr>
                  <w:r>
                    <w:rPr>
                      <w:rFonts w:hint="eastAsia" w:eastAsia="宋体" w:cs="Times New Roman"/>
                      <w:b w:val="0"/>
                      <w:color w:val="000000" w:themeColor="text1"/>
                      <w:sz w:val="21"/>
                      <w:szCs w:val="21"/>
                      <w:highlight w:val="none"/>
                      <w:u w:val="none"/>
                      <w:lang w:val="en-US" w:eastAsia="zh-CN"/>
                      <w14:textFill>
                        <w14:solidFill>
                          <w14:schemeClr w14:val="tx1"/>
                        </w14:solidFill>
                      </w14:textFill>
                    </w:rPr>
                    <w:t>1</w:t>
                  </w:r>
                  <w:r>
                    <w:rPr>
                      <w:rFonts w:hint="default" w:ascii="Times New Roman" w:hAnsi="Times New Roman" w:eastAsia="宋体" w:cs="Times New Roman"/>
                      <w:b w:val="0"/>
                      <w:color w:val="000000" w:themeColor="text1"/>
                      <w:sz w:val="21"/>
                      <w:szCs w:val="21"/>
                      <w:highlight w:val="none"/>
                      <w:u w:val="none"/>
                      <w:lang w:val="en-US" w:eastAsia="zh-CN"/>
                      <w14:textFill>
                        <w14:solidFill>
                          <w14:schemeClr w14:val="tx1"/>
                        </w14:solidFill>
                      </w14:textFill>
                    </w:rPr>
                    <w:t>次/</w:t>
                  </w:r>
                  <w:r>
                    <w:rPr>
                      <w:rFonts w:hint="eastAsia" w:eastAsia="宋体" w:cs="Times New Roman"/>
                      <w:b w:val="0"/>
                      <w:color w:val="000000" w:themeColor="text1"/>
                      <w:sz w:val="21"/>
                      <w:szCs w:val="21"/>
                      <w:highlight w:val="none"/>
                      <w:u w:val="none"/>
                      <w:lang w:val="en-US" w:eastAsia="zh-CN"/>
                      <w14:textFill>
                        <w14:solidFill>
                          <w14:schemeClr w14:val="tx1"/>
                        </w14:solidFill>
                      </w14:textFill>
                    </w:rPr>
                    <w:t>半年</w:t>
                  </w:r>
                </w:p>
              </w:tc>
            </w:tr>
          </w:tbl>
          <w:p>
            <w:pPr>
              <w:pStyle w:val="35"/>
            </w:pPr>
          </w:p>
          <w:p>
            <w:pPr>
              <w:pStyle w:val="25"/>
              <w:ind w:left="0" w:leftChars="0" w:firstLine="0" w:firstLineChars="0"/>
              <w:rPr>
                <w:color w:val="auto"/>
                <w:spacing w:val="4"/>
              </w:rPr>
            </w:pPr>
          </w:p>
          <w:p>
            <w:pPr>
              <w:rPr>
                <w:color w:val="auto"/>
                <w:spacing w:val="4"/>
              </w:rPr>
            </w:pPr>
          </w:p>
          <w:p>
            <w:pPr>
              <w:pStyle w:val="2"/>
              <w:numPr>
                <w:ilvl w:val="2"/>
                <w:numId w:val="0"/>
              </w:numPr>
              <w:ind w:leftChars="0"/>
            </w:pPr>
          </w:p>
          <w:p/>
          <w:p>
            <w:pPr>
              <w:pStyle w:val="2"/>
              <w:numPr>
                <w:ilvl w:val="2"/>
                <w:numId w:val="0"/>
              </w:numPr>
              <w:ind w:leftChars="0"/>
            </w:pPr>
          </w:p>
          <w:p/>
          <w:p>
            <w:pPr>
              <w:pStyle w:val="2"/>
              <w:numPr>
                <w:ilvl w:val="2"/>
                <w:numId w:val="0"/>
              </w:numPr>
              <w:ind w:leftChars="0"/>
            </w:pPr>
          </w:p>
          <w:p/>
          <w:p/>
          <w:p>
            <w:pPr>
              <w:pStyle w:val="2"/>
              <w:numPr>
                <w:ilvl w:val="2"/>
                <w:numId w:val="0"/>
              </w:numPr>
              <w:ind w:leftChars="0"/>
            </w:pPr>
          </w:p>
          <w:p>
            <w:pPr>
              <w:pStyle w:val="2"/>
              <w:numPr>
                <w:ilvl w:val="2"/>
                <w:numId w:val="0"/>
              </w:numPr>
              <w:ind w:leftChars="0"/>
            </w:pPr>
          </w:p>
          <w:p/>
          <w:p>
            <w:pPr>
              <w:pStyle w:val="2"/>
              <w:numPr>
                <w:ilvl w:val="2"/>
                <w:numId w:val="0"/>
              </w:numPr>
              <w:ind w:leftChars="0"/>
            </w:pPr>
          </w:p>
          <w:p/>
          <w:p>
            <w:pPr>
              <w:pStyle w:val="2"/>
              <w:numPr>
                <w:ilvl w:val="2"/>
                <w:numId w:val="0"/>
              </w:numPr>
              <w:ind w:leftChars="0"/>
            </w:pPr>
          </w:p>
          <w:p/>
          <w:p/>
          <w:p>
            <w:pPr>
              <w:pStyle w:val="2"/>
              <w:numPr>
                <w:ilvl w:val="2"/>
                <w:numId w:val="0"/>
              </w:numPr>
              <w:ind w:leftChars="0"/>
            </w:pPr>
          </w:p>
          <w:p/>
          <w:p>
            <w:pPr>
              <w:pStyle w:val="2"/>
              <w:numPr>
                <w:ilvl w:val="2"/>
                <w:numId w:val="0"/>
              </w:numPr>
              <w:ind w:leftChars="0"/>
            </w:pPr>
          </w:p>
          <w:p/>
          <w:p>
            <w:pPr>
              <w:pStyle w:val="2"/>
              <w:numPr>
                <w:ilvl w:val="2"/>
                <w:numId w:val="0"/>
              </w:numPr>
              <w:ind w:leftChars="0"/>
            </w:pPr>
          </w:p>
          <w:p/>
          <w:p>
            <w:pPr>
              <w:rPr>
                <w:color w:val="auto"/>
                <w:spacing w:val="4"/>
              </w:rPr>
            </w:pPr>
          </w:p>
          <w:p>
            <w:pPr>
              <w:pStyle w:val="9"/>
              <w:rPr>
                <w:color w:val="auto"/>
                <w:spacing w:val="4"/>
              </w:rPr>
            </w:pPr>
          </w:p>
          <w:p/>
          <w:p>
            <w:pPr>
              <w:rPr>
                <w:color w:val="auto"/>
                <w:spacing w:val="4"/>
              </w:rPr>
            </w:pPr>
          </w:p>
          <w:p>
            <w:pPr>
              <w:pStyle w:val="21"/>
              <w:rPr>
                <w:color w:val="auto"/>
                <w:spacing w:val="4"/>
              </w:rPr>
            </w:pPr>
          </w:p>
          <w:p>
            <w:pPr>
              <w:pStyle w:val="25"/>
              <w:ind w:left="0" w:leftChars="0" w:firstLine="0" w:firstLineChars="0"/>
              <w:rPr>
                <w:color w:val="auto"/>
                <w:spacing w:val="4"/>
              </w:rPr>
            </w:pPr>
          </w:p>
          <w:p>
            <w:pPr>
              <w:pStyle w:val="25"/>
              <w:ind w:left="0" w:leftChars="0" w:firstLine="0" w:firstLineChars="0"/>
              <w:rPr>
                <w:color w:val="auto"/>
                <w:spacing w:val="4"/>
              </w:rPr>
            </w:pPr>
          </w:p>
        </w:tc>
      </w:tr>
    </w:tbl>
    <w:p>
      <w:pPr>
        <w:pStyle w:val="37"/>
        <w:pageBreakBefore/>
        <w:tabs>
          <w:tab w:val="clear" w:pos="1800"/>
        </w:tabs>
        <w:rPr>
          <w:rFonts w:eastAsia="宋体"/>
          <w:color w:val="auto"/>
        </w:rPr>
      </w:pPr>
      <w:bookmarkStart w:id="101" w:name="_Toc14836"/>
      <w:bookmarkStart w:id="102" w:name="_Toc4384"/>
      <w:r>
        <w:rPr>
          <w:rFonts w:eastAsia="宋体"/>
          <w:color w:val="auto"/>
        </w:rPr>
        <w:t>八、建设项目拟采取的防治措施及预期治理效果</w:t>
      </w:r>
      <w:bookmarkEnd w:id="101"/>
      <w:bookmarkEnd w:id="102"/>
    </w:p>
    <w:tbl>
      <w:tblPr>
        <w:tblStyle w:val="26"/>
        <w:tblW w:w="9775" w:type="dxa"/>
        <w:jc w:val="center"/>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Layout w:type="fixed"/>
        <w:tblCellMar>
          <w:top w:w="0" w:type="dxa"/>
          <w:left w:w="108" w:type="dxa"/>
          <w:bottom w:w="0" w:type="dxa"/>
          <w:right w:w="108" w:type="dxa"/>
        </w:tblCellMar>
      </w:tblPr>
      <w:tblGrid>
        <w:gridCol w:w="1157"/>
        <w:gridCol w:w="619"/>
        <w:gridCol w:w="1512"/>
        <w:gridCol w:w="1760"/>
        <w:gridCol w:w="2043"/>
        <w:gridCol w:w="2684"/>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642" w:hRule="atLeast"/>
          <w:jc w:val="center"/>
        </w:trPr>
        <w:tc>
          <w:tcPr>
            <w:tcW w:w="1157"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bookmarkStart w:id="103" w:name="_Toc21787"/>
            <w:r>
              <w:rPr>
                <w:rFonts w:hint="default" w:ascii="Times New Roman" w:hAnsi="Times New Roman" w:eastAsia="宋体" w:cs="Times New Roman"/>
                <w:b w:val="0"/>
                <w:bCs w:val="0"/>
                <w:color w:val="000000"/>
                <w:kern w:val="2"/>
                <w:sz w:val="24"/>
                <w:szCs w:val="24"/>
              </w:rPr>
              <w:t xml:space="preserve">  内容</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p>
            <w:pPr>
              <w:pStyle w:val="38"/>
              <w:keepNext w:val="0"/>
              <w:keepLines w:val="0"/>
              <w:pageBreakBefore w:val="0"/>
              <w:kinsoku/>
              <w:wordWrap/>
              <w:topLinePunct w:val="0"/>
              <w:bidi w:val="0"/>
              <w:adjustRightInd/>
              <w:snapToGrid/>
              <w:spacing w:line="240" w:lineRule="auto"/>
              <w:ind w:firstLine="0"/>
              <w:jc w:val="both"/>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类型</w:t>
            </w:r>
          </w:p>
        </w:tc>
        <w:tc>
          <w:tcPr>
            <w:tcW w:w="2131" w:type="dxa"/>
            <w:gridSpan w:val="2"/>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排放源（编号）</w:t>
            </w:r>
          </w:p>
        </w:tc>
        <w:tc>
          <w:tcPr>
            <w:tcW w:w="1760"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污染物名称</w:t>
            </w:r>
          </w:p>
        </w:tc>
        <w:tc>
          <w:tcPr>
            <w:tcW w:w="2043"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防治措施</w:t>
            </w:r>
          </w:p>
        </w:tc>
        <w:tc>
          <w:tcPr>
            <w:tcW w:w="2684"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预期治理效果</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542" w:hRule="atLeast"/>
          <w:jc w:val="center"/>
        </w:trPr>
        <w:tc>
          <w:tcPr>
            <w:tcW w:w="1157" w:type="dxa"/>
            <w:vMerge w:val="restart"/>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pacing w:val="6"/>
                <w:kern w:val="2"/>
                <w:sz w:val="24"/>
                <w:szCs w:val="24"/>
              </w:rPr>
            </w:pPr>
            <w:r>
              <w:rPr>
                <w:rFonts w:hint="default" w:ascii="Times New Roman" w:hAnsi="Times New Roman" w:eastAsia="宋体" w:cs="Times New Roman"/>
                <w:b w:val="0"/>
                <w:bCs w:val="0"/>
                <w:color w:val="000000"/>
                <w:spacing w:val="6"/>
                <w:kern w:val="2"/>
                <w:sz w:val="24"/>
                <w:szCs w:val="24"/>
              </w:rPr>
              <w:t>大</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pacing w:val="6"/>
                <w:kern w:val="2"/>
                <w:sz w:val="24"/>
                <w:szCs w:val="24"/>
              </w:rPr>
            </w:pPr>
            <w:r>
              <w:rPr>
                <w:rFonts w:hint="default" w:ascii="Times New Roman" w:hAnsi="Times New Roman" w:eastAsia="宋体" w:cs="Times New Roman"/>
                <w:b w:val="0"/>
                <w:bCs w:val="0"/>
                <w:color w:val="000000"/>
                <w:spacing w:val="6"/>
                <w:kern w:val="2"/>
                <w:sz w:val="24"/>
                <w:szCs w:val="24"/>
              </w:rPr>
              <w:t>气</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pacing w:val="6"/>
                <w:kern w:val="2"/>
                <w:sz w:val="24"/>
                <w:szCs w:val="24"/>
              </w:rPr>
            </w:pPr>
            <w:r>
              <w:rPr>
                <w:rFonts w:hint="default" w:ascii="Times New Roman" w:hAnsi="Times New Roman" w:eastAsia="宋体" w:cs="Times New Roman"/>
                <w:b w:val="0"/>
                <w:bCs w:val="0"/>
                <w:color w:val="000000"/>
                <w:spacing w:val="6"/>
                <w:kern w:val="2"/>
                <w:sz w:val="24"/>
                <w:szCs w:val="24"/>
              </w:rPr>
              <w:t>污</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pacing w:val="6"/>
                <w:kern w:val="2"/>
                <w:sz w:val="24"/>
                <w:szCs w:val="24"/>
              </w:rPr>
            </w:pPr>
            <w:r>
              <w:rPr>
                <w:rFonts w:hint="default" w:ascii="Times New Roman" w:hAnsi="Times New Roman" w:eastAsia="宋体" w:cs="Times New Roman"/>
                <w:b w:val="0"/>
                <w:bCs w:val="0"/>
                <w:color w:val="000000"/>
                <w:spacing w:val="6"/>
                <w:kern w:val="2"/>
                <w:sz w:val="24"/>
                <w:szCs w:val="24"/>
              </w:rPr>
              <w:t>染</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pacing w:val="6"/>
                <w:kern w:val="2"/>
                <w:sz w:val="24"/>
                <w:szCs w:val="24"/>
              </w:rPr>
              <w:t>物</w:t>
            </w:r>
          </w:p>
        </w:tc>
        <w:tc>
          <w:tcPr>
            <w:tcW w:w="619" w:type="dxa"/>
            <w:vMerge w:val="restart"/>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color w:val="auto"/>
                <w:spacing w:val="6"/>
                <w:sz w:val="24"/>
                <w:szCs w:val="24"/>
              </w:rPr>
            </w:pPr>
            <w:r>
              <w:rPr>
                <w:rFonts w:hint="default" w:ascii="Times New Roman" w:hAnsi="Times New Roman" w:eastAsia="宋体" w:cs="Times New Roman"/>
                <w:b w:val="0"/>
                <w:bCs w:val="0"/>
                <w:color w:val="auto"/>
                <w:spacing w:val="6"/>
                <w:sz w:val="24"/>
                <w:szCs w:val="24"/>
              </w:rPr>
              <w:t>施工期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机械、车辆等</w:t>
            </w:r>
          </w:p>
        </w:tc>
        <w:tc>
          <w:tcPr>
            <w:tcW w:w="1760" w:type="dxa"/>
            <w:tcBorders>
              <w:tl2br w:val="nil"/>
              <w:tr2bl w:val="nil"/>
            </w:tcBorders>
            <w:noWrap w:val="0"/>
            <w:vAlign w:val="center"/>
          </w:tcPr>
          <w:p>
            <w:pPr>
              <w:keepNext w:val="0"/>
              <w:keepLines w:val="0"/>
              <w:pageBreakBefore w:val="0"/>
              <w:kinsoku/>
              <w:wordWrap/>
              <w:topLinePunct w:val="0"/>
              <w:bidi w:val="0"/>
              <w:adjustRightInd/>
              <w:snapToGrid/>
              <w:spacing w:line="240" w:lineRule="auto"/>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NOx、CO、THC</w:t>
            </w:r>
          </w:p>
        </w:tc>
        <w:tc>
          <w:tcPr>
            <w:tcW w:w="2043" w:type="dxa"/>
            <w:vMerge w:val="restart"/>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val="0"/>
                <w:bCs w:val="0"/>
                <w:sz w:val="24"/>
                <w:szCs w:val="24"/>
              </w:rPr>
              <w:t>设围栏、围网、场地洒水、遮盖、车辆清洗出场等措施</w:t>
            </w:r>
          </w:p>
        </w:tc>
        <w:tc>
          <w:tcPr>
            <w:tcW w:w="2684" w:type="dxa"/>
            <w:vMerge w:val="restart"/>
            <w:tcBorders>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firstLine="0"/>
              <w:jc w:val="center"/>
              <w:outlineLvl w:val="9"/>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z w:val="24"/>
                <w:szCs w:val="24"/>
              </w:rPr>
              <w:t>《大气污染物综合排放标准》</w:t>
            </w:r>
            <w:r>
              <w:rPr>
                <w:rFonts w:hint="default" w:ascii="Times New Roman" w:hAnsi="Times New Roman" w:eastAsia="宋体" w:cs="Times New Roman"/>
                <w:b w:val="0"/>
                <w:bCs w:val="0"/>
                <w:color w:val="000000"/>
                <w:sz w:val="24"/>
                <w:szCs w:val="24"/>
                <w:lang w:eastAsia="zh-CN"/>
              </w:rPr>
              <w:t>（</w:t>
            </w:r>
            <w:r>
              <w:rPr>
                <w:rFonts w:hint="default" w:ascii="Times New Roman" w:hAnsi="Times New Roman" w:eastAsia="宋体" w:cs="Times New Roman"/>
                <w:b w:val="0"/>
                <w:bCs w:val="0"/>
                <w:color w:val="000000"/>
                <w:sz w:val="24"/>
                <w:szCs w:val="24"/>
              </w:rPr>
              <w:t>GB16297-1996）</w:t>
            </w:r>
            <w:r>
              <w:rPr>
                <w:rFonts w:hint="default" w:ascii="Times New Roman" w:hAnsi="Times New Roman" w:eastAsia="宋体" w:cs="Times New Roman"/>
                <w:b w:val="0"/>
                <w:bCs w:val="0"/>
                <w:color w:val="000000"/>
                <w:sz w:val="24"/>
                <w:szCs w:val="24"/>
                <w:lang w:val="en-US" w:eastAsia="zh-CN"/>
              </w:rPr>
              <w:t>无组织排放浓度监控限值</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22"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p>
        </w:tc>
        <w:tc>
          <w:tcPr>
            <w:tcW w:w="619" w:type="dxa"/>
            <w:vMerge w:val="continue"/>
            <w:tcBorders>
              <w:tl2br w:val="nil"/>
              <w:tr2bl w:val="nil"/>
            </w:tcBorders>
            <w:noWrap w:val="0"/>
            <w:vAlign w:val="center"/>
          </w:tcPr>
          <w:p>
            <w:pPr>
              <w:pStyle w:val="60"/>
              <w:keepNext w:val="0"/>
              <w:keepLines w:val="0"/>
              <w:pageBreakBefore w:val="0"/>
              <w:kinsoku/>
              <w:wordWrap/>
              <w:topLinePunct w:val="0"/>
              <w:bidi w:val="0"/>
              <w:adjustRightInd/>
              <w:snapToGrid/>
              <w:spacing w:line="240" w:lineRule="auto"/>
              <w:rPr>
                <w:rFonts w:hint="default" w:ascii="Times New Roman" w:hAnsi="Times New Roman" w:eastAsia="宋体" w:cs="Times New Roman"/>
                <w:b w:val="0"/>
                <w:bCs w:val="0"/>
                <w:spacing w:val="6"/>
                <w:sz w:val="24"/>
                <w:szCs w:val="24"/>
              </w:rPr>
            </w:pP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扬尘</w:t>
            </w:r>
          </w:p>
        </w:tc>
        <w:tc>
          <w:tcPr>
            <w:tcW w:w="1760"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TSP</w:t>
            </w:r>
          </w:p>
        </w:tc>
        <w:tc>
          <w:tcPr>
            <w:tcW w:w="2043" w:type="dxa"/>
            <w:vMerge w:val="continue"/>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p>
        </w:tc>
        <w:tc>
          <w:tcPr>
            <w:tcW w:w="2684"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22"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p>
        </w:tc>
        <w:tc>
          <w:tcPr>
            <w:tcW w:w="619" w:type="dxa"/>
            <w:vMerge w:val="continue"/>
            <w:tcBorders>
              <w:tl2br w:val="nil"/>
              <w:tr2bl w:val="nil"/>
            </w:tcBorders>
            <w:noWrap w:val="0"/>
            <w:vAlign w:val="center"/>
          </w:tcPr>
          <w:p>
            <w:pPr>
              <w:pStyle w:val="60"/>
              <w:keepNext w:val="0"/>
              <w:keepLines w:val="0"/>
              <w:pageBreakBefore w:val="0"/>
              <w:kinsoku/>
              <w:wordWrap/>
              <w:topLinePunct w:val="0"/>
              <w:bidi w:val="0"/>
              <w:adjustRightInd/>
              <w:snapToGrid/>
              <w:spacing w:line="240" w:lineRule="auto"/>
              <w:rPr>
                <w:rFonts w:hint="default" w:ascii="Times New Roman" w:hAnsi="Times New Roman" w:eastAsia="宋体" w:cs="Times New Roman"/>
                <w:b w:val="0"/>
                <w:bCs w:val="0"/>
                <w:spacing w:val="6"/>
                <w:sz w:val="24"/>
                <w:szCs w:val="24"/>
              </w:rPr>
            </w:pPr>
          </w:p>
        </w:tc>
        <w:tc>
          <w:tcPr>
            <w:tcW w:w="1512" w:type="dxa"/>
            <w:tcBorders>
              <w:tl2br w:val="nil"/>
              <w:tr2bl w:val="nil"/>
            </w:tcBorders>
            <w:noWrap w:val="0"/>
            <w:vAlign w:val="center"/>
          </w:tcPr>
          <w:p>
            <w:pPr>
              <w:jc w:val="center"/>
              <w:rPr>
                <w:rFonts w:hint="default" w:ascii="Times New Roman" w:hAnsi="Times New Roman" w:eastAsia="宋体" w:cs="Times New Roman"/>
                <w:b w:val="0"/>
                <w:bCs w:val="0"/>
                <w:kern w:val="2"/>
                <w:sz w:val="24"/>
                <w:szCs w:val="24"/>
                <w:lang w:val="en-US" w:eastAsia="zh-CN" w:bidi="ar-SA"/>
              </w:rPr>
            </w:pPr>
            <w:r>
              <w:rPr>
                <w:rFonts w:hint="default" w:ascii="Times New Roman" w:hAnsi="Times New Roman" w:eastAsia="宋体" w:cs="Times New Roman"/>
                <w:b w:val="0"/>
                <w:bCs w:val="0"/>
                <w:sz w:val="24"/>
                <w:szCs w:val="24"/>
                <w:lang w:val="en-US" w:eastAsia="zh-CN"/>
              </w:rPr>
              <w:t>清淤</w:t>
            </w:r>
          </w:p>
        </w:tc>
        <w:tc>
          <w:tcPr>
            <w:tcW w:w="1760" w:type="dxa"/>
            <w:tcBorders>
              <w:tl2br w:val="nil"/>
              <w:tr2bl w:val="nil"/>
            </w:tcBorders>
            <w:noWrap w:val="0"/>
            <w:vAlign w:val="center"/>
          </w:tcPr>
          <w:p>
            <w:pPr>
              <w:jc w:val="center"/>
              <w:rPr>
                <w:rFonts w:hint="default" w:ascii="Times New Roman" w:hAnsi="Times New Roman" w:eastAsia="宋体" w:cs="Times New Roman"/>
                <w:b w:val="0"/>
                <w:bCs w:val="0"/>
                <w:spacing w:val="6"/>
                <w:kern w:val="2"/>
                <w:sz w:val="24"/>
                <w:szCs w:val="24"/>
                <w:lang w:val="en-US" w:eastAsia="zh-CN" w:bidi="ar-SA"/>
              </w:rPr>
            </w:pPr>
            <w:r>
              <w:rPr>
                <w:rFonts w:hint="default" w:ascii="Times New Roman" w:hAnsi="Times New Roman" w:eastAsia="宋体" w:cs="Times New Roman"/>
                <w:b w:val="0"/>
                <w:bCs w:val="0"/>
                <w:sz w:val="24"/>
                <w:szCs w:val="24"/>
              </w:rPr>
              <w:t>NH</w:t>
            </w:r>
            <w:r>
              <w:rPr>
                <w:rFonts w:hint="default" w:ascii="Times New Roman" w:hAnsi="Times New Roman" w:eastAsia="宋体" w:cs="Times New Roman"/>
                <w:b w:val="0"/>
                <w:bCs w:val="0"/>
                <w:sz w:val="24"/>
                <w:szCs w:val="24"/>
                <w:vertAlign w:val="subscript"/>
              </w:rPr>
              <w:t>3</w:t>
            </w:r>
            <w:r>
              <w:rPr>
                <w:rFonts w:hint="default" w:ascii="Times New Roman" w:hAnsi="Times New Roman" w:eastAsia="宋体" w:cs="Times New Roman"/>
                <w:b w:val="0"/>
                <w:bCs w:val="0"/>
                <w:sz w:val="24"/>
                <w:szCs w:val="24"/>
              </w:rPr>
              <w:t>、H</w:t>
            </w:r>
            <w:r>
              <w:rPr>
                <w:rFonts w:hint="default" w:ascii="Times New Roman" w:hAnsi="Times New Roman" w:eastAsia="宋体" w:cs="Times New Roman"/>
                <w:b w:val="0"/>
                <w:bCs w:val="0"/>
                <w:sz w:val="24"/>
                <w:szCs w:val="24"/>
                <w:vertAlign w:val="subscript"/>
              </w:rPr>
              <w:t>2</w:t>
            </w:r>
            <w:r>
              <w:rPr>
                <w:rFonts w:hint="default" w:ascii="Times New Roman" w:hAnsi="Times New Roman" w:eastAsia="宋体" w:cs="Times New Roman"/>
                <w:b w:val="0"/>
                <w:bCs w:val="0"/>
                <w:sz w:val="24"/>
                <w:szCs w:val="24"/>
              </w:rPr>
              <w:t>S</w:t>
            </w:r>
          </w:p>
        </w:tc>
        <w:tc>
          <w:tcPr>
            <w:tcW w:w="2043"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建设围挡、喷洒除臭剂</w:t>
            </w:r>
          </w:p>
        </w:tc>
        <w:tc>
          <w:tcPr>
            <w:tcW w:w="2684"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sz w:val="24"/>
                <w:szCs w:val="24"/>
              </w:rPr>
              <w:t>《恶臭污染物排放标准》（GB14554-93）</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22"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p>
        </w:tc>
        <w:tc>
          <w:tcPr>
            <w:tcW w:w="619" w:type="dxa"/>
            <w:tcBorders>
              <w:tl2br w:val="nil"/>
              <w:tr2bl w:val="nil"/>
            </w:tcBorders>
            <w:noWrap w:val="0"/>
            <w:vAlign w:val="center"/>
          </w:tcPr>
          <w:p>
            <w:pPr>
              <w:pStyle w:val="60"/>
              <w:keepNext w:val="0"/>
              <w:keepLines w:val="0"/>
              <w:pageBreakBefore w:val="0"/>
              <w:kinsoku/>
              <w:wordWrap/>
              <w:topLinePunct w:val="0"/>
              <w:bidi w:val="0"/>
              <w:adjustRightInd/>
              <w:snapToGrid/>
              <w:spacing w:line="240" w:lineRule="auto"/>
              <w:rPr>
                <w:rFonts w:hint="default" w:ascii="Times New Roman" w:hAnsi="Times New Roman" w:eastAsia="宋体" w:cs="Times New Roman"/>
                <w:b w:val="0"/>
                <w:bCs w:val="0"/>
                <w:spacing w:val="6"/>
                <w:sz w:val="24"/>
                <w:szCs w:val="24"/>
                <w:lang w:eastAsia="zh-CN"/>
              </w:rPr>
            </w:pPr>
            <w:r>
              <w:rPr>
                <w:rFonts w:hint="default" w:ascii="Times New Roman" w:hAnsi="Times New Roman" w:eastAsia="宋体" w:cs="Times New Roman"/>
                <w:b w:val="0"/>
                <w:bCs w:val="0"/>
                <w:spacing w:val="6"/>
                <w:sz w:val="24"/>
                <w:szCs w:val="24"/>
                <w:lang w:eastAsia="zh-CN"/>
              </w:rPr>
              <w:t>营运期</w:t>
            </w:r>
          </w:p>
        </w:tc>
        <w:tc>
          <w:tcPr>
            <w:tcW w:w="1512" w:type="dxa"/>
            <w:tcBorders>
              <w:tl2br w:val="nil"/>
              <w:tr2bl w:val="nil"/>
            </w:tcBorders>
            <w:noWrap w:val="0"/>
            <w:vAlign w:val="center"/>
          </w:tcPr>
          <w:p>
            <w:pPr>
              <w:jc w:val="center"/>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污水处理站</w:t>
            </w:r>
          </w:p>
        </w:tc>
        <w:tc>
          <w:tcPr>
            <w:tcW w:w="1760" w:type="dxa"/>
            <w:tcBorders>
              <w:tl2br w:val="nil"/>
              <w:tr2bl w:val="nil"/>
            </w:tcBorders>
            <w:noWrap w:val="0"/>
            <w:vAlign w:val="center"/>
          </w:tcPr>
          <w:p>
            <w:pPr>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NH</w:t>
            </w:r>
            <w:r>
              <w:rPr>
                <w:rFonts w:hint="default" w:ascii="Times New Roman" w:hAnsi="Times New Roman" w:eastAsia="宋体" w:cs="Times New Roman"/>
                <w:b w:val="0"/>
                <w:bCs w:val="0"/>
                <w:sz w:val="24"/>
                <w:szCs w:val="24"/>
                <w:vertAlign w:val="subscript"/>
              </w:rPr>
              <w:t>3</w:t>
            </w:r>
            <w:r>
              <w:rPr>
                <w:rFonts w:hint="default" w:ascii="Times New Roman" w:hAnsi="Times New Roman" w:eastAsia="宋体" w:cs="Times New Roman"/>
                <w:b w:val="0"/>
                <w:bCs w:val="0"/>
                <w:sz w:val="24"/>
                <w:szCs w:val="24"/>
              </w:rPr>
              <w:t>、H</w:t>
            </w:r>
            <w:r>
              <w:rPr>
                <w:rFonts w:hint="default" w:ascii="Times New Roman" w:hAnsi="Times New Roman" w:eastAsia="宋体" w:cs="Times New Roman"/>
                <w:b w:val="0"/>
                <w:bCs w:val="0"/>
                <w:sz w:val="24"/>
                <w:szCs w:val="24"/>
                <w:vertAlign w:val="subscript"/>
              </w:rPr>
              <w:t>2</w:t>
            </w:r>
            <w:r>
              <w:rPr>
                <w:rFonts w:hint="default" w:ascii="Times New Roman" w:hAnsi="Times New Roman" w:eastAsia="宋体" w:cs="Times New Roman"/>
                <w:b w:val="0"/>
                <w:bCs w:val="0"/>
                <w:sz w:val="24"/>
                <w:szCs w:val="24"/>
              </w:rPr>
              <w:t>S</w:t>
            </w:r>
          </w:p>
        </w:tc>
        <w:tc>
          <w:tcPr>
            <w:tcW w:w="2043" w:type="dxa"/>
            <w:tcBorders>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sz w:val="24"/>
                <w:szCs w:val="24"/>
                <w:u w:val="none"/>
                <w:lang w:val="en-US" w:eastAsia="zh-CN"/>
              </w:rPr>
              <w:t>加盖密闭并喷洒除臭剂</w:t>
            </w:r>
          </w:p>
        </w:tc>
        <w:tc>
          <w:tcPr>
            <w:tcW w:w="2684" w:type="dxa"/>
            <w:tcBorders>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sz w:val="24"/>
                <w:szCs w:val="24"/>
                <w:u w:val="none"/>
                <w:lang w:val="en-US" w:eastAsia="zh-CN" w:bidi="ar"/>
              </w:rPr>
              <w:t>《恶臭污染物排放标准》（GB14554-93）</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598" w:hRule="atLeast"/>
          <w:jc w:val="center"/>
        </w:trPr>
        <w:tc>
          <w:tcPr>
            <w:tcW w:w="1157" w:type="dxa"/>
            <w:vMerge w:val="restart"/>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水</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污</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染</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kern w:val="2"/>
                <w:sz w:val="24"/>
                <w:szCs w:val="24"/>
              </w:rPr>
              <w:t>物</w:t>
            </w:r>
          </w:p>
        </w:tc>
        <w:tc>
          <w:tcPr>
            <w:tcW w:w="619" w:type="dxa"/>
            <w:vMerge w:val="restart"/>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施工期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lang w:eastAsia="zh-CN"/>
              </w:rPr>
              <w:t>施工</w:t>
            </w:r>
            <w:r>
              <w:rPr>
                <w:rFonts w:hint="default" w:ascii="Times New Roman" w:hAnsi="Times New Roman" w:eastAsia="宋体" w:cs="Times New Roman"/>
                <w:b w:val="0"/>
                <w:bCs w:val="0"/>
                <w:sz w:val="24"/>
                <w:szCs w:val="24"/>
              </w:rPr>
              <w:t>废水</w:t>
            </w:r>
          </w:p>
        </w:tc>
        <w:tc>
          <w:tcPr>
            <w:tcW w:w="1760" w:type="dxa"/>
            <w:tcBorders>
              <w:tl2br w:val="nil"/>
              <w:tr2bl w:val="nil"/>
            </w:tcBorders>
            <w:noWrap w:val="0"/>
            <w:vAlign w:val="center"/>
          </w:tcPr>
          <w:p>
            <w:pPr>
              <w:pStyle w:val="93"/>
              <w:keepNext w:val="0"/>
              <w:keepLines w:val="0"/>
              <w:pageBreakBefore w:val="0"/>
              <w:kinsoku/>
              <w:wordWrap/>
              <w:topLinePunct w:val="0"/>
              <w:bidi w:val="0"/>
              <w:adjustRightInd/>
              <w:snapToGrid/>
              <w:spacing w:line="240" w:lineRule="auto"/>
              <w:ind w:firstLine="0"/>
              <w:jc w:val="center"/>
              <w:rPr>
                <w:rFonts w:hint="default" w:ascii="Times New Roman" w:hAnsi="Times New Roman" w:eastAsia="宋体" w:cs="Times New Roman"/>
                <w:b w:val="0"/>
                <w:bCs w:val="0"/>
                <w:color w:val="000000"/>
                <w:spacing w:val="-6"/>
                <w:sz w:val="24"/>
                <w:szCs w:val="24"/>
                <w:lang w:val="es-ES"/>
              </w:rPr>
            </w:pPr>
            <w:r>
              <w:rPr>
                <w:rFonts w:hint="default" w:ascii="Times New Roman" w:hAnsi="Times New Roman" w:eastAsia="宋体" w:cs="Times New Roman"/>
                <w:b w:val="0"/>
                <w:bCs w:val="0"/>
                <w:color w:val="000000"/>
                <w:spacing w:val="-6"/>
                <w:sz w:val="24"/>
                <w:szCs w:val="24"/>
                <w:lang w:val="es-ES"/>
              </w:rPr>
              <w:t>SS、石油类</w:t>
            </w:r>
          </w:p>
        </w:tc>
        <w:tc>
          <w:tcPr>
            <w:tcW w:w="2043"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rPr>
              <w:t>经</w:t>
            </w:r>
            <w:r>
              <w:rPr>
                <w:rFonts w:hint="default" w:ascii="Times New Roman" w:hAnsi="Times New Roman" w:eastAsia="宋体" w:cs="Times New Roman"/>
                <w:b w:val="0"/>
                <w:bCs w:val="0"/>
                <w:sz w:val="24"/>
                <w:szCs w:val="24"/>
                <w:lang w:val="en-US" w:eastAsia="zh-CN"/>
              </w:rPr>
              <w:t>隔油沉淀池</w:t>
            </w:r>
            <w:r>
              <w:rPr>
                <w:rFonts w:hint="default" w:ascii="Times New Roman" w:hAnsi="Times New Roman" w:eastAsia="宋体" w:cs="Times New Roman"/>
                <w:b w:val="0"/>
                <w:bCs w:val="0"/>
                <w:sz w:val="24"/>
                <w:szCs w:val="24"/>
              </w:rPr>
              <w:t>处理后回用于</w:t>
            </w:r>
          </w:p>
        </w:tc>
        <w:tc>
          <w:tcPr>
            <w:tcW w:w="2684" w:type="dxa"/>
            <w:tcBorders>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firstLine="0"/>
              <w:jc w:val="center"/>
              <w:outlineLvl w:val="9"/>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z w:val="24"/>
                <w:szCs w:val="24"/>
              </w:rPr>
              <w:t>符合环保要求</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556"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tc>
        <w:tc>
          <w:tcPr>
            <w:tcW w:w="619" w:type="dxa"/>
            <w:vMerge w:val="continue"/>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基坑废水</w:t>
            </w:r>
          </w:p>
        </w:tc>
        <w:tc>
          <w:tcPr>
            <w:tcW w:w="1760" w:type="dxa"/>
            <w:tcBorders>
              <w:tl2br w:val="nil"/>
              <w:tr2bl w:val="nil"/>
            </w:tcBorders>
            <w:noWrap w:val="0"/>
            <w:vAlign w:val="center"/>
          </w:tcPr>
          <w:p>
            <w:pPr>
              <w:pStyle w:val="93"/>
              <w:keepNext w:val="0"/>
              <w:keepLines w:val="0"/>
              <w:pageBreakBefore w:val="0"/>
              <w:kinsoku/>
              <w:wordWrap/>
              <w:topLinePunct w:val="0"/>
              <w:bidi w:val="0"/>
              <w:adjustRightInd/>
              <w:snapToGrid/>
              <w:spacing w:line="240" w:lineRule="auto"/>
              <w:ind w:firstLine="0" w:firstLineChars="0"/>
              <w:jc w:val="center"/>
              <w:rPr>
                <w:rFonts w:hint="default" w:ascii="Times New Roman" w:hAnsi="Times New Roman" w:eastAsia="宋体" w:cs="Times New Roman"/>
                <w:b w:val="0"/>
                <w:bCs w:val="0"/>
                <w:color w:val="000000"/>
                <w:spacing w:val="-6"/>
                <w:sz w:val="24"/>
                <w:szCs w:val="24"/>
                <w:lang w:val="es-ES"/>
              </w:rPr>
            </w:pPr>
            <w:r>
              <w:rPr>
                <w:rFonts w:hint="default" w:ascii="Times New Roman" w:hAnsi="Times New Roman" w:eastAsia="宋体" w:cs="Times New Roman"/>
                <w:b w:val="0"/>
                <w:bCs w:val="0"/>
                <w:color w:val="000000"/>
                <w:spacing w:val="-6"/>
                <w:sz w:val="24"/>
                <w:szCs w:val="24"/>
                <w:lang w:val="es-ES"/>
              </w:rPr>
              <w:t>SS</w:t>
            </w:r>
          </w:p>
        </w:tc>
        <w:tc>
          <w:tcPr>
            <w:tcW w:w="2043"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沉淀池处理后回用</w:t>
            </w:r>
          </w:p>
        </w:tc>
        <w:tc>
          <w:tcPr>
            <w:tcW w:w="2684" w:type="dxa"/>
            <w:tcBorders>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leftChars="0" w:firstLine="0" w:firstLineChars="0"/>
              <w:jc w:val="center"/>
              <w:outlineLvl w:val="9"/>
              <w:rPr>
                <w:rFonts w:hint="default" w:ascii="Times New Roman" w:hAnsi="Times New Roman" w:eastAsia="宋体" w:cs="Times New Roman"/>
                <w:b w:val="0"/>
                <w:bCs w:val="0"/>
                <w:color w:val="auto"/>
                <w:kern w:val="0"/>
                <w:sz w:val="24"/>
                <w:szCs w:val="24"/>
              </w:rPr>
            </w:pPr>
            <w:r>
              <w:rPr>
                <w:rFonts w:hint="default" w:ascii="Times New Roman" w:hAnsi="Times New Roman" w:eastAsia="宋体" w:cs="Times New Roman"/>
                <w:b w:val="0"/>
                <w:bCs w:val="0"/>
                <w:color w:val="000000"/>
                <w:sz w:val="24"/>
                <w:szCs w:val="24"/>
              </w:rPr>
              <w:t>符合环保要求</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556"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tc>
        <w:tc>
          <w:tcPr>
            <w:tcW w:w="619" w:type="dxa"/>
            <w:vMerge w:val="restart"/>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color w:val="auto"/>
                <w:kern w:val="0"/>
                <w:sz w:val="24"/>
                <w:szCs w:val="24"/>
                <w:lang w:val="en-US" w:eastAsia="zh-CN"/>
              </w:rPr>
              <w:t>营运期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eastAsia="zh-CN"/>
              </w:rPr>
            </w:pPr>
            <w:r>
              <w:rPr>
                <w:rFonts w:hint="default" w:ascii="Times New Roman" w:hAnsi="Times New Roman" w:eastAsia="宋体" w:cs="Times New Roman"/>
                <w:b w:val="0"/>
                <w:bCs w:val="0"/>
                <w:sz w:val="24"/>
                <w:szCs w:val="24"/>
                <w:lang w:eastAsia="zh-CN"/>
              </w:rPr>
              <w:t>奇家社区污水处理站</w:t>
            </w:r>
          </w:p>
        </w:tc>
        <w:tc>
          <w:tcPr>
            <w:tcW w:w="1760" w:type="dxa"/>
            <w:tcBorders>
              <w:tl2br w:val="nil"/>
              <w:tr2bl w:val="nil"/>
            </w:tcBorders>
            <w:noWrap w:val="0"/>
            <w:vAlign w:val="center"/>
          </w:tcPr>
          <w:p>
            <w:pPr>
              <w:pStyle w:val="93"/>
              <w:keepNext w:val="0"/>
              <w:keepLines w:val="0"/>
              <w:pageBreakBefore w:val="0"/>
              <w:kinsoku/>
              <w:wordWrap/>
              <w:topLinePunct w:val="0"/>
              <w:bidi w:val="0"/>
              <w:adjustRightInd/>
              <w:snapToGrid/>
              <w:spacing w:line="240" w:lineRule="auto"/>
              <w:ind w:firstLine="0" w:firstLineChars="0"/>
              <w:jc w:val="center"/>
              <w:rPr>
                <w:rFonts w:hint="default" w:ascii="Times New Roman" w:hAnsi="Times New Roman" w:eastAsia="宋体" w:cs="Times New Roman"/>
                <w:b w:val="0"/>
                <w:bCs w:val="0"/>
                <w:color w:val="000000"/>
                <w:spacing w:val="-6"/>
                <w:sz w:val="24"/>
                <w:szCs w:val="24"/>
                <w:lang w:val="es-ES"/>
              </w:rPr>
            </w:pPr>
            <w:r>
              <w:rPr>
                <w:rFonts w:hint="default" w:ascii="Times New Roman" w:hAnsi="Times New Roman" w:eastAsia="宋体" w:cs="Times New Roman"/>
                <w:b w:val="0"/>
                <w:bCs w:val="0"/>
                <w:color w:val="000000" w:themeColor="text1"/>
                <w:sz w:val="24"/>
                <w:szCs w:val="24"/>
                <w:highlight w:val="none"/>
                <w:lang w:val="en-US" w:eastAsia="zh-CN"/>
                <w14:textFill>
                  <w14:solidFill>
                    <w14:schemeClr w14:val="tx1"/>
                  </w14:solidFill>
                </w14:textFill>
              </w:rPr>
              <w:t>BOD</w:t>
            </w:r>
            <w:r>
              <w:rPr>
                <w:rFonts w:hint="default" w:ascii="Times New Roman" w:hAnsi="Times New Roman" w:eastAsia="宋体" w:cs="Times New Roman"/>
                <w:b w:val="0"/>
                <w:bCs w:val="0"/>
                <w:color w:val="000000" w:themeColor="text1"/>
                <w:sz w:val="24"/>
                <w:szCs w:val="24"/>
                <w:highlight w:val="none"/>
                <w:vertAlign w:val="subscript"/>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highlight w:val="none"/>
                <w:lang w:val="en-US" w:eastAsia="zh-CN"/>
                <w14:textFill>
                  <w14:solidFill>
                    <w14:schemeClr w14:val="tx1"/>
                  </w14:solidFill>
                </w14:textFill>
              </w:rPr>
              <w:t>、COD、SS、NH</w:t>
            </w:r>
            <w:r>
              <w:rPr>
                <w:rFonts w:hint="default" w:ascii="Times New Roman" w:hAnsi="Times New Roman" w:eastAsia="宋体" w:cs="Times New Roman"/>
                <w:b w:val="0"/>
                <w:bCs w:val="0"/>
                <w:color w:val="000000" w:themeColor="text1"/>
                <w:sz w:val="24"/>
                <w:szCs w:val="24"/>
                <w:highlight w:val="none"/>
                <w:vertAlign w:val="sub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highlight w:val="none"/>
                <w:lang w:val="en-US" w:eastAsia="zh-CN"/>
                <w14:textFill>
                  <w14:solidFill>
                    <w14:schemeClr w14:val="tx1"/>
                  </w14:solidFill>
                </w14:textFill>
              </w:rPr>
              <w:t>-H、动植物油</w:t>
            </w:r>
          </w:p>
        </w:tc>
        <w:tc>
          <w:tcPr>
            <w:tcW w:w="2043" w:type="dxa"/>
            <w:tcBorders>
              <w:tl2br w:val="nil"/>
              <w:tr2bl w:val="nil"/>
            </w:tcBorders>
            <w:noWrap w:val="0"/>
            <w:vAlign w:val="center"/>
          </w:tcPr>
          <w:p>
            <w:pPr>
              <w:spacing w:line="240" w:lineRule="auto"/>
              <w:ind w:firstLine="0" w:firstLineChars="0"/>
              <w:jc w:val="center"/>
              <w:rPr>
                <w:rFonts w:hint="default" w:ascii="Times New Roman" w:hAnsi="Times New Roman" w:eastAsia="宋体" w:cs="Times New Roman"/>
                <w:b w:val="0"/>
                <w:bCs w:val="0"/>
                <w:kern w:val="2"/>
                <w:sz w:val="24"/>
                <w:szCs w:val="24"/>
                <w:u w:val="none"/>
                <w:lang w:val="en-US" w:eastAsia="zh-CN" w:bidi="ar-SA"/>
              </w:rPr>
            </w:pPr>
            <w:r>
              <w:rPr>
                <w:rFonts w:hint="default" w:ascii="Times New Roman" w:hAnsi="Times New Roman" w:eastAsia="宋体" w:cs="Times New Roman"/>
                <w:b w:val="0"/>
                <w:bCs w:val="0"/>
                <w:sz w:val="24"/>
                <w:szCs w:val="24"/>
                <w:lang w:val="en-US" w:eastAsia="zh-CN"/>
              </w:rPr>
              <w:t>三格式化粪池+提升井+调节池+</w:t>
            </w:r>
            <w:r>
              <w:rPr>
                <w:rFonts w:hint="default" w:ascii="Times New Roman" w:hAnsi="Times New Roman" w:eastAsia="宋体" w:cs="Times New Roman"/>
                <w:b w:val="0"/>
                <w:bCs w:val="0"/>
                <w:sz w:val="24"/>
                <w:szCs w:val="24"/>
                <w:lang w:eastAsia="zh-CN"/>
              </w:rPr>
              <w:t>PTA</w:t>
            </w:r>
            <w:r>
              <w:rPr>
                <w:rFonts w:hint="default" w:ascii="Times New Roman" w:hAnsi="Times New Roman" w:eastAsia="宋体" w:cs="Times New Roman"/>
                <w:b w:val="0"/>
                <w:bCs w:val="0"/>
                <w:sz w:val="24"/>
                <w:szCs w:val="24"/>
                <w:vertAlign w:val="superscript"/>
                <w:lang w:eastAsia="zh-CN"/>
              </w:rPr>
              <w:t>2</w:t>
            </w:r>
            <w:r>
              <w:rPr>
                <w:rFonts w:hint="default" w:ascii="Times New Roman" w:hAnsi="Times New Roman" w:eastAsia="宋体" w:cs="Times New Roman"/>
                <w:b w:val="0"/>
                <w:bCs w:val="0"/>
                <w:sz w:val="24"/>
                <w:szCs w:val="24"/>
                <w:lang w:eastAsia="zh-CN"/>
              </w:rPr>
              <w:t>O</w:t>
            </w:r>
            <w:r>
              <w:rPr>
                <w:rFonts w:hint="default" w:ascii="Times New Roman" w:hAnsi="Times New Roman" w:eastAsia="宋体" w:cs="Times New Roman"/>
                <w:b w:val="0"/>
                <w:bCs w:val="0"/>
                <w:sz w:val="24"/>
                <w:szCs w:val="24"/>
                <w:lang w:val="en-US" w:eastAsia="zh-CN"/>
              </w:rPr>
              <w:t>一体化污水综合处理装置+消毒工艺组合</w:t>
            </w:r>
          </w:p>
        </w:tc>
        <w:tc>
          <w:tcPr>
            <w:tcW w:w="2684" w:type="dxa"/>
            <w:tcBorders>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sz w:val="24"/>
                <w:szCs w:val="24"/>
                <w:u w:val="none"/>
                <w:lang w:val="en-US" w:eastAsia="zh-CN" w:bidi="ar"/>
              </w:rPr>
              <w:t>《城镇污水处理厂污染物排放标准》（GB18918-2002）一级标准的A标准，排入小溪，最终汇入南港河</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556"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tc>
        <w:tc>
          <w:tcPr>
            <w:tcW w:w="619" w:type="dxa"/>
            <w:vMerge w:val="continue"/>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eastAsia="zh-CN"/>
              </w:rPr>
            </w:pPr>
            <w:r>
              <w:rPr>
                <w:rFonts w:hint="default" w:ascii="Times New Roman" w:hAnsi="Times New Roman" w:eastAsia="宋体" w:cs="Times New Roman"/>
                <w:b w:val="0"/>
                <w:bCs w:val="0"/>
                <w:sz w:val="24"/>
                <w:szCs w:val="24"/>
                <w:lang w:eastAsia="zh-CN"/>
              </w:rPr>
              <w:t>湿塘污水处理站</w:t>
            </w:r>
          </w:p>
        </w:tc>
        <w:tc>
          <w:tcPr>
            <w:tcW w:w="1760" w:type="dxa"/>
            <w:tcBorders>
              <w:tl2br w:val="nil"/>
              <w:tr2bl w:val="nil"/>
            </w:tcBorders>
            <w:noWrap w:val="0"/>
            <w:vAlign w:val="center"/>
          </w:tcPr>
          <w:p>
            <w:pPr>
              <w:pStyle w:val="93"/>
              <w:keepNext w:val="0"/>
              <w:keepLines w:val="0"/>
              <w:pageBreakBefore w:val="0"/>
              <w:kinsoku/>
              <w:wordWrap/>
              <w:topLinePunct w:val="0"/>
              <w:bidi w:val="0"/>
              <w:adjustRightInd/>
              <w:snapToGrid/>
              <w:spacing w:line="240" w:lineRule="auto"/>
              <w:ind w:firstLine="0" w:firstLineChars="0"/>
              <w:jc w:val="center"/>
              <w:rPr>
                <w:rFonts w:hint="default" w:ascii="Times New Roman" w:hAnsi="Times New Roman" w:eastAsia="宋体" w:cs="Times New Roman"/>
                <w:b w:val="0"/>
                <w:bCs w:val="0"/>
                <w:color w:val="000000"/>
                <w:spacing w:val="-6"/>
                <w:sz w:val="24"/>
                <w:szCs w:val="24"/>
                <w:lang w:val="es-ES"/>
              </w:rPr>
            </w:pPr>
            <w:r>
              <w:rPr>
                <w:rFonts w:hint="default" w:ascii="Times New Roman" w:hAnsi="Times New Roman" w:eastAsia="宋体" w:cs="Times New Roman"/>
                <w:b w:val="0"/>
                <w:bCs w:val="0"/>
                <w:color w:val="000000" w:themeColor="text1"/>
                <w:sz w:val="24"/>
                <w:szCs w:val="24"/>
                <w:highlight w:val="none"/>
                <w:lang w:val="en-US" w:eastAsia="zh-CN"/>
                <w14:textFill>
                  <w14:solidFill>
                    <w14:schemeClr w14:val="tx1"/>
                  </w14:solidFill>
                </w14:textFill>
              </w:rPr>
              <w:t>BOD</w:t>
            </w:r>
            <w:r>
              <w:rPr>
                <w:rFonts w:hint="default" w:ascii="Times New Roman" w:hAnsi="Times New Roman" w:eastAsia="宋体" w:cs="Times New Roman"/>
                <w:b w:val="0"/>
                <w:bCs w:val="0"/>
                <w:color w:val="000000" w:themeColor="text1"/>
                <w:sz w:val="24"/>
                <w:szCs w:val="24"/>
                <w:highlight w:val="none"/>
                <w:vertAlign w:val="subscript"/>
                <w:lang w:val="en-US" w:eastAsia="zh-CN"/>
                <w14:textFill>
                  <w14:solidFill>
                    <w14:schemeClr w14:val="tx1"/>
                  </w14:solidFill>
                </w14:textFill>
              </w:rPr>
              <w:t>5</w:t>
            </w:r>
            <w:r>
              <w:rPr>
                <w:rFonts w:hint="default" w:ascii="Times New Roman" w:hAnsi="Times New Roman" w:eastAsia="宋体" w:cs="Times New Roman"/>
                <w:b w:val="0"/>
                <w:bCs w:val="0"/>
                <w:color w:val="000000" w:themeColor="text1"/>
                <w:sz w:val="24"/>
                <w:szCs w:val="24"/>
                <w:highlight w:val="none"/>
                <w:lang w:val="en-US" w:eastAsia="zh-CN"/>
                <w14:textFill>
                  <w14:solidFill>
                    <w14:schemeClr w14:val="tx1"/>
                  </w14:solidFill>
                </w14:textFill>
              </w:rPr>
              <w:t>、COD、SS、NH</w:t>
            </w:r>
            <w:r>
              <w:rPr>
                <w:rFonts w:hint="default" w:ascii="Times New Roman" w:hAnsi="Times New Roman" w:eastAsia="宋体" w:cs="Times New Roman"/>
                <w:b w:val="0"/>
                <w:bCs w:val="0"/>
                <w:color w:val="000000" w:themeColor="text1"/>
                <w:sz w:val="24"/>
                <w:szCs w:val="24"/>
                <w:highlight w:val="none"/>
                <w:vertAlign w:val="subscript"/>
                <w:lang w:val="en-US" w:eastAsia="zh-CN"/>
                <w14:textFill>
                  <w14:solidFill>
                    <w14:schemeClr w14:val="tx1"/>
                  </w14:solidFill>
                </w14:textFill>
              </w:rPr>
              <w:t>3</w:t>
            </w:r>
            <w:r>
              <w:rPr>
                <w:rFonts w:hint="default" w:ascii="Times New Roman" w:hAnsi="Times New Roman" w:eastAsia="宋体" w:cs="Times New Roman"/>
                <w:b w:val="0"/>
                <w:bCs w:val="0"/>
                <w:color w:val="000000" w:themeColor="text1"/>
                <w:sz w:val="24"/>
                <w:szCs w:val="24"/>
                <w:highlight w:val="none"/>
                <w:lang w:val="en-US" w:eastAsia="zh-CN"/>
                <w14:textFill>
                  <w14:solidFill>
                    <w14:schemeClr w14:val="tx1"/>
                  </w14:solidFill>
                </w14:textFill>
              </w:rPr>
              <w:t>-H、动植物油</w:t>
            </w:r>
          </w:p>
        </w:tc>
        <w:tc>
          <w:tcPr>
            <w:tcW w:w="2043" w:type="dxa"/>
            <w:tcBorders>
              <w:tl2br w:val="nil"/>
              <w:tr2bl w:val="nil"/>
            </w:tcBorders>
            <w:noWrap w:val="0"/>
            <w:vAlign w:val="center"/>
          </w:tcPr>
          <w:p>
            <w:pPr>
              <w:spacing w:line="240" w:lineRule="auto"/>
              <w:ind w:firstLine="0" w:firstLineChars="0"/>
              <w:jc w:val="center"/>
              <w:rPr>
                <w:rFonts w:hint="default" w:ascii="Times New Roman" w:hAnsi="Times New Roman" w:eastAsia="宋体" w:cs="Times New Roman"/>
                <w:b w:val="0"/>
                <w:bCs w:val="0"/>
                <w:kern w:val="2"/>
                <w:sz w:val="24"/>
                <w:szCs w:val="24"/>
                <w:u w:val="none"/>
                <w:lang w:val="en-US" w:eastAsia="zh-CN" w:bidi="ar-SA"/>
              </w:rPr>
            </w:pPr>
            <w:r>
              <w:rPr>
                <w:rFonts w:hint="default" w:ascii="Times New Roman" w:hAnsi="Times New Roman" w:eastAsia="宋体" w:cs="Times New Roman"/>
                <w:b w:val="0"/>
                <w:bCs w:val="0"/>
                <w:sz w:val="24"/>
                <w:szCs w:val="24"/>
                <w:u w:val="none"/>
                <w:lang w:val="en-US" w:eastAsia="zh-CN"/>
              </w:rPr>
              <w:t>四格池</w:t>
            </w:r>
          </w:p>
        </w:tc>
        <w:tc>
          <w:tcPr>
            <w:tcW w:w="2684" w:type="dxa"/>
            <w:tcBorders>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color w:val="000000" w:themeColor="text1"/>
                <w:sz w:val="24"/>
                <w:szCs w:val="24"/>
                <w:highlight w:val="none"/>
                <w:u w:val="none"/>
                <w:lang w:bidi="ar"/>
                <w14:textFill>
                  <w14:solidFill>
                    <w14:schemeClr w14:val="tx1"/>
                  </w14:solidFill>
                </w14:textFill>
              </w:rPr>
              <w:t>达到《城镇污水处理厂污染物排放标准》（GB18918-2002）一级标准的</w:t>
            </w:r>
            <w:r>
              <w:rPr>
                <w:rFonts w:hint="default" w:ascii="Times New Roman" w:hAnsi="Times New Roman" w:eastAsia="宋体" w:cs="Times New Roman"/>
                <w:b w:val="0"/>
                <w:bCs w:val="0"/>
                <w:color w:val="000000" w:themeColor="text1"/>
                <w:sz w:val="24"/>
                <w:szCs w:val="24"/>
                <w:highlight w:val="none"/>
                <w:u w:val="none"/>
                <w:lang w:val="en-US" w:eastAsia="zh-CN" w:bidi="ar"/>
                <w14:textFill>
                  <w14:solidFill>
                    <w14:schemeClr w14:val="tx1"/>
                  </w14:solidFill>
                </w14:textFill>
              </w:rPr>
              <w:t>B</w:t>
            </w:r>
            <w:r>
              <w:rPr>
                <w:rFonts w:hint="default" w:ascii="Times New Roman" w:hAnsi="Times New Roman" w:eastAsia="宋体" w:cs="Times New Roman"/>
                <w:b w:val="0"/>
                <w:bCs w:val="0"/>
                <w:color w:val="000000" w:themeColor="text1"/>
                <w:sz w:val="24"/>
                <w:szCs w:val="24"/>
                <w:highlight w:val="none"/>
                <w:u w:val="none"/>
                <w:lang w:bidi="ar"/>
                <w14:textFill>
                  <w14:solidFill>
                    <w14:schemeClr w14:val="tx1"/>
                  </w14:solidFill>
                </w14:textFill>
              </w:rPr>
              <w:t>标准</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65" w:hRule="atLeast"/>
          <w:jc w:val="center"/>
        </w:trPr>
        <w:tc>
          <w:tcPr>
            <w:tcW w:w="1157" w:type="dxa"/>
            <w:vMerge w:val="restart"/>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固</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体</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废</w:t>
            </w:r>
          </w:p>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kern w:val="2"/>
                <w:sz w:val="24"/>
                <w:szCs w:val="24"/>
              </w:rPr>
              <w:t>物</w:t>
            </w:r>
          </w:p>
        </w:tc>
        <w:tc>
          <w:tcPr>
            <w:tcW w:w="619" w:type="dxa"/>
            <w:vMerge w:val="restart"/>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施工期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土石方开挖</w:t>
            </w:r>
          </w:p>
        </w:tc>
        <w:tc>
          <w:tcPr>
            <w:tcW w:w="1760"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lang w:eastAsia="zh-CN"/>
              </w:rPr>
              <w:t>淤泥</w:t>
            </w:r>
          </w:p>
        </w:tc>
        <w:tc>
          <w:tcPr>
            <w:tcW w:w="2043" w:type="dxa"/>
            <w:tcBorders>
              <w:tl2br w:val="nil"/>
              <w:tr2bl w:val="nil"/>
            </w:tcBorders>
            <w:noWrap w:val="0"/>
            <w:vAlign w:val="center"/>
          </w:tcPr>
          <w:p>
            <w:pPr>
              <w:pStyle w:val="94"/>
              <w:keepNext w:val="0"/>
              <w:keepLines w:val="0"/>
              <w:pageBreakBefore w:val="0"/>
              <w:kinsoku/>
              <w:wordWrap/>
              <w:topLinePunct w:val="0"/>
              <w:bidi w:val="0"/>
              <w:adjustRightInd/>
              <w:snapToGrid/>
              <w:spacing w:line="240" w:lineRule="auto"/>
              <w:ind w:firstLine="0" w:firstLineChars="0"/>
              <w:jc w:val="center"/>
              <w:rPr>
                <w:rFonts w:hint="default" w:ascii="Times New Roman" w:hAnsi="Times New Roman" w:eastAsia="宋体" w:cs="Times New Roman"/>
                <w:b w:val="0"/>
                <w:bCs w:val="0"/>
                <w:spacing w:val="6"/>
                <w:sz w:val="24"/>
                <w:szCs w:val="24"/>
              </w:rPr>
            </w:pPr>
            <w:r>
              <w:rPr>
                <w:rFonts w:hint="default" w:ascii="Times New Roman" w:hAnsi="Times New Roman" w:eastAsia="宋体" w:cs="Times New Roman"/>
                <w:b w:val="0"/>
                <w:bCs w:val="0"/>
                <w:spacing w:val="6"/>
                <w:sz w:val="24"/>
                <w:szCs w:val="24"/>
                <w:lang w:val="en-US" w:eastAsia="zh-CN"/>
              </w:rPr>
              <w:t>淤泥进行脱水后回用于平整边坡</w:t>
            </w:r>
          </w:p>
        </w:tc>
        <w:tc>
          <w:tcPr>
            <w:tcW w:w="2684" w:type="dxa"/>
            <w:tcBorders>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firstLine="0"/>
              <w:jc w:val="center"/>
              <w:outlineLvl w:val="9"/>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sz w:val="24"/>
                <w:szCs w:val="24"/>
                <w:u w:val="none"/>
                <w:lang w:val="en-US" w:eastAsia="zh-CN" w:bidi="ar"/>
              </w:rPr>
              <w:t>资源化</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65"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tc>
        <w:tc>
          <w:tcPr>
            <w:tcW w:w="619" w:type="dxa"/>
            <w:vMerge w:val="continue"/>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施工过程</w:t>
            </w:r>
          </w:p>
        </w:tc>
        <w:tc>
          <w:tcPr>
            <w:tcW w:w="1760" w:type="dxa"/>
            <w:tcBorders>
              <w:bottom w:val="single" w:color="auto" w:sz="4" w:space="0"/>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lang w:val="en-US" w:eastAsia="zh-CN"/>
              </w:rPr>
              <w:t>弃渣</w:t>
            </w:r>
          </w:p>
        </w:tc>
        <w:tc>
          <w:tcPr>
            <w:tcW w:w="2043" w:type="dxa"/>
            <w:tcBorders>
              <w:bottom w:val="single" w:color="auto" w:sz="4" w:space="0"/>
              <w:tl2br w:val="nil"/>
              <w:tr2bl w:val="nil"/>
            </w:tcBorders>
            <w:noWrap w:val="0"/>
            <w:vAlign w:val="center"/>
          </w:tcPr>
          <w:p>
            <w:pPr>
              <w:pStyle w:val="94"/>
              <w:keepNext w:val="0"/>
              <w:keepLines w:val="0"/>
              <w:pageBreakBefore w:val="0"/>
              <w:kinsoku/>
              <w:wordWrap/>
              <w:topLinePunct w:val="0"/>
              <w:bidi w:val="0"/>
              <w:adjustRightInd/>
              <w:snapToGrid/>
              <w:spacing w:line="240" w:lineRule="auto"/>
              <w:ind w:firstLine="0" w:firstLineChars="0"/>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lang w:val="en-US" w:eastAsia="zh-CN"/>
              </w:rPr>
              <w:t>由渣土部门进行处置</w:t>
            </w:r>
          </w:p>
        </w:tc>
        <w:tc>
          <w:tcPr>
            <w:tcW w:w="2684" w:type="dxa"/>
            <w:tcBorders>
              <w:bottom w:val="single" w:color="auto" w:sz="4" w:space="0"/>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firstLine="0"/>
              <w:jc w:val="center"/>
              <w:outlineLvl w:val="9"/>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z w:val="24"/>
                <w:szCs w:val="24"/>
              </w:rPr>
              <w:t>符合环保要求</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65"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tc>
        <w:tc>
          <w:tcPr>
            <w:tcW w:w="619"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color w:val="auto"/>
                <w:kern w:val="0"/>
                <w:sz w:val="24"/>
                <w:szCs w:val="24"/>
                <w:lang w:val="en-US" w:eastAsia="zh-CN"/>
              </w:rPr>
              <w:t>营运期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污水处理站</w:t>
            </w:r>
          </w:p>
        </w:tc>
        <w:tc>
          <w:tcPr>
            <w:tcW w:w="1760" w:type="dxa"/>
            <w:tcBorders>
              <w:bottom w:val="single" w:color="auto" w:sz="4" w:space="0"/>
              <w:tl2br w:val="nil"/>
              <w:tr2bl w:val="nil"/>
            </w:tcBorders>
            <w:noWrap w:val="0"/>
            <w:vAlign w:val="center"/>
          </w:tcPr>
          <w:p>
            <w:pPr>
              <w:spacing w:line="240" w:lineRule="auto"/>
              <w:ind w:firstLine="0" w:firstLineChars="0"/>
              <w:jc w:val="center"/>
              <w:rPr>
                <w:rFonts w:hint="default" w:ascii="Times New Roman" w:hAnsi="Times New Roman" w:eastAsia="宋体" w:cs="Times New Roman"/>
                <w:b w:val="0"/>
                <w:bCs w:val="0"/>
                <w:kern w:val="2"/>
                <w:sz w:val="24"/>
                <w:szCs w:val="24"/>
                <w:u w:val="none"/>
                <w:lang w:val="en-US" w:eastAsia="zh-CN" w:bidi="ar-SA"/>
              </w:rPr>
            </w:pPr>
            <w:r>
              <w:rPr>
                <w:rFonts w:hint="default" w:ascii="Times New Roman" w:hAnsi="Times New Roman" w:eastAsia="宋体" w:cs="Times New Roman"/>
                <w:b w:val="0"/>
                <w:bCs w:val="0"/>
                <w:sz w:val="24"/>
                <w:szCs w:val="24"/>
                <w:u w:val="none"/>
                <w:lang w:val="en-US" w:eastAsia="zh-CN"/>
              </w:rPr>
              <w:t>剩余污泥</w:t>
            </w:r>
          </w:p>
        </w:tc>
        <w:tc>
          <w:tcPr>
            <w:tcW w:w="2043" w:type="dxa"/>
            <w:tcBorders>
              <w:bottom w:val="single" w:color="auto" w:sz="4" w:space="0"/>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sz w:val="24"/>
                <w:szCs w:val="24"/>
                <w:u w:val="none"/>
                <w:lang w:val="en-US" w:eastAsia="zh-CN"/>
              </w:rPr>
              <w:t>定期外运至罗家坡污水处理厂集中处置</w:t>
            </w:r>
          </w:p>
        </w:tc>
        <w:tc>
          <w:tcPr>
            <w:tcW w:w="2684" w:type="dxa"/>
            <w:tcBorders>
              <w:bottom w:val="single" w:color="auto" w:sz="4" w:space="0"/>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sz w:val="24"/>
                <w:szCs w:val="24"/>
                <w:u w:val="none"/>
                <w:lang w:val="en-US" w:eastAsia="zh-CN" w:bidi="ar"/>
              </w:rPr>
              <w:t>资源化</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65" w:hRule="atLeast"/>
          <w:jc w:val="center"/>
        </w:trPr>
        <w:tc>
          <w:tcPr>
            <w:tcW w:w="1157" w:type="dxa"/>
            <w:vMerge w:val="restart"/>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r>
              <w:rPr>
                <w:rFonts w:hint="default" w:ascii="Times New Roman" w:hAnsi="Times New Roman" w:eastAsia="宋体" w:cs="Times New Roman"/>
                <w:b w:val="0"/>
                <w:bCs w:val="0"/>
                <w:color w:val="000000"/>
                <w:kern w:val="2"/>
                <w:sz w:val="24"/>
                <w:szCs w:val="24"/>
              </w:rPr>
              <w:t>噪声</w:t>
            </w:r>
          </w:p>
        </w:tc>
        <w:tc>
          <w:tcPr>
            <w:tcW w:w="619"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z w:val="24"/>
                <w:szCs w:val="24"/>
              </w:rPr>
              <w:t>施工期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施工区</w:t>
            </w:r>
          </w:p>
        </w:tc>
        <w:tc>
          <w:tcPr>
            <w:tcW w:w="1760"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rPr>
            </w:pPr>
            <w:r>
              <w:rPr>
                <w:rFonts w:hint="default" w:ascii="Times New Roman" w:hAnsi="Times New Roman" w:eastAsia="宋体" w:cs="Times New Roman"/>
                <w:b w:val="0"/>
                <w:bCs w:val="0"/>
                <w:sz w:val="24"/>
                <w:szCs w:val="24"/>
              </w:rPr>
              <w:t>施工噪声</w:t>
            </w:r>
          </w:p>
        </w:tc>
        <w:tc>
          <w:tcPr>
            <w:tcW w:w="2043" w:type="dxa"/>
            <w:tcBorders>
              <w:tl2br w:val="nil"/>
              <w:tr2bl w:val="nil"/>
            </w:tcBorders>
            <w:noWrap w:val="0"/>
            <w:vAlign w:val="center"/>
          </w:tcPr>
          <w:p>
            <w:pPr>
              <w:pStyle w:val="94"/>
              <w:keepNext w:val="0"/>
              <w:keepLines w:val="0"/>
              <w:pageBreakBefore w:val="0"/>
              <w:kinsoku/>
              <w:wordWrap/>
              <w:topLinePunct w:val="0"/>
              <w:bidi w:val="0"/>
              <w:adjustRightInd/>
              <w:snapToGrid/>
              <w:spacing w:line="240" w:lineRule="auto"/>
              <w:ind w:firstLine="0" w:firstLineChars="0"/>
              <w:jc w:val="center"/>
              <w:rPr>
                <w:rFonts w:hint="default" w:ascii="Times New Roman" w:hAnsi="Times New Roman" w:eastAsia="宋体" w:cs="Times New Roman"/>
                <w:b w:val="0"/>
                <w:bCs w:val="0"/>
                <w:spacing w:val="6"/>
                <w:sz w:val="24"/>
                <w:szCs w:val="24"/>
              </w:rPr>
            </w:pPr>
            <w:r>
              <w:rPr>
                <w:rFonts w:hint="default" w:ascii="Times New Roman" w:hAnsi="Times New Roman" w:eastAsia="宋体" w:cs="Times New Roman"/>
                <w:b w:val="0"/>
                <w:bCs w:val="0"/>
                <w:sz w:val="24"/>
                <w:szCs w:val="24"/>
              </w:rPr>
              <w:t>使用低噪声设备，合理安排施工时间</w:t>
            </w:r>
          </w:p>
        </w:tc>
        <w:tc>
          <w:tcPr>
            <w:tcW w:w="2684" w:type="dxa"/>
            <w:tcBorders>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firstLine="0"/>
              <w:jc w:val="center"/>
              <w:outlineLvl w:val="9"/>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sz w:val="24"/>
                <w:szCs w:val="24"/>
              </w:rPr>
              <w:t>《建筑施工场界环境噪声排放标准》(GB12523-2011)</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465" w:hRule="atLeast"/>
          <w:jc w:val="center"/>
        </w:trPr>
        <w:tc>
          <w:tcPr>
            <w:tcW w:w="1157" w:type="dxa"/>
            <w:vMerge w:val="continue"/>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kern w:val="2"/>
                <w:sz w:val="24"/>
                <w:szCs w:val="24"/>
              </w:rPr>
            </w:pPr>
          </w:p>
        </w:tc>
        <w:tc>
          <w:tcPr>
            <w:tcW w:w="619" w:type="dxa"/>
            <w:tcBorders>
              <w:tl2br w:val="nil"/>
              <w:tr2bl w:val="nil"/>
            </w:tcBorders>
            <w:noWrap w:val="0"/>
            <w:vAlign w:val="center"/>
          </w:tcPr>
          <w:p>
            <w:pPr>
              <w:pStyle w:val="38"/>
              <w:keepNext w:val="0"/>
              <w:keepLines w:val="0"/>
              <w:pageBreakBefore w:val="0"/>
              <w:kinsoku/>
              <w:wordWrap/>
              <w:topLinePunct w:val="0"/>
              <w:bidi w:val="0"/>
              <w:adjustRightInd/>
              <w:snapToGrid/>
              <w:spacing w:line="240" w:lineRule="auto"/>
              <w:ind w:firstLine="0"/>
              <w:rPr>
                <w:rFonts w:hint="default" w:ascii="Times New Roman" w:hAnsi="Times New Roman" w:eastAsia="宋体" w:cs="Times New Roman"/>
                <w:b w:val="0"/>
                <w:bCs w:val="0"/>
                <w:color w:val="000000"/>
                <w:sz w:val="24"/>
                <w:szCs w:val="24"/>
                <w:lang w:eastAsia="zh-CN"/>
              </w:rPr>
            </w:pPr>
            <w:r>
              <w:rPr>
                <w:rFonts w:hint="default" w:ascii="Times New Roman" w:hAnsi="Times New Roman" w:eastAsia="宋体" w:cs="Times New Roman"/>
                <w:b w:val="0"/>
                <w:bCs w:val="0"/>
                <w:color w:val="000000"/>
                <w:sz w:val="24"/>
                <w:szCs w:val="24"/>
                <w:lang w:eastAsia="zh-CN"/>
              </w:rPr>
              <w:t>营运期</w:t>
            </w:r>
          </w:p>
        </w:tc>
        <w:tc>
          <w:tcPr>
            <w:tcW w:w="1512" w:type="dxa"/>
            <w:tcBorders>
              <w:tl2br w:val="nil"/>
              <w:tr2bl w:val="nil"/>
            </w:tcBorders>
            <w:noWrap w:val="0"/>
            <w:vAlign w:val="center"/>
          </w:tcPr>
          <w:p>
            <w:pPr>
              <w:keepNext w:val="0"/>
              <w:keepLines w:val="0"/>
              <w:pageBreakBefore w:val="0"/>
              <w:kinsoku/>
              <w:wordWrap/>
              <w:topLinePunct w:val="0"/>
              <w:bidi w:val="0"/>
              <w:adjustRightInd/>
              <w:snapToGrid/>
              <w:spacing w:line="240" w:lineRule="auto"/>
              <w:jc w:val="center"/>
              <w:rPr>
                <w:rFonts w:hint="default" w:ascii="Times New Roman" w:hAnsi="Times New Roman" w:eastAsia="宋体" w:cs="Times New Roman"/>
                <w:b w:val="0"/>
                <w:bCs w:val="0"/>
                <w:sz w:val="24"/>
                <w:szCs w:val="24"/>
                <w:lang w:eastAsia="zh-CN"/>
              </w:rPr>
            </w:pPr>
            <w:r>
              <w:rPr>
                <w:rFonts w:hint="default" w:ascii="Times New Roman" w:hAnsi="Times New Roman" w:eastAsia="宋体" w:cs="Times New Roman"/>
                <w:b w:val="0"/>
                <w:bCs w:val="0"/>
                <w:sz w:val="24"/>
                <w:szCs w:val="24"/>
                <w:lang w:eastAsia="zh-CN"/>
              </w:rPr>
              <w:t>污水处理站</w:t>
            </w:r>
          </w:p>
        </w:tc>
        <w:tc>
          <w:tcPr>
            <w:tcW w:w="1760" w:type="dxa"/>
            <w:tcBorders>
              <w:tl2br w:val="nil"/>
              <w:tr2bl w:val="nil"/>
            </w:tcBorders>
            <w:noWrap w:val="0"/>
            <w:vAlign w:val="center"/>
          </w:tcPr>
          <w:p>
            <w:pPr>
              <w:spacing w:line="240" w:lineRule="auto"/>
              <w:ind w:firstLine="0" w:firstLineChars="0"/>
              <w:jc w:val="center"/>
              <w:rPr>
                <w:rFonts w:hint="default" w:ascii="Times New Roman" w:hAnsi="Times New Roman" w:eastAsia="宋体" w:cs="Times New Roman"/>
                <w:b w:val="0"/>
                <w:bCs w:val="0"/>
                <w:kern w:val="2"/>
                <w:sz w:val="24"/>
                <w:szCs w:val="24"/>
                <w:u w:val="none"/>
                <w:lang w:val="en-US" w:eastAsia="zh-CN" w:bidi="ar-SA"/>
              </w:rPr>
            </w:pPr>
            <w:r>
              <w:rPr>
                <w:rFonts w:hint="default" w:ascii="Times New Roman" w:hAnsi="Times New Roman" w:eastAsia="宋体" w:cs="Times New Roman"/>
                <w:b w:val="0"/>
                <w:bCs w:val="0"/>
                <w:kern w:val="2"/>
                <w:sz w:val="24"/>
                <w:szCs w:val="24"/>
                <w:u w:val="none"/>
                <w:lang w:val="en-US" w:eastAsia="zh-CN" w:bidi="ar-SA"/>
              </w:rPr>
              <w:t>设备噪声</w:t>
            </w:r>
          </w:p>
        </w:tc>
        <w:tc>
          <w:tcPr>
            <w:tcW w:w="2043" w:type="dxa"/>
            <w:tcBorders>
              <w:tl2br w:val="nil"/>
              <w:tr2bl w:val="nil"/>
            </w:tcBorders>
            <w:noWrap w:val="0"/>
            <w:vAlign w:val="center"/>
          </w:tcPr>
          <w:p>
            <w:pPr>
              <w:pStyle w:val="38"/>
              <w:keepNext w:val="0"/>
              <w:keepLines w:val="0"/>
              <w:pageBreakBefore w:val="0"/>
              <w:widowControl w:val="0"/>
              <w:kinsoku/>
              <w:wordWrap/>
              <w:overflowPunct w:val="0"/>
              <w:topLinePunct w:val="0"/>
              <w:autoSpaceDE w:val="0"/>
              <w:autoSpaceDN w:val="0"/>
              <w:bidi w:val="0"/>
              <w:adjustRightInd/>
              <w:snapToGrid/>
              <w:spacing w:line="240" w:lineRule="auto"/>
              <w:ind w:firstLine="0" w:firstLineChars="0"/>
              <w:textAlignment w:val="auto"/>
              <w:outlineLvl w:val="9"/>
              <w:rPr>
                <w:rFonts w:hint="default" w:ascii="Times New Roman" w:hAnsi="Times New Roman" w:eastAsia="宋体" w:cs="Times New Roman"/>
                <w:b w:val="0"/>
                <w:bCs w:val="0"/>
                <w:kern w:val="2"/>
                <w:sz w:val="24"/>
                <w:szCs w:val="24"/>
                <w:u w:val="none"/>
                <w:lang w:val="en-US" w:eastAsia="zh-CN" w:bidi="ar"/>
              </w:rPr>
            </w:pPr>
            <w:r>
              <w:rPr>
                <w:rFonts w:hint="default" w:ascii="Times New Roman" w:hAnsi="Times New Roman" w:eastAsia="宋体" w:cs="Times New Roman"/>
                <w:b w:val="0"/>
                <w:bCs w:val="0"/>
                <w:sz w:val="24"/>
                <w:szCs w:val="24"/>
                <w:u w:val="none"/>
              </w:rPr>
              <w:t>选用低噪声设备</w:t>
            </w:r>
            <w:r>
              <w:rPr>
                <w:rFonts w:hint="default" w:ascii="Times New Roman" w:hAnsi="Times New Roman" w:eastAsia="宋体" w:cs="Times New Roman"/>
                <w:b w:val="0"/>
                <w:bCs w:val="0"/>
                <w:sz w:val="24"/>
                <w:szCs w:val="24"/>
                <w:u w:val="none"/>
                <w:lang w:eastAsia="zh-CN"/>
              </w:rPr>
              <w:t>，</w:t>
            </w:r>
            <w:r>
              <w:rPr>
                <w:rFonts w:hint="default" w:ascii="Times New Roman" w:hAnsi="Times New Roman" w:eastAsia="宋体" w:cs="Times New Roman"/>
                <w:b w:val="0"/>
                <w:bCs w:val="0"/>
                <w:sz w:val="24"/>
                <w:szCs w:val="24"/>
                <w:u w:val="none"/>
                <w:lang w:val="en-US" w:eastAsia="zh-CN"/>
              </w:rPr>
              <w:t>减振、隔声</w:t>
            </w:r>
          </w:p>
        </w:tc>
        <w:tc>
          <w:tcPr>
            <w:tcW w:w="2684" w:type="dxa"/>
            <w:tcBorders>
              <w:tl2br w:val="nil"/>
              <w:tr2bl w:val="nil"/>
            </w:tcBorders>
            <w:noWrap w:val="0"/>
            <w:vAlign w:val="center"/>
          </w:tcPr>
          <w:p>
            <w:pPr>
              <w:pStyle w:val="72"/>
              <w:keepNext w:val="0"/>
              <w:keepLines w:val="0"/>
              <w:pageBreakBefore w:val="0"/>
              <w:tabs>
                <w:tab w:val="left" w:pos="1740"/>
              </w:tabs>
              <w:kinsoku/>
              <w:wordWrap/>
              <w:topLinePunct w:val="0"/>
              <w:bidi w:val="0"/>
              <w:adjustRightInd/>
              <w:snapToGrid/>
              <w:spacing w:before="0" w:after="0" w:line="240" w:lineRule="auto"/>
              <w:ind w:left="0" w:firstLine="0"/>
              <w:jc w:val="center"/>
              <w:outlineLvl w:val="9"/>
              <w:rPr>
                <w:rFonts w:hint="default" w:ascii="Times New Roman" w:hAnsi="Times New Roman" w:eastAsia="宋体" w:cs="Times New Roman"/>
                <w:b w:val="0"/>
                <w:bCs w:val="0"/>
                <w:color w:val="000000"/>
                <w:sz w:val="24"/>
                <w:szCs w:val="24"/>
              </w:rPr>
            </w:pPr>
            <w:r>
              <w:rPr>
                <w:rFonts w:hint="default" w:ascii="Times New Roman" w:hAnsi="Times New Roman" w:eastAsia="宋体" w:cs="Times New Roman"/>
                <w:b w:val="0"/>
                <w:bCs w:val="0"/>
                <w:color w:val="000000" w:themeColor="text1"/>
                <w:sz w:val="24"/>
                <w:szCs w:val="24"/>
                <w:highlight w:val="none"/>
                <w:u w:val="none"/>
                <w:lang w:bidi="ar"/>
                <w14:textFill>
                  <w14:solidFill>
                    <w14:schemeClr w14:val="tx1"/>
                  </w14:solidFill>
                </w14:textFill>
              </w:rPr>
              <w:t>达到《工业企业厂界环境噪声排放标准》</w:t>
            </w:r>
            <w:r>
              <w:rPr>
                <w:rFonts w:hint="default" w:ascii="Times New Roman" w:hAnsi="Times New Roman" w:eastAsia="宋体" w:cs="Times New Roman"/>
                <w:b w:val="0"/>
                <w:bCs w:val="0"/>
                <w:color w:val="000000" w:themeColor="text1"/>
                <w:sz w:val="24"/>
                <w:szCs w:val="24"/>
                <w:highlight w:val="none"/>
                <w:u w:val="none"/>
                <w:lang w:val="en-US" w:eastAsia="zh-CN" w:bidi="ar"/>
                <w14:textFill>
                  <w14:solidFill>
                    <w14:schemeClr w14:val="tx1"/>
                  </w14:solidFill>
                </w14:textFill>
              </w:rPr>
              <w:t>2类</w:t>
            </w:r>
            <w:r>
              <w:rPr>
                <w:rFonts w:hint="default" w:ascii="Times New Roman" w:hAnsi="Times New Roman" w:eastAsia="宋体" w:cs="Times New Roman"/>
                <w:b w:val="0"/>
                <w:bCs w:val="0"/>
                <w:color w:val="000000" w:themeColor="text1"/>
                <w:sz w:val="24"/>
                <w:szCs w:val="24"/>
                <w:highlight w:val="none"/>
                <w:u w:val="none"/>
                <w:lang w:bidi="ar"/>
                <w14:textFill>
                  <w14:solidFill>
                    <w14:schemeClr w14:val="tx1"/>
                  </w14:solidFill>
                </w14:textFill>
              </w:rPr>
              <w:t>标准</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664" w:hRule="atLeast"/>
          <w:jc w:val="center"/>
        </w:trPr>
        <w:tc>
          <w:tcPr>
            <w:tcW w:w="9775" w:type="dxa"/>
            <w:gridSpan w:val="6"/>
            <w:tcBorders>
              <w:tl2br w:val="nil"/>
              <w:tr2bl w:val="nil"/>
            </w:tcBorders>
            <w:noWrap w:val="0"/>
            <w:vAlign w:val="center"/>
          </w:tcPr>
          <w:p>
            <w:pPr>
              <w:keepNext w:val="0"/>
              <w:keepLines w:val="0"/>
              <w:pageBreakBefore w:val="0"/>
              <w:kinsoku/>
              <w:wordWrap/>
              <w:topLinePunct w:val="0"/>
              <w:bidi w:val="0"/>
              <w:adjustRightInd/>
              <w:snapToGrid/>
              <w:spacing w:line="360" w:lineRule="auto"/>
              <w:rPr>
                <w:rFonts w:hint="default"/>
                <w:sz w:val="24"/>
                <w:szCs w:val="24"/>
              </w:rPr>
            </w:pPr>
            <w:r>
              <w:rPr>
                <w:rFonts w:hint="default"/>
                <w:sz w:val="24"/>
                <w:szCs w:val="24"/>
              </w:rPr>
              <w:t>生态保护措施及预期效果</w:t>
            </w:r>
          </w:p>
          <w:p>
            <w:pPr>
              <w:pStyle w:val="92"/>
              <w:spacing w:line="360" w:lineRule="auto"/>
              <w:ind w:firstLine="480"/>
              <w:rPr>
                <w:rFonts w:hint="eastAsia"/>
                <w:sz w:val="24"/>
                <w:szCs w:val="24"/>
                <w:lang w:val="en-US" w:eastAsia="zh-CN"/>
              </w:rPr>
            </w:pPr>
            <w:r>
              <w:rPr>
                <w:rFonts w:hint="eastAsia"/>
                <w:sz w:val="24"/>
                <w:szCs w:val="24"/>
                <w:lang w:val="en-US" w:eastAsia="zh-CN"/>
              </w:rPr>
              <w:t>项目施工期的主要生态问题是场地的平整、施工材料的堆放、施工人员活动、土地开挖等对局部区域植被有一定的破坏；土地开挖后，表土疏松，遇上大雨天，会造成一定程度的水土流失。施工期的影响是局部的、轻微的和可逆的，施工结束影响消失。项目营运期对生态无显著影响。</w:t>
            </w:r>
          </w:p>
          <w:p>
            <w:pPr>
              <w:pStyle w:val="8"/>
              <w:ind w:firstLine="560" w:firstLineChars="200"/>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pStyle w:val="25"/>
              <w:rPr>
                <w:rFonts w:hint="default"/>
              </w:rPr>
            </w:pPr>
          </w:p>
          <w:p>
            <w:pPr>
              <w:rPr>
                <w:rFonts w:hint="default"/>
              </w:rPr>
            </w:pPr>
          </w:p>
          <w:p>
            <w:pPr>
              <w:rPr>
                <w:rFonts w:hint="default"/>
              </w:rPr>
            </w:pPr>
          </w:p>
        </w:tc>
      </w:tr>
    </w:tbl>
    <w:p>
      <w:pPr>
        <w:pStyle w:val="37"/>
        <w:pageBreakBefore/>
        <w:tabs>
          <w:tab w:val="clear" w:pos="1800"/>
        </w:tabs>
        <w:rPr>
          <w:rFonts w:eastAsia="宋体"/>
          <w:color w:val="auto"/>
        </w:rPr>
      </w:pPr>
      <w:bookmarkStart w:id="104" w:name="_Toc12621"/>
      <w:r>
        <w:rPr>
          <w:rFonts w:eastAsia="宋体"/>
          <w:color w:val="auto"/>
        </w:rPr>
        <w:t>九、结论与建议</w:t>
      </w:r>
      <w:bookmarkEnd w:id="70"/>
      <w:bookmarkEnd w:id="103"/>
      <w:bookmarkEnd w:id="104"/>
    </w:p>
    <w:tbl>
      <w:tblPr>
        <w:tblStyle w:val="26"/>
        <w:tblW w:w="9460" w:type="dxa"/>
        <w:tblInd w:w="0" w:type="dxa"/>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Layout w:type="fixed"/>
        <w:tblCellMar>
          <w:top w:w="0" w:type="dxa"/>
          <w:left w:w="108" w:type="dxa"/>
          <w:bottom w:w="0" w:type="dxa"/>
          <w:right w:w="108" w:type="dxa"/>
        </w:tblCellMar>
      </w:tblPr>
      <w:tblGrid>
        <w:gridCol w:w="9460"/>
      </w:tblGrid>
      <w:tr>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trHeight w:val="1374" w:hRule="atLeast"/>
        </w:trPr>
        <w:tc>
          <w:tcPr>
            <w:tcW w:w="9460" w:type="dxa"/>
            <w:tcBorders>
              <w:tl2br w:val="nil"/>
              <w:tr2bl w:val="nil"/>
            </w:tcBorders>
            <w:vAlign w:val="center"/>
          </w:tcPr>
          <w:p>
            <w:pPr>
              <w:keepNext w:val="0"/>
              <w:keepLines w:val="0"/>
              <w:pageBreakBefore w:val="0"/>
              <w:widowControl w:val="0"/>
              <w:tabs>
                <w:tab w:val="left" w:pos="360"/>
              </w:tabs>
              <w:kinsoku/>
              <w:wordWrap/>
              <w:overflowPunct/>
              <w:topLinePunct w:val="0"/>
              <w:autoSpaceDE/>
              <w:autoSpaceDN/>
              <w:bidi w:val="0"/>
              <w:adjustRightInd/>
              <w:snapToGrid/>
              <w:spacing w:line="360" w:lineRule="auto"/>
              <w:ind w:left="0" w:leftChars="0" w:right="0" w:rightChars="0"/>
              <w:jc w:val="both"/>
              <w:textAlignment w:val="auto"/>
              <w:outlineLvl w:val="9"/>
              <w:rPr>
                <w:b/>
                <w:snapToGrid w:val="0"/>
                <w:color w:val="auto"/>
                <w:sz w:val="24"/>
                <w:lang w:val="zh-CN"/>
              </w:rPr>
            </w:pPr>
            <w:r>
              <w:rPr>
                <w:rFonts w:hint="eastAsia"/>
                <w:b/>
                <w:snapToGrid w:val="0"/>
                <w:color w:val="auto"/>
                <w:sz w:val="24"/>
                <w:lang w:val="en-US" w:eastAsia="zh-CN"/>
              </w:rPr>
              <w:t>9.1</w:t>
            </w:r>
            <w:r>
              <w:rPr>
                <w:b/>
                <w:snapToGrid w:val="0"/>
                <w:color w:val="auto"/>
                <w:sz w:val="24"/>
                <w:lang w:val="zh-CN"/>
              </w:rPr>
              <w:t>工程概述</w:t>
            </w:r>
          </w:p>
          <w:p>
            <w:pPr>
              <w:pStyle w:val="8"/>
              <w:keepNext w:val="0"/>
              <w:keepLines w:val="0"/>
              <w:pageBreakBefore w:val="0"/>
              <w:widowControl w:val="0"/>
              <w:kinsoku/>
              <w:wordWrap/>
              <w:topLinePunct w:val="0"/>
              <w:bidi w:val="0"/>
              <w:adjustRightInd w:val="0"/>
              <w:snapToGrid/>
              <w:spacing w:line="360" w:lineRule="auto"/>
              <w:ind w:left="0" w:leftChars="0" w:right="0" w:rightChars="0" w:firstLine="480"/>
              <w:jc w:val="both"/>
              <w:textAlignment w:val="auto"/>
              <w:outlineLvl w:val="9"/>
              <w:rPr>
                <w:color w:val="auto"/>
                <w:sz w:val="24"/>
                <w:szCs w:val="24"/>
              </w:rPr>
            </w:pPr>
            <w:r>
              <w:rPr>
                <w:color w:val="auto"/>
                <w:sz w:val="24"/>
                <w:szCs w:val="24"/>
              </w:rPr>
              <w:t>项目名称：</w:t>
            </w:r>
            <w:r>
              <w:rPr>
                <w:rFonts w:hint="eastAsia" w:ascii="Times New Roman" w:hAnsi="Times New Roman" w:eastAsia="宋体"/>
                <w:color w:val="auto"/>
                <w:sz w:val="24"/>
                <w:szCs w:val="24"/>
                <w:lang w:val="en-US" w:eastAsia="zh-CN"/>
              </w:rPr>
              <w:t>罗家坡污水系统收集管网完善工程建设项目</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color w:val="auto"/>
                <w:sz w:val="24"/>
                <w:szCs w:val="24"/>
                <w:highlight w:val="none"/>
              </w:rPr>
            </w:pPr>
            <w:r>
              <w:rPr>
                <w:color w:val="auto"/>
                <w:sz w:val="24"/>
                <w:szCs w:val="24"/>
              </w:rPr>
              <w:t>建设单位</w:t>
            </w:r>
            <w:r>
              <w:rPr>
                <w:color w:val="auto"/>
                <w:sz w:val="24"/>
                <w:szCs w:val="24"/>
                <w:highlight w:val="none"/>
              </w:rPr>
              <w:t>：</w:t>
            </w:r>
            <w:r>
              <w:rPr>
                <w:rFonts w:hint="eastAsia" w:ascii="Times New Roman" w:hAnsi="Times New Roman"/>
                <w:color w:val="auto"/>
                <w:sz w:val="24"/>
                <w:szCs w:val="24"/>
                <w:highlight w:val="none"/>
                <w:lang w:val="en-US" w:eastAsia="zh-CN"/>
              </w:rPr>
              <w:t>中国市政工程华北设计研究总院有限公司</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color w:val="auto"/>
                <w:sz w:val="24"/>
                <w:szCs w:val="24"/>
              </w:rPr>
            </w:pPr>
            <w:r>
              <w:rPr>
                <w:color w:val="auto"/>
                <w:sz w:val="24"/>
                <w:szCs w:val="24"/>
              </w:rPr>
              <w:t>建设性质：</w:t>
            </w:r>
            <w:r>
              <w:rPr>
                <w:rFonts w:hint="eastAsia"/>
                <w:color w:val="auto"/>
                <w:sz w:val="24"/>
                <w:szCs w:val="24"/>
                <w:lang w:val="en-US" w:eastAsia="zh-CN"/>
              </w:rPr>
              <w:t>新建</w:t>
            </w:r>
          </w:p>
          <w:p>
            <w:pPr>
              <w:pStyle w:val="8"/>
              <w:keepNext w:val="0"/>
              <w:keepLines w:val="0"/>
              <w:pageBreakBefore w:val="0"/>
              <w:widowControl w:val="0"/>
              <w:kinsoku/>
              <w:wordWrap/>
              <w:topLinePunct w:val="0"/>
              <w:bidi w:val="0"/>
              <w:snapToGrid/>
              <w:spacing w:line="360" w:lineRule="auto"/>
              <w:ind w:left="0" w:leftChars="0" w:right="0" w:rightChars="0" w:firstLine="480"/>
              <w:jc w:val="both"/>
              <w:textAlignment w:val="auto"/>
              <w:outlineLvl w:val="9"/>
              <w:rPr>
                <w:rFonts w:hint="eastAsia"/>
                <w:color w:val="auto"/>
                <w:sz w:val="24"/>
                <w:szCs w:val="24"/>
                <w:lang w:eastAsia="zh-CN"/>
              </w:rPr>
            </w:pPr>
            <w:r>
              <w:rPr>
                <w:rFonts w:eastAsia="宋体"/>
                <w:color w:val="auto"/>
                <w:sz w:val="24"/>
                <w:szCs w:val="24"/>
              </w:rPr>
              <w:t>建设地点：</w:t>
            </w:r>
            <w:r>
              <w:rPr>
                <w:rFonts w:hint="eastAsia"/>
                <w:color w:val="auto"/>
                <w:sz w:val="24"/>
                <w:szCs w:val="24"/>
                <w:lang w:eastAsia="zh-CN"/>
              </w:rPr>
              <w:t>岳阳市经开区</w:t>
            </w:r>
            <w:r>
              <w:rPr>
                <w:rFonts w:hint="eastAsia"/>
                <w:color w:val="auto"/>
                <w:sz w:val="24"/>
                <w:szCs w:val="24"/>
                <w:lang w:val="en-US" w:eastAsia="zh-CN"/>
              </w:rPr>
              <w:t>、楼区</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ind w:right="0" w:rightChars="0" w:firstLine="480" w:firstLineChars="200"/>
              <w:jc w:val="both"/>
              <w:textAlignment w:val="auto"/>
              <w:rPr>
                <w:color w:val="auto"/>
                <w:sz w:val="24"/>
                <w:szCs w:val="24"/>
                <w:highlight w:val="none"/>
              </w:rPr>
            </w:pPr>
            <w:r>
              <w:rPr>
                <w:color w:val="auto"/>
                <w:sz w:val="24"/>
                <w:szCs w:val="24"/>
              </w:rPr>
              <w:t>项目投资：</w:t>
            </w:r>
            <w:r>
              <w:rPr>
                <w:rFonts w:hint="eastAsia" w:ascii="Times New Roman" w:hAnsi="Times New Roman"/>
                <w:color w:val="auto"/>
                <w:sz w:val="24"/>
                <w:szCs w:val="24"/>
                <w:highlight w:val="none"/>
                <w:lang w:val="en-US" w:eastAsia="zh-CN"/>
              </w:rPr>
              <w:t>68871.08</w:t>
            </w:r>
            <w:r>
              <w:rPr>
                <w:color w:val="auto"/>
                <w:sz w:val="24"/>
                <w:szCs w:val="24"/>
                <w:highlight w:val="none"/>
              </w:rPr>
              <w:t>万元。</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ind w:right="0" w:rightChars="0"/>
              <w:jc w:val="both"/>
              <w:textAlignment w:val="auto"/>
              <w:rPr>
                <w:b/>
                <w:snapToGrid w:val="0"/>
                <w:color w:val="auto"/>
                <w:sz w:val="24"/>
                <w:lang w:val="zh-CN"/>
              </w:rPr>
            </w:pPr>
            <w:r>
              <w:rPr>
                <w:rFonts w:hint="eastAsia"/>
                <w:b/>
                <w:snapToGrid w:val="0"/>
                <w:color w:val="auto"/>
                <w:sz w:val="24"/>
                <w:lang w:val="en-US" w:eastAsia="zh-CN"/>
              </w:rPr>
              <w:t>9.2</w:t>
            </w:r>
            <w:r>
              <w:rPr>
                <w:b/>
                <w:snapToGrid w:val="0"/>
                <w:color w:val="auto"/>
                <w:sz w:val="24"/>
                <w:lang w:val="zh-CN"/>
              </w:rPr>
              <w:t>环境现状评价结论</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ascii="Times New Roman" w:hAnsi="Times New Roman" w:cs="Times New Roman"/>
                <w:color w:val="000000"/>
                <w:sz w:val="24"/>
                <w:szCs w:val="24"/>
              </w:rPr>
            </w:pPr>
            <w:r>
              <w:rPr>
                <w:rFonts w:hint="default" w:ascii="Times New Roman" w:hAnsi="Times New Roman" w:eastAsia="宋体" w:cs="Times New Roman"/>
                <w:color w:val="auto"/>
                <w:sz w:val="24"/>
                <w:szCs w:val="24"/>
              </w:rPr>
              <w:t>（1）</w:t>
            </w:r>
            <w:r>
              <w:rPr>
                <w:rFonts w:hint="default" w:ascii="Times New Roman" w:hAnsi="Times New Roman" w:eastAsia="宋体" w:cs="Times New Roman"/>
                <w:color w:val="auto"/>
                <w:sz w:val="24"/>
                <w:szCs w:val="24"/>
                <w:lang w:eastAsia="zh-CN"/>
              </w:rPr>
              <w:t>环境空气质量现状：根据</w:t>
            </w:r>
            <w:r>
              <w:rPr>
                <w:rFonts w:ascii="Times New Roman" w:hAnsi="Times New Roman" w:cs="Times New Roman"/>
                <w:color w:val="000000"/>
                <w:sz w:val="24"/>
                <w:szCs w:val="24"/>
              </w:rPr>
              <w:t>《岳阳市</w:t>
            </w:r>
            <w:r>
              <w:rPr>
                <w:rFonts w:hint="eastAsia" w:ascii="Times New Roman" w:hAnsi="Times New Roman" w:cs="Times New Roman"/>
                <w:color w:val="000000"/>
                <w:sz w:val="24"/>
                <w:szCs w:val="24"/>
                <w:lang w:val="en-US" w:eastAsia="zh-CN"/>
              </w:rPr>
              <w:t>2018</w:t>
            </w:r>
            <w:r>
              <w:rPr>
                <w:rFonts w:ascii="Times New Roman" w:hAnsi="Times New Roman" w:cs="Times New Roman"/>
                <w:color w:val="000000"/>
                <w:sz w:val="24"/>
                <w:szCs w:val="24"/>
              </w:rPr>
              <w:t>年度环境质量公报》中发布</w:t>
            </w:r>
            <w:r>
              <w:rPr>
                <w:rFonts w:hint="eastAsia" w:ascii="Times New Roman" w:hAnsi="Times New Roman" w:cs="Times New Roman"/>
                <w:color w:val="000000"/>
                <w:sz w:val="24"/>
                <w:szCs w:val="24"/>
                <w:lang w:eastAsia="zh-CN"/>
              </w:rPr>
              <w:t>的</w:t>
            </w:r>
            <w:r>
              <w:rPr>
                <w:rFonts w:ascii="Times New Roman" w:hAnsi="Times New Roman" w:cs="Times New Roman"/>
                <w:color w:val="000000"/>
                <w:sz w:val="24"/>
                <w:szCs w:val="24"/>
              </w:rPr>
              <w:t>2018年岳阳市空气质量监测数据</w:t>
            </w:r>
            <w:r>
              <w:rPr>
                <w:rFonts w:hint="eastAsia" w:ascii="Times New Roman" w:hAnsi="Times New Roman" w:cs="Times New Roman"/>
                <w:color w:val="000000"/>
                <w:sz w:val="24"/>
                <w:szCs w:val="24"/>
                <w:lang w:eastAsia="zh-CN"/>
              </w:rPr>
              <w:t>，</w:t>
            </w:r>
            <w:r>
              <w:rPr>
                <w:rFonts w:ascii="Times New Roman" w:hAnsi="Times New Roman" w:cs="Times New Roman"/>
                <w:color w:val="000000"/>
                <w:sz w:val="24"/>
                <w:szCs w:val="24"/>
              </w:rPr>
              <w:t>所在区域PM</w:t>
            </w:r>
            <w:r>
              <w:rPr>
                <w:rFonts w:ascii="Times New Roman" w:hAnsi="Times New Roman" w:cs="Times New Roman"/>
                <w:color w:val="000000"/>
                <w:sz w:val="24"/>
                <w:szCs w:val="24"/>
                <w:vertAlign w:val="subscript"/>
              </w:rPr>
              <w:t>10</w:t>
            </w:r>
            <w:r>
              <w:rPr>
                <w:rFonts w:ascii="Times New Roman" w:hAnsi="Times New Roman" w:cs="Times New Roman"/>
                <w:color w:val="000000"/>
                <w:sz w:val="24"/>
                <w:szCs w:val="24"/>
              </w:rPr>
              <w:t>和PM</w:t>
            </w:r>
            <w:r>
              <w:rPr>
                <w:rFonts w:ascii="Times New Roman" w:hAnsi="Times New Roman" w:cs="Times New Roman"/>
                <w:color w:val="000000"/>
                <w:sz w:val="24"/>
                <w:szCs w:val="24"/>
                <w:vertAlign w:val="subscript"/>
              </w:rPr>
              <w:t>2.5</w:t>
            </w:r>
            <w:r>
              <w:rPr>
                <w:rFonts w:ascii="Times New Roman" w:hAnsi="Times New Roman" w:cs="Times New Roman"/>
                <w:color w:val="000000"/>
                <w:sz w:val="24"/>
                <w:szCs w:val="24"/>
              </w:rPr>
              <w:t>的年均浓度超标，故本项目所在区域2018年为环境空气质量不达标区。</w:t>
            </w:r>
          </w:p>
          <w:p>
            <w:pPr>
              <w:pStyle w:val="4"/>
              <w:keepNext/>
              <w:keepLines/>
              <w:pageBreakBefore w:val="0"/>
              <w:widowControl w:val="0"/>
              <w:numPr>
                <w:ilvl w:val="1"/>
                <w:numId w:val="0"/>
              </w:numPr>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pPr>
            <w:bookmarkStart w:id="105" w:name="_Toc3714"/>
            <w:bookmarkStart w:id="106" w:name="_Toc4112"/>
            <w:r>
              <w:rPr>
                <w:rFonts w:hint="default" w:ascii="Times New Roman" w:hAnsi="Times New Roman" w:eastAsia="宋体" w:cs="Times New Roman"/>
                <w:color w:val="auto"/>
                <w:sz w:val="24"/>
                <w:szCs w:val="24"/>
              </w:rPr>
              <w:t>（2）</w:t>
            </w:r>
            <w:r>
              <w:rPr>
                <w:rFonts w:hint="default" w:ascii="Times New Roman" w:hAnsi="Times New Roman" w:eastAsia="宋体" w:cs="Times New Roman"/>
                <w:color w:val="auto"/>
                <w:sz w:val="24"/>
                <w:szCs w:val="24"/>
                <w:lang w:eastAsia="zh-CN"/>
              </w:rPr>
              <w:t>地表水环境质量现状：</w:t>
            </w:r>
            <w:r>
              <w:rPr>
                <w:rFonts w:hint="eastAsia" w:eastAsia="宋体" w:cs="Times New Roman"/>
                <w:color w:val="auto"/>
                <w:sz w:val="24"/>
                <w:szCs w:val="24"/>
                <w:lang w:val="en-US" w:eastAsia="zh-CN"/>
              </w:rPr>
              <w:t>根据监测数据可知，</w:t>
            </w:r>
            <w:bookmarkEnd w:id="105"/>
            <w:bookmarkEnd w:id="106"/>
            <w:r>
              <w:rPr>
                <w:rFonts w:hint="eastAsia" w:eastAsia="宋体" w:cs="Times New Roman"/>
                <w:b w:val="0"/>
                <w:bCs w:val="0"/>
                <w:color w:val="auto"/>
                <w:spacing w:val="0"/>
                <w:w w:val="100"/>
                <w:kern w:val="0"/>
                <w:position w:val="0"/>
                <w:sz w:val="24"/>
                <w:szCs w:val="24"/>
                <w:highlight w:val="none"/>
                <w:lang w:val="en-US" w:eastAsia="zh-CN" w:bidi="ar-SA"/>
              </w:rPr>
              <w:t>各监测断面主要超标监测因子为COD、BOD</w:t>
            </w:r>
            <w:r>
              <w:rPr>
                <w:rFonts w:hint="eastAsia" w:eastAsia="宋体" w:cs="Times New Roman"/>
                <w:b w:val="0"/>
                <w:bCs w:val="0"/>
                <w:color w:val="auto"/>
                <w:spacing w:val="0"/>
                <w:w w:val="100"/>
                <w:kern w:val="0"/>
                <w:position w:val="0"/>
                <w:sz w:val="24"/>
                <w:szCs w:val="24"/>
                <w:highlight w:val="none"/>
                <w:vertAlign w:val="subscript"/>
                <w:lang w:val="en-US" w:eastAsia="zh-CN" w:bidi="ar-SA"/>
              </w:rPr>
              <w:t>5</w:t>
            </w:r>
            <w:r>
              <w:rPr>
                <w:rFonts w:hint="eastAsia" w:eastAsia="宋体" w:cs="Times New Roman"/>
                <w:b w:val="0"/>
                <w:bCs w:val="0"/>
                <w:color w:val="auto"/>
                <w:spacing w:val="0"/>
                <w:w w:val="100"/>
                <w:kern w:val="0"/>
                <w:position w:val="0"/>
                <w:sz w:val="24"/>
                <w:szCs w:val="24"/>
                <w:highlight w:val="none"/>
                <w:vertAlign w:val="baseline"/>
                <w:lang w:val="en-US" w:eastAsia="zh-CN" w:bidi="ar-SA"/>
              </w:rPr>
              <w:t>和总氮，颐养院湿塘监测断面除上述监测因子超标外，总磷也超标；其他监测断面监测因子均可满足</w:t>
            </w:r>
            <w:r>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t>《地表水环境质量标准》（GB3838-2002）Ⅲ类水质标准。超标原因主要为区域污水管网未完全铺设、部分居民生活污水直接</w:t>
            </w:r>
            <w:r>
              <w:rPr>
                <w:rFonts w:hint="eastAsia" w:eastAsia="宋体" w:cs="Times New Roman"/>
                <w:b w:val="0"/>
                <w:bCs w:val="0"/>
                <w:color w:val="auto"/>
                <w:spacing w:val="0"/>
                <w:w w:val="100"/>
                <w:kern w:val="0"/>
                <w:position w:val="0"/>
                <w:sz w:val="24"/>
                <w:szCs w:val="24"/>
                <w:highlight w:val="none"/>
                <w:lang w:val="en-US" w:eastAsia="zh-CN" w:bidi="ar-SA"/>
              </w:rPr>
              <w:t>排放</w:t>
            </w:r>
            <w:r>
              <w:rPr>
                <w:rFonts w:hint="default" w:ascii="Times New Roman" w:hAnsi="Times New Roman" w:eastAsia="宋体" w:cs="Times New Roman"/>
                <w:b w:val="0"/>
                <w:bCs w:val="0"/>
                <w:color w:val="auto"/>
                <w:spacing w:val="0"/>
                <w:w w:val="100"/>
                <w:kern w:val="0"/>
                <w:position w:val="0"/>
                <w:sz w:val="24"/>
                <w:szCs w:val="24"/>
                <w:highlight w:val="none"/>
                <w:lang w:val="en-US" w:eastAsia="zh-CN" w:bidi="ar-SA"/>
              </w:rPr>
              <w:t>。</w:t>
            </w:r>
          </w:p>
          <w:p>
            <w:pPr>
              <w:pStyle w:val="8"/>
              <w:keepNext w:val="0"/>
              <w:keepLines w:val="0"/>
              <w:pageBreakBefore w:val="0"/>
              <w:widowControl w:val="0"/>
              <w:kinsoku/>
              <w:wordWrap/>
              <w:overflowPunct w:val="0"/>
              <w:topLinePunct w:val="0"/>
              <w:autoSpaceDE w:val="0"/>
              <w:autoSpaceDN w:val="0"/>
              <w:bidi w:val="0"/>
              <w:adjustRightInd/>
              <w:snapToGrid/>
              <w:spacing w:line="360" w:lineRule="auto"/>
              <w:ind w:left="0" w:leftChars="0" w:firstLine="480" w:firstLineChars="200"/>
              <w:textAlignment w:val="auto"/>
              <w:outlineLvl w:val="9"/>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zh-CN"/>
              </w:rPr>
              <w:t>（</w:t>
            </w:r>
            <w:r>
              <w:rPr>
                <w:rFonts w:hint="default" w:ascii="Times New Roman" w:hAnsi="Times New Roman" w:eastAsia="宋体" w:cs="Times New Roman"/>
                <w:color w:val="auto"/>
                <w:sz w:val="24"/>
                <w:szCs w:val="24"/>
              </w:rPr>
              <w:t>3</w:t>
            </w:r>
            <w:r>
              <w:rPr>
                <w:rFonts w:hint="default" w:ascii="Times New Roman" w:hAnsi="Times New Roman" w:eastAsia="宋体" w:cs="Times New Roman"/>
                <w:color w:val="auto"/>
                <w:sz w:val="24"/>
                <w:szCs w:val="24"/>
                <w:lang w:val="zh-CN"/>
              </w:rPr>
              <w:t>）声环境质量现状：</w:t>
            </w:r>
            <w:r>
              <w:rPr>
                <w:rFonts w:hint="eastAsia"/>
                <w:sz w:val="24"/>
                <w:szCs w:val="24"/>
                <w:lang w:val="en-US" w:eastAsia="zh-CN"/>
              </w:rPr>
              <w:t>根据监测数据，</w:t>
            </w:r>
            <w:r>
              <w:rPr>
                <w:color w:val="auto"/>
                <w:sz w:val="24"/>
                <w:szCs w:val="24"/>
              </w:rPr>
              <w:t>监测点满足《声环境质量标准》（GB3096-2008）中</w:t>
            </w:r>
            <w:r>
              <w:rPr>
                <w:rFonts w:hint="eastAsia"/>
                <w:color w:val="auto"/>
                <w:sz w:val="24"/>
                <w:szCs w:val="24"/>
                <w:lang w:val="en-US" w:eastAsia="zh-CN"/>
              </w:rPr>
              <w:t>2</w:t>
            </w:r>
            <w:r>
              <w:rPr>
                <w:color w:val="auto"/>
                <w:sz w:val="24"/>
                <w:szCs w:val="24"/>
              </w:rPr>
              <w:t>类标准要求，</w:t>
            </w:r>
            <w:r>
              <w:rPr>
                <w:rFonts w:ascii="Times New Roman" w:hAnsi="Times New Roman" w:cs="Times New Roman"/>
                <w:color w:val="auto"/>
                <w:kern w:val="2"/>
                <w:sz w:val="24"/>
                <w:szCs w:val="24"/>
              </w:rPr>
              <w:t>表明项目所在地声环境质量状况良好</w:t>
            </w:r>
            <w:r>
              <w:rPr>
                <w:rFonts w:hint="eastAsia" w:ascii="Times New Roman" w:hAnsi="Times New Roman" w:eastAsia="宋体" w:cs="Times New Roman"/>
                <w:color w:val="auto"/>
                <w:sz w:val="24"/>
                <w:szCs w:val="24"/>
                <w:lang w:val="en-US" w:eastAsia="zh-CN"/>
              </w:rPr>
              <w:t>。</w:t>
            </w:r>
          </w:p>
          <w:p>
            <w:pPr>
              <w:adjustRightInd w:val="0"/>
              <w:snapToGrid w:val="0"/>
              <w:spacing w:line="360" w:lineRule="auto"/>
              <w:ind w:firstLine="480" w:firstLineChars="200"/>
              <w:rPr>
                <w:rFonts w:hint="eastAsia" w:eastAsia="宋体"/>
                <w:color w:val="auto"/>
                <w:sz w:val="24"/>
                <w:highlight w:val="none"/>
                <w:lang w:val="en-US" w:eastAsia="zh-CN"/>
              </w:rPr>
            </w:pPr>
            <w:r>
              <w:rPr>
                <w:rFonts w:hint="eastAsia"/>
                <w:sz w:val="24"/>
                <w:szCs w:val="24"/>
                <w:lang w:val="en-US" w:eastAsia="zh-CN"/>
              </w:rPr>
              <w:t>（4）底泥现状调查：根据监测数据，</w:t>
            </w:r>
            <w:r>
              <w:rPr>
                <w:rFonts w:hint="eastAsia"/>
                <w:sz w:val="24"/>
                <w:highlight w:val="none"/>
                <w:lang w:eastAsia="zh-CN"/>
              </w:rPr>
              <w:t>底泥</w:t>
            </w:r>
            <w:r>
              <w:rPr>
                <w:sz w:val="24"/>
                <w:highlight w:val="none"/>
              </w:rPr>
              <w:t>现状监测因子</w:t>
            </w:r>
            <w:r>
              <w:rPr>
                <w:rFonts w:hint="eastAsia"/>
                <w:sz w:val="24"/>
                <w:highlight w:val="none"/>
                <w:lang w:eastAsia="zh-CN"/>
              </w:rPr>
              <w:t>除奥敏游泳馆湿塘底泥中砷超标外，其他监测点位监测因子</w:t>
            </w:r>
            <w:r>
              <w:rPr>
                <w:sz w:val="24"/>
                <w:highlight w:val="none"/>
              </w:rPr>
              <w:t>的监测值均能达到</w:t>
            </w:r>
            <w:r>
              <w:rPr>
                <w:rFonts w:hint="default" w:ascii="Times New Roman" w:hAnsi="Times New Roman" w:cs="Times New Roman"/>
                <w:color w:val="auto"/>
                <w:spacing w:val="0"/>
                <w:w w:val="100"/>
                <w:kern w:val="0"/>
                <w:position w:val="0"/>
                <w:sz w:val="24"/>
                <w:highlight w:val="none"/>
                <w:u w:val="none"/>
                <w:lang w:val="en-US" w:eastAsia="zh-CN"/>
              </w:rPr>
              <w:t xml:space="preserve">《土壤环境质量 </w:t>
            </w:r>
            <w:r>
              <w:rPr>
                <w:rFonts w:hint="eastAsia" w:cs="Times New Roman"/>
                <w:color w:val="auto"/>
                <w:spacing w:val="0"/>
                <w:w w:val="100"/>
                <w:kern w:val="0"/>
                <w:position w:val="0"/>
                <w:sz w:val="24"/>
                <w:highlight w:val="none"/>
                <w:u w:val="none"/>
                <w:lang w:val="en-US" w:eastAsia="zh-CN"/>
              </w:rPr>
              <w:t>农</w:t>
            </w:r>
            <w:r>
              <w:rPr>
                <w:rFonts w:hint="default" w:ascii="Times New Roman" w:hAnsi="Times New Roman" w:cs="Times New Roman"/>
                <w:color w:val="auto"/>
                <w:spacing w:val="0"/>
                <w:w w:val="100"/>
                <w:kern w:val="0"/>
                <w:position w:val="0"/>
                <w:sz w:val="24"/>
                <w:highlight w:val="none"/>
                <w:u w:val="none"/>
                <w:lang w:val="en-US" w:eastAsia="zh-CN"/>
              </w:rPr>
              <w:t>用地土壤污染风险管控标准</w:t>
            </w:r>
            <w:r>
              <w:rPr>
                <w:rFonts w:hint="default" w:ascii="Times New Roman" w:hAnsi="Times New Roman" w:cs="Times New Roman"/>
                <w:color w:val="auto"/>
                <w:sz w:val="24"/>
                <w:highlight w:val="none"/>
              </w:rPr>
              <w:t>（试行）</w:t>
            </w:r>
            <w:r>
              <w:rPr>
                <w:rFonts w:hint="default" w:ascii="Times New Roman" w:hAnsi="Times New Roman" w:cs="Times New Roman"/>
                <w:color w:val="auto"/>
                <w:spacing w:val="0"/>
                <w:w w:val="100"/>
                <w:kern w:val="0"/>
                <w:position w:val="0"/>
                <w:sz w:val="24"/>
                <w:highlight w:val="none"/>
                <w:u w:val="none"/>
                <w:lang w:val="en-US" w:eastAsia="zh-CN"/>
              </w:rPr>
              <w:t>》（CB</w:t>
            </w:r>
            <w:r>
              <w:rPr>
                <w:rFonts w:hint="eastAsia" w:cs="Times New Roman"/>
                <w:color w:val="auto"/>
                <w:spacing w:val="0"/>
                <w:w w:val="100"/>
                <w:kern w:val="0"/>
                <w:position w:val="0"/>
                <w:sz w:val="24"/>
                <w:highlight w:val="none"/>
                <w:u w:val="none"/>
                <w:lang w:val="en-US" w:eastAsia="zh-CN"/>
              </w:rPr>
              <w:t>15618</w:t>
            </w:r>
            <w:r>
              <w:rPr>
                <w:rFonts w:hint="default" w:ascii="Times New Roman" w:hAnsi="Times New Roman" w:cs="Times New Roman"/>
                <w:color w:val="auto"/>
                <w:spacing w:val="0"/>
                <w:w w:val="100"/>
                <w:kern w:val="0"/>
                <w:position w:val="0"/>
                <w:sz w:val="24"/>
                <w:highlight w:val="none"/>
                <w:u w:val="none"/>
                <w:lang w:val="en-US" w:eastAsia="zh-CN"/>
              </w:rPr>
              <w:t>-2018）</w:t>
            </w:r>
            <w:r>
              <w:rPr>
                <w:rFonts w:hint="eastAsia" w:cs="Times New Roman"/>
                <w:color w:val="auto"/>
                <w:spacing w:val="0"/>
                <w:w w:val="100"/>
                <w:kern w:val="0"/>
                <w:position w:val="0"/>
                <w:sz w:val="24"/>
                <w:highlight w:val="none"/>
                <w:u w:val="none"/>
                <w:lang w:val="en-US" w:eastAsia="zh-CN"/>
              </w:rPr>
              <w:t>标准表1标准值。</w:t>
            </w:r>
          </w:p>
          <w:p>
            <w:pPr>
              <w:spacing w:line="360" w:lineRule="auto"/>
              <w:ind w:firstLine="480" w:firstLineChars="200"/>
              <w:rPr>
                <w:rFonts w:hint="eastAsia" w:eastAsia="宋体"/>
                <w:b/>
                <w:bCs w:val="0"/>
                <w:color w:val="auto"/>
                <w:lang w:val="en-US" w:eastAsia="zh-CN"/>
              </w:rPr>
            </w:pPr>
            <w:r>
              <w:rPr>
                <w:rFonts w:hint="eastAsia"/>
                <w:sz w:val="24"/>
                <w:szCs w:val="24"/>
                <w:lang w:val="en-US" w:eastAsia="zh-CN"/>
              </w:rPr>
              <w:t>（5）土壤现状调查：根据监测数据，</w:t>
            </w:r>
            <w:r>
              <w:rPr>
                <w:rFonts w:hint="eastAsia"/>
                <w:sz w:val="24"/>
                <w:szCs w:val="24"/>
              </w:rPr>
              <w:t>本项目占地范围内土壤环境各监测因子无超标，监测因子监测值均满足《土壤环境质量建设用地土壤污染风险管控标准》（GB3600-2018）表1中筛选值第二类用地，土壤环境质量良好。</w:t>
            </w:r>
          </w:p>
          <w:p>
            <w:pPr>
              <w:keepNext w:val="0"/>
              <w:keepLines w:val="0"/>
              <w:pageBreakBefore w:val="0"/>
              <w:tabs>
                <w:tab w:val="left" w:pos="360"/>
              </w:tabs>
              <w:kinsoku/>
              <w:wordWrap/>
              <w:topLinePunct w:val="0"/>
              <w:bidi w:val="0"/>
              <w:adjustRightInd/>
              <w:snapToGrid/>
              <w:spacing w:line="360" w:lineRule="auto"/>
              <w:textAlignment w:val="auto"/>
              <w:rPr>
                <w:rFonts w:hint="default" w:ascii="Times New Roman" w:hAnsi="Times New Roman" w:eastAsia="宋体" w:cs="Times New Roman"/>
                <w:b/>
                <w:snapToGrid w:val="0"/>
                <w:color w:val="auto"/>
                <w:sz w:val="24"/>
                <w:szCs w:val="24"/>
                <w:lang w:val="zh-CN"/>
              </w:rPr>
            </w:pPr>
            <w:r>
              <w:rPr>
                <w:rFonts w:hint="default" w:ascii="Times New Roman" w:hAnsi="Times New Roman" w:cs="Times New Roman"/>
                <w:b/>
                <w:snapToGrid w:val="0"/>
                <w:color w:val="auto"/>
                <w:sz w:val="24"/>
                <w:szCs w:val="24"/>
                <w:lang w:val="en-US" w:eastAsia="zh-CN"/>
              </w:rPr>
              <w:t>9.3</w:t>
            </w:r>
            <w:r>
              <w:rPr>
                <w:rFonts w:hint="default" w:ascii="Times New Roman" w:hAnsi="Times New Roman" w:eastAsia="宋体" w:cs="Times New Roman"/>
                <w:b/>
                <w:snapToGrid w:val="0"/>
                <w:color w:val="auto"/>
                <w:sz w:val="24"/>
                <w:szCs w:val="24"/>
                <w:lang w:val="zh-CN"/>
              </w:rPr>
              <w:t>环境影响评价结论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color w:val="auto"/>
                <w:sz w:val="24"/>
                <w:szCs w:val="24"/>
              </w:rPr>
            </w:pPr>
            <w:r>
              <w:rPr>
                <w:rFonts w:hint="default" w:ascii="Times New Roman" w:hAnsi="Times New Roman" w:cs="Times New Roman"/>
                <w:color w:val="auto"/>
                <w:sz w:val="24"/>
                <w:szCs w:val="24"/>
              </w:rPr>
              <w:t>（1）施工期环境影响评价结论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96" w:firstLineChars="200"/>
              <w:contextualSpacing/>
              <w:textAlignment w:val="auto"/>
              <w:outlineLvl w:val="9"/>
              <w:rPr>
                <w:rFonts w:hint="eastAsia" w:eastAsia="宋体"/>
                <w:color w:val="000000"/>
                <w:spacing w:val="4"/>
                <w:sz w:val="24"/>
                <w:lang w:val="en-US" w:eastAsia="zh-CN"/>
              </w:rPr>
            </w:pPr>
            <w:r>
              <w:rPr>
                <w:rFonts w:hint="eastAsia" w:ascii="宋体" w:hAnsi="宋体" w:eastAsia="宋体" w:cs="宋体"/>
                <w:color w:val="000000"/>
                <w:spacing w:val="4"/>
                <w:sz w:val="24"/>
              </w:rPr>
              <w:t>①</w:t>
            </w:r>
            <w:r>
              <w:rPr>
                <w:rFonts w:hint="eastAsia" w:eastAsia="宋体"/>
                <w:color w:val="000000"/>
                <w:spacing w:val="4"/>
                <w:sz w:val="24"/>
                <w:lang w:val="en-US" w:eastAsia="zh-CN"/>
              </w:rPr>
              <w:t>施工期大气环境影响</w:t>
            </w:r>
          </w:p>
          <w:p>
            <w:pPr>
              <w:keepNext w:val="0"/>
              <w:keepLines w:val="0"/>
              <w:pageBreakBefore w:val="0"/>
              <w:kinsoku/>
              <w:wordWrap/>
              <w:topLinePunct w:val="0"/>
              <w:bidi w:val="0"/>
              <w:adjustRightInd/>
              <w:snapToGrid/>
              <w:spacing w:line="360" w:lineRule="auto"/>
              <w:ind w:firstLine="480" w:firstLineChars="200"/>
              <w:textAlignment w:val="auto"/>
              <w:rPr>
                <w:rFonts w:hint="eastAsia"/>
                <w:kern w:val="0"/>
                <w:sz w:val="24"/>
              </w:rPr>
            </w:pPr>
            <w:r>
              <w:rPr>
                <w:rFonts w:hint="eastAsia"/>
                <w:kern w:val="0"/>
                <w:sz w:val="24"/>
              </w:rPr>
              <w:t>项目施工期大气影响主要是运输车辆产生的尾气、施工扬尘和清淤产生的恶臭。施工场经常洒水降尘，施工单位必须使用污染物排放符合国家标准的运输车辆，加强车辆的保养，严禁使用报废车辆。清淤过程中产生的淤泥采用土工管袋脱水的方法进行脱水，脱水场地需建设围挡，使用除臭剂等，可减少清淤过程臭气的产生。污染物会随着施工期的结束而结束排放，对周边环境影响不大。</w:t>
            </w:r>
          </w:p>
          <w:p>
            <w:pPr>
              <w:keepNext w:val="0"/>
              <w:keepLines w:val="0"/>
              <w:pageBreakBefore w:val="0"/>
              <w:kinsoku/>
              <w:wordWrap/>
              <w:topLinePunct w:val="0"/>
              <w:bidi w:val="0"/>
              <w:adjustRightInd/>
              <w:snapToGrid/>
              <w:spacing w:line="360" w:lineRule="auto"/>
              <w:ind w:firstLine="480" w:firstLineChars="200"/>
              <w:textAlignment w:val="auto"/>
              <w:rPr>
                <w:rFonts w:hint="eastAsia" w:eastAsia="宋体" w:cs="Times New Roman"/>
                <w:color w:val="auto"/>
                <w:sz w:val="24"/>
                <w:szCs w:val="24"/>
                <w:lang w:val="en-US" w:eastAsia="zh-CN"/>
              </w:rPr>
            </w:pPr>
            <w:r>
              <w:rPr>
                <w:rFonts w:hint="eastAsia" w:ascii="宋体" w:hAnsi="宋体" w:eastAsia="宋体" w:cs="宋体"/>
                <w:color w:val="auto"/>
                <w:sz w:val="24"/>
                <w:szCs w:val="24"/>
              </w:rPr>
              <w:t>②</w:t>
            </w:r>
            <w:r>
              <w:rPr>
                <w:rFonts w:hint="eastAsia" w:eastAsia="宋体" w:cs="Times New Roman"/>
                <w:color w:val="auto"/>
                <w:sz w:val="24"/>
                <w:szCs w:val="24"/>
                <w:lang w:val="en-US" w:eastAsia="zh-CN"/>
              </w:rPr>
              <w:t>施工期水环境影响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kern w:val="0"/>
                <w:sz w:val="24"/>
                <w:lang w:val="en-US" w:eastAsia="zh-CN"/>
              </w:rPr>
            </w:pPr>
            <w:r>
              <w:rPr>
                <w:rFonts w:hint="eastAsia" w:ascii="Times New Roman" w:hAnsi="Times New Roman" w:cs="Times New Roman"/>
                <w:kern w:val="0"/>
                <w:sz w:val="24"/>
                <w:lang w:val="en-US" w:eastAsia="zh-CN"/>
              </w:rPr>
              <w:t>项目使用商品混凝土，本项目现场不设置混凝土拌和站，无拌和站废水产生;工程施工期间，施工人员分散租用附近民房，无工地食堂、宿舍，施工期没有生活废水产生。施工期的污水主要为施工废水、管道闭水试验废水以及基坑废水。</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kern w:val="0"/>
                <w:sz w:val="24"/>
                <w:lang w:val="en-US" w:eastAsia="zh-CN"/>
              </w:rPr>
            </w:pPr>
            <w:r>
              <w:rPr>
                <w:rFonts w:hint="eastAsia" w:ascii="Times New Roman" w:hAnsi="Times New Roman" w:cs="Times New Roman"/>
                <w:kern w:val="0"/>
                <w:sz w:val="24"/>
                <w:lang w:val="en-US" w:eastAsia="zh-CN"/>
              </w:rPr>
              <w:t>施工废水和基坑废水经隔油沉淀池沉淀后回用于施工场地洒水抑尘，对周边水环境影响较小。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kern w:val="0"/>
                <w:sz w:val="24"/>
                <w:lang w:val="en-US" w:eastAsia="zh-CN"/>
              </w:rPr>
            </w:pPr>
            <w:r>
              <w:rPr>
                <w:rFonts w:hint="eastAsia" w:ascii="Times New Roman" w:hAnsi="Times New Roman" w:cs="Times New Roman"/>
                <w:kern w:val="0"/>
                <w:sz w:val="24"/>
                <w:lang w:val="en-US" w:eastAsia="zh-CN"/>
              </w:rPr>
              <w:t>闭水试验时用水需要在管道内保留 24h 后排放，闭水试验用水产生量较少，收集后回用于场地洒水降尘。</w:t>
            </w:r>
          </w:p>
          <w:p>
            <w:pPr>
              <w:adjustRightInd w:val="0"/>
              <w:spacing w:line="360" w:lineRule="auto"/>
              <w:ind w:firstLine="480" w:firstLineChars="200"/>
              <w:rPr>
                <w:rFonts w:hint="eastAsia" w:ascii="Times New Roman" w:hAnsi="Times New Roman" w:cs="Times New Roman"/>
                <w:kern w:val="0"/>
                <w:sz w:val="24"/>
                <w:lang w:val="en-US" w:eastAsia="zh-CN"/>
              </w:rPr>
            </w:pPr>
            <w:r>
              <w:rPr>
                <w:rFonts w:hint="eastAsia" w:ascii="Times New Roman" w:hAnsi="Times New Roman" w:cs="Times New Roman"/>
                <w:kern w:val="0"/>
                <w:sz w:val="24"/>
                <w:lang w:val="en-US" w:eastAsia="zh-CN"/>
              </w:rPr>
              <w:t>③施工期声环境影响</w:t>
            </w:r>
          </w:p>
          <w:p>
            <w:pPr>
              <w:adjustRightInd w:val="0"/>
              <w:spacing w:line="360" w:lineRule="auto"/>
              <w:ind w:firstLine="480" w:firstLineChars="200"/>
              <w:rPr>
                <w:rFonts w:hint="eastAsia"/>
                <w:kern w:val="0"/>
                <w:sz w:val="24"/>
              </w:rPr>
            </w:pPr>
            <w:r>
              <w:rPr>
                <w:rFonts w:hint="eastAsia"/>
                <w:kern w:val="0"/>
                <w:sz w:val="24"/>
              </w:rPr>
              <w:t>施工期噪声主要是有施工建筑机械及运输车辆产生的。应采取各项防治措施控制噪声源，以确保施工厂界噪声达到《建筑施工厂界环境噪声排放标准》（GB12523-2011)的要求。</w:t>
            </w:r>
          </w:p>
          <w:p>
            <w:pPr>
              <w:adjustRightInd w:val="0"/>
              <w:spacing w:line="360" w:lineRule="auto"/>
              <w:ind w:firstLine="480" w:firstLineChars="200"/>
              <w:rPr>
                <w:rFonts w:hint="eastAsia" w:ascii="Times New Roman" w:hAnsi="Times New Roman" w:cs="Times New Roman"/>
                <w:kern w:val="0"/>
                <w:sz w:val="24"/>
                <w:szCs w:val="24"/>
                <w:lang w:val="en-US" w:eastAsia="zh-CN"/>
              </w:rPr>
            </w:pPr>
            <w:r>
              <w:rPr>
                <w:rFonts w:hint="eastAsia" w:ascii="Times New Roman" w:hAnsi="Times New Roman" w:cs="Times New Roman"/>
                <w:kern w:val="0"/>
                <w:sz w:val="24"/>
                <w:szCs w:val="24"/>
                <w:lang w:val="en-US" w:eastAsia="zh-CN"/>
              </w:rPr>
              <w:t>④施工期固体废物</w:t>
            </w:r>
          </w:p>
          <w:p>
            <w:pPr>
              <w:spacing w:line="360" w:lineRule="auto"/>
              <w:ind w:firstLine="480"/>
              <w:rPr>
                <w:rFonts w:hint="eastAsia"/>
                <w:b w:val="0"/>
                <w:bCs/>
                <w:sz w:val="24"/>
                <w:szCs w:val="24"/>
              </w:rPr>
            </w:pPr>
            <w:r>
              <w:rPr>
                <w:rFonts w:hint="eastAsia"/>
                <w:b w:val="0"/>
                <w:bCs/>
                <w:sz w:val="24"/>
                <w:szCs w:val="24"/>
              </w:rPr>
              <w:t>施工期的固体废物主要为施工弃渣和淤泥。淤泥拟采用土工管袋脱水的方法进行脱水，脱水</w:t>
            </w:r>
            <w:r>
              <w:rPr>
                <w:rFonts w:hint="eastAsia"/>
                <w:b w:val="0"/>
                <w:bCs/>
                <w:sz w:val="24"/>
                <w:szCs w:val="24"/>
                <w:lang w:eastAsia="zh-CN"/>
              </w:rPr>
              <w:t>后进行压滤，</w:t>
            </w:r>
            <w:r>
              <w:rPr>
                <w:rFonts w:hint="eastAsia"/>
                <w:b w:val="0"/>
                <w:bCs/>
                <w:sz w:val="24"/>
                <w:szCs w:val="24"/>
              </w:rPr>
              <w:t>可全部用于本工程平整护坡。对周围环境影响较小。</w:t>
            </w:r>
          </w:p>
          <w:p>
            <w:pPr>
              <w:spacing w:line="360" w:lineRule="auto"/>
              <w:ind w:right="23" w:firstLine="504" w:firstLineChars="210"/>
              <w:rPr>
                <w:rFonts w:hint="eastAsia"/>
                <w:sz w:val="24"/>
                <w:u w:val="none"/>
              </w:rPr>
            </w:pPr>
            <w:r>
              <w:rPr>
                <w:rFonts w:hint="eastAsia"/>
                <w:b w:val="0"/>
                <w:bCs/>
                <w:sz w:val="24"/>
                <w:szCs w:val="24"/>
              </w:rPr>
              <w:t>施工期土石方主要用于回填，不能用于回填的建筑垃圾及弃土统一收集后外运至指定地点堆放。</w:t>
            </w:r>
          </w:p>
          <w:p>
            <w:pPr>
              <w:spacing w:line="360" w:lineRule="auto"/>
              <w:ind w:firstLine="480"/>
              <w:rPr>
                <w:rFonts w:hint="eastAsia"/>
                <w:sz w:val="24"/>
                <w:szCs w:val="24"/>
                <w:lang w:val="en-US" w:eastAsia="zh-CN"/>
              </w:rPr>
            </w:pPr>
            <w:r>
              <w:rPr>
                <w:rFonts w:hint="eastAsia" w:ascii="宋体" w:hAnsi="宋体" w:eastAsia="宋体" w:cs="宋体"/>
                <w:sz w:val="24"/>
                <w:szCs w:val="24"/>
                <w:lang w:val="en-US" w:eastAsia="zh-CN"/>
              </w:rPr>
              <w:t>⑤</w:t>
            </w:r>
            <w:r>
              <w:rPr>
                <w:rFonts w:hint="eastAsia"/>
                <w:sz w:val="24"/>
                <w:szCs w:val="24"/>
                <w:lang w:val="en-US" w:eastAsia="zh-CN"/>
              </w:rPr>
              <w:t>施工期生态影响</w:t>
            </w:r>
          </w:p>
          <w:p>
            <w:pPr>
              <w:pStyle w:val="2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outlineLvl w:val="9"/>
              <w:rPr>
                <w:rFonts w:hint="eastAsia"/>
                <w:sz w:val="24"/>
                <w:szCs w:val="24"/>
                <w:lang w:val="en-US" w:eastAsia="zh-CN"/>
              </w:rPr>
            </w:pPr>
            <w:r>
              <w:rPr>
                <w:rFonts w:hint="eastAsia"/>
                <w:sz w:val="24"/>
                <w:szCs w:val="24"/>
                <w:lang w:val="en-US" w:eastAsia="zh-CN"/>
              </w:rPr>
              <w:t>工程施工将对评价区域的陆生植物、动物、水生生物、景观等产生一定影响。通过采取生态保护措施后对生态环境影响较小。</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outlineLvl w:val="9"/>
              <w:rPr>
                <w:rFonts w:hint="default" w:ascii="Times New Roman" w:hAnsi="Times New Roman" w:cs="Times New Roman"/>
                <w:color w:val="auto"/>
                <w:sz w:val="24"/>
                <w:szCs w:val="24"/>
                <w:lang w:val="zh-CN"/>
              </w:rPr>
            </w:pPr>
            <w:r>
              <w:rPr>
                <w:rFonts w:hint="default" w:ascii="Times New Roman" w:hAnsi="Times New Roman" w:cs="Times New Roman"/>
                <w:color w:val="auto"/>
                <w:sz w:val="24"/>
                <w:szCs w:val="24"/>
              </w:rPr>
              <w:t>（2）运营期环境影响评价结论</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96" w:firstLineChars="200"/>
              <w:textAlignment w:val="auto"/>
              <w:outlineLvl w:val="9"/>
              <w:rPr>
                <w:rFonts w:hint="default" w:ascii="Times New Roman" w:hAnsi="Times New Roman" w:cs="Times New Roman"/>
                <w:color w:val="auto"/>
                <w:spacing w:val="4"/>
                <w:sz w:val="24"/>
                <w:szCs w:val="24"/>
                <w:lang w:val="zh-CN"/>
              </w:rPr>
            </w:pPr>
            <w:r>
              <w:rPr>
                <w:rFonts w:hint="default" w:ascii="Times New Roman" w:hAnsi="Times New Roman" w:cs="Times New Roman"/>
                <w:color w:val="auto"/>
                <w:spacing w:val="4"/>
                <w:sz w:val="24"/>
                <w:szCs w:val="24"/>
                <w:lang w:val="zh-CN"/>
              </w:rPr>
              <w:t>①水环境影响</w:t>
            </w:r>
          </w:p>
          <w:p>
            <w:pPr>
              <w:pStyle w:val="89"/>
              <w:keepNext w:val="0"/>
              <w:keepLines w:val="0"/>
              <w:pageBreakBefore w:val="0"/>
              <w:numPr>
                <w:ilvl w:val="0"/>
                <w:numId w:val="0"/>
              </w:numPr>
              <w:kinsoku/>
              <w:wordWrap/>
              <w:overflowPunct/>
              <w:topLinePunct w:val="0"/>
              <w:autoSpaceDE/>
              <w:autoSpaceDN/>
              <w:bidi w:val="0"/>
              <w:adjustRightInd/>
              <w:snapToGrid/>
              <w:spacing w:line="360" w:lineRule="auto"/>
              <w:ind w:firstLine="480"/>
              <w:textAlignment w:val="auto"/>
              <w:outlineLvl w:val="9"/>
              <w:rPr>
                <w:rFonts w:hint="default" w:ascii="Times New Roman" w:hAnsi="Times New Roman" w:cs="Times New Roman"/>
                <w:b w:val="0"/>
                <w:kern w:val="0"/>
                <w:sz w:val="24"/>
                <w:szCs w:val="24"/>
                <w:lang w:val="en-US" w:eastAsia="zh-CN"/>
              </w:rPr>
            </w:pPr>
            <w:r>
              <w:rPr>
                <w:rFonts w:hint="default" w:ascii="Times New Roman" w:hAnsi="Times New Roman" w:cs="Times New Roman"/>
                <w:b w:val="0"/>
                <w:kern w:val="0"/>
                <w:sz w:val="24"/>
                <w:szCs w:val="24"/>
                <w:lang w:val="en-US" w:eastAsia="zh-CN"/>
              </w:rPr>
              <w:t>营运期废水主要为新建奇家社区污水处理站</w:t>
            </w:r>
            <w:r>
              <w:rPr>
                <w:rFonts w:hint="eastAsia" w:ascii="Times New Roman" w:hAnsi="Times New Roman" w:cs="Times New Roman"/>
                <w:b w:val="0"/>
                <w:kern w:val="0"/>
                <w:sz w:val="24"/>
                <w:szCs w:val="24"/>
                <w:lang w:val="en-US" w:eastAsia="zh-CN"/>
              </w:rPr>
              <w:t>尾水和湿塘小型污水处理站尾水</w:t>
            </w:r>
            <w:r>
              <w:rPr>
                <w:rFonts w:hint="default" w:ascii="Times New Roman" w:hAnsi="Times New Roman" w:cs="Times New Roman"/>
                <w:b w:val="0"/>
                <w:kern w:val="0"/>
                <w:sz w:val="24"/>
                <w:szCs w:val="24"/>
                <w:lang w:val="en-US" w:eastAsia="zh-CN"/>
              </w:rPr>
              <w:t>，奇家社区污水处理站收集奇家社区居民生活污水，污水处理站处理能力为220t/d，经处理后达《城镇污水处理厂污染物排放标准》（GB18918-2002）一级标准的A标准，排入小溪，最终汇入南港河。</w:t>
            </w:r>
          </w:p>
          <w:p>
            <w:pPr>
              <w:pStyle w:val="89"/>
              <w:keepNext w:val="0"/>
              <w:keepLines w:val="0"/>
              <w:pageBreakBefore w:val="0"/>
              <w:kinsoku/>
              <w:wordWrap/>
              <w:overflowPunct/>
              <w:topLinePunct w:val="0"/>
              <w:autoSpaceDE/>
              <w:autoSpaceDN/>
              <w:bidi w:val="0"/>
              <w:adjustRightInd/>
              <w:snapToGrid/>
              <w:ind w:firstLine="480" w:firstLineChars="200"/>
              <w:textAlignment w:val="auto"/>
              <w:outlineLvl w:val="9"/>
              <w:rPr>
                <w:rFonts w:hint="default" w:ascii="Times New Roman" w:hAnsi="Times New Roman" w:eastAsia="宋体" w:cs="Times New Roman"/>
                <w:color w:val="auto"/>
                <w:sz w:val="24"/>
                <w:szCs w:val="24"/>
              </w:rPr>
            </w:pPr>
            <w:r>
              <w:rPr>
                <w:rFonts w:hint="default" w:ascii="Times New Roman" w:hAnsi="Times New Roman" w:cs="Times New Roman"/>
                <w:b w:val="0"/>
                <w:kern w:val="0"/>
                <w:sz w:val="24"/>
                <w:szCs w:val="24"/>
                <w:lang w:val="en-US" w:eastAsia="zh-CN"/>
              </w:rPr>
              <w:t>项目面源污染控制工程中主要对廖家巷湿塘、颐养院湿塘和奥敏游泳馆湿塘进行整治，拟设置5个小型污水处理站，对湿塘周边未纳入管网的生活污水进行处理，5个小型污水处理站处理能力分别为3t/d、5t/d、5t/d、3t/d、5t/d，经处理达《城镇污水处理厂污染物排放标准》（GB18918-2002）一级标准的B标准</w:t>
            </w:r>
            <w:r>
              <w:rPr>
                <w:rFonts w:hint="eastAsia" w:ascii="Times New Roman" w:hAnsi="Times New Roman" w:cs="Times New Roman"/>
                <w:b w:val="0"/>
                <w:kern w:val="0"/>
                <w:sz w:val="24"/>
                <w:szCs w:val="24"/>
                <w:lang w:val="en-US" w:eastAsia="zh-CN"/>
              </w:rPr>
              <w:t>后</w:t>
            </w:r>
            <w:r>
              <w:rPr>
                <w:rFonts w:hint="default" w:ascii="Times New Roman" w:hAnsi="Times New Roman" w:cs="Times New Roman"/>
                <w:b w:val="0"/>
                <w:kern w:val="0"/>
                <w:sz w:val="24"/>
                <w:szCs w:val="24"/>
                <w:lang w:val="en-US" w:eastAsia="zh-CN"/>
              </w:rPr>
              <w:t>就近排入湿塘。</w:t>
            </w:r>
            <w:r>
              <w:rPr>
                <w:rFonts w:hint="eastAsia" w:cs="Times New Roman"/>
                <w:color w:val="auto"/>
                <w:sz w:val="24"/>
                <w:szCs w:val="24"/>
                <w:lang w:val="en-US" w:eastAsia="zh-CN"/>
              </w:rPr>
              <w:t xml:space="preserve">                                                                                                                                                                                                                                                                                                                                                                                                                                                                                                                                                                                                                                                                                                                                                                                                                                                                                                                                                                                                                                                                                                                                                                                                                                                                                                                                                                                                                                                                                                                                                                                                                                                                                                                                                                                                                                                                                                                                                                                                                                                                                                                                                                                                                                                                                                                                                                                                                                                                                                                                                                                                                                                                                                                                                                                                                                                                                                                                                                                                                                                                                                                                                                                                                                                                                                                                                                                                                                                                                                                                                                                                                                                                                                                                                                                                                                                                                                                                                                                                                                                                                                                                                                                                                </w:t>
            </w:r>
            <w:r>
              <w:rPr>
                <w:rFonts w:hint="eastAsia" w:cs="Times New Roman"/>
                <w:color w:val="auto"/>
                <w:sz w:val="24"/>
                <w:szCs w:val="24"/>
                <w:lang w:val="en-US" w:eastAsia="zh-CN"/>
              </w:rPr>
              <w:t xml:space="preserve">                                                                                                                                                                                                                                                                                                                                                                                                                                                                                                                                                                                                                                                                                                                                                                                                                                                                                                                                                                                                                                                                                                                                                                                                                                                                                                                                                                                                                                                                                                                                                                                                                                                                                                                                                                                                                                                                                                                                                                                                                                                                                                                                                                                                                                                                                                                                                                                                                                                                                                                                                                                                                                                                                                                                                                                                                                                                                                                                                                                                                                                                                                                                                                                                                                                                                                                                                                                                                                                                                                                                                                                                                                                                                                                                                                                                                                                                                </w:t>
            </w:r>
          </w:p>
          <w:p>
            <w:pPr>
              <w:pStyle w:val="89"/>
              <w:keepNext w:val="0"/>
              <w:keepLines w:val="0"/>
              <w:pageBreakBefore w:val="0"/>
              <w:kinsoku/>
              <w:wordWrap/>
              <w:overflowPunct/>
              <w:topLinePunct w:val="0"/>
              <w:autoSpaceDE/>
              <w:autoSpaceDN/>
              <w:bidi w:val="0"/>
              <w:adjustRightInd/>
              <w:snapToGrid/>
              <w:ind w:firstLine="480" w:firstLineChars="200"/>
              <w:textAlignment w:val="auto"/>
              <w:outlineLvl w:val="9"/>
              <w:rPr>
                <w:rFonts w:hint="default" w:ascii="Times New Roman" w:hAnsi="Times New Roman" w:eastAsia="宋体" w:cs="Times New Roman"/>
                <w:color w:val="auto"/>
                <w:sz w:val="24"/>
                <w:szCs w:val="24"/>
              </w:rPr>
            </w:pPr>
            <w:r>
              <w:rPr>
                <w:rFonts w:hint="default" w:ascii="Times New Roman" w:hAnsi="Times New Roman" w:cs="Times New Roman"/>
                <w:b w:val="0"/>
                <w:bCs w:val="0"/>
                <w:color w:val="auto"/>
                <w:sz w:val="24"/>
                <w:szCs w:val="24"/>
              </w:rPr>
              <w:t xml:space="preserve">区域生活污水分别经收集处理后外排，对周边水体影响较小。  </w:t>
            </w:r>
            <w:r>
              <w:rPr>
                <w:rFonts w:hint="eastAsia" w:cs="Times New Roman"/>
                <w:b w:val="0"/>
                <w:bCs w:val="0"/>
                <w:color w:val="auto"/>
                <w:sz w:val="24"/>
                <w:szCs w:val="24"/>
                <w:lang w:val="en-US" w:eastAsia="zh-CN"/>
              </w:rPr>
              <w:t xml:space="preserve">     </w:t>
            </w:r>
            <w:r>
              <w:rPr>
                <w:rFonts w:hint="eastAsia" w:cs="Times New Roman"/>
                <w:color w:val="auto"/>
                <w:sz w:val="24"/>
                <w:szCs w:val="24"/>
                <w:lang w:val="en-US" w:eastAsia="zh-CN"/>
              </w:rPr>
              <w:t xml:space="preserve">                                                                                                                                                                                                                                                                                                                                                                                                                                                                                                                                                                                                                                                                                                                                                                                                                                                                                                                                                                                                                                                                                                                                                                                                                                                                                                                                                                                                                                                                                                                                                                                                                                                                                                                                                                                                                                                                                                                                                                                                                                                                                                                                                                                                                                                                                                                                                                                                                                                                                                                                                                                                                                                                                                                                                                                                                                                                                                                                                                                                                                                                                                                                                                                                                                                                                                                                                                                                                                                                                                                                                                                                                                                                                                                                                                                                                                                                                                                                                                                                                                                                                                                                                                                                                </w:t>
            </w:r>
            <w:r>
              <w:rPr>
                <w:rFonts w:hint="eastAsia" w:cs="Times New Roman"/>
                <w:color w:val="auto"/>
                <w:sz w:val="24"/>
                <w:szCs w:val="24"/>
                <w:lang w:val="en-US" w:eastAsia="zh-CN"/>
              </w:rPr>
              <w:t xml:space="preserve">                                                                                                                                                                                                                                                                                                                                                                                                                                                                                                                                                                                                                                                                                                                                                                                                                                                                                                                                                                                                                                                                                                                                                                                                                                                                                                                                                                                                                                                                                                                                                                                                                                                                                                                                                                                                                                                                                                                                                                                                                                                                                                                                                                                                                                                                                                                                                                                                                                                                                                                                                                                                                                                                                                                                                                                                                                                                                                                                                                                                                                                                                                                                                                                                                                                                                                                                                                                                                                                                                                                                                                                                                                                                                                                                                                                                                                                                         </w:t>
            </w:r>
          </w:p>
          <w:p>
            <w:pPr>
              <w:keepNext w:val="0"/>
              <w:keepLines w:val="0"/>
              <w:pageBreakBefore w:val="0"/>
              <w:widowControl w:val="0"/>
              <w:kinsoku/>
              <w:wordWrap/>
              <w:topLinePunct w:val="0"/>
              <w:bidi w:val="0"/>
              <w:adjustRightInd/>
              <w:snapToGrid/>
              <w:spacing w:line="360" w:lineRule="auto"/>
              <w:ind w:firstLine="480" w:firstLineChars="200"/>
              <w:textAlignment w:val="auto"/>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②大气环境影响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lang w:eastAsia="zh-CN"/>
              </w:rPr>
            </w:pPr>
            <w:r>
              <w:rPr>
                <w:rFonts w:hint="eastAsia" w:ascii="Times New Roman" w:hAnsi="Times New Roman"/>
                <w:b w:val="0"/>
                <w:kern w:val="0"/>
                <w:sz w:val="24"/>
                <w:szCs w:val="24"/>
                <w:lang w:val="en-US" w:eastAsia="zh-CN"/>
              </w:rPr>
              <w:t>项目营运期产生的废气主要是恶臭物质，主要来自三格式化粪池、提升井、PTA2O一体化污水综合处理装置等运行过程中产生的硫化氢、氨气等臭气，属无组织排放源。根据工程分析，通过对恶臭产生单元采取加盖密闭、喷洒除臭剂等措施，恶臭处理效率为80%，处理后排放量为NH</w:t>
            </w:r>
            <w:r>
              <w:rPr>
                <w:rFonts w:hint="eastAsia" w:ascii="Times New Roman" w:hAnsi="Times New Roman"/>
                <w:b w:val="0"/>
                <w:kern w:val="0"/>
                <w:sz w:val="24"/>
                <w:szCs w:val="24"/>
                <w:vertAlign w:val="subscript"/>
                <w:lang w:val="en-US" w:eastAsia="zh-CN"/>
              </w:rPr>
              <w:t>3</w:t>
            </w:r>
            <w:r>
              <w:rPr>
                <w:rFonts w:hint="eastAsia" w:ascii="Times New Roman" w:hAnsi="Times New Roman"/>
                <w:b w:val="0"/>
                <w:kern w:val="0"/>
                <w:sz w:val="24"/>
                <w:szCs w:val="24"/>
                <w:lang w:val="en-US" w:eastAsia="zh-CN"/>
              </w:rPr>
              <w:t>17.4kg/a（0.002kg/h）、H</w:t>
            </w:r>
            <w:r>
              <w:rPr>
                <w:rFonts w:hint="eastAsia" w:ascii="Times New Roman" w:hAnsi="Times New Roman"/>
                <w:b w:val="0"/>
                <w:kern w:val="0"/>
                <w:sz w:val="24"/>
                <w:szCs w:val="24"/>
                <w:vertAlign w:val="subscript"/>
                <w:lang w:val="en-US" w:eastAsia="zh-CN"/>
              </w:rPr>
              <w:t>2</w:t>
            </w:r>
            <w:r>
              <w:rPr>
                <w:rFonts w:hint="eastAsia" w:ascii="Times New Roman" w:hAnsi="Times New Roman"/>
                <w:b w:val="0"/>
                <w:kern w:val="0"/>
                <w:sz w:val="24"/>
                <w:szCs w:val="24"/>
                <w:lang w:val="en-US" w:eastAsia="zh-CN"/>
              </w:rPr>
              <w:t>S6.8kg/a（0.00078kg/h），可以达到《恶臭污染物排放标准》（GB14554-93）中排放标准值。</w:t>
            </w:r>
          </w:p>
          <w:p>
            <w:pPr>
              <w:pStyle w:val="2"/>
              <w:numPr>
                <w:ilvl w:val="2"/>
                <w:numId w:val="0"/>
              </w:numPr>
              <w:ind w:firstLine="480" w:firstLineChars="200"/>
              <w:rPr>
                <w:rFonts w:hint="eastAsia"/>
              </w:rPr>
            </w:pPr>
            <w:bookmarkStart w:id="107" w:name="_Toc29034"/>
            <w:bookmarkStart w:id="108" w:name="_Toc28781"/>
            <w:r>
              <w:rPr>
                <w:rFonts w:hint="eastAsia"/>
              </w:rPr>
              <w:t>③声环境影响</w:t>
            </w:r>
          </w:p>
          <w:p>
            <w:pPr>
              <w:pStyle w:val="2"/>
              <w:numPr>
                <w:ilvl w:val="2"/>
                <w:numId w:val="0"/>
              </w:numPr>
              <w:ind w:firstLine="480" w:firstLineChars="200"/>
            </w:pPr>
            <w:r>
              <w:rPr>
                <w:rFonts w:hint="eastAsia"/>
              </w:rPr>
              <w:t>本项目污水处理厂运行过程中风机和水泵运行会产生噪声。在采取有效的减振、隔声处理，可有效地降低噪声源强，同时通过加强厂区绿化，厂界噪声可满足</w:t>
            </w:r>
            <w:r>
              <w:rPr>
                <w:rFonts w:hint="eastAsia"/>
                <w:color w:val="auto"/>
                <w:sz w:val="24"/>
                <w:szCs w:val="24"/>
                <w:lang w:val="en-US" w:eastAsia="zh-CN"/>
              </w:rPr>
              <w:t>《</w:t>
            </w:r>
            <w:r>
              <w:rPr>
                <w:color w:val="000000" w:themeColor="text1"/>
                <w:sz w:val="24"/>
                <w:szCs w:val="24"/>
                <w:highlight w:val="none"/>
                <w:lang w:val="en-US" w:eastAsia="zh-CN"/>
                <w14:textFill>
                  <w14:solidFill>
                    <w14:schemeClr w14:val="tx1"/>
                  </w14:solidFill>
                </w14:textFill>
              </w:rPr>
              <w:t>工业企业厂界环境噪声排放标准》（GB 12348-2008）</w:t>
            </w:r>
            <w:r>
              <w:rPr>
                <w:rFonts w:hint="eastAsia"/>
                <w:color w:val="000000" w:themeColor="text1"/>
                <w:sz w:val="24"/>
                <w:szCs w:val="24"/>
                <w:highlight w:val="none"/>
                <w:lang w:val="en-US" w:eastAsia="zh-CN"/>
                <w14:textFill>
                  <w14:solidFill>
                    <w14:schemeClr w14:val="tx1"/>
                  </w14:solidFill>
                </w14:textFill>
              </w:rPr>
              <w:t>2</w:t>
            </w:r>
            <w:r>
              <w:rPr>
                <w:color w:val="000000" w:themeColor="text1"/>
                <w:sz w:val="24"/>
                <w:szCs w:val="24"/>
                <w:highlight w:val="none"/>
                <w:lang w:val="en-US" w:eastAsia="zh-CN"/>
                <w14:textFill>
                  <w14:solidFill>
                    <w14:schemeClr w14:val="tx1"/>
                  </w14:solidFill>
                </w14:textFill>
              </w:rPr>
              <w:t>类</w:t>
            </w:r>
            <w:r>
              <w:rPr>
                <w:rFonts w:hint="eastAsia"/>
              </w:rPr>
              <w:t>标准要求。</w:t>
            </w:r>
          </w:p>
          <w:p>
            <w:pPr>
              <w:keepNext w:val="0"/>
              <w:keepLines w:val="0"/>
              <w:pageBreakBefore w:val="0"/>
              <w:kinsoku/>
              <w:wordWrap/>
              <w:topLinePunct w:val="0"/>
              <w:bidi w:val="0"/>
              <w:adjustRightInd/>
              <w:snapToGrid/>
              <w:spacing w:line="360" w:lineRule="auto"/>
              <w:ind w:firstLine="480" w:firstLineChars="200"/>
              <w:textAlignment w:val="auto"/>
              <w:rPr>
                <w:rFonts w:hint="default" w:ascii="Times New Roman" w:hAnsi="Times New Roman" w:cs="Times New Roman"/>
                <w:bCs/>
                <w:color w:val="auto"/>
                <w:sz w:val="24"/>
                <w:szCs w:val="24"/>
              </w:rPr>
            </w:pPr>
            <w:r>
              <w:rPr>
                <w:rFonts w:hint="default" w:ascii="Times New Roman" w:hAnsi="Times New Roman" w:cs="Times New Roman"/>
                <w:bCs/>
                <w:color w:val="auto"/>
                <w:sz w:val="24"/>
                <w:szCs w:val="24"/>
              </w:rPr>
              <w:t>④固体废物影响</w:t>
            </w:r>
          </w:p>
          <w:p>
            <w:pPr>
              <w:spacing w:line="360" w:lineRule="auto"/>
              <w:ind w:firstLine="480" w:firstLineChars="200"/>
              <w:rPr>
                <w:rFonts w:hint="eastAsia" w:ascii="Times New Roman" w:hAnsi="Times New Roman"/>
                <w:b w:val="0"/>
                <w:kern w:val="0"/>
                <w:sz w:val="24"/>
                <w:szCs w:val="24"/>
                <w:lang w:eastAsia="zh-CN"/>
              </w:rPr>
            </w:pPr>
            <w:bookmarkStart w:id="109" w:name="_Toc27789"/>
            <w:bookmarkStart w:id="110" w:name="_Toc31429"/>
            <w:r>
              <w:rPr>
                <w:rFonts w:hint="eastAsia" w:ascii="Times New Roman" w:hAnsi="Times New Roman"/>
                <w:b w:val="0"/>
                <w:kern w:val="0"/>
                <w:sz w:val="24"/>
                <w:szCs w:val="24"/>
                <w:lang w:eastAsia="zh-CN"/>
              </w:rPr>
              <w:t>项目营运期固废主要为奇家社区污水处理站产生的污泥，污泥在污泥储存池内暂存后定期外运至罗家坡污水处理厂集中处置。本项目固体废物采取妥善处理措施后，对周围环境不会造成影响。</w:t>
            </w:r>
          </w:p>
          <w:p>
            <w:pPr>
              <w:spacing w:line="360" w:lineRule="auto"/>
              <w:ind w:firstLine="480" w:firstLineChars="200"/>
              <w:rPr>
                <w:bCs/>
                <w:sz w:val="24"/>
                <w:szCs w:val="24"/>
              </w:rPr>
            </w:pPr>
            <w:r>
              <w:rPr>
                <w:rFonts w:hint="eastAsia" w:ascii="宋体" w:hAnsi="宋体" w:eastAsia="宋体" w:cs="宋体"/>
                <w:b w:val="0"/>
                <w:bCs/>
                <w:sz w:val="24"/>
                <w:szCs w:val="24"/>
                <w:lang w:val="en-US" w:eastAsia="zh-CN"/>
              </w:rPr>
              <w:t>⑤</w:t>
            </w:r>
            <w:bookmarkEnd w:id="109"/>
            <w:bookmarkEnd w:id="110"/>
            <w:r>
              <w:rPr>
                <w:rFonts w:hint="eastAsia"/>
                <w:bCs/>
                <w:sz w:val="24"/>
                <w:szCs w:val="24"/>
              </w:rPr>
              <w:t>地下水环境影响</w:t>
            </w:r>
          </w:p>
          <w:p>
            <w:pPr>
              <w:pStyle w:val="8"/>
              <w:ind w:firstLine="480" w:firstLineChars="200"/>
              <w:rPr>
                <w:sz w:val="24"/>
                <w:szCs w:val="24"/>
              </w:rPr>
            </w:pPr>
            <w:r>
              <w:rPr>
                <w:rFonts w:hint="eastAsia"/>
                <w:sz w:val="24"/>
                <w:szCs w:val="24"/>
              </w:rPr>
              <w:t>本项目</w:t>
            </w:r>
            <w:r>
              <w:rPr>
                <w:rFonts w:hint="eastAsia"/>
                <w:sz w:val="24"/>
                <w:szCs w:val="24"/>
                <w:lang w:eastAsia="zh-CN"/>
              </w:rPr>
              <w:t>污水处理站</w:t>
            </w:r>
            <w:r>
              <w:rPr>
                <w:rFonts w:hint="eastAsia"/>
                <w:sz w:val="24"/>
                <w:szCs w:val="24"/>
              </w:rPr>
              <w:t>各建（构）筑物采用防渗措施，正常情况下不会造成污水渗漏。本项目建立跟踪监测机制，定期对地下水进行跟踪监测，保证及时掌握地下水水质的变化情况。在认真落实评价提出的各种污染防治措施的基础上，本项目不会对地下水造成污染，从地下水保护环境角度分析可行。</w:t>
            </w:r>
          </w:p>
          <w:p>
            <w:pPr>
              <w:tabs>
                <w:tab w:val="left" w:pos="360"/>
              </w:tabs>
              <w:spacing w:line="360" w:lineRule="auto"/>
              <w:ind w:firstLine="480" w:firstLineChars="200"/>
              <w:rPr>
                <w:bCs/>
                <w:sz w:val="24"/>
                <w:szCs w:val="24"/>
              </w:rPr>
            </w:pPr>
            <w:r>
              <w:rPr>
                <w:rFonts w:hint="eastAsia"/>
                <w:bCs/>
                <w:sz w:val="24"/>
                <w:szCs w:val="24"/>
              </w:rPr>
              <w:t>⑥土壤环境</w:t>
            </w:r>
          </w:p>
          <w:p>
            <w:pPr>
              <w:pStyle w:val="2"/>
              <w:numPr>
                <w:ilvl w:val="2"/>
                <w:numId w:val="0"/>
              </w:numPr>
              <w:ind w:firstLine="480" w:firstLineChars="200"/>
            </w:pPr>
            <w:bookmarkStart w:id="111" w:name="_Toc4180"/>
            <w:r>
              <w:rPr>
                <w:rFonts w:hint="eastAsia"/>
              </w:rPr>
              <w:t>本项目污水处理项目对土壤环境产生污染途径为</w:t>
            </w:r>
            <w:r>
              <w:rPr>
                <w:rFonts w:hint="eastAsia"/>
                <w:lang w:eastAsia="zh-CN"/>
              </w:rPr>
              <w:t>污水处理设施事故状态下</w:t>
            </w:r>
            <w:r>
              <w:rPr>
                <w:rFonts w:hint="eastAsia"/>
              </w:rPr>
              <w:t>下渗，在项目做好防渗措施、尾水处理达标情况下，对周围土壤环境影响很小。</w:t>
            </w:r>
            <w:bookmarkEnd w:id="111"/>
          </w:p>
          <w:p>
            <w:pPr>
              <w:pStyle w:val="2"/>
              <w:pageBreakBefore w:val="0"/>
              <w:widowControl w:val="0"/>
              <w:numPr>
                <w:ilvl w:val="2"/>
                <w:numId w:val="0"/>
              </w:numPr>
              <w:kinsoku/>
              <w:wordWrap/>
              <w:topLinePunct w:val="0"/>
              <w:bidi w:val="0"/>
              <w:adjustRightInd/>
              <w:snapToGrid/>
              <w:spacing w:line="360" w:lineRule="auto"/>
              <w:textAlignment w:val="auto"/>
              <w:rPr>
                <w:b/>
                <w:snapToGrid w:val="0"/>
                <w:color w:val="auto"/>
                <w:sz w:val="24"/>
              </w:rPr>
            </w:pPr>
            <w:r>
              <w:rPr>
                <w:rFonts w:hint="eastAsia"/>
                <w:b/>
                <w:snapToGrid w:val="0"/>
                <w:color w:val="auto"/>
                <w:sz w:val="24"/>
                <w:lang w:val="en-US" w:eastAsia="zh-CN"/>
              </w:rPr>
              <w:t>9.4</w:t>
            </w:r>
            <w:r>
              <w:rPr>
                <w:b/>
                <w:snapToGrid w:val="0"/>
                <w:color w:val="auto"/>
                <w:sz w:val="24"/>
              </w:rPr>
              <w:t>项目建设可行性分析</w:t>
            </w:r>
            <w:bookmarkEnd w:id="107"/>
            <w:bookmarkEnd w:id="108"/>
          </w:p>
          <w:p>
            <w:pPr>
              <w:pStyle w:val="2"/>
              <w:pageBreakBefore w:val="0"/>
              <w:widowControl w:val="0"/>
              <w:numPr>
                <w:ilvl w:val="2"/>
                <w:numId w:val="0"/>
              </w:numPr>
              <w:kinsoku/>
              <w:wordWrap/>
              <w:topLinePunct w:val="0"/>
              <w:bidi w:val="0"/>
              <w:adjustRightInd/>
              <w:snapToGrid/>
              <w:spacing w:line="360" w:lineRule="auto"/>
              <w:ind w:firstLine="480" w:firstLineChars="200"/>
              <w:textAlignment w:val="auto"/>
              <w:rPr>
                <w:color w:val="auto"/>
                <w:sz w:val="24"/>
                <w:szCs w:val="24"/>
              </w:rPr>
            </w:pPr>
            <w:r>
              <w:rPr>
                <w:color w:val="auto"/>
                <w:sz w:val="24"/>
                <w:szCs w:val="24"/>
              </w:rPr>
              <w:t>（1）产业政策符合性分析</w:t>
            </w:r>
          </w:p>
          <w:p>
            <w:pPr>
              <w:pageBreakBefore w:val="0"/>
              <w:widowControl w:val="0"/>
              <w:kinsoku/>
              <w:wordWrap/>
              <w:topLinePunct w:val="0"/>
              <w:bidi w:val="0"/>
              <w:adjustRightInd/>
              <w:snapToGrid/>
              <w:spacing w:line="360" w:lineRule="auto"/>
              <w:ind w:firstLine="480" w:firstLineChars="200"/>
              <w:jc w:val="left"/>
              <w:textAlignment w:val="auto"/>
              <w:rPr>
                <w:rFonts w:ascii="Times New Roman" w:hAnsi="宋体"/>
                <w:snapToGrid w:val="0"/>
                <w:color w:val="auto"/>
                <w:kern w:val="0"/>
                <w:sz w:val="24"/>
                <w:szCs w:val="24"/>
                <w:highlight w:val="none"/>
              </w:rPr>
            </w:pPr>
            <w:r>
              <w:rPr>
                <w:rFonts w:hint="eastAsia" w:hAnsi="宋体"/>
                <w:snapToGrid w:val="0"/>
                <w:color w:val="auto"/>
                <w:kern w:val="0"/>
                <w:sz w:val="24"/>
                <w:szCs w:val="24"/>
                <w:highlight w:val="none"/>
                <w:lang w:val="en-US" w:eastAsia="zh-CN"/>
              </w:rPr>
              <w:t>根据</w:t>
            </w:r>
            <w:r>
              <w:rPr>
                <w:rStyle w:val="62"/>
                <w:rFonts w:hint="default" w:ascii="Times New Roman" w:hAnsi="Times New Roman"/>
                <w:color w:val="auto"/>
              </w:rPr>
              <w:t>《产业结构调整</w:t>
            </w:r>
            <w:r>
              <w:rPr>
                <w:rStyle w:val="62"/>
                <w:rFonts w:hint="default" w:ascii="Times New Roman" w:hAnsi="Times New Roman"/>
                <w:color w:val="auto"/>
                <w:sz w:val="24"/>
                <w:szCs w:val="24"/>
              </w:rPr>
              <w:t>指导目录（201</w:t>
            </w:r>
            <w:r>
              <w:rPr>
                <w:rStyle w:val="62"/>
                <w:rFonts w:hint="default" w:ascii="Times New Roman" w:hAnsi="Times New Roman"/>
                <w:color w:val="auto"/>
                <w:sz w:val="24"/>
                <w:szCs w:val="24"/>
                <w:lang w:val="en-US" w:eastAsia="zh-CN"/>
              </w:rPr>
              <w:t>9</w:t>
            </w:r>
            <w:r>
              <w:rPr>
                <w:rStyle w:val="62"/>
                <w:rFonts w:hint="default" w:ascii="Times New Roman" w:hAnsi="Times New Roman"/>
                <w:color w:val="auto"/>
                <w:sz w:val="24"/>
                <w:szCs w:val="24"/>
              </w:rPr>
              <w:t>年本）（修正）》</w:t>
            </w:r>
            <w:r>
              <w:rPr>
                <w:rFonts w:hint="eastAsia" w:hAnsi="宋体"/>
                <w:snapToGrid w:val="0"/>
                <w:color w:val="auto"/>
                <w:kern w:val="0"/>
                <w:sz w:val="24"/>
                <w:szCs w:val="24"/>
                <w:highlight w:val="none"/>
                <w:lang w:eastAsia="zh-CN"/>
              </w:rPr>
              <w:t>，</w:t>
            </w:r>
            <w:r>
              <w:rPr>
                <w:rFonts w:hint="eastAsia" w:hAnsi="宋体"/>
                <w:color w:val="000000"/>
                <w:spacing w:val="4"/>
                <w:sz w:val="24"/>
                <w:szCs w:val="24"/>
                <w:highlight w:val="none"/>
              </w:rPr>
              <w:t>本建设项目为该产业目录中鼓励类第</w:t>
            </w:r>
            <w:r>
              <w:rPr>
                <w:rFonts w:hint="eastAsia" w:hAnsi="宋体"/>
                <w:color w:val="000000"/>
                <w:spacing w:val="4"/>
                <w:sz w:val="24"/>
                <w:szCs w:val="24"/>
                <w:highlight w:val="none"/>
                <w:lang w:val="en-US" w:eastAsia="zh-CN"/>
              </w:rPr>
              <w:t>二</w:t>
            </w:r>
            <w:r>
              <w:rPr>
                <w:rFonts w:hint="eastAsia" w:hAnsi="宋体"/>
                <w:color w:val="000000"/>
                <w:spacing w:val="4"/>
                <w:sz w:val="24"/>
                <w:szCs w:val="24"/>
                <w:highlight w:val="none"/>
              </w:rPr>
              <w:t>项第</w:t>
            </w:r>
            <w:r>
              <w:rPr>
                <w:rFonts w:hint="eastAsia" w:hAnsi="宋体"/>
                <w:color w:val="000000"/>
                <w:spacing w:val="4"/>
                <w:sz w:val="24"/>
                <w:szCs w:val="24"/>
                <w:highlight w:val="none"/>
                <w:lang w:val="en-US" w:eastAsia="zh-CN"/>
              </w:rPr>
              <w:t>1</w:t>
            </w:r>
            <w:r>
              <w:rPr>
                <w:rFonts w:hint="eastAsia" w:hAnsi="宋体"/>
                <w:color w:val="000000"/>
                <w:spacing w:val="4"/>
                <w:sz w:val="24"/>
                <w:szCs w:val="24"/>
                <w:highlight w:val="none"/>
              </w:rPr>
              <w:t>条“</w:t>
            </w:r>
            <w:r>
              <w:rPr>
                <w:rFonts w:hint="eastAsia" w:hAnsi="宋体"/>
                <w:color w:val="000000"/>
                <w:spacing w:val="4"/>
                <w:sz w:val="24"/>
                <w:szCs w:val="24"/>
                <w:highlight w:val="none"/>
                <w:lang w:val="en-US" w:eastAsia="zh-CN"/>
              </w:rPr>
              <w:t>江河湖海堤防建设及河道治理工程”</w:t>
            </w:r>
            <w:r>
              <w:rPr>
                <w:rFonts w:hint="eastAsia" w:hAnsi="宋体"/>
                <w:color w:val="000000"/>
                <w:spacing w:val="4"/>
                <w:sz w:val="24"/>
                <w:szCs w:val="24"/>
                <w:highlight w:val="none"/>
                <w:lang w:eastAsia="zh-CN"/>
              </w:rPr>
              <w:t>、第二十二项第</w:t>
            </w:r>
            <w:r>
              <w:rPr>
                <w:rFonts w:hint="eastAsia" w:hAnsi="宋体"/>
                <w:color w:val="000000"/>
                <w:spacing w:val="4"/>
                <w:sz w:val="24"/>
                <w:szCs w:val="24"/>
                <w:highlight w:val="none"/>
                <w:lang w:val="en-US" w:eastAsia="zh-CN"/>
              </w:rPr>
              <w:t>9条“城镇供排水管网工程检测及修复与改造工程”、</w:t>
            </w:r>
            <w:r>
              <w:rPr>
                <w:rFonts w:ascii="Times New Roman" w:hAnsi="Times New Roman" w:eastAsia="宋体" w:cs="Times New Roman"/>
                <w:sz w:val="24"/>
                <w:szCs w:val="24"/>
              </w:rPr>
              <w:t>第三十八</w:t>
            </w:r>
            <w:r>
              <w:rPr>
                <w:rFonts w:hint="eastAsia" w:ascii="Times New Roman" w:hAnsi="Times New Roman" w:eastAsia="宋体" w:cs="Times New Roman"/>
                <w:sz w:val="24"/>
                <w:szCs w:val="24"/>
                <w:lang w:eastAsia="zh-CN"/>
              </w:rPr>
              <w:t>项</w:t>
            </w:r>
            <w:r>
              <w:rPr>
                <w:rFonts w:ascii="Times New Roman" w:hAnsi="Times New Roman" w:eastAsia="宋体" w:cs="Times New Roman"/>
                <w:sz w:val="24"/>
                <w:szCs w:val="24"/>
              </w:rPr>
              <w:t>第15</w:t>
            </w:r>
            <w:r>
              <w:rPr>
                <w:rFonts w:hint="eastAsia" w:ascii="Times New Roman" w:hAnsi="Times New Roman" w:eastAsia="宋体" w:cs="Times New Roman"/>
                <w:sz w:val="24"/>
                <w:szCs w:val="24"/>
                <w:lang w:eastAsia="zh-CN"/>
              </w:rPr>
              <w:t>条“</w:t>
            </w:r>
            <w:r>
              <w:rPr>
                <w:rFonts w:ascii="Times New Roman" w:hAnsi="Times New Roman" w:eastAsia="宋体" w:cs="Times New Roman"/>
                <w:sz w:val="24"/>
                <w:szCs w:val="24"/>
              </w:rPr>
              <w:t>三废”综合利用及治理工程</w:t>
            </w:r>
            <w:r>
              <w:rPr>
                <w:rFonts w:hint="eastAsia" w:ascii="Times New Roman" w:hAnsi="Times New Roman" w:eastAsia="宋体" w:cs="Times New Roman"/>
                <w:sz w:val="24"/>
                <w:szCs w:val="24"/>
                <w:lang w:eastAsia="zh-CN"/>
              </w:rPr>
              <w:t>”</w:t>
            </w:r>
            <w:r>
              <w:rPr>
                <w:rFonts w:hint="eastAsia" w:hAnsi="宋体"/>
                <w:color w:val="000000"/>
                <w:spacing w:val="4"/>
                <w:sz w:val="24"/>
                <w:szCs w:val="24"/>
                <w:highlight w:val="none"/>
              </w:rPr>
              <w:t>的范围，为国家鼓励类项目。</w:t>
            </w:r>
            <w:r>
              <w:rPr>
                <w:rFonts w:ascii="Times New Roman" w:hAnsi="宋体"/>
                <w:snapToGrid w:val="0"/>
                <w:color w:val="auto"/>
                <w:kern w:val="0"/>
                <w:sz w:val="24"/>
                <w:szCs w:val="24"/>
                <w:highlight w:val="none"/>
              </w:rPr>
              <w:t>因此项目建设符合国家产业政策。</w:t>
            </w:r>
          </w:p>
          <w:p>
            <w:pPr>
              <w:pStyle w:val="21"/>
              <w:numPr>
                <w:ilvl w:val="0"/>
                <w:numId w:val="0"/>
              </w:numPr>
              <w:spacing w:line="360" w:lineRule="auto"/>
              <w:ind w:leftChars="200"/>
              <w:rPr>
                <w:rFonts w:hint="eastAsia"/>
                <w:sz w:val="24"/>
                <w:szCs w:val="24"/>
                <w:lang w:val="en-US" w:eastAsia="zh-CN"/>
              </w:rPr>
            </w:pPr>
            <w:r>
              <w:rPr>
                <w:rFonts w:hint="eastAsia"/>
                <w:sz w:val="24"/>
                <w:szCs w:val="24"/>
                <w:lang w:val="en-US" w:eastAsia="zh-CN"/>
              </w:rPr>
              <w:t>（2）本项目与《岳阳中心城区排水专项规划》(2011-2030)的符合性分析</w:t>
            </w:r>
          </w:p>
          <w:p>
            <w:pPr>
              <w:pStyle w:val="9"/>
              <w:spacing w:line="360" w:lineRule="auto"/>
              <w:ind w:firstLine="480"/>
              <w:rPr>
                <w:sz w:val="24"/>
                <w:szCs w:val="24"/>
                <w:lang w:val="en-US" w:eastAsia="zh-CN"/>
              </w:rPr>
            </w:pPr>
            <w:r>
              <w:rPr>
                <w:rFonts w:hint="eastAsia"/>
                <w:sz w:val="24"/>
                <w:szCs w:val="24"/>
                <w:lang w:val="en-US" w:eastAsia="zh-CN"/>
              </w:rPr>
              <w:t>岳阳市中心城区的排水体制为：已建老城区原有合流制系统改造为截流式合流制，当条件成熟时，逐步实施对原有合流制系统进行分流制改造，其余新规划区域及新建区为完全分流制。本项目主要对已建成老城区原有合流制系统进行分流制改造，项目的建设可有效</w:t>
            </w:r>
            <w:r>
              <w:rPr>
                <w:rFonts w:hint="default" w:ascii="Times New Roman" w:hAnsi="Times New Roman" w:eastAsia="宋体" w:cs="Times New Roman"/>
                <w:color w:val="000000"/>
                <w:kern w:val="0"/>
                <w:sz w:val="24"/>
                <w:szCs w:val="24"/>
                <w:lang w:val="en-US" w:eastAsia="zh-CN" w:bidi="ar"/>
              </w:rPr>
              <w:t>解决区域</w:t>
            </w:r>
            <w:r>
              <w:rPr>
                <w:rFonts w:hint="eastAsia" w:cs="Times New Roman"/>
                <w:color w:val="000000"/>
                <w:kern w:val="0"/>
                <w:sz w:val="24"/>
                <w:szCs w:val="24"/>
                <w:lang w:val="en-US" w:eastAsia="zh-CN" w:bidi="ar"/>
              </w:rPr>
              <w:t>污水收集系统问题</w:t>
            </w:r>
            <w:r>
              <w:rPr>
                <w:rFonts w:hint="default" w:ascii="Times New Roman" w:hAnsi="Times New Roman" w:eastAsia="宋体" w:cs="Times New Roman"/>
                <w:color w:val="000000"/>
                <w:kern w:val="0"/>
                <w:sz w:val="24"/>
                <w:szCs w:val="24"/>
                <w:lang w:val="en-US" w:eastAsia="zh-CN" w:bidi="ar"/>
              </w:rPr>
              <w:t>，保证罗家坡污水厂高质高效运行，提升和长效保持南北港河水质</w:t>
            </w:r>
            <w:r>
              <w:rPr>
                <w:rFonts w:hint="eastAsia" w:ascii="Times New Roman" w:hAnsi="Times New Roman" w:eastAsia="宋体" w:cs="Times New Roman"/>
                <w:color w:val="000000"/>
                <w:kern w:val="0"/>
                <w:sz w:val="24"/>
                <w:szCs w:val="24"/>
                <w:lang w:val="en-US" w:eastAsia="zh-CN" w:bidi="ar"/>
              </w:rPr>
              <w:t>，因此项目建设与</w:t>
            </w:r>
            <w:r>
              <w:rPr>
                <w:rFonts w:hint="eastAsia"/>
                <w:sz w:val="24"/>
                <w:szCs w:val="24"/>
                <w:lang w:val="en-US" w:eastAsia="zh-CN"/>
              </w:rPr>
              <w:t>《岳阳中心城区排水专项规划》(2011-2030)相符。</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tabs>
                <w:tab w:val="left" w:pos="360"/>
              </w:tabs>
              <w:kinsoku/>
              <w:wordWrap/>
              <w:overflowPunct/>
              <w:topLinePunct w:val="0"/>
              <w:autoSpaceDE/>
              <w:autoSpaceDN/>
              <w:bidi w:val="0"/>
              <w:adjustRightInd/>
              <w:snapToGrid/>
              <w:spacing w:line="360" w:lineRule="auto"/>
              <w:ind w:leftChars="200"/>
              <w:textAlignment w:val="auto"/>
              <w:outlineLvl w:val="9"/>
              <w:rPr>
                <w:rFonts w:hint="eastAsia"/>
                <w:b w:val="0"/>
                <w:bCs/>
                <w:snapToGrid w:val="0"/>
                <w:color w:val="auto"/>
                <w:sz w:val="24"/>
                <w:lang w:val="en-US" w:eastAsia="zh-CN"/>
              </w:rPr>
            </w:pPr>
            <w:r>
              <w:rPr>
                <w:rFonts w:hint="eastAsia"/>
                <w:b w:val="0"/>
                <w:bCs/>
                <w:snapToGrid w:val="0"/>
                <w:color w:val="auto"/>
                <w:sz w:val="24"/>
                <w:lang w:val="en-US" w:eastAsia="zh-CN"/>
              </w:rPr>
              <w:t>（3）调蓄池、泵站选址可行性分析</w:t>
            </w:r>
          </w:p>
          <w:p>
            <w:pPr>
              <w:pStyle w:val="2"/>
              <w:numPr>
                <w:ilvl w:val="2"/>
                <w:numId w:val="0"/>
              </w:numPr>
              <w:ind w:firstLine="480" w:firstLineChars="200"/>
              <w:rPr>
                <w:rFonts w:hint="default"/>
                <w:lang w:val="en-US" w:eastAsia="zh-CN"/>
              </w:rPr>
            </w:pPr>
            <w:r>
              <w:rPr>
                <w:rFonts w:hint="eastAsia"/>
                <w:lang w:val="en-US" w:eastAsia="zh-CN"/>
              </w:rPr>
              <w:t>调蓄池位于</w:t>
            </w:r>
            <w:r>
              <w:rPr>
                <w:rFonts w:hint="eastAsia"/>
                <w:sz w:val="24"/>
                <w:szCs w:val="24"/>
                <w:lang w:val="en-US" w:eastAsia="zh-CN"/>
              </w:rPr>
              <w:t>在长康路和107国道交口东北侧、长康路立交桥辅道下。</w:t>
            </w:r>
            <w:r>
              <w:rPr>
                <w:rFonts w:hint="default"/>
                <w:lang w:val="en-US" w:eastAsia="zh-CN"/>
              </w:rPr>
              <w:t>长康路立交桥下用地为公共绿地。本次合流制溢流污水调蓄工程拟建于长康路立交桥辅道下，建设地下式调蓄池，占地约 2600m</w:t>
            </w:r>
            <w:r>
              <w:rPr>
                <w:rFonts w:hint="default"/>
                <w:vertAlign w:val="superscript"/>
                <w:lang w:val="en-US" w:eastAsia="zh-CN"/>
              </w:rPr>
              <w:t>2</w:t>
            </w:r>
            <w:r>
              <w:rPr>
                <w:rFonts w:hint="default"/>
                <w:lang w:val="en-US" w:eastAsia="zh-CN"/>
              </w:rPr>
              <w:t>，既能提升现状绿地景观效果，又可达到合流制溢流污染控制目的</w:t>
            </w:r>
            <w:r>
              <w:rPr>
                <w:rFonts w:hint="eastAsia"/>
                <w:lang w:val="en-US" w:eastAsia="zh-CN"/>
              </w:rPr>
              <w:t>，因此选址合理可行。</w:t>
            </w:r>
          </w:p>
          <w:p>
            <w:pPr>
              <w:pStyle w:val="2"/>
              <w:numPr>
                <w:ilvl w:val="2"/>
                <w:numId w:val="0"/>
              </w:numPr>
              <w:ind w:firstLine="480" w:firstLineChars="200"/>
              <w:rPr>
                <w:rFonts w:hint="default"/>
                <w:lang w:val="en-US" w:eastAsia="zh-CN"/>
              </w:rPr>
            </w:pPr>
            <w:r>
              <w:rPr>
                <w:rFonts w:hint="eastAsia"/>
                <w:lang w:val="en-US" w:eastAsia="zh-CN"/>
              </w:rPr>
              <w:t>本项目拟设岳阳大道污水提升泵站、枣子山污水提升泵站和廖家巷污水提升泵站，岳阳大道污水提升泵站在工业园区附近，将园区污水接入污水提升泵站。枣子山路提升泵站可就近收集周边生活污水和弘毅中学生活污水。廖家巷污水提升泵站位于廖家巷居民集中区附近，便于收集周边生活污水。项目污水提升泵站与周边居民最近距离在25m以上，且为封闭式，运营期对周边声环境影响较小。因此选址合理可行。</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textAlignment w:val="auto"/>
              <w:outlineLvl w:val="9"/>
              <w:rPr>
                <w:b/>
                <w:snapToGrid w:val="0"/>
                <w:color w:val="auto"/>
                <w:sz w:val="24"/>
              </w:rPr>
            </w:pPr>
            <w:r>
              <w:rPr>
                <w:rFonts w:hint="eastAsia"/>
                <w:b/>
                <w:snapToGrid w:val="0"/>
                <w:color w:val="auto"/>
                <w:sz w:val="24"/>
                <w:lang w:val="en-US" w:eastAsia="zh-CN"/>
              </w:rPr>
              <w:t>9.5</w:t>
            </w:r>
            <w:r>
              <w:rPr>
                <w:b/>
                <w:snapToGrid w:val="0"/>
                <w:color w:val="auto"/>
                <w:sz w:val="24"/>
              </w:rPr>
              <w:t>项目环保投资估算</w:t>
            </w:r>
          </w:p>
          <w:p>
            <w:pPr>
              <w:pStyle w:val="8"/>
              <w:keepNext w:val="0"/>
              <w:keepLines w:val="0"/>
              <w:pageBreakBefore w:val="0"/>
              <w:widowControl w:val="0"/>
              <w:kinsoku/>
              <w:wordWrap/>
              <w:topLinePunct w:val="0"/>
              <w:bidi w:val="0"/>
              <w:adjustRightInd/>
              <w:snapToGrid/>
              <w:spacing w:line="360" w:lineRule="auto"/>
              <w:ind w:firstLine="480"/>
              <w:textAlignment w:val="auto"/>
              <w:outlineLvl w:val="9"/>
              <w:rPr>
                <w:rFonts w:hint="default" w:ascii="Times New Roman" w:hAnsi="Times New Roman" w:cs="Times New Roman" w:eastAsiaTheme="minorEastAsia"/>
                <w:b/>
                <w:bCs/>
                <w:color w:val="auto"/>
                <w:sz w:val="24"/>
                <w:szCs w:val="24"/>
                <w:u w:val="none"/>
              </w:rPr>
            </w:pPr>
            <w:r>
              <w:rPr>
                <w:color w:val="auto"/>
                <w:sz w:val="24"/>
                <w:szCs w:val="24"/>
                <w:u w:val="none"/>
              </w:rPr>
              <w:t>项目总投资</w:t>
            </w:r>
            <w:r>
              <w:rPr>
                <w:rFonts w:hint="eastAsia" w:ascii="Times New Roman" w:hAnsi="Times New Roman"/>
                <w:color w:val="auto"/>
                <w:sz w:val="24"/>
                <w:szCs w:val="24"/>
                <w:highlight w:val="none"/>
                <w:u w:val="none"/>
                <w:lang w:val="en-US" w:eastAsia="zh-CN"/>
              </w:rPr>
              <w:t>68871.08</w:t>
            </w:r>
            <w:r>
              <w:rPr>
                <w:color w:val="auto"/>
                <w:sz w:val="24"/>
                <w:szCs w:val="24"/>
                <w:u w:val="none"/>
              </w:rPr>
              <w:t>万元，用于环保方面的投资估算约</w:t>
            </w:r>
            <w:r>
              <w:rPr>
                <w:rFonts w:hint="eastAsia"/>
                <w:color w:val="auto"/>
                <w:sz w:val="24"/>
                <w:szCs w:val="24"/>
                <w:highlight w:val="none"/>
                <w:u w:val="none"/>
                <w:lang w:val="en-US" w:eastAsia="zh-CN"/>
              </w:rPr>
              <w:t>305</w:t>
            </w:r>
            <w:r>
              <w:rPr>
                <w:color w:val="auto"/>
                <w:sz w:val="24"/>
                <w:szCs w:val="24"/>
                <w:highlight w:val="none"/>
                <w:u w:val="none"/>
              </w:rPr>
              <w:t>万元，占总投资的</w:t>
            </w:r>
            <w:r>
              <w:rPr>
                <w:rFonts w:hint="eastAsia"/>
                <w:color w:val="auto"/>
                <w:sz w:val="24"/>
                <w:szCs w:val="24"/>
                <w:highlight w:val="none"/>
                <w:u w:val="none"/>
                <w:lang w:val="en-US" w:eastAsia="zh-CN"/>
              </w:rPr>
              <w:t>0.44</w:t>
            </w:r>
            <w:r>
              <w:rPr>
                <w:color w:val="auto"/>
                <w:sz w:val="24"/>
                <w:szCs w:val="24"/>
                <w:highlight w:val="none"/>
                <w:u w:val="none"/>
              </w:rPr>
              <w:t>%。</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textAlignment w:val="auto"/>
              <w:outlineLvl w:val="9"/>
              <w:rPr>
                <w:b/>
                <w:snapToGrid w:val="0"/>
                <w:color w:val="auto"/>
                <w:sz w:val="24"/>
                <w:lang w:val="zh-CN"/>
              </w:rPr>
            </w:pPr>
            <w:r>
              <w:rPr>
                <w:rFonts w:hint="eastAsia"/>
                <w:b/>
                <w:snapToGrid w:val="0"/>
                <w:color w:val="auto"/>
                <w:sz w:val="24"/>
                <w:lang w:val="en-US" w:eastAsia="zh-CN"/>
              </w:rPr>
              <w:t>9.6</w:t>
            </w:r>
            <w:r>
              <w:rPr>
                <w:b/>
                <w:snapToGrid w:val="0"/>
                <w:color w:val="auto"/>
                <w:sz w:val="24"/>
                <w:lang w:val="zh-CN"/>
              </w:rPr>
              <w:t>综合评价结论</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color w:val="auto"/>
                <w:sz w:val="24"/>
              </w:rPr>
            </w:pPr>
            <w:r>
              <w:rPr>
                <w:rFonts w:hint="default" w:ascii="Times New Roman" w:hAnsi="Times New Roman" w:cs="Times New Roman"/>
                <w:color w:val="auto"/>
                <w:sz w:val="24"/>
              </w:rPr>
              <w:t>综上所述，</w:t>
            </w:r>
            <w:r>
              <w:rPr>
                <w:rFonts w:hint="eastAsia" w:ascii="Times New Roman" w:hAnsi="Times New Roman" w:cs="Times New Roman"/>
                <w:color w:val="auto"/>
                <w:sz w:val="24"/>
                <w:lang w:eastAsia="zh-CN"/>
              </w:rPr>
              <w:t>项目</w:t>
            </w:r>
            <w:r>
              <w:rPr>
                <w:rFonts w:hint="default" w:ascii="Times New Roman" w:hAnsi="Times New Roman" w:cs="Times New Roman"/>
                <w:color w:val="auto"/>
                <w:sz w:val="24"/>
              </w:rPr>
              <w:t>符合国家产业政策</w:t>
            </w:r>
            <w:r>
              <w:rPr>
                <w:rFonts w:hint="eastAsia" w:ascii="Times New Roman" w:hAnsi="Times New Roman" w:cs="Times New Roman"/>
                <w:color w:val="auto"/>
                <w:sz w:val="24"/>
                <w:lang w:eastAsia="zh-CN"/>
              </w:rPr>
              <w:t>，</w:t>
            </w:r>
            <w:r>
              <w:rPr>
                <w:rFonts w:hint="eastAsia" w:hAnsi="宋体"/>
                <w:sz w:val="24"/>
              </w:rPr>
              <w:t>在切实落实本评价提出的各项环境保护措施和各项污染防治措施后，各污染物均能达标排放，对周围环境影响可控制在允许的范围内，</w:t>
            </w:r>
            <w:r>
              <w:rPr>
                <w:rFonts w:hint="eastAsia"/>
                <w:kern w:val="0"/>
                <w:sz w:val="24"/>
              </w:rPr>
              <w:t>项目的建设对周围地表水环境将产生长远的有利影响</w:t>
            </w:r>
            <w:r>
              <w:rPr>
                <w:rFonts w:hint="eastAsia" w:hAnsi="宋体"/>
                <w:sz w:val="24"/>
              </w:rPr>
              <w:t>。</w:t>
            </w:r>
            <w:r>
              <w:rPr>
                <w:rFonts w:hint="default" w:ascii="Times New Roman" w:hAnsi="Times New Roman" w:cs="Times New Roman"/>
                <w:color w:val="auto"/>
                <w:sz w:val="24"/>
              </w:rPr>
              <w:t>因此，</w:t>
            </w:r>
            <w:r>
              <w:rPr>
                <w:rFonts w:hint="eastAsia" w:cs="Times New Roman"/>
                <w:color w:val="auto"/>
                <w:sz w:val="24"/>
                <w:lang w:eastAsia="zh-CN"/>
              </w:rPr>
              <w:t>从</w:t>
            </w:r>
            <w:r>
              <w:rPr>
                <w:rFonts w:hint="default" w:ascii="Times New Roman" w:hAnsi="Times New Roman" w:cs="Times New Roman"/>
                <w:color w:val="auto"/>
                <w:sz w:val="24"/>
              </w:rPr>
              <w:t>环保角度而言，本项目的建设</w:t>
            </w:r>
            <w:r>
              <w:rPr>
                <w:rFonts w:hint="eastAsia" w:ascii="Times New Roman" w:hAnsi="Times New Roman" w:cs="Times New Roman"/>
                <w:color w:val="auto"/>
                <w:sz w:val="24"/>
                <w:lang w:eastAsia="zh-CN"/>
              </w:rPr>
              <w:t>基本</w:t>
            </w:r>
            <w:r>
              <w:rPr>
                <w:rFonts w:hint="default" w:ascii="Times New Roman" w:hAnsi="Times New Roman" w:cs="Times New Roman"/>
                <w:color w:val="auto"/>
                <w:sz w:val="24"/>
              </w:rPr>
              <w:t>可行的。</w:t>
            </w:r>
          </w:p>
          <w:p>
            <w:pPr>
              <w:keepNext w:val="0"/>
              <w:keepLines w:val="0"/>
              <w:pageBreakBefore w:val="0"/>
              <w:widowControl w:val="0"/>
              <w:tabs>
                <w:tab w:val="left" w:pos="360"/>
              </w:tabs>
              <w:kinsoku/>
              <w:wordWrap/>
              <w:overflowPunct/>
              <w:topLinePunct w:val="0"/>
              <w:autoSpaceDE/>
              <w:autoSpaceDN/>
              <w:bidi w:val="0"/>
              <w:adjustRightInd/>
              <w:snapToGrid/>
              <w:spacing w:line="360" w:lineRule="auto"/>
              <w:textAlignment w:val="auto"/>
              <w:outlineLvl w:val="9"/>
              <w:rPr>
                <w:b/>
                <w:snapToGrid w:val="0"/>
                <w:color w:val="auto"/>
                <w:sz w:val="24"/>
                <w:lang w:val="zh-CN"/>
              </w:rPr>
            </w:pPr>
            <w:r>
              <w:rPr>
                <w:b/>
                <w:snapToGrid w:val="0"/>
                <w:color w:val="auto"/>
                <w:sz w:val="24"/>
              </w:rPr>
              <w:t>9</w:t>
            </w:r>
            <w:r>
              <w:rPr>
                <w:rFonts w:hint="eastAsia"/>
                <w:b/>
                <w:snapToGrid w:val="0"/>
                <w:color w:val="auto"/>
                <w:sz w:val="24"/>
                <w:lang w:val="en-US" w:eastAsia="zh-CN"/>
              </w:rPr>
              <w:t>.7</w:t>
            </w:r>
            <w:r>
              <w:rPr>
                <w:b/>
                <w:snapToGrid w:val="0"/>
                <w:color w:val="auto"/>
                <w:sz w:val="24"/>
                <w:lang w:val="zh-CN"/>
              </w:rPr>
              <w:t>建议</w:t>
            </w:r>
          </w:p>
          <w:p>
            <w:pPr>
              <w:pStyle w:val="8"/>
              <w:spacing w:after="0"/>
              <w:ind w:firstLine="480"/>
              <w:rPr>
                <w:rFonts w:ascii="Times New Roman" w:hAnsi="Times New Roman"/>
                <w:sz w:val="24"/>
                <w:szCs w:val="24"/>
              </w:rPr>
            </w:pPr>
            <w:r>
              <w:rPr>
                <w:rFonts w:ascii="Times New Roman" w:hAnsi="Times New Roman"/>
                <w:sz w:val="24"/>
                <w:szCs w:val="24"/>
              </w:rPr>
              <w:t>（1）在</w:t>
            </w:r>
            <w:r>
              <w:rPr>
                <w:rFonts w:hint="eastAsia"/>
                <w:sz w:val="24"/>
                <w:szCs w:val="24"/>
                <w:lang w:val="en-US" w:eastAsia="zh-CN"/>
              </w:rPr>
              <w:t>工程</w:t>
            </w:r>
            <w:r>
              <w:rPr>
                <w:rFonts w:ascii="Times New Roman" w:hAnsi="Times New Roman"/>
                <w:sz w:val="24"/>
                <w:szCs w:val="24"/>
              </w:rPr>
              <w:t>建设期间，应加强环境管理，采取有效措施控制噪声和扬尘，施工区域应设置防尘网。</w:t>
            </w:r>
          </w:p>
          <w:p>
            <w:pPr>
              <w:spacing w:line="360" w:lineRule="auto"/>
              <w:ind w:firstLine="480" w:firstLineChars="200"/>
              <w:rPr>
                <w:color w:val="000000" w:themeColor="text1"/>
                <w:sz w:val="24"/>
                <w14:textFill>
                  <w14:solidFill>
                    <w14:schemeClr w14:val="tx1"/>
                  </w14:solidFill>
                </w14:textFill>
              </w:rPr>
            </w:pPr>
            <w:r>
              <w:rPr>
                <w:rFonts w:ascii="Times New Roman" w:hAnsi="Times New Roman"/>
                <w:sz w:val="24"/>
                <w:szCs w:val="24"/>
              </w:rPr>
              <w:t>（2）</w:t>
            </w:r>
            <w:r>
              <w:rPr>
                <w:rFonts w:hint="eastAsia"/>
                <w:color w:val="000000" w:themeColor="text1"/>
                <w:sz w:val="24"/>
                <w:lang w:eastAsia="zh-CN"/>
                <w14:textFill>
                  <w14:solidFill>
                    <w14:schemeClr w14:val="tx1"/>
                  </w14:solidFill>
                </w14:textFill>
              </w:rPr>
              <w:t>工程</w:t>
            </w:r>
            <w:r>
              <w:rPr>
                <w:color w:val="000000" w:themeColor="text1"/>
                <w:sz w:val="24"/>
                <w14:textFill>
                  <w14:solidFill>
                    <w14:schemeClr w14:val="tx1"/>
                  </w14:solidFill>
                </w14:textFill>
              </w:rPr>
              <w:t>建设单位应在</w:t>
            </w:r>
            <w:r>
              <w:rPr>
                <w:rFonts w:hint="eastAsia"/>
                <w:color w:val="000000" w:themeColor="text1"/>
                <w:sz w:val="24"/>
                <w:lang w:eastAsia="zh-CN"/>
                <w14:textFill>
                  <w14:solidFill>
                    <w14:schemeClr w14:val="tx1"/>
                  </w14:solidFill>
                </w14:textFill>
              </w:rPr>
              <w:t>工程</w:t>
            </w:r>
            <w:r>
              <w:rPr>
                <w:color w:val="000000" w:themeColor="text1"/>
                <w:sz w:val="24"/>
                <w14:textFill>
                  <w14:solidFill>
                    <w14:schemeClr w14:val="tx1"/>
                  </w14:solidFill>
                </w14:textFill>
              </w:rPr>
              <w:t>建设过程中严格落实水土保持方案的各项要求。</w:t>
            </w:r>
          </w:p>
          <w:p>
            <w:pPr>
              <w:pStyle w:val="23"/>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480" w:firstLineChars="200"/>
              <w:textAlignment w:val="auto"/>
              <w:outlineLvl w:val="9"/>
              <w:rPr>
                <w:rFonts w:hint="default" w:ascii="Times New Roman" w:hAnsi="Times New Roman" w:cs="Times New Roman"/>
                <w:color w:val="auto"/>
                <w:sz w:val="24"/>
              </w:rPr>
            </w:pPr>
            <w:r>
              <w:rPr>
                <w:rFonts w:hint="eastAsia" w:cs="Times New Roman"/>
                <w:color w:val="auto"/>
                <w:lang w:eastAsia="zh-CN"/>
              </w:rPr>
              <w:t>（</w:t>
            </w:r>
            <w:r>
              <w:rPr>
                <w:rFonts w:hint="eastAsia" w:cs="Times New Roman"/>
                <w:color w:val="auto"/>
                <w:lang w:val="en-US" w:eastAsia="zh-CN"/>
              </w:rPr>
              <w:t>3</w:t>
            </w:r>
            <w:r>
              <w:rPr>
                <w:rFonts w:hint="eastAsia" w:cs="Times New Roman"/>
                <w:color w:val="auto"/>
                <w:lang w:eastAsia="zh-CN"/>
              </w:rPr>
              <w:t>）</w:t>
            </w:r>
            <w:r>
              <w:rPr>
                <w:color w:val="000000" w:themeColor="text1"/>
                <w:sz w:val="24"/>
                <w14:textFill>
                  <w14:solidFill>
                    <w14:schemeClr w14:val="tx1"/>
                  </w14:solidFill>
                </w14:textFill>
              </w:rPr>
              <w:t>弃土弃渣</w:t>
            </w:r>
            <w:r>
              <w:rPr>
                <w:rFonts w:hint="eastAsia"/>
                <w:color w:val="000000" w:themeColor="text1"/>
                <w:sz w:val="24"/>
                <w:lang w:eastAsia="zh-CN"/>
                <w14:textFill>
                  <w14:solidFill>
                    <w14:schemeClr w14:val="tx1"/>
                  </w14:solidFill>
                </w14:textFill>
              </w:rPr>
              <w:t>应由渣土管理部门统一分配</w:t>
            </w:r>
            <w:r>
              <w:rPr>
                <w:color w:val="000000" w:themeColor="text1"/>
                <w:sz w:val="24"/>
                <w14:textFill>
                  <w14:solidFill>
                    <w14:schemeClr w14:val="tx1"/>
                  </w14:solidFill>
                </w14:textFill>
              </w:rPr>
              <w:t>，表土应尽量回用于绿化。</w:t>
            </w:r>
          </w:p>
          <w:p>
            <w:pPr>
              <w:spacing w:line="360" w:lineRule="auto"/>
              <w:ind w:firstLine="480" w:firstLineChars="200"/>
              <w:rPr>
                <w:color w:val="000000" w:themeColor="text1"/>
                <w:sz w:val="24"/>
                <w14:textFill>
                  <w14:solidFill>
                    <w14:schemeClr w14:val="tx1"/>
                  </w14:solidFill>
                </w14:textFill>
              </w:rPr>
            </w:pPr>
            <w:r>
              <w:rPr>
                <w:color w:val="000000" w:themeColor="text1"/>
                <w:sz w:val="24"/>
                <w14:textFill>
                  <w14:solidFill>
                    <w14:schemeClr w14:val="tx1"/>
                  </w14:solidFill>
                </w14:textFill>
              </w:rPr>
              <w:t>（</w:t>
            </w:r>
            <w:r>
              <w:rPr>
                <w:rFonts w:hint="eastAsia"/>
                <w:color w:val="000000" w:themeColor="text1"/>
                <w:sz w:val="24"/>
                <w:lang w:val="en-US" w:eastAsia="zh-CN"/>
                <w14:textFill>
                  <w14:solidFill>
                    <w14:schemeClr w14:val="tx1"/>
                  </w14:solidFill>
                </w14:textFill>
              </w:rPr>
              <w:t>4</w:t>
            </w:r>
            <w:r>
              <w:rPr>
                <w:color w:val="000000" w:themeColor="text1"/>
                <w:sz w:val="24"/>
                <w14:textFill>
                  <w14:solidFill>
                    <w14:schemeClr w14:val="tx1"/>
                  </w14:solidFill>
                </w14:textFill>
              </w:rPr>
              <w:t>）施工期项目剥离的表土，应单独堆放，并做好暂存点水土流失防治工作，表土应在绿化种植时回用于本项目绿化覆土。</w:t>
            </w:r>
          </w:p>
          <w:p>
            <w:pPr>
              <w:spacing w:line="360" w:lineRule="auto"/>
              <w:ind w:firstLine="480" w:firstLineChars="200"/>
              <w:rPr>
                <w:rFonts w:ascii="Times New Roman" w:hAnsi="Times New Roman" w:eastAsia="宋体" w:cs="Times New Roman"/>
                <w:color w:val="000000" w:themeColor="text1"/>
                <w:sz w:val="24"/>
                <w:u w:val="none"/>
                <w14:textFill>
                  <w14:solidFill>
                    <w14:schemeClr w14:val="tx1"/>
                  </w14:solidFill>
                </w14:textFill>
              </w:rPr>
            </w:pPr>
          </w:p>
          <w:p>
            <w:pPr>
              <w:pStyle w:val="21"/>
            </w:pPr>
          </w:p>
          <w:p/>
          <w:p/>
          <w:p>
            <w:pPr>
              <w:pStyle w:val="21"/>
            </w:pPr>
          </w:p>
          <w:p>
            <w:pPr>
              <w:pStyle w:val="21"/>
            </w:pPr>
          </w:p>
          <w:p>
            <w:pPr>
              <w:pStyle w:val="21"/>
            </w:pPr>
          </w:p>
          <w:p>
            <w:pPr>
              <w:pStyle w:val="21"/>
            </w:pPr>
          </w:p>
          <w:p/>
          <w:p>
            <w:pPr>
              <w:pStyle w:val="2"/>
              <w:numPr>
                <w:ilvl w:val="2"/>
                <w:numId w:val="0"/>
              </w:numPr>
              <w:ind w:leftChars="0"/>
            </w:pPr>
          </w:p>
          <w:p/>
          <w:p/>
          <w:p>
            <w:pPr>
              <w:pStyle w:val="2"/>
              <w:numPr>
                <w:ilvl w:val="2"/>
                <w:numId w:val="0"/>
              </w:numPr>
              <w:ind w:leftChars="0"/>
            </w:pPr>
          </w:p>
          <w:p/>
          <w:p>
            <w:pPr>
              <w:pStyle w:val="2"/>
              <w:numPr>
                <w:ilvl w:val="2"/>
                <w:numId w:val="0"/>
              </w:numPr>
              <w:ind w:leftChars="0"/>
            </w:pPr>
          </w:p>
          <w:p/>
          <w:p>
            <w:pPr>
              <w:pStyle w:val="2"/>
              <w:numPr>
                <w:ilvl w:val="2"/>
                <w:numId w:val="0"/>
              </w:numPr>
              <w:ind w:leftChars="0"/>
            </w:pPr>
          </w:p>
          <w:p/>
          <w:p>
            <w:pPr>
              <w:pStyle w:val="2"/>
              <w:numPr>
                <w:ilvl w:val="2"/>
                <w:numId w:val="0"/>
              </w:numPr>
              <w:ind w:leftChars="0"/>
            </w:pPr>
          </w:p>
          <w:p/>
          <w:p>
            <w:pPr>
              <w:pStyle w:val="2"/>
              <w:numPr>
                <w:ilvl w:val="2"/>
                <w:numId w:val="0"/>
              </w:numPr>
              <w:ind w:leftChars="0"/>
            </w:pPr>
          </w:p>
          <w:p/>
          <w:p/>
          <w:p>
            <w:pPr>
              <w:pStyle w:val="2"/>
              <w:numPr>
                <w:ilvl w:val="2"/>
                <w:numId w:val="0"/>
              </w:numPr>
              <w:ind w:leftChars="0"/>
            </w:pPr>
          </w:p>
          <w:p>
            <w:pPr>
              <w:pStyle w:val="21"/>
            </w:pPr>
          </w:p>
          <w:p>
            <w:pPr>
              <w:pStyle w:val="21"/>
            </w:pPr>
          </w:p>
          <w:p>
            <w:pPr>
              <w:pStyle w:val="25"/>
              <w:ind w:left="0" w:leftChars="0" w:firstLine="0" w:firstLineChars="0"/>
              <w:rPr>
                <w:color w:val="auto"/>
              </w:rPr>
            </w:pPr>
          </w:p>
          <w:p>
            <w:pPr>
              <w:pStyle w:val="25"/>
              <w:ind w:left="0" w:leftChars="0" w:firstLine="0" w:firstLineChars="0"/>
              <w:rPr>
                <w:color w:val="auto"/>
              </w:rPr>
            </w:pPr>
          </w:p>
          <w:p>
            <w:pPr>
              <w:pStyle w:val="25"/>
              <w:ind w:left="0" w:leftChars="0" w:firstLine="0" w:firstLineChars="0"/>
              <w:rPr>
                <w:color w:val="auto"/>
              </w:rPr>
            </w:pPr>
          </w:p>
          <w:p>
            <w:pPr>
              <w:pStyle w:val="25"/>
              <w:ind w:left="0" w:leftChars="0" w:firstLine="0" w:firstLineChars="0"/>
              <w:rPr>
                <w:color w:val="auto"/>
              </w:rPr>
            </w:pPr>
          </w:p>
        </w:tc>
      </w:tr>
    </w:tbl>
    <w:p>
      <w:pPr>
        <w:spacing w:line="520" w:lineRule="exact"/>
        <w:rPr>
          <w:rFonts w:eastAsia="黑体"/>
          <w:color w:val="auto"/>
          <w:sz w:val="30"/>
          <w:szCs w:val="30"/>
        </w:rPr>
      </w:pPr>
    </w:p>
    <w:p>
      <w:pPr>
        <w:spacing w:line="520" w:lineRule="exact"/>
        <w:rPr>
          <w:rFonts w:eastAsia="黑体"/>
          <w:color w:val="auto"/>
          <w:sz w:val="30"/>
          <w:szCs w:val="30"/>
        </w:rPr>
      </w:pPr>
      <w:r>
        <w:rPr>
          <w:rFonts w:eastAsia="黑体"/>
          <w:color w:val="auto"/>
          <w:sz w:val="30"/>
          <w:szCs w:val="30"/>
        </w:rPr>
        <w:t>审批意见表</w:t>
      </w:r>
    </w:p>
    <w:tbl>
      <w:tblPr>
        <w:tblStyle w:val="26"/>
        <w:tblW w:w="97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77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98" w:hRule="atLeast"/>
          <w:jc w:val="center"/>
        </w:trPr>
        <w:tc>
          <w:tcPr>
            <w:tcW w:w="9775" w:type="dxa"/>
            <w:vAlign w:val="center"/>
          </w:tcPr>
          <w:p>
            <w:pPr>
              <w:spacing w:line="520" w:lineRule="exact"/>
              <w:rPr>
                <w:color w:val="auto"/>
                <w:szCs w:val="21"/>
              </w:rPr>
            </w:pPr>
            <w:r>
              <w:rPr>
                <w:color w:val="auto"/>
                <w:szCs w:val="21"/>
              </w:rPr>
              <w:t>预审意见：</w:t>
            </w: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ind w:right="960"/>
              <w:jc w:val="right"/>
              <w:rPr>
                <w:color w:val="auto"/>
                <w:szCs w:val="21"/>
              </w:rPr>
            </w:pPr>
            <w:r>
              <w:rPr>
                <w:color w:val="auto"/>
                <w:szCs w:val="21"/>
              </w:rPr>
              <w:t xml:space="preserve">公 章        </w:t>
            </w:r>
          </w:p>
          <w:p>
            <w:pPr>
              <w:spacing w:line="520" w:lineRule="exact"/>
              <w:rPr>
                <w:color w:val="auto"/>
                <w:szCs w:val="21"/>
              </w:rPr>
            </w:pPr>
            <w:r>
              <w:rPr>
                <w:color w:val="auto"/>
                <w:szCs w:val="21"/>
              </w:rPr>
              <w:t>经办人：                                                 年     月     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382" w:hRule="atLeast"/>
          <w:jc w:val="center"/>
        </w:trPr>
        <w:tc>
          <w:tcPr>
            <w:tcW w:w="9775" w:type="dxa"/>
            <w:vAlign w:val="center"/>
          </w:tcPr>
          <w:p>
            <w:pPr>
              <w:spacing w:line="520" w:lineRule="exact"/>
              <w:rPr>
                <w:color w:val="auto"/>
                <w:szCs w:val="21"/>
              </w:rPr>
            </w:pPr>
            <w:r>
              <w:rPr>
                <w:color w:val="auto"/>
                <w:szCs w:val="21"/>
              </w:rPr>
              <w:t>下一级环境保护行政主管部门审查意见：</w:t>
            </w: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ind w:right="960"/>
              <w:jc w:val="right"/>
              <w:rPr>
                <w:color w:val="auto"/>
                <w:szCs w:val="21"/>
              </w:rPr>
            </w:pPr>
            <w:r>
              <w:rPr>
                <w:color w:val="auto"/>
                <w:szCs w:val="21"/>
              </w:rPr>
              <w:t xml:space="preserve">公 章        </w:t>
            </w:r>
          </w:p>
          <w:p>
            <w:pPr>
              <w:spacing w:line="520" w:lineRule="exact"/>
              <w:rPr>
                <w:color w:val="auto"/>
                <w:szCs w:val="21"/>
              </w:rPr>
            </w:pPr>
            <w:r>
              <w:rPr>
                <w:color w:val="auto"/>
                <w:szCs w:val="21"/>
              </w:rPr>
              <w:t>经办人：                                                 年     月     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68" w:hRule="atLeast"/>
          <w:jc w:val="center"/>
        </w:trPr>
        <w:tc>
          <w:tcPr>
            <w:tcW w:w="9775" w:type="dxa"/>
            <w:vAlign w:val="center"/>
          </w:tcPr>
          <w:p>
            <w:pPr>
              <w:spacing w:line="520" w:lineRule="exact"/>
              <w:rPr>
                <w:color w:val="auto"/>
                <w:szCs w:val="21"/>
              </w:rPr>
            </w:pPr>
            <w:r>
              <w:rPr>
                <w:color w:val="auto"/>
                <w:szCs w:val="21"/>
              </w:rPr>
              <w:t>审批意见：</w:t>
            </w: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rPr>
                <w:color w:val="auto"/>
                <w:szCs w:val="21"/>
              </w:rPr>
            </w:pPr>
          </w:p>
          <w:p>
            <w:pPr>
              <w:spacing w:line="520" w:lineRule="exact"/>
              <w:ind w:right="960"/>
              <w:jc w:val="right"/>
              <w:rPr>
                <w:color w:val="auto"/>
                <w:szCs w:val="21"/>
              </w:rPr>
            </w:pPr>
            <w:r>
              <w:rPr>
                <w:color w:val="auto"/>
                <w:szCs w:val="21"/>
              </w:rPr>
              <w:t xml:space="preserve">公 章        </w:t>
            </w:r>
          </w:p>
          <w:p>
            <w:pPr>
              <w:spacing w:line="520" w:lineRule="exact"/>
              <w:rPr>
                <w:color w:val="auto"/>
                <w:szCs w:val="21"/>
              </w:rPr>
            </w:pPr>
            <w:r>
              <w:rPr>
                <w:color w:val="auto"/>
                <w:szCs w:val="21"/>
              </w:rPr>
              <w:t>经办人：                                                 年     月     日</w:t>
            </w:r>
          </w:p>
        </w:tc>
      </w:tr>
    </w:tbl>
    <w:p>
      <w:pPr>
        <w:rPr>
          <w:color w:val="auto"/>
        </w:rPr>
      </w:pPr>
    </w:p>
    <w:sectPr>
      <w:footerReference r:id="rId7" w:type="default"/>
      <w:pgSz w:w="11906" w:h="16838"/>
      <w:pgMar w:top="1587" w:right="930" w:bottom="1417" w:left="1417" w:header="851" w:footer="992" w:gutter="0"/>
      <w:pgBorders>
        <w:top w:val="none" w:sz="0" w:space="0"/>
        <w:left w:val="none" w:sz="0" w:space="0"/>
        <w:bottom w:val="none" w:sz="0" w:space="0"/>
        <w:right w:val="none" w:sz="0" w:space="0"/>
      </w:pgBorders>
      <w:pgNumType w:start="1"/>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Verdana">
    <w:panose1 w:val="020B0604030504040204"/>
    <w:charset w:val="00"/>
    <w:family w:val="swiss"/>
    <w:pitch w:val="default"/>
    <w:sig w:usb0="A1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Times New Roman”“">
    <w:altName w:val="宋体"/>
    <w:panose1 w:val="00000000000000000000"/>
    <w:charset w:val="86"/>
    <w:family w:val="roman"/>
    <w:pitch w:val="default"/>
    <w:sig w:usb0="00000000" w:usb1="00000000" w:usb2="00000010" w:usb3="00000000" w:csb0="00040000" w:csb1="00000000"/>
  </w:font>
  <w:font w:name="MingLiU">
    <w:panose1 w:val="02020509000000000000"/>
    <w:charset w:val="88"/>
    <w:family w:val="modern"/>
    <w:pitch w:val="default"/>
    <w:sig w:usb0="A00002FF" w:usb1="28CFFCFA" w:usb2="00000016" w:usb3="00000000" w:csb0="00100001" w:csb1="00000000"/>
  </w:font>
  <w:font w:name="方正北魏楷书简体">
    <w:altName w:val="宋体"/>
    <w:panose1 w:val="03000509000000000000"/>
    <w:charset w:val="86"/>
    <w:family w:val="script"/>
    <w:pitch w:val="default"/>
    <w:sig w:usb0="00000000" w:usb1="00000000" w:usb2="0000000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mc:AlternateContent>
        <mc:Choice Requires="wps">
          <w:drawing>
            <wp:anchor distT="0" distB="0" distL="114300" distR="114300" simplePos="0" relativeHeight="219221299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7"/>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1027543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7"/>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sz w:val="18"/>
      </w:rPr>
      <mc:AlternateContent>
        <mc:Choice Requires="wps">
          <w:drawing>
            <wp:anchor distT="0" distB="0" distL="114300" distR="114300" simplePos="0" relativeHeight="219221196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7"/>
                            <w:rPr>
                              <w:rFonts w:hint="eastAsia" w:eastAsia="宋体"/>
                              <w:lang w:eastAsia="zh-CN"/>
                            </w:rPr>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1027553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pPr>
                      <w:pStyle w:val="17"/>
                      <w:rPr>
                        <w:rFonts w:hint="eastAsia" w:eastAsia="宋体"/>
                        <w:lang w:eastAsia="zh-CN"/>
                      </w:rPr>
                    </w:pPr>
                  </w:p>
                </w:txbxContent>
              </v:textbox>
            </v:shape>
          </w:pict>
        </mc:Fallback>
      </mc:AlternateContent>
    </w:r>
    <w:r>
      <w:rPr>
        <w:sz w:val="18"/>
      </w:rPr>
      <mc:AlternateContent>
        <mc:Choice Requires="wps">
          <w:drawing>
            <wp:anchor distT="0" distB="0" distL="114300" distR="114300" simplePos="0" relativeHeight="219221094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lang w:eastAsia="zh-CN"/>
                            </w:rPr>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1027563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pPr>
                      <w:rPr>
                        <w:rFonts w:hint="eastAsia"/>
                        <w:lang w:eastAsia="zh-CN"/>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mc:AlternateContent>
        <mc:Choice Requires="wps">
          <w:drawing>
            <wp:anchor distT="0" distB="0" distL="114300" distR="114300" simplePos="0" relativeHeight="219221401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7"/>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1027532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17"/>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7"/>
                          </w:pPr>
                          <w:r>
                            <w:fldChar w:fldCharType="begin"/>
                          </w:r>
                          <w:r>
                            <w:instrText xml:space="preserve"> PAGE  \* MERGEFORMAT </w:instrText>
                          </w:r>
                          <w:r>
                            <w:fldChar w:fldCharType="separate"/>
                          </w:r>
                          <w:r>
                            <w:t>36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10G3Y3AgAAbw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QxQHSzMMBESn3p0Qrtvh34&#10;7E1xBk1n+jnxlm9qlLJlPjwwh8FA+Xg64R5LKQ1SmsGipDLuy7/OYzz6BS8lDQYtpxrvihL5XqOP&#10;AAyj4UZjPxr6qO4MJhe9QS2diQsuyNEsnVGf8Z5WMQdcTHNkymkYzbvQDzveIxerVRd0tK4+VP0F&#10;TKFlYat3lsc0USpvV8cAaTvFo0C9KuhU3GAOu54NbyYO+p/7LurxP7H8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9dBt2NwIAAG8EAAAOAAAAAAAAAAEAIAAAAB8BAABkcnMvZTJvRG9jLnht&#10;bFBLBQYAAAAABgAGAFkBAADIBQAAAAA=&#10;">
              <v:fill on="f" focussize="0,0"/>
              <v:stroke on="f" weight="0.5pt"/>
              <v:imagedata o:title=""/>
              <o:lock v:ext="edit" aspectratio="f"/>
              <v:textbox inset="0mm,0mm,0mm,0mm" style="mso-fit-shape-to-text:t;">
                <w:txbxContent>
                  <w:p>
                    <w:pPr>
                      <w:pStyle w:val="17"/>
                    </w:pPr>
                    <w:r>
                      <w:fldChar w:fldCharType="begin"/>
                    </w:r>
                    <w:r>
                      <w:instrText xml:space="preserve"> PAGE  \* MERGEFORMAT </w:instrText>
                    </w:r>
                    <w:r>
                      <w:fldChar w:fldCharType="separate"/>
                    </w:r>
                    <w:r>
                      <w:t>36</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rPr>
        <w:rFonts w:hint="eastAsia"/>
      </w:rPr>
    </w:pPr>
    <w:r>
      <w:rPr>
        <w:rFonts w:hint="eastAsia"/>
        <w:lang w:eastAsia="zh-CN"/>
      </w:rPr>
      <w:t>罗家坡污水系统收集管网完善工程建设项目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36BDA79"/>
    <w:multiLevelType w:val="singleLevel"/>
    <w:tmpl w:val="836BDA79"/>
    <w:lvl w:ilvl="0" w:tentative="0">
      <w:start w:val="1"/>
      <w:numFmt w:val="decimal"/>
      <w:suff w:val="nothing"/>
      <w:lvlText w:val="（%1）"/>
      <w:lvlJc w:val="left"/>
    </w:lvl>
  </w:abstractNum>
  <w:abstractNum w:abstractNumId="1">
    <w:nsid w:val="91A033C2"/>
    <w:multiLevelType w:val="singleLevel"/>
    <w:tmpl w:val="91A033C2"/>
    <w:lvl w:ilvl="0" w:tentative="0">
      <w:start w:val="2"/>
      <w:numFmt w:val="decimal"/>
      <w:suff w:val="nothing"/>
      <w:lvlText w:val="（%1）"/>
      <w:lvlJc w:val="left"/>
    </w:lvl>
  </w:abstractNum>
  <w:abstractNum w:abstractNumId="2">
    <w:nsid w:val="A9A7294B"/>
    <w:multiLevelType w:val="singleLevel"/>
    <w:tmpl w:val="A9A7294B"/>
    <w:lvl w:ilvl="0" w:tentative="0">
      <w:start w:val="4"/>
      <w:numFmt w:val="decimal"/>
      <w:suff w:val="nothing"/>
      <w:lvlText w:val="（%1）"/>
      <w:lvlJc w:val="left"/>
      <w:pPr>
        <w:ind w:left="480" w:leftChars="0" w:firstLine="0" w:firstLineChars="0"/>
      </w:pPr>
    </w:lvl>
  </w:abstractNum>
  <w:abstractNum w:abstractNumId="3">
    <w:nsid w:val="B1439466"/>
    <w:multiLevelType w:val="singleLevel"/>
    <w:tmpl w:val="B1439466"/>
    <w:lvl w:ilvl="0" w:tentative="0">
      <w:start w:val="1"/>
      <w:numFmt w:val="decimal"/>
      <w:suff w:val="nothing"/>
      <w:lvlText w:val="（%1）"/>
      <w:lvlJc w:val="left"/>
    </w:lvl>
  </w:abstractNum>
  <w:abstractNum w:abstractNumId="4">
    <w:nsid w:val="E9F031A9"/>
    <w:multiLevelType w:val="singleLevel"/>
    <w:tmpl w:val="E9F031A9"/>
    <w:lvl w:ilvl="0" w:tentative="0">
      <w:start w:val="7"/>
      <w:numFmt w:val="decimal"/>
      <w:suff w:val="nothing"/>
      <w:lvlText w:val="（%1）"/>
      <w:lvlJc w:val="left"/>
    </w:lvl>
  </w:abstractNum>
  <w:abstractNum w:abstractNumId="5">
    <w:nsid w:val="FA6B1841"/>
    <w:multiLevelType w:val="singleLevel"/>
    <w:tmpl w:val="FA6B1841"/>
    <w:lvl w:ilvl="0" w:tentative="0">
      <w:start w:val="1"/>
      <w:numFmt w:val="decimal"/>
      <w:suff w:val="nothing"/>
      <w:lvlText w:val="（%1）"/>
      <w:lvlJc w:val="left"/>
    </w:lvl>
  </w:abstractNum>
  <w:abstractNum w:abstractNumId="6">
    <w:nsid w:val="02384436"/>
    <w:multiLevelType w:val="singleLevel"/>
    <w:tmpl w:val="02384436"/>
    <w:lvl w:ilvl="0" w:tentative="0">
      <w:start w:val="6"/>
      <w:numFmt w:val="chineseCounting"/>
      <w:suff w:val="nothing"/>
      <w:lvlText w:val="%1、"/>
      <w:lvlJc w:val="left"/>
      <w:rPr>
        <w:rFonts w:hint="eastAsia"/>
      </w:rPr>
    </w:lvl>
  </w:abstractNum>
  <w:abstractNum w:abstractNumId="7">
    <w:nsid w:val="02EBC677"/>
    <w:multiLevelType w:val="singleLevel"/>
    <w:tmpl w:val="02EBC677"/>
    <w:lvl w:ilvl="0" w:tentative="0">
      <w:start w:val="1"/>
      <w:numFmt w:val="decimal"/>
      <w:suff w:val="nothing"/>
      <w:lvlText w:val="%1、"/>
      <w:lvlJc w:val="left"/>
    </w:lvl>
  </w:abstractNum>
  <w:abstractNum w:abstractNumId="8">
    <w:nsid w:val="1165944B"/>
    <w:multiLevelType w:val="singleLevel"/>
    <w:tmpl w:val="1165944B"/>
    <w:lvl w:ilvl="0" w:tentative="0">
      <w:start w:val="1"/>
      <w:numFmt w:val="decimal"/>
      <w:suff w:val="nothing"/>
      <w:lvlText w:val="（%1）"/>
      <w:lvlJc w:val="left"/>
    </w:lvl>
  </w:abstractNum>
  <w:abstractNum w:abstractNumId="9">
    <w:nsid w:val="14CBCA57"/>
    <w:multiLevelType w:val="singleLevel"/>
    <w:tmpl w:val="14CBCA57"/>
    <w:lvl w:ilvl="0" w:tentative="0">
      <w:start w:val="1"/>
      <w:numFmt w:val="decimal"/>
      <w:suff w:val="nothing"/>
      <w:lvlText w:val="（%1）"/>
      <w:lvlJc w:val="left"/>
    </w:lvl>
  </w:abstractNum>
  <w:abstractNum w:abstractNumId="10">
    <w:nsid w:val="2B8F804C"/>
    <w:multiLevelType w:val="singleLevel"/>
    <w:tmpl w:val="2B8F804C"/>
    <w:lvl w:ilvl="0" w:tentative="0">
      <w:start w:val="2"/>
      <w:numFmt w:val="decimal"/>
      <w:suff w:val="nothing"/>
      <w:lvlText w:val="%1、"/>
      <w:lvlJc w:val="left"/>
    </w:lvl>
  </w:abstractNum>
  <w:abstractNum w:abstractNumId="11">
    <w:nsid w:val="3B41B917"/>
    <w:multiLevelType w:val="singleLevel"/>
    <w:tmpl w:val="3B41B917"/>
    <w:lvl w:ilvl="0" w:tentative="0">
      <w:start w:val="4"/>
      <w:numFmt w:val="decimal"/>
      <w:suff w:val="nothing"/>
      <w:lvlText w:val="（%1）"/>
      <w:lvlJc w:val="left"/>
    </w:lvl>
  </w:abstractNum>
  <w:abstractNum w:abstractNumId="12">
    <w:nsid w:val="4975FFEE"/>
    <w:multiLevelType w:val="singleLevel"/>
    <w:tmpl w:val="4975FFEE"/>
    <w:lvl w:ilvl="0" w:tentative="0">
      <w:start w:val="1"/>
      <w:numFmt w:val="decimal"/>
      <w:suff w:val="nothing"/>
      <w:lvlText w:val="（%1）"/>
      <w:lvlJc w:val="left"/>
    </w:lvl>
  </w:abstractNum>
  <w:abstractNum w:abstractNumId="13">
    <w:nsid w:val="59CBAC02"/>
    <w:multiLevelType w:val="multilevel"/>
    <w:tmpl w:val="59CBAC02"/>
    <w:lvl w:ilvl="0" w:tentative="0">
      <w:start w:val="1"/>
      <w:numFmt w:val="upperRoman"/>
      <w:pStyle w:val="3"/>
      <w:lvlText w:val="第 %1 条"/>
      <w:lvlJc w:val="left"/>
      <w:pPr>
        <w:tabs>
          <w:tab w:val="left" w:pos="1800"/>
        </w:tabs>
        <w:ind w:left="0" w:firstLine="0"/>
      </w:pPr>
    </w:lvl>
    <w:lvl w:ilvl="1" w:tentative="0">
      <w:start w:val="1"/>
      <w:numFmt w:val="decimalZero"/>
      <w:isLgl/>
      <w:lvlText w:val="节 %1.%2"/>
      <w:lvlJc w:val="left"/>
      <w:pPr>
        <w:tabs>
          <w:tab w:val="left" w:pos="1440"/>
        </w:tabs>
        <w:ind w:left="0" w:firstLine="0"/>
      </w:pPr>
    </w:lvl>
    <w:lvl w:ilvl="2" w:tentative="0">
      <w:start w:val="1"/>
      <w:numFmt w:val="lowerLetter"/>
      <w:lvlText w:val="(%3)"/>
      <w:lvlJc w:val="left"/>
      <w:pPr>
        <w:tabs>
          <w:tab w:val="left" w:pos="1571"/>
        </w:tabs>
        <w:ind w:left="1283" w:hanging="432"/>
      </w:pPr>
    </w:lvl>
    <w:lvl w:ilvl="3" w:tentative="0">
      <w:start w:val="1"/>
      <w:numFmt w:val="lowerRoman"/>
      <w:lvlText w:val="(%4)"/>
      <w:lvlJc w:val="right"/>
      <w:pPr>
        <w:tabs>
          <w:tab w:val="left" w:pos="864"/>
        </w:tabs>
        <w:ind w:left="864" w:hanging="144"/>
      </w:pPr>
    </w:lvl>
    <w:lvl w:ilvl="4" w:tentative="0">
      <w:start w:val="1"/>
      <w:numFmt w:val="decimal"/>
      <w:lvlText w:val="%5)"/>
      <w:lvlJc w:val="left"/>
      <w:pPr>
        <w:tabs>
          <w:tab w:val="left" w:pos="1008"/>
        </w:tabs>
        <w:ind w:left="1008" w:hanging="432"/>
      </w:pPr>
    </w:lvl>
    <w:lvl w:ilvl="5" w:tentative="0">
      <w:start w:val="1"/>
      <w:numFmt w:val="lowerLetter"/>
      <w:lvlText w:val="%6)"/>
      <w:lvlJc w:val="left"/>
      <w:pPr>
        <w:tabs>
          <w:tab w:val="left" w:pos="1152"/>
        </w:tabs>
        <w:ind w:left="1152" w:hanging="432"/>
      </w:pPr>
    </w:lvl>
    <w:lvl w:ilvl="6" w:tentative="0">
      <w:start w:val="1"/>
      <w:numFmt w:val="lowerRoman"/>
      <w:lvlText w:val="%7)"/>
      <w:lvlJc w:val="right"/>
      <w:pPr>
        <w:tabs>
          <w:tab w:val="left" w:pos="1296"/>
        </w:tabs>
        <w:ind w:left="1296" w:hanging="288"/>
      </w:pPr>
    </w:lvl>
    <w:lvl w:ilvl="7" w:tentative="0">
      <w:start w:val="1"/>
      <w:numFmt w:val="lowerLetter"/>
      <w:lvlText w:val="%8."/>
      <w:lvlJc w:val="left"/>
      <w:pPr>
        <w:tabs>
          <w:tab w:val="left" w:pos="1440"/>
        </w:tabs>
        <w:ind w:left="1440" w:hanging="432"/>
      </w:pPr>
    </w:lvl>
    <w:lvl w:ilvl="8" w:tentative="0">
      <w:start w:val="1"/>
      <w:numFmt w:val="lowerRoman"/>
      <w:lvlText w:val="%9."/>
      <w:lvlJc w:val="right"/>
      <w:pPr>
        <w:tabs>
          <w:tab w:val="left" w:pos="1584"/>
        </w:tabs>
        <w:ind w:left="1584" w:hanging="144"/>
      </w:pPr>
    </w:lvl>
  </w:abstractNum>
  <w:abstractNum w:abstractNumId="14">
    <w:nsid w:val="6064C9A6"/>
    <w:multiLevelType w:val="singleLevel"/>
    <w:tmpl w:val="6064C9A6"/>
    <w:lvl w:ilvl="0" w:tentative="0">
      <w:start w:val="1"/>
      <w:numFmt w:val="decimal"/>
      <w:suff w:val="nothing"/>
      <w:lvlText w:val="（%1）"/>
      <w:lvlJc w:val="left"/>
    </w:lvl>
  </w:abstractNum>
  <w:abstractNum w:abstractNumId="15">
    <w:nsid w:val="6F625AA7"/>
    <w:multiLevelType w:val="multilevel"/>
    <w:tmpl w:val="6F625AA7"/>
    <w:lvl w:ilvl="0" w:tentative="0">
      <w:start w:val="1"/>
      <w:numFmt w:val="decimal"/>
      <w:lvlText w:val="%1"/>
      <w:lvlJc w:val="left"/>
      <w:pPr>
        <w:ind w:left="432" w:hanging="432"/>
      </w:pPr>
    </w:lvl>
    <w:lvl w:ilvl="1" w:tentative="0">
      <w:start w:val="1"/>
      <w:numFmt w:val="decimal"/>
      <w:lvlText w:val="%1.%2"/>
      <w:lvlJc w:val="left"/>
      <w:pPr>
        <w:ind w:left="576" w:hanging="576"/>
      </w:pPr>
    </w:lvl>
    <w:lvl w:ilvl="2" w:tentative="0">
      <w:start w:val="1"/>
      <w:numFmt w:val="decimal"/>
      <w:lvlText w:val="%1.%2.%3"/>
      <w:lvlJc w:val="left"/>
      <w:pPr>
        <w:ind w:left="720" w:hanging="720"/>
      </w:pPr>
    </w:lvl>
    <w:lvl w:ilvl="3" w:tentative="0">
      <w:start w:val="1"/>
      <w:numFmt w:val="decimal"/>
      <w:pStyle w:val="5"/>
      <w:lvlText w:val="%1.%2.%3.%4"/>
      <w:lvlJc w:val="left"/>
      <w:pPr>
        <w:ind w:left="864" w:hanging="864"/>
      </w:pPr>
    </w:lvl>
    <w:lvl w:ilvl="4" w:tentative="0">
      <w:start w:val="1"/>
      <w:numFmt w:val="decimal"/>
      <w:lvlText w:val="%1.%2.%3.%4.%5"/>
      <w:lvlJc w:val="left"/>
      <w:pPr>
        <w:ind w:left="1008" w:hanging="1008"/>
      </w:pPr>
    </w:lvl>
    <w:lvl w:ilvl="5" w:tentative="0">
      <w:start w:val="1"/>
      <w:numFmt w:val="decimal"/>
      <w:lvlText w:val="%1.%2.%3.%4.%5.%6"/>
      <w:lvlJc w:val="left"/>
      <w:pPr>
        <w:ind w:left="1152" w:hanging="1152"/>
      </w:pPr>
    </w:lvl>
    <w:lvl w:ilvl="6" w:tentative="0">
      <w:start w:val="1"/>
      <w:numFmt w:val="decimal"/>
      <w:lvlText w:val="%1.%2.%3.%4.%5.%6.%7"/>
      <w:lvlJc w:val="left"/>
      <w:pPr>
        <w:ind w:left="1296" w:hanging="1296"/>
      </w:pPr>
    </w:lvl>
    <w:lvl w:ilvl="7" w:tentative="0">
      <w:start w:val="1"/>
      <w:numFmt w:val="decimal"/>
      <w:lvlText w:val="%1.%2.%3.%4.%5.%6.%7.%8"/>
      <w:lvlJc w:val="left"/>
      <w:pPr>
        <w:ind w:left="1440" w:hanging="1440"/>
      </w:pPr>
    </w:lvl>
    <w:lvl w:ilvl="8" w:tentative="0">
      <w:start w:val="1"/>
      <w:numFmt w:val="decimal"/>
      <w:lvlText w:val="%1.%2.%3.%4.%5.%6.%7.%8.%9"/>
      <w:lvlJc w:val="left"/>
      <w:pPr>
        <w:ind w:left="1584" w:hanging="1584"/>
      </w:pPr>
    </w:lvl>
  </w:abstractNum>
  <w:abstractNum w:abstractNumId="16">
    <w:nsid w:val="778218E7"/>
    <w:multiLevelType w:val="multilevel"/>
    <w:tmpl w:val="778218E7"/>
    <w:lvl w:ilvl="0" w:tentative="0">
      <w:start w:val="1"/>
      <w:numFmt w:val="decimal"/>
      <w:lvlText w:val="%1"/>
      <w:lvlJc w:val="left"/>
      <w:pPr>
        <w:ind w:left="432" w:hanging="432"/>
      </w:pPr>
    </w:lvl>
    <w:lvl w:ilvl="1" w:tentative="0">
      <w:start w:val="1"/>
      <w:numFmt w:val="decimal"/>
      <w:pStyle w:val="4"/>
      <w:lvlText w:val="%1.%2"/>
      <w:lvlJc w:val="left"/>
      <w:pPr>
        <w:ind w:left="576" w:hanging="576"/>
      </w:pPr>
    </w:lvl>
    <w:lvl w:ilvl="2" w:tentative="0">
      <w:start w:val="1"/>
      <w:numFmt w:val="decimal"/>
      <w:pStyle w:val="2"/>
      <w:lvlText w:val="%1.%2.%3"/>
      <w:lvlJc w:val="left"/>
      <w:pPr>
        <w:ind w:left="720" w:hanging="720"/>
      </w:pPr>
    </w:lvl>
    <w:lvl w:ilvl="3" w:tentative="0">
      <w:start w:val="1"/>
      <w:numFmt w:val="decimal"/>
      <w:lvlText w:val="%1.%2.%3.%4"/>
      <w:lvlJc w:val="left"/>
      <w:pPr>
        <w:ind w:left="864" w:hanging="864"/>
      </w:pPr>
    </w:lvl>
    <w:lvl w:ilvl="4" w:tentative="0">
      <w:start w:val="1"/>
      <w:numFmt w:val="decimal"/>
      <w:lvlText w:val="%1.%2.%3.%4.%5"/>
      <w:lvlJc w:val="left"/>
      <w:pPr>
        <w:ind w:left="1008" w:hanging="1008"/>
      </w:pPr>
    </w:lvl>
    <w:lvl w:ilvl="5" w:tentative="0">
      <w:start w:val="1"/>
      <w:numFmt w:val="decimal"/>
      <w:lvlText w:val="%1.%2.%3.%4.%5.%6"/>
      <w:lvlJc w:val="left"/>
      <w:pPr>
        <w:ind w:left="1152" w:hanging="1152"/>
      </w:pPr>
    </w:lvl>
    <w:lvl w:ilvl="6" w:tentative="0">
      <w:start w:val="1"/>
      <w:numFmt w:val="decimal"/>
      <w:lvlText w:val="%1.%2.%3.%4.%5.%6.%7"/>
      <w:lvlJc w:val="left"/>
      <w:pPr>
        <w:ind w:left="1296" w:hanging="1296"/>
      </w:pPr>
    </w:lvl>
    <w:lvl w:ilvl="7" w:tentative="0">
      <w:start w:val="1"/>
      <w:numFmt w:val="decimal"/>
      <w:lvlText w:val="%1.%2.%3.%4.%5.%6.%7.%8"/>
      <w:lvlJc w:val="left"/>
      <w:pPr>
        <w:ind w:left="1440" w:hanging="1440"/>
      </w:pPr>
    </w:lvl>
    <w:lvl w:ilvl="8" w:tentative="0">
      <w:start w:val="1"/>
      <w:numFmt w:val="decimal"/>
      <w:lvlText w:val="%1.%2.%3.%4.%5.%6.%7.%8.%9"/>
      <w:lvlJc w:val="left"/>
      <w:pPr>
        <w:ind w:left="1584" w:hanging="1584"/>
      </w:pPr>
    </w:lvl>
  </w:abstractNum>
  <w:num w:numId="1">
    <w:abstractNumId w:val="13"/>
  </w:num>
  <w:num w:numId="2">
    <w:abstractNumId w:val="16"/>
  </w:num>
  <w:num w:numId="3">
    <w:abstractNumId w:val="15"/>
  </w:num>
  <w:num w:numId="4">
    <w:abstractNumId w:val="2"/>
  </w:num>
  <w:num w:numId="5">
    <w:abstractNumId w:val="1"/>
  </w:num>
  <w:num w:numId="6">
    <w:abstractNumId w:val="4"/>
  </w:num>
  <w:num w:numId="7">
    <w:abstractNumId w:val="8"/>
  </w:num>
  <w:num w:numId="8">
    <w:abstractNumId w:val="9"/>
  </w:num>
  <w:num w:numId="9">
    <w:abstractNumId w:val="12"/>
  </w:num>
  <w:num w:numId="10">
    <w:abstractNumId w:val="11"/>
  </w:num>
  <w:num w:numId="11">
    <w:abstractNumId w:val="14"/>
  </w:num>
  <w:num w:numId="12">
    <w:abstractNumId w:val="10"/>
  </w:num>
  <w:num w:numId="13">
    <w:abstractNumId w:val="7"/>
  </w:num>
  <w:num w:numId="14">
    <w:abstractNumId w:val="6"/>
  </w:num>
  <w:num w:numId="15">
    <w:abstractNumId w:val="3"/>
  </w:num>
  <w:num w:numId="16">
    <w:abstractNumId w:val="5"/>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3"/>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376CE"/>
    <w:rsid w:val="00152E9D"/>
    <w:rsid w:val="001A2A71"/>
    <w:rsid w:val="001C7ED2"/>
    <w:rsid w:val="00201DB6"/>
    <w:rsid w:val="00314CD9"/>
    <w:rsid w:val="00470A27"/>
    <w:rsid w:val="00590091"/>
    <w:rsid w:val="005C080B"/>
    <w:rsid w:val="005E7F31"/>
    <w:rsid w:val="006926FA"/>
    <w:rsid w:val="006C7D21"/>
    <w:rsid w:val="00746E07"/>
    <w:rsid w:val="00790DD2"/>
    <w:rsid w:val="00910CB1"/>
    <w:rsid w:val="009B71C4"/>
    <w:rsid w:val="00A217F9"/>
    <w:rsid w:val="00AB131E"/>
    <w:rsid w:val="00B049D1"/>
    <w:rsid w:val="00B251CC"/>
    <w:rsid w:val="00B35CBB"/>
    <w:rsid w:val="00B85B36"/>
    <w:rsid w:val="00B94382"/>
    <w:rsid w:val="00C721D0"/>
    <w:rsid w:val="00D05211"/>
    <w:rsid w:val="00D74AE5"/>
    <w:rsid w:val="00E66497"/>
    <w:rsid w:val="00EA388C"/>
    <w:rsid w:val="00EB6DB1"/>
    <w:rsid w:val="01021A0B"/>
    <w:rsid w:val="013B4576"/>
    <w:rsid w:val="01961762"/>
    <w:rsid w:val="01982BF8"/>
    <w:rsid w:val="019B3EEC"/>
    <w:rsid w:val="01A70DF8"/>
    <w:rsid w:val="01CC509B"/>
    <w:rsid w:val="02332025"/>
    <w:rsid w:val="02523533"/>
    <w:rsid w:val="0257237F"/>
    <w:rsid w:val="028A01DE"/>
    <w:rsid w:val="02AD3D69"/>
    <w:rsid w:val="02DE1DFB"/>
    <w:rsid w:val="02EC3F8C"/>
    <w:rsid w:val="02F25BFB"/>
    <w:rsid w:val="03097A9C"/>
    <w:rsid w:val="030C33F8"/>
    <w:rsid w:val="03393192"/>
    <w:rsid w:val="035C415D"/>
    <w:rsid w:val="035F392B"/>
    <w:rsid w:val="036E400A"/>
    <w:rsid w:val="038D4D2A"/>
    <w:rsid w:val="039702F1"/>
    <w:rsid w:val="039E05CF"/>
    <w:rsid w:val="03BB6593"/>
    <w:rsid w:val="03C921DD"/>
    <w:rsid w:val="03DC70B8"/>
    <w:rsid w:val="03FB13A0"/>
    <w:rsid w:val="0426782F"/>
    <w:rsid w:val="042D1C60"/>
    <w:rsid w:val="04436C7D"/>
    <w:rsid w:val="048C643B"/>
    <w:rsid w:val="04A72AF6"/>
    <w:rsid w:val="04B363C4"/>
    <w:rsid w:val="04BF7268"/>
    <w:rsid w:val="04C0149C"/>
    <w:rsid w:val="04C444FA"/>
    <w:rsid w:val="04E669C9"/>
    <w:rsid w:val="04F623E6"/>
    <w:rsid w:val="04FF233F"/>
    <w:rsid w:val="05023606"/>
    <w:rsid w:val="05183B93"/>
    <w:rsid w:val="05315B76"/>
    <w:rsid w:val="054F70CF"/>
    <w:rsid w:val="05691A75"/>
    <w:rsid w:val="057B280B"/>
    <w:rsid w:val="05AC13A5"/>
    <w:rsid w:val="05C2498D"/>
    <w:rsid w:val="05CF33E9"/>
    <w:rsid w:val="060A79D1"/>
    <w:rsid w:val="061B2896"/>
    <w:rsid w:val="061D6CFB"/>
    <w:rsid w:val="063625DF"/>
    <w:rsid w:val="068F6344"/>
    <w:rsid w:val="06951242"/>
    <w:rsid w:val="06B14014"/>
    <w:rsid w:val="06FB7026"/>
    <w:rsid w:val="07004214"/>
    <w:rsid w:val="071A4401"/>
    <w:rsid w:val="07725E72"/>
    <w:rsid w:val="07C44E2A"/>
    <w:rsid w:val="07CB7EE1"/>
    <w:rsid w:val="07F057FD"/>
    <w:rsid w:val="080A561D"/>
    <w:rsid w:val="081C3B91"/>
    <w:rsid w:val="082228AF"/>
    <w:rsid w:val="084378AA"/>
    <w:rsid w:val="08543F96"/>
    <w:rsid w:val="086A2C86"/>
    <w:rsid w:val="089F34DB"/>
    <w:rsid w:val="08C349DD"/>
    <w:rsid w:val="08DE1584"/>
    <w:rsid w:val="0934367B"/>
    <w:rsid w:val="09375405"/>
    <w:rsid w:val="09491000"/>
    <w:rsid w:val="097927F4"/>
    <w:rsid w:val="099B730E"/>
    <w:rsid w:val="0A0D7382"/>
    <w:rsid w:val="0A1720F2"/>
    <w:rsid w:val="0A194678"/>
    <w:rsid w:val="0A222C3A"/>
    <w:rsid w:val="0A283318"/>
    <w:rsid w:val="0A3B666C"/>
    <w:rsid w:val="0A517F6A"/>
    <w:rsid w:val="0A6D61E7"/>
    <w:rsid w:val="0A8C4C7A"/>
    <w:rsid w:val="0AC65569"/>
    <w:rsid w:val="0AF94B25"/>
    <w:rsid w:val="0B1E1206"/>
    <w:rsid w:val="0B242F8B"/>
    <w:rsid w:val="0B526862"/>
    <w:rsid w:val="0BAD357B"/>
    <w:rsid w:val="0BF64B31"/>
    <w:rsid w:val="0C0B6AA8"/>
    <w:rsid w:val="0C132C37"/>
    <w:rsid w:val="0C260C3E"/>
    <w:rsid w:val="0CB24ED8"/>
    <w:rsid w:val="0CDA090F"/>
    <w:rsid w:val="0D054F58"/>
    <w:rsid w:val="0D08611B"/>
    <w:rsid w:val="0D574215"/>
    <w:rsid w:val="0D9B7BCD"/>
    <w:rsid w:val="0DA46D95"/>
    <w:rsid w:val="0DA70560"/>
    <w:rsid w:val="0DB75BF4"/>
    <w:rsid w:val="0DD5515F"/>
    <w:rsid w:val="0DF640CD"/>
    <w:rsid w:val="0DFB146D"/>
    <w:rsid w:val="0E0321F6"/>
    <w:rsid w:val="0E070535"/>
    <w:rsid w:val="0E3242A9"/>
    <w:rsid w:val="0E362A4D"/>
    <w:rsid w:val="0E557CCA"/>
    <w:rsid w:val="0E5D6894"/>
    <w:rsid w:val="0EBC4390"/>
    <w:rsid w:val="0F676849"/>
    <w:rsid w:val="0F773410"/>
    <w:rsid w:val="0FBF31C8"/>
    <w:rsid w:val="0FC434F6"/>
    <w:rsid w:val="10083558"/>
    <w:rsid w:val="102916BA"/>
    <w:rsid w:val="10434A8C"/>
    <w:rsid w:val="10C33F02"/>
    <w:rsid w:val="10C91070"/>
    <w:rsid w:val="10DF5B05"/>
    <w:rsid w:val="11084630"/>
    <w:rsid w:val="11311091"/>
    <w:rsid w:val="1145320E"/>
    <w:rsid w:val="1146050D"/>
    <w:rsid w:val="114F73CA"/>
    <w:rsid w:val="1157122D"/>
    <w:rsid w:val="11614722"/>
    <w:rsid w:val="116F25F3"/>
    <w:rsid w:val="11865BA0"/>
    <w:rsid w:val="12051A70"/>
    <w:rsid w:val="12136C31"/>
    <w:rsid w:val="12175586"/>
    <w:rsid w:val="121A3BDF"/>
    <w:rsid w:val="12605B71"/>
    <w:rsid w:val="127A4E24"/>
    <w:rsid w:val="12837FE8"/>
    <w:rsid w:val="128B1D82"/>
    <w:rsid w:val="12A34566"/>
    <w:rsid w:val="12B96AFD"/>
    <w:rsid w:val="12BD1E73"/>
    <w:rsid w:val="12BD6DE8"/>
    <w:rsid w:val="12BE4E2A"/>
    <w:rsid w:val="12E52B6D"/>
    <w:rsid w:val="12EC5A94"/>
    <w:rsid w:val="132966F0"/>
    <w:rsid w:val="13375418"/>
    <w:rsid w:val="134812F5"/>
    <w:rsid w:val="13517441"/>
    <w:rsid w:val="1380460D"/>
    <w:rsid w:val="1397171E"/>
    <w:rsid w:val="13D23064"/>
    <w:rsid w:val="14176DB1"/>
    <w:rsid w:val="142831B3"/>
    <w:rsid w:val="1428532F"/>
    <w:rsid w:val="14361D5B"/>
    <w:rsid w:val="14A83BA6"/>
    <w:rsid w:val="14A872E1"/>
    <w:rsid w:val="14C67D58"/>
    <w:rsid w:val="14FC099C"/>
    <w:rsid w:val="151356E5"/>
    <w:rsid w:val="154E4012"/>
    <w:rsid w:val="156A35CF"/>
    <w:rsid w:val="156F45D6"/>
    <w:rsid w:val="15835669"/>
    <w:rsid w:val="1592412F"/>
    <w:rsid w:val="159D5B88"/>
    <w:rsid w:val="15BC1A81"/>
    <w:rsid w:val="15DD4C45"/>
    <w:rsid w:val="16311C68"/>
    <w:rsid w:val="16475D33"/>
    <w:rsid w:val="168F04D5"/>
    <w:rsid w:val="16C53518"/>
    <w:rsid w:val="16FA6441"/>
    <w:rsid w:val="171F343E"/>
    <w:rsid w:val="17373590"/>
    <w:rsid w:val="1744676B"/>
    <w:rsid w:val="178402A0"/>
    <w:rsid w:val="17882B3D"/>
    <w:rsid w:val="179406E0"/>
    <w:rsid w:val="17E11A49"/>
    <w:rsid w:val="17F84C00"/>
    <w:rsid w:val="180C5FB1"/>
    <w:rsid w:val="181D7B20"/>
    <w:rsid w:val="182A1EFA"/>
    <w:rsid w:val="1855128D"/>
    <w:rsid w:val="186D329F"/>
    <w:rsid w:val="18840FB5"/>
    <w:rsid w:val="188E5971"/>
    <w:rsid w:val="18AA3055"/>
    <w:rsid w:val="18BA310D"/>
    <w:rsid w:val="18BA4F16"/>
    <w:rsid w:val="18C25573"/>
    <w:rsid w:val="18DC3494"/>
    <w:rsid w:val="190D7817"/>
    <w:rsid w:val="193C744F"/>
    <w:rsid w:val="194373B3"/>
    <w:rsid w:val="198359C6"/>
    <w:rsid w:val="19A0115F"/>
    <w:rsid w:val="19A459F7"/>
    <w:rsid w:val="19AD6EDE"/>
    <w:rsid w:val="19CD1CFD"/>
    <w:rsid w:val="19CE28E8"/>
    <w:rsid w:val="19EE3F43"/>
    <w:rsid w:val="1A003A03"/>
    <w:rsid w:val="1A0A502D"/>
    <w:rsid w:val="1A1C5D48"/>
    <w:rsid w:val="1A210393"/>
    <w:rsid w:val="1A342F7D"/>
    <w:rsid w:val="1A3557BD"/>
    <w:rsid w:val="1A3A3C8E"/>
    <w:rsid w:val="1A630F3A"/>
    <w:rsid w:val="1A8A71E8"/>
    <w:rsid w:val="1A987342"/>
    <w:rsid w:val="1ABD71D1"/>
    <w:rsid w:val="1AE36CEB"/>
    <w:rsid w:val="1AF76EA8"/>
    <w:rsid w:val="1B5450A7"/>
    <w:rsid w:val="1B60420E"/>
    <w:rsid w:val="1B8D4320"/>
    <w:rsid w:val="1BBA05AB"/>
    <w:rsid w:val="1BCE60C5"/>
    <w:rsid w:val="1BD0660C"/>
    <w:rsid w:val="1BE92784"/>
    <w:rsid w:val="1BF22978"/>
    <w:rsid w:val="1BFC3D44"/>
    <w:rsid w:val="1C253D84"/>
    <w:rsid w:val="1C526F24"/>
    <w:rsid w:val="1C5B1372"/>
    <w:rsid w:val="1C6A61EB"/>
    <w:rsid w:val="1C8A37B7"/>
    <w:rsid w:val="1CB834A5"/>
    <w:rsid w:val="1CE30A77"/>
    <w:rsid w:val="1CEA7DA2"/>
    <w:rsid w:val="1CF41C3D"/>
    <w:rsid w:val="1D0E3433"/>
    <w:rsid w:val="1D383B14"/>
    <w:rsid w:val="1D544863"/>
    <w:rsid w:val="1D8C640B"/>
    <w:rsid w:val="1DAA36E5"/>
    <w:rsid w:val="1DAE5A80"/>
    <w:rsid w:val="1DB376F2"/>
    <w:rsid w:val="1DE31D6A"/>
    <w:rsid w:val="1E7251EA"/>
    <w:rsid w:val="1E88770E"/>
    <w:rsid w:val="1EFF2BD6"/>
    <w:rsid w:val="1F471747"/>
    <w:rsid w:val="1F503357"/>
    <w:rsid w:val="1F634EB5"/>
    <w:rsid w:val="1F7D7A51"/>
    <w:rsid w:val="1FA50E45"/>
    <w:rsid w:val="1FAE68BF"/>
    <w:rsid w:val="1FBA234E"/>
    <w:rsid w:val="1FBD1CD9"/>
    <w:rsid w:val="2014757C"/>
    <w:rsid w:val="20276D29"/>
    <w:rsid w:val="204F6BBA"/>
    <w:rsid w:val="2083109C"/>
    <w:rsid w:val="208822C6"/>
    <w:rsid w:val="20903A9A"/>
    <w:rsid w:val="209B30D9"/>
    <w:rsid w:val="20AA2A04"/>
    <w:rsid w:val="20AC64C3"/>
    <w:rsid w:val="20AF726D"/>
    <w:rsid w:val="20FC336E"/>
    <w:rsid w:val="21293822"/>
    <w:rsid w:val="213249E3"/>
    <w:rsid w:val="213E61F5"/>
    <w:rsid w:val="216D7CD7"/>
    <w:rsid w:val="217A1746"/>
    <w:rsid w:val="218F5DB2"/>
    <w:rsid w:val="21950972"/>
    <w:rsid w:val="21B12A31"/>
    <w:rsid w:val="21F54E90"/>
    <w:rsid w:val="22005D3D"/>
    <w:rsid w:val="220A0C0E"/>
    <w:rsid w:val="221A2047"/>
    <w:rsid w:val="222E74CA"/>
    <w:rsid w:val="224454CD"/>
    <w:rsid w:val="225150B6"/>
    <w:rsid w:val="22695A21"/>
    <w:rsid w:val="227E341A"/>
    <w:rsid w:val="22800168"/>
    <w:rsid w:val="229447B8"/>
    <w:rsid w:val="22BF5EA2"/>
    <w:rsid w:val="22C0044B"/>
    <w:rsid w:val="22EB06BD"/>
    <w:rsid w:val="23317BBE"/>
    <w:rsid w:val="23384B57"/>
    <w:rsid w:val="234C2643"/>
    <w:rsid w:val="235530B8"/>
    <w:rsid w:val="23621654"/>
    <w:rsid w:val="236E0171"/>
    <w:rsid w:val="238219A2"/>
    <w:rsid w:val="23F630CB"/>
    <w:rsid w:val="24276C51"/>
    <w:rsid w:val="245C084D"/>
    <w:rsid w:val="246F275F"/>
    <w:rsid w:val="24AD0476"/>
    <w:rsid w:val="250E548D"/>
    <w:rsid w:val="255C4E4B"/>
    <w:rsid w:val="256927F5"/>
    <w:rsid w:val="25866298"/>
    <w:rsid w:val="258856D9"/>
    <w:rsid w:val="25897AC1"/>
    <w:rsid w:val="25944214"/>
    <w:rsid w:val="25972963"/>
    <w:rsid w:val="259E41E5"/>
    <w:rsid w:val="25A11F2B"/>
    <w:rsid w:val="25A95F1B"/>
    <w:rsid w:val="25E91D06"/>
    <w:rsid w:val="25FE0AE6"/>
    <w:rsid w:val="2600618C"/>
    <w:rsid w:val="2608410C"/>
    <w:rsid w:val="265665B6"/>
    <w:rsid w:val="265946BD"/>
    <w:rsid w:val="26B21545"/>
    <w:rsid w:val="26B63337"/>
    <w:rsid w:val="26BD1758"/>
    <w:rsid w:val="26CE0559"/>
    <w:rsid w:val="26E124E1"/>
    <w:rsid w:val="26F928DE"/>
    <w:rsid w:val="271F179C"/>
    <w:rsid w:val="27201371"/>
    <w:rsid w:val="27485ADC"/>
    <w:rsid w:val="274F0DC4"/>
    <w:rsid w:val="275C123E"/>
    <w:rsid w:val="277F362F"/>
    <w:rsid w:val="27865BD5"/>
    <w:rsid w:val="278703E3"/>
    <w:rsid w:val="27D9241E"/>
    <w:rsid w:val="27DD66D5"/>
    <w:rsid w:val="27FF6138"/>
    <w:rsid w:val="2824553C"/>
    <w:rsid w:val="285537CE"/>
    <w:rsid w:val="28724B79"/>
    <w:rsid w:val="2876491C"/>
    <w:rsid w:val="2879055B"/>
    <w:rsid w:val="28AD76FA"/>
    <w:rsid w:val="28B96B26"/>
    <w:rsid w:val="28C17952"/>
    <w:rsid w:val="28CC2FF8"/>
    <w:rsid w:val="28F53BB6"/>
    <w:rsid w:val="290B1DBB"/>
    <w:rsid w:val="29103404"/>
    <w:rsid w:val="29175FDF"/>
    <w:rsid w:val="293A5215"/>
    <w:rsid w:val="295B0B2E"/>
    <w:rsid w:val="29617482"/>
    <w:rsid w:val="29640F2E"/>
    <w:rsid w:val="29B772DE"/>
    <w:rsid w:val="29D1566C"/>
    <w:rsid w:val="29DD5116"/>
    <w:rsid w:val="29E3652F"/>
    <w:rsid w:val="2A2350C9"/>
    <w:rsid w:val="2A6B4544"/>
    <w:rsid w:val="2A8438B0"/>
    <w:rsid w:val="2AA56E93"/>
    <w:rsid w:val="2AED35C7"/>
    <w:rsid w:val="2B14259D"/>
    <w:rsid w:val="2B56175A"/>
    <w:rsid w:val="2B6D3AC4"/>
    <w:rsid w:val="2B6E72EB"/>
    <w:rsid w:val="2B7D6989"/>
    <w:rsid w:val="2BB04AC1"/>
    <w:rsid w:val="2BB23EA8"/>
    <w:rsid w:val="2BB414EE"/>
    <w:rsid w:val="2BE26116"/>
    <w:rsid w:val="2BE74BB5"/>
    <w:rsid w:val="2C14088C"/>
    <w:rsid w:val="2C7F33C1"/>
    <w:rsid w:val="2C8633C9"/>
    <w:rsid w:val="2CA033EE"/>
    <w:rsid w:val="2D017FF4"/>
    <w:rsid w:val="2D2E7944"/>
    <w:rsid w:val="2D365A84"/>
    <w:rsid w:val="2D4D0F97"/>
    <w:rsid w:val="2D4D2419"/>
    <w:rsid w:val="2DB433E8"/>
    <w:rsid w:val="2DBB07A7"/>
    <w:rsid w:val="2DD7295B"/>
    <w:rsid w:val="2DDB50AC"/>
    <w:rsid w:val="2E040392"/>
    <w:rsid w:val="2E612992"/>
    <w:rsid w:val="2E6C2A16"/>
    <w:rsid w:val="2E8A45AA"/>
    <w:rsid w:val="2E9B658A"/>
    <w:rsid w:val="2EA258C0"/>
    <w:rsid w:val="2EA330C5"/>
    <w:rsid w:val="2EBF1356"/>
    <w:rsid w:val="2EC96C5E"/>
    <w:rsid w:val="2ED26739"/>
    <w:rsid w:val="2EDB5F8A"/>
    <w:rsid w:val="2EDD420A"/>
    <w:rsid w:val="2EE2633A"/>
    <w:rsid w:val="2EF24DCD"/>
    <w:rsid w:val="2EF5311F"/>
    <w:rsid w:val="2F1430A2"/>
    <w:rsid w:val="2F737A1A"/>
    <w:rsid w:val="2F906710"/>
    <w:rsid w:val="2F92338F"/>
    <w:rsid w:val="2FA36862"/>
    <w:rsid w:val="2FD10132"/>
    <w:rsid w:val="30003C94"/>
    <w:rsid w:val="30060F3E"/>
    <w:rsid w:val="301C2C06"/>
    <w:rsid w:val="302E73F1"/>
    <w:rsid w:val="30441B88"/>
    <w:rsid w:val="30560ED9"/>
    <w:rsid w:val="30973B84"/>
    <w:rsid w:val="309E5183"/>
    <w:rsid w:val="31353E6E"/>
    <w:rsid w:val="3170045F"/>
    <w:rsid w:val="31725110"/>
    <w:rsid w:val="317E1DE5"/>
    <w:rsid w:val="31B01DBB"/>
    <w:rsid w:val="31D74589"/>
    <w:rsid w:val="31DB0511"/>
    <w:rsid w:val="31EA77DE"/>
    <w:rsid w:val="31EB0F0A"/>
    <w:rsid w:val="32101727"/>
    <w:rsid w:val="32253DFC"/>
    <w:rsid w:val="323539BC"/>
    <w:rsid w:val="325C154C"/>
    <w:rsid w:val="328430EE"/>
    <w:rsid w:val="32877287"/>
    <w:rsid w:val="329C61A8"/>
    <w:rsid w:val="32AB21AA"/>
    <w:rsid w:val="32B87872"/>
    <w:rsid w:val="32D0657E"/>
    <w:rsid w:val="33D73177"/>
    <w:rsid w:val="346024B4"/>
    <w:rsid w:val="346551DC"/>
    <w:rsid w:val="34697E3E"/>
    <w:rsid w:val="348A4856"/>
    <w:rsid w:val="348F2966"/>
    <w:rsid w:val="34AC3CD0"/>
    <w:rsid w:val="34B7635B"/>
    <w:rsid w:val="34B9391B"/>
    <w:rsid w:val="34CA64EC"/>
    <w:rsid w:val="34EB00E7"/>
    <w:rsid w:val="34F824F6"/>
    <w:rsid w:val="350B7474"/>
    <w:rsid w:val="35316685"/>
    <w:rsid w:val="3551305D"/>
    <w:rsid w:val="35E36367"/>
    <w:rsid w:val="35ED5A3D"/>
    <w:rsid w:val="362220BA"/>
    <w:rsid w:val="363A3F08"/>
    <w:rsid w:val="36447762"/>
    <w:rsid w:val="364F369F"/>
    <w:rsid w:val="36561583"/>
    <w:rsid w:val="365651A1"/>
    <w:rsid w:val="366F2C3D"/>
    <w:rsid w:val="36777253"/>
    <w:rsid w:val="367D4EE6"/>
    <w:rsid w:val="36A92505"/>
    <w:rsid w:val="36AE6F5A"/>
    <w:rsid w:val="36C80EAE"/>
    <w:rsid w:val="36ED2C95"/>
    <w:rsid w:val="36FC0DAA"/>
    <w:rsid w:val="371F6CAB"/>
    <w:rsid w:val="37592F60"/>
    <w:rsid w:val="375F78FC"/>
    <w:rsid w:val="377131E2"/>
    <w:rsid w:val="37876D63"/>
    <w:rsid w:val="37F36C6E"/>
    <w:rsid w:val="38234FD6"/>
    <w:rsid w:val="38237841"/>
    <w:rsid w:val="386D4F91"/>
    <w:rsid w:val="386F2853"/>
    <w:rsid w:val="3871127F"/>
    <w:rsid w:val="387537D1"/>
    <w:rsid w:val="387A55BC"/>
    <w:rsid w:val="389867DB"/>
    <w:rsid w:val="38BF0854"/>
    <w:rsid w:val="38C966DB"/>
    <w:rsid w:val="38F21D9C"/>
    <w:rsid w:val="398250BF"/>
    <w:rsid w:val="39A57004"/>
    <w:rsid w:val="39CD3C9B"/>
    <w:rsid w:val="39CF53D8"/>
    <w:rsid w:val="39FD10E8"/>
    <w:rsid w:val="3A140988"/>
    <w:rsid w:val="3A3A5275"/>
    <w:rsid w:val="3A3B55D2"/>
    <w:rsid w:val="3A8671C5"/>
    <w:rsid w:val="3A8E2366"/>
    <w:rsid w:val="3AAD7E3E"/>
    <w:rsid w:val="3AF61613"/>
    <w:rsid w:val="3AFD779E"/>
    <w:rsid w:val="3B05263E"/>
    <w:rsid w:val="3B0C558F"/>
    <w:rsid w:val="3B0F1BCF"/>
    <w:rsid w:val="3B304FDA"/>
    <w:rsid w:val="3B3B56AD"/>
    <w:rsid w:val="3B4759DA"/>
    <w:rsid w:val="3B5144D5"/>
    <w:rsid w:val="3BB92F8C"/>
    <w:rsid w:val="3BC82937"/>
    <w:rsid w:val="3C6B6D10"/>
    <w:rsid w:val="3C6C2954"/>
    <w:rsid w:val="3CA81FFD"/>
    <w:rsid w:val="3D2817A6"/>
    <w:rsid w:val="3D3143E3"/>
    <w:rsid w:val="3D44233C"/>
    <w:rsid w:val="3D4A61BF"/>
    <w:rsid w:val="3D727B61"/>
    <w:rsid w:val="3D7E61BB"/>
    <w:rsid w:val="3D88133B"/>
    <w:rsid w:val="3DBE2799"/>
    <w:rsid w:val="3DE0391B"/>
    <w:rsid w:val="3DE1797D"/>
    <w:rsid w:val="3DF64719"/>
    <w:rsid w:val="3E0F5394"/>
    <w:rsid w:val="3E3A5368"/>
    <w:rsid w:val="3E3C39BA"/>
    <w:rsid w:val="3E54689D"/>
    <w:rsid w:val="3E5A6B79"/>
    <w:rsid w:val="3EB97B39"/>
    <w:rsid w:val="3EBB358C"/>
    <w:rsid w:val="3EC01E68"/>
    <w:rsid w:val="3EC256CD"/>
    <w:rsid w:val="3EC30CDE"/>
    <w:rsid w:val="3EC36217"/>
    <w:rsid w:val="3EFC0C59"/>
    <w:rsid w:val="3EFD4F4B"/>
    <w:rsid w:val="3F0E2E59"/>
    <w:rsid w:val="3F2226A4"/>
    <w:rsid w:val="3F2A74FC"/>
    <w:rsid w:val="3F34260C"/>
    <w:rsid w:val="3F574403"/>
    <w:rsid w:val="3F5F5195"/>
    <w:rsid w:val="3F6D4FD0"/>
    <w:rsid w:val="3F9B42E7"/>
    <w:rsid w:val="3FA15B86"/>
    <w:rsid w:val="3FB05094"/>
    <w:rsid w:val="3FE31686"/>
    <w:rsid w:val="3FE444C6"/>
    <w:rsid w:val="40263290"/>
    <w:rsid w:val="40392BC9"/>
    <w:rsid w:val="407169BD"/>
    <w:rsid w:val="40745E59"/>
    <w:rsid w:val="40AF1148"/>
    <w:rsid w:val="40D03831"/>
    <w:rsid w:val="40E12B7A"/>
    <w:rsid w:val="41042C4F"/>
    <w:rsid w:val="410B7DA0"/>
    <w:rsid w:val="410F6D5A"/>
    <w:rsid w:val="412118F0"/>
    <w:rsid w:val="418B2B77"/>
    <w:rsid w:val="41905052"/>
    <w:rsid w:val="41E029BB"/>
    <w:rsid w:val="41EB39A1"/>
    <w:rsid w:val="41F4274E"/>
    <w:rsid w:val="41FA7982"/>
    <w:rsid w:val="42165601"/>
    <w:rsid w:val="423517E8"/>
    <w:rsid w:val="424573E3"/>
    <w:rsid w:val="42960D42"/>
    <w:rsid w:val="42B70BB2"/>
    <w:rsid w:val="42D42531"/>
    <w:rsid w:val="42E32995"/>
    <w:rsid w:val="42FE30D7"/>
    <w:rsid w:val="433F2345"/>
    <w:rsid w:val="43402E30"/>
    <w:rsid w:val="436423D8"/>
    <w:rsid w:val="4375324C"/>
    <w:rsid w:val="43CB2F27"/>
    <w:rsid w:val="43F45584"/>
    <w:rsid w:val="44331163"/>
    <w:rsid w:val="44662DC8"/>
    <w:rsid w:val="44714B79"/>
    <w:rsid w:val="44C512CC"/>
    <w:rsid w:val="44D06645"/>
    <w:rsid w:val="44F1238E"/>
    <w:rsid w:val="45265C87"/>
    <w:rsid w:val="4527194F"/>
    <w:rsid w:val="45402047"/>
    <w:rsid w:val="45860798"/>
    <w:rsid w:val="45975609"/>
    <w:rsid w:val="45A841AE"/>
    <w:rsid w:val="45E1065A"/>
    <w:rsid w:val="462A1BED"/>
    <w:rsid w:val="462F6E4C"/>
    <w:rsid w:val="463D2FA8"/>
    <w:rsid w:val="46713499"/>
    <w:rsid w:val="46802747"/>
    <w:rsid w:val="4695152B"/>
    <w:rsid w:val="46A46DF1"/>
    <w:rsid w:val="46A761A7"/>
    <w:rsid w:val="46C8214C"/>
    <w:rsid w:val="46D738AE"/>
    <w:rsid w:val="46FB4E9E"/>
    <w:rsid w:val="47162485"/>
    <w:rsid w:val="4725107A"/>
    <w:rsid w:val="47344D73"/>
    <w:rsid w:val="474629AF"/>
    <w:rsid w:val="475A5A28"/>
    <w:rsid w:val="476A5ECF"/>
    <w:rsid w:val="479F48EE"/>
    <w:rsid w:val="47B272F1"/>
    <w:rsid w:val="47BB4D3D"/>
    <w:rsid w:val="47C6015A"/>
    <w:rsid w:val="47D37FE4"/>
    <w:rsid w:val="47E02AC5"/>
    <w:rsid w:val="48511A9C"/>
    <w:rsid w:val="48683FFC"/>
    <w:rsid w:val="487278C4"/>
    <w:rsid w:val="48C9382F"/>
    <w:rsid w:val="48FC66E8"/>
    <w:rsid w:val="49083AD5"/>
    <w:rsid w:val="491A15CC"/>
    <w:rsid w:val="493B7041"/>
    <w:rsid w:val="494840F7"/>
    <w:rsid w:val="49783AE3"/>
    <w:rsid w:val="49A13639"/>
    <w:rsid w:val="49DF43F4"/>
    <w:rsid w:val="49E145D3"/>
    <w:rsid w:val="4A100ED4"/>
    <w:rsid w:val="4A5F626A"/>
    <w:rsid w:val="4A6D0432"/>
    <w:rsid w:val="4A861122"/>
    <w:rsid w:val="4A8D303D"/>
    <w:rsid w:val="4AAB5324"/>
    <w:rsid w:val="4AB0267A"/>
    <w:rsid w:val="4AC162CE"/>
    <w:rsid w:val="4AE9203D"/>
    <w:rsid w:val="4AFA623C"/>
    <w:rsid w:val="4B0A1437"/>
    <w:rsid w:val="4B114B92"/>
    <w:rsid w:val="4B1D35C6"/>
    <w:rsid w:val="4B2A228D"/>
    <w:rsid w:val="4B4A6734"/>
    <w:rsid w:val="4B4C6FD8"/>
    <w:rsid w:val="4B64445C"/>
    <w:rsid w:val="4BA415C3"/>
    <w:rsid w:val="4BA700F5"/>
    <w:rsid w:val="4BAE1B0D"/>
    <w:rsid w:val="4C183764"/>
    <w:rsid w:val="4C6136E0"/>
    <w:rsid w:val="4C69157A"/>
    <w:rsid w:val="4C6F41FE"/>
    <w:rsid w:val="4C9C7A3A"/>
    <w:rsid w:val="4CA860E3"/>
    <w:rsid w:val="4CB35E4F"/>
    <w:rsid w:val="4CBF0433"/>
    <w:rsid w:val="4CC15F57"/>
    <w:rsid w:val="4CDA22E4"/>
    <w:rsid w:val="4D174E6E"/>
    <w:rsid w:val="4D1C07E1"/>
    <w:rsid w:val="4D1D3FC9"/>
    <w:rsid w:val="4D45466A"/>
    <w:rsid w:val="4D541F5A"/>
    <w:rsid w:val="4D5E75C1"/>
    <w:rsid w:val="4D7A031C"/>
    <w:rsid w:val="4D992CBB"/>
    <w:rsid w:val="4DD53867"/>
    <w:rsid w:val="4DFE329D"/>
    <w:rsid w:val="4DFE6F61"/>
    <w:rsid w:val="4E07022C"/>
    <w:rsid w:val="4E3038B7"/>
    <w:rsid w:val="4E370C79"/>
    <w:rsid w:val="4E41693D"/>
    <w:rsid w:val="4E5B2686"/>
    <w:rsid w:val="4E641F5F"/>
    <w:rsid w:val="4E7954B6"/>
    <w:rsid w:val="4E866B69"/>
    <w:rsid w:val="4EAB1E91"/>
    <w:rsid w:val="4EE27117"/>
    <w:rsid w:val="4EF45C20"/>
    <w:rsid w:val="4EFF1C74"/>
    <w:rsid w:val="4F5636A6"/>
    <w:rsid w:val="4F767060"/>
    <w:rsid w:val="4F796B25"/>
    <w:rsid w:val="4F7A0A6E"/>
    <w:rsid w:val="4F84107C"/>
    <w:rsid w:val="4FA02B1A"/>
    <w:rsid w:val="4FAB0CD1"/>
    <w:rsid w:val="4FB76E2F"/>
    <w:rsid w:val="4FBE40DF"/>
    <w:rsid w:val="4FFB00CF"/>
    <w:rsid w:val="50324E97"/>
    <w:rsid w:val="50372F96"/>
    <w:rsid w:val="504F2BD5"/>
    <w:rsid w:val="5057468F"/>
    <w:rsid w:val="505B7730"/>
    <w:rsid w:val="506C317C"/>
    <w:rsid w:val="50BF6F51"/>
    <w:rsid w:val="50D319DE"/>
    <w:rsid w:val="50F528A4"/>
    <w:rsid w:val="510B1CC2"/>
    <w:rsid w:val="512E67CB"/>
    <w:rsid w:val="51553025"/>
    <w:rsid w:val="51826699"/>
    <w:rsid w:val="51BD45F8"/>
    <w:rsid w:val="51D329F4"/>
    <w:rsid w:val="51EE133C"/>
    <w:rsid w:val="52014305"/>
    <w:rsid w:val="520B137A"/>
    <w:rsid w:val="521B3F6E"/>
    <w:rsid w:val="52445DC2"/>
    <w:rsid w:val="52491248"/>
    <w:rsid w:val="52495A87"/>
    <w:rsid w:val="528A12A9"/>
    <w:rsid w:val="52947AB1"/>
    <w:rsid w:val="52A00937"/>
    <w:rsid w:val="52AA0B04"/>
    <w:rsid w:val="52C81ECD"/>
    <w:rsid w:val="52FF6B72"/>
    <w:rsid w:val="53000BCF"/>
    <w:rsid w:val="53071416"/>
    <w:rsid w:val="53126B06"/>
    <w:rsid w:val="5367489E"/>
    <w:rsid w:val="536F6B32"/>
    <w:rsid w:val="53BE328F"/>
    <w:rsid w:val="53CD1E22"/>
    <w:rsid w:val="5434615D"/>
    <w:rsid w:val="543B3547"/>
    <w:rsid w:val="546A3A73"/>
    <w:rsid w:val="54957BD5"/>
    <w:rsid w:val="54A85F43"/>
    <w:rsid w:val="54D74AFC"/>
    <w:rsid w:val="54E3625F"/>
    <w:rsid w:val="54F95032"/>
    <w:rsid w:val="550716FA"/>
    <w:rsid w:val="55577E72"/>
    <w:rsid w:val="55AC3AD6"/>
    <w:rsid w:val="55B81641"/>
    <w:rsid w:val="55E709AB"/>
    <w:rsid w:val="55F93A4C"/>
    <w:rsid w:val="56037A28"/>
    <w:rsid w:val="56197056"/>
    <w:rsid w:val="562A3D12"/>
    <w:rsid w:val="56314CD2"/>
    <w:rsid w:val="56413ED5"/>
    <w:rsid w:val="566150A0"/>
    <w:rsid w:val="5672158F"/>
    <w:rsid w:val="56900BA8"/>
    <w:rsid w:val="569F5806"/>
    <w:rsid w:val="56FC3EE8"/>
    <w:rsid w:val="570E633C"/>
    <w:rsid w:val="57203073"/>
    <w:rsid w:val="57423BFF"/>
    <w:rsid w:val="576C7B72"/>
    <w:rsid w:val="57730A16"/>
    <w:rsid w:val="577C0649"/>
    <w:rsid w:val="57A20C9B"/>
    <w:rsid w:val="57BA453E"/>
    <w:rsid w:val="57C82F71"/>
    <w:rsid w:val="57E14E81"/>
    <w:rsid w:val="584D4C8D"/>
    <w:rsid w:val="586063CD"/>
    <w:rsid w:val="58834114"/>
    <w:rsid w:val="58E93109"/>
    <w:rsid w:val="59123D4B"/>
    <w:rsid w:val="59261734"/>
    <w:rsid w:val="59803604"/>
    <w:rsid w:val="59BF564B"/>
    <w:rsid w:val="59C45DB7"/>
    <w:rsid w:val="59DF3203"/>
    <w:rsid w:val="59F2589C"/>
    <w:rsid w:val="59FF0852"/>
    <w:rsid w:val="5A0929DF"/>
    <w:rsid w:val="5A1D513A"/>
    <w:rsid w:val="5A2543B4"/>
    <w:rsid w:val="5A30619A"/>
    <w:rsid w:val="5A4F2586"/>
    <w:rsid w:val="5AAD7811"/>
    <w:rsid w:val="5AD532C1"/>
    <w:rsid w:val="5B912577"/>
    <w:rsid w:val="5BB7702F"/>
    <w:rsid w:val="5BBA0FB5"/>
    <w:rsid w:val="5BC91C33"/>
    <w:rsid w:val="5BCE5F09"/>
    <w:rsid w:val="5BF821AA"/>
    <w:rsid w:val="5BFD6095"/>
    <w:rsid w:val="5C0E12D7"/>
    <w:rsid w:val="5C0F0132"/>
    <w:rsid w:val="5C145BF1"/>
    <w:rsid w:val="5C2539B9"/>
    <w:rsid w:val="5C271544"/>
    <w:rsid w:val="5C291C55"/>
    <w:rsid w:val="5C2954F3"/>
    <w:rsid w:val="5C3711DA"/>
    <w:rsid w:val="5C4547CC"/>
    <w:rsid w:val="5C6308F1"/>
    <w:rsid w:val="5C704D6B"/>
    <w:rsid w:val="5C812B23"/>
    <w:rsid w:val="5CA65944"/>
    <w:rsid w:val="5CCF7BFE"/>
    <w:rsid w:val="5D01457C"/>
    <w:rsid w:val="5D132594"/>
    <w:rsid w:val="5D7B08FE"/>
    <w:rsid w:val="5D7F6210"/>
    <w:rsid w:val="5D9A43B6"/>
    <w:rsid w:val="5DBD7F88"/>
    <w:rsid w:val="5DC042C6"/>
    <w:rsid w:val="5DC61B86"/>
    <w:rsid w:val="5DDD6E99"/>
    <w:rsid w:val="5E540EDB"/>
    <w:rsid w:val="5EE90104"/>
    <w:rsid w:val="5EF26DAA"/>
    <w:rsid w:val="5F1407AA"/>
    <w:rsid w:val="5F6637FD"/>
    <w:rsid w:val="5F702235"/>
    <w:rsid w:val="5F71546D"/>
    <w:rsid w:val="5F822DFE"/>
    <w:rsid w:val="5F831A38"/>
    <w:rsid w:val="5F8B0A0B"/>
    <w:rsid w:val="5F8D3CFA"/>
    <w:rsid w:val="5FA33F9E"/>
    <w:rsid w:val="5FAA5395"/>
    <w:rsid w:val="5FB2791E"/>
    <w:rsid w:val="60175F47"/>
    <w:rsid w:val="604C784A"/>
    <w:rsid w:val="604E2320"/>
    <w:rsid w:val="60796B13"/>
    <w:rsid w:val="608C360E"/>
    <w:rsid w:val="609B2FF7"/>
    <w:rsid w:val="609F18D0"/>
    <w:rsid w:val="60AB5768"/>
    <w:rsid w:val="60AF5302"/>
    <w:rsid w:val="60D5690C"/>
    <w:rsid w:val="60FC3F67"/>
    <w:rsid w:val="611E5A70"/>
    <w:rsid w:val="61595E39"/>
    <w:rsid w:val="61C01DCE"/>
    <w:rsid w:val="61DA4510"/>
    <w:rsid w:val="61E52849"/>
    <w:rsid w:val="61EF5830"/>
    <w:rsid w:val="622F377F"/>
    <w:rsid w:val="624633FF"/>
    <w:rsid w:val="62475033"/>
    <w:rsid w:val="628E70AF"/>
    <w:rsid w:val="62AB19A0"/>
    <w:rsid w:val="62B26DCB"/>
    <w:rsid w:val="62B93D78"/>
    <w:rsid w:val="62C83DAC"/>
    <w:rsid w:val="62E4630C"/>
    <w:rsid w:val="630E3DE0"/>
    <w:rsid w:val="631C5E4F"/>
    <w:rsid w:val="63547360"/>
    <w:rsid w:val="63624127"/>
    <w:rsid w:val="63797816"/>
    <w:rsid w:val="637A32C8"/>
    <w:rsid w:val="63A66578"/>
    <w:rsid w:val="63B234B8"/>
    <w:rsid w:val="63DA34E9"/>
    <w:rsid w:val="63F1794D"/>
    <w:rsid w:val="63FD7F31"/>
    <w:rsid w:val="642261F0"/>
    <w:rsid w:val="644E57F2"/>
    <w:rsid w:val="645741EA"/>
    <w:rsid w:val="646B36C8"/>
    <w:rsid w:val="6471239D"/>
    <w:rsid w:val="64746417"/>
    <w:rsid w:val="650020CC"/>
    <w:rsid w:val="6509281B"/>
    <w:rsid w:val="65106FEF"/>
    <w:rsid w:val="6526441F"/>
    <w:rsid w:val="655477B6"/>
    <w:rsid w:val="65A83BDE"/>
    <w:rsid w:val="65D4203E"/>
    <w:rsid w:val="66072C06"/>
    <w:rsid w:val="660F72A1"/>
    <w:rsid w:val="663A414B"/>
    <w:rsid w:val="664D0EA1"/>
    <w:rsid w:val="66586BFC"/>
    <w:rsid w:val="66A35E3C"/>
    <w:rsid w:val="66AB58DB"/>
    <w:rsid w:val="66B2330C"/>
    <w:rsid w:val="66CF629B"/>
    <w:rsid w:val="66EC2A39"/>
    <w:rsid w:val="67371293"/>
    <w:rsid w:val="67956513"/>
    <w:rsid w:val="67F03E42"/>
    <w:rsid w:val="680348FA"/>
    <w:rsid w:val="682F70F3"/>
    <w:rsid w:val="684A2278"/>
    <w:rsid w:val="684E211A"/>
    <w:rsid w:val="68A27A9A"/>
    <w:rsid w:val="69071D7C"/>
    <w:rsid w:val="691253FD"/>
    <w:rsid w:val="69154DB4"/>
    <w:rsid w:val="692D1676"/>
    <w:rsid w:val="696D74D4"/>
    <w:rsid w:val="69E834C3"/>
    <w:rsid w:val="69F333C0"/>
    <w:rsid w:val="69FB343C"/>
    <w:rsid w:val="6A097064"/>
    <w:rsid w:val="6A3A7EB6"/>
    <w:rsid w:val="6A3E149F"/>
    <w:rsid w:val="6A466537"/>
    <w:rsid w:val="6A577BFC"/>
    <w:rsid w:val="6A5F2C55"/>
    <w:rsid w:val="6A9847A1"/>
    <w:rsid w:val="6ABB44EF"/>
    <w:rsid w:val="6AD12C57"/>
    <w:rsid w:val="6ADD6B9E"/>
    <w:rsid w:val="6AFC11AB"/>
    <w:rsid w:val="6AFE6987"/>
    <w:rsid w:val="6B29067A"/>
    <w:rsid w:val="6B2C38C6"/>
    <w:rsid w:val="6B31234A"/>
    <w:rsid w:val="6B5A1634"/>
    <w:rsid w:val="6B6871CE"/>
    <w:rsid w:val="6B721A28"/>
    <w:rsid w:val="6B7513BF"/>
    <w:rsid w:val="6B967D1A"/>
    <w:rsid w:val="6BA5773F"/>
    <w:rsid w:val="6BAA6E27"/>
    <w:rsid w:val="6BDB3039"/>
    <w:rsid w:val="6BEA6CBB"/>
    <w:rsid w:val="6BF81654"/>
    <w:rsid w:val="6BFD3B9E"/>
    <w:rsid w:val="6C10066F"/>
    <w:rsid w:val="6C1C2416"/>
    <w:rsid w:val="6C2F313C"/>
    <w:rsid w:val="6C4103E5"/>
    <w:rsid w:val="6C7D4E13"/>
    <w:rsid w:val="6C81625F"/>
    <w:rsid w:val="6CA37A41"/>
    <w:rsid w:val="6CCB1912"/>
    <w:rsid w:val="6CE26D13"/>
    <w:rsid w:val="6CE60C62"/>
    <w:rsid w:val="6D907343"/>
    <w:rsid w:val="6DB46FBB"/>
    <w:rsid w:val="6DF90F5B"/>
    <w:rsid w:val="6DFC5B70"/>
    <w:rsid w:val="6E0A5F71"/>
    <w:rsid w:val="6E386997"/>
    <w:rsid w:val="6E605031"/>
    <w:rsid w:val="6E68517D"/>
    <w:rsid w:val="6E8A3F23"/>
    <w:rsid w:val="6E8B1C2E"/>
    <w:rsid w:val="6EA04E91"/>
    <w:rsid w:val="6EBB17B7"/>
    <w:rsid w:val="6ECF4774"/>
    <w:rsid w:val="6EF27D27"/>
    <w:rsid w:val="6F114248"/>
    <w:rsid w:val="6F1A4601"/>
    <w:rsid w:val="6F3C4906"/>
    <w:rsid w:val="6F3E709C"/>
    <w:rsid w:val="6F53464D"/>
    <w:rsid w:val="6F5C237F"/>
    <w:rsid w:val="6F901A9C"/>
    <w:rsid w:val="6FE1784F"/>
    <w:rsid w:val="6FE374F5"/>
    <w:rsid w:val="6FEF6E49"/>
    <w:rsid w:val="6FF92967"/>
    <w:rsid w:val="70000D01"/>
    <w:rsid w:val="702064A6"/>
    <w:rsid w:val="705100FA"/>
    <w:rsid w:val="705440A0"/>
    <w:rsid w:val="70B13E1C"/>
    <w:rsid w:val="70B2602D"/>
    <w:rsid w:val="70B650F5"/>
    <w:rsid w:val="70B80A51"/>
    <w:rsid w:val="70C03B59"/>
    <w:rsid w:val="70C204A0"/>
    <w:rsid w:val="70DD626D"/>
    <w:rsid w:val="70F407D5"/>
    <w:rsid w:val="710F3B26"/>
    <w:rsid w:val="712B6E08"/>
    <w:rsid w:val="7145361A"/>
    <w:rsid w:val="7178292D"/>
    <w:rsid w:val="717A4477"/>
    <w:rsid w:val="71A36943"/>
    <w:rsid w:val="71A869E3"/>
    <w:rsid w:val="71BE6A4A"/>
    <w:rsid w:val="71C906BE"/>
    <w:rsid w:val="71DF31BA"/>
    <w:rsid w:val="71F75865"/>
    <w:rsid w:val="71FD5F38"/>
    <w:rsid w:val="724D2F17"/>
    <w:rsid w:val="725F3459"/>
    <w:rsid w:val="72803BA9"/>
    <w:rsid w:val="729E30BE"/>
    <w:rsid w:val="72BC6136"/>
    <w:rsid w:val="72BE3A81"/>
    <w:rsid w:val="72EC59F0"/>
    <w:rsid w:val="72FE249D"/>
    <w:rsid w:val="731705F3"/>
    <w:rsid w:val="7350368B"/>
    <w:rsid w:val="735A1359"/>
    <w:rsid w:val="736953B6"/>
    <w:rsid w:val="73F97B3B"/>
    <w:rsid w:val="73F97CAE"/>
    <w:rsid w:val="74162370"/>
    <w:rsid w:val="745E213D"/>
    <w:rsid w:val="747512BD"/>
    <w:rsid w:val="74920680"/>
    <w:rsid w:val="74B8424C"/>
    <w:rsid w:val="74E5260F"/>
    <w:rsid w:val="752533EE"/>
    <w:rsid w:val="752D521E"/>
    <w:rsid w:val="754B1B52"/>
    <w:rsid w:val="754C6A0E"/>
    <w:rsid w:val="75513B7E"/>
    <w:rsid w:val="75890756"/>
    <w:rsid w:val="75A91791"/>
    <w:rsid w:val="75C518C3"/>
    <w:rsid w:val="75CD0582"/>
    <w:rsid w:val="75ED48BD"/>
    <w:rsid w:val="766175B9"/>
    <w:rsid w:val="768A0F9F"/>
    <w:rsid w:val="76C42532"/>
    <w:rsid w:val="76CA2455"/>
    <w:rsid w:val="76CF3CCA"/>
    <w:rsid w:val="773427E4"/>
    <w:rsid w:val="776A6B86"/>
    <w:rsid w:val="776F5715"/>
    <w:rsid w:val="777E7CFC"/>
    <w:rsid w:val="779879A5"/>
    <w:rsid w:val="77EA5498"/>
    <w:rsid w:val="77F409E9"/>
    <w:rsid w:val="781525A4"/>
    <w:rsid w:val="78361441"/>
    <w:rsid w:val="78903216"/>
    <w:rsid w:val="789925D3"/>
    <w:rsid w:val="78F86F31"/>
    <w:rsid w:val="79181D08"/>
    <w:rsid w:val="7939554A"/>
    <w:rsid w:val="797304FF"/>
    <w:rsid w:val="797750E7"/>
    <w:rsid w:val="7987299F"/>
    <w:rsid w:val="79A63AE2"/>
    <w:rsid w:val="79B25EEE"/>
    <w:rsid w:val="79E01838"/>
    <w:rsid w:val="79E024F6"/>
    <w:rsid w:val="79E23E5B"/>
    <w:rsid w:val="79F40897"/>
    <w:rsid w:val="7A001629"/>
    <w:rsid w:val="7A0D2981"/>
    <w:rsid w:val="7A1463DC"/>
    <w:rsid w:val="7A925958"/>
    <w:rsid w:val="7ABB1597"/>
    <w:rsid w:val="7ABE29B7"/>
    <w:rsid w:val="7AEE454A"/>
    <w:rsid w:val="7AFB1EA9"/>
    <w:rsid w:val="7B06069A"/>
    <w:rsid w:val="7B5C2A41"/>
    <w:rsid w:val="7B5C640B"/>
    <w:rsid w:val="7B5F2FCE"/>
    <w:rsid w:val="7B6D265F"/>
    <w:rsid w:val="7BA313B1"/>
    <w:rsid w:val="7BB62924"/>
    <w:rsid w:val="7BBE35BA"/>
    <w:rsid w:val="7C1B5180"/>
    <w:rsid w:val="7C743FCE"/>
    <w:rsid w:val="7C881862"/>
    <w:rsid w:val="7C884B4A"/>
    <w:rsid w:val="7CB203E6"/>
    <w:rsid w:val="7CBA6E93"/>
    <w:rsid w:val="7CFD6F54"/>
    <w:rsid w:val="7D377436"/>
    <w:rsid w:val="7D3C329E"/>
    <w:rsid w:val="7D412FDD"/>
    <w:rsid w:val="7D4A2839"/>
    <w:rsid w:val="7D5C292D"/>
    <w:rsid w:val="7D8333FA"/>
    <w:rsid w:val="7D843DC1"/>
    <w:rsid w:val="7DA16FB6"/>
    <w:rsid w:val="7DA763C2"/>
    <w:rsid w:val="7DC6519F"/>
    <w:rsid w:val="7DFB16AF"/>
    <w:rsid w:val="7E1468EC"/>
    <w:rsid w:val="7E1D2510"/>
    <w:rsid w:val="7E4B289D"/>
    <w:rsid w:val="7E663545"/>
    <w:rsid w:val="7E78711C"/>
    <w:rsid w:val="7E834288"/>
    <w:rsid w:val="7E914617"/>
    <w:rsid w:val="7EA0703B"/>
    <w:rsid w:val="7EB13D5C"/>
    <w:rsid w:val="7EBA57FE"/>
    <w:rsid w:val="7EC267E5"/>
    <w:rsid w:val="7ECB3CD8"/>
    <w:rsid w:val="7ECF4FE1"/>
    <w:rsid w:val="7ED74425"/>
    <w:rsid w:val="7F380F60"/>
    <w:rsid w:val="7F817D0F"/>
    <w:rsid w:val="7F8E6EB0"/>
    <w:rsid w:val="7F97441A"/>
    <w:rsid w:val="7FA47E24"/>
    <w:rsid w:val="7FFA695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3"/>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qFormat/>
    <w:uiPriority w:val="0"/>
    <w:pPr>
      <w:keepNext/>
      <w:keepLines/>
      <w:numPr>
        <w:ilvl w:val="0"/>
        <w:numId w:val="1"/>
      </w:numPr>
      <w:spacing w:before="340" w:after="330" w:line="576" w:lineRule="auto"/>
      <w:outlineLvl w:val="0"/>
    </w:pPr>
    <w:rPr>
      <w:b/>
      <w:bCs/>
      <w:kern w:val="44"/>
      <w:sz w:val="44"/>
      <w:szCs w:val="44"/>
    </w:rPr>
  </w:style>
  <w:style w:type="paragraph" w:styleId="4">
    <w:name w:val="heading 2"/>
    <w:basedOn w:val="1"/>
    <w:next w:val="1"/>
    <w:unhideWhenUsed/>
    <w:qFormat/>
    <w:uiPriority w:val="0"/>
    <w:pPr>
      <w:keepNext/>
      <w:keepLines/>
      <w:numPr>
        <w:ilvl w:val="1"/>
        <w:numId w:val="2"/>
      </w:numPr>
      <w:spacing w:line="360" w:lineRule="auto"/>
      <w:ind w:left="0" w:firstLine="0"/>
      <w:jc w:val="left"/>
      <w:outlineLvl w:val="1"/>
    </w:pPr>
    <w:rPr>
      <w:rFonts w:eastAsia="黑体"/>
      <w:bCs/>
      <w:kern w:val="0"/>
      <w:sz w:val="24"/>
      <w:szCs w:val="32"/>
    </w:rPr>
  </w:style>
  <w:style w:type="paragraph" w:styleId="2">
    <w:name w:val="heading 3"/>
    <w:basedOn w:val="1"/>
    <w:next w:val="1"/>
    <w:unhideWhenUsed/>
    <w:qFormat/>
    <w:uiPriority w:val="0"/>
    <w:pPr>
      <w:keepNext/>
      <w:keepLines/>
      <w:numPr>
        <w:ilvl w:val="2"/>
        <w:numId w:val="2"/>
      </w:numPr>
      <w:spacing w:line="360" w:lineRule="auto"/>
      <w:outlineLvl w:val="2"/>
    </w:pPr>
    <w:rPr>
      <w:bCs/>
      <w:kern w:val="0"/>
      <w:sz w:val="24"/>
      <w:szCs w:val="32"/>
    </w:rPr>
  </w:style>
  <w:style w:type="paragraph" w:styleId="5">
    <w:name w:val="heading 4"/>
    <w:basedOn w:val="1"/>
    <w:next w:val="1"/>
    <w:qFormat/>
    <w:uiPriority w:val="0"/>
    <w:pPr>
      <w:keepNext/>
      <w:keepLines/>
      <w:numPr>
        <w:ilvl w:val="3"/>
        <w:numId w:val="3"/>
      </w:numPr>
      <w:spacing w:before="280" w:after="290" w:line="372" w:lineRule="auto"/>
      <w:outlineLvl w:val="3"/>
    </w:pPr>
    <w:rPr>
      <w:rFonts w:ascii="Arial" w:hAnsi="Arial" w:eastAsia="宋体"/>
      <w:bCs/>
      <w:sz w:val="24"/>
      <w:szCs w:val="28"/>
    </w:rPr>
  </w:style>
  <w:style w:type="character" w:default="1" w:styleId="28">
    <w:name w:val="Default Paragraph Font"/>
    <w:link w:val="29"/>
    <w:unhideWhenUsed/>
    <w:qFormat/>
    <w:uiPriority w:val="1"/>
    <w:rPr>
      <w:sz w:val="24"/>
      <w:szCs w:val="24"/>
    </w:rPr>
  </w:style>
  <w:style w:type="table" w:default="1" w:styleId="26">
    <w:name w:val="Normal Table"/>
    <w:unhideWhenUsed/>
    <w:qFormat/>
    <w:uiPriority w:val="99"/>
    <w:tblPr>
      <w:tblCellMar>
        <w:top w:w="0" w:type="dxa"/>
        <w:left w:w="108" w:type="dxa"/>
        <w:bottom w:w="0" w:type="dxa"/>
        <w:right w:w="108" w:type="dxa"/>
      </w:tblCellMar>
    </w:tblPr>
  </w:style>
  <w:style w:type="paragraph" w:styleId="6">
    <w:name w:val="Normal Indent"/>
    <w:basedOn w:val="1"/>
    <w:qFormat/>
    <w:uiPriority w:val="0"/>
    <w:pPr>
      <w:ind w:firstLine="420" w:firstLineChars="200"/>
    </w:pPr>
    <w:rPr>
      <w:rFonts w:ascii="宋体" w:hAnsi="宋体"/>
    </w:rPr>
  </w:style>
  <w:style w:type="paragraph" w:styleId="7">
    <w:name w:val="caption"/>
    <w:basedOn w:val="1"/>
    <w:next w:val="8"/>
    <w:unhideWhenUsed/>
    <w:qFormat/>
    <w:uiPriority w:val="0"/>
    <w:rPr>
      <w:rFonts w:ascii="Arial" w:hAnsi="Arial" w:eastAsia="黑体" w:cs="Arial"/>
      <w:sz w:val="20"/>
    </w:rPr>
  </w:style>
  <w:style w:type="paragraph" w:styleId="8">
    <w:name w:val="Body Text First Indent"/>
    <w:basedOn w:val="9"/>
    <w:next w:val="1"/>
    <w:qFormat/>
    <w:uiPriority w:val="0"/>
    <w:pPr>
      <w:overflowPunct w:val="0"/>
      <w:autoSpaceDE w:val="0"/>
      <w:autoSpaceDN w:val="0"/>
      <w:adjustRightInd w:val="0"/>
      <w:spacing w:line="360" w:lineRule="auto"/>
      <w:ind w:firstLine="539"/>
    </w:pPr>
    <w:rPr>
      <w:sz w:val="28"/>
    </w:rPr>
  </w:style>
  <w:style w:type="paragraph" w:styleId="9">
    <w:name w:val="Body Text"/>
    <w:basedOn w:val="1"/>
    <w:next w:val="10"/>
    <w:qFormat/>
    <w:uiPriority w:val="0"/>
  </w:style>
  <w:style w:type="paragraph" w:customStyle="1" w:styleId="10">
    <w:name w:val="xl27"/>
    <w:basedOn w:val="1"/>
    <w:qFormat/>
    <w:uiPriority w:val="0"/>
    <w:pPr>
      <w:widowControl/>
      <w:pBdr>
        <w:bottom w:val="single" w:color="auto" w:sz="4" w:space="0"/>
        <w:right w:val="single" w:color="auto" w:sz="4" w:space="0"/>
      </w:pBdr>
      <w:spacing w:before="100" w:beforeAutospacing="1" w:after="100" w:afterAutospacing="1"/>
      <w:jc w:val="center"/>
    </w:pPr>
    <w:rPr>
      <w:rFonts w:eastAsia="Arial Unicode MS"/>
      <w:kern w:val="0"/>
      <w:szCs w:val="21"/>
    </w:rPr>
  </w:style>
  <w:style w:type="paragraph" w:styleId="11">
    <w:name w:val="Document Map"/>
    <w:basedOn w:val="1"/>
    <w:link w:val="50"/>
    <w:qFormat/>
    <w:uiPriority w:val="0"/>
    <w:rPr>
      <w:rFonts w:ascii="宋体"/>
      <w:sz w:val="18"/>
      <w:szCs w:val="18"/>
    </w:rPr>
  </w:style>
  <w:style w:type="paragraph" w:styleId="12">
    <w:name w:val="annotation text"/>
    <w:basedOn w:val="1"/>
    <w:link w:val="52"/>
    <w:qFormat/>
    <w:uiPriority w:val="0"/>
    <w:pPr>
      <w:jc w:val="left"/>
    </w:pPr>
  </w:style>
  <w:style w:type="paragraph" w:styleId="13">
    <w:name w:val="Body Text Indent"/>
    <w:basedOn w:val="1"/>
    <w:qFormat/>
    <w:uiPriority w:val="0"/>
    <w:pPr>
      <w:ind w:left="420" w:leftChars="200"/>
    </w:pPr>
    <w:rPr>
      <w:szCs w:val="24"/>
    </w:rPr>
  </w:style>
  <w:style w:type="paragraph" w:styleId="14">
    <w:name w:val="toc 3"/>
    <w:basedOn w:val="1"/>
    <w:next w:val="1"/>
    <w:qFormat/>
    <w:uiPriority w:val="0"/>
    <w:pPr>
      <w:ind w:left="840" w:leftChars="400"/>
    </w:pPr>
  </w:style>
  <w:style w:type="paragraph" w:styleId="15">
    <w:name w:val="Plain Text"/>
    <w:basedOn w:val="1"/>
    <w:qFormat/>
    <w:uiPriority w:val="0"/>
    <w:pPr>
      <w:widowControl w:val="0"/>
      <w:adjustRightInd/>
      <w:snapToGrid/>
      <w:spacing w:line="360" w:lineRule="auto"/>
      <w:ind w:firstLine="200" w:firstLineChars="200"/>
    </w:pPr>
    <w:rPr>
      <w:rFonts w:ascii="宋体" w:hAnsi="Courier New"/>
      <w:kern w:val="0"/>
      <w:sz w:val="20"/>
      <w:szCs w:val="20"/>
    </w:rPr>
  </w:style>
  <w:style w:type="paragraph" w:styleId="16">
    <w:name w:val="Balloon Text"/>
    <w:basedOn w:val="1"/>
    <w:link w:val="51"/>
    <w:qFormat/>
    <w:uiPriority w:val="0"/>
    <w:rPr>
      <w:sz w:val="18"/>
      <w:szCs w:val="18"/>
    </w:rPr>
  </w:style>
  <w:style w:type="paragraph" w:styleId="17">
    <w:name w:val="footer"/>
    <w:basedOn w:val="1"/>
    <w:qFormat/>
    <w:uiPriority w:val="0"/>
    <w:pPr>
      <w:tabs>
        <w:tab w:val="center" w:pos="4153"/>
        <w:tab w:val="right" w:pos="8306"/>
      </w:tabs>
      <w:snapToGrid w:val="0"/>
      <w:jc w:val="left"/>
    </w:pPr>
    <w:rPr>
      <w:sz w:val="18"/>
    </w:rPr>
  </w:style>
  <w:style w:type="paragraph" w:styleId="1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9">
    <w:name w:val="toc 1"/>
    <w:basedOn w:val="1"/>
    <w:next w:val="1"/>
    <w:qFormat/>
    <w:uiPriority w:val="0"/>
    <w:pPr>
      <w:spacing w:before="120" w:after="120"/>
    </w:pPr>
    <w:rPr>
      <w:sz w:val="28"/>
    </w:rPr>
  </w:style>
  <w:style w:type="paragraph" w:styleId="20">
    <w:name w:val="Body Text Indent 3"/>
    <w:basedOn w:val="1"/>
    <w:qFormat/>
    <w:uiPriority w:val="0"/>
    <w:pPr>
      <w:spacing w:after="120"/>
      <w:ind w:left="420" w:leftChars="200"/>
    </w:pPr>
    <w:rPr>
      <w:sz w:val="16"/>
      <w:szCs w:val="16"/>
    </w:rPr>
  </w:style>
  <w:style w:type="paragraph" w:styleId="21">
    <w:name w:val="toc 2"/>
    <w:basedOn w:val="1"/>
    <w:next w:val="1"/>
    <w:qFormat/>
    <w:uiPriority w:val="0"/>
    <w:pPr>
      <w:ind w:left="420" w:leftChars="200"/>
    </w:pPr>
  </w:style>
  <w:style w:type="paragraph" w:styleId="22">
    <w:name w:val="Body Text 2"/>
    <w:basedOn w:val="1"/>
    <w:qFormat/>
    <w:uiPriority w:val="0"/>
    <w:pPr>
      <w:spacing w:after="120" w:line="480" w:lineRule="auto"/>
    </w:pPr>
  </w:style>
  <w:style w:type="paragraph" w:styleId="23">
    <w:name w:val="Normal (Web)"/>
    <w:basedOn w:val="1"/>
    <w:qFormat/>
    <w:uiPriority w:val="0"/>
    <w:pPr>
      <w:spacing w:before="0" w:beforeAutospacing="1" w:after="0" w:afterAutospacing="1"/>
      <w:ind w:left="0" w:right="0"/>
      <w:jc w:val="left"/>
    </w:pPr>
    <w:rPr>
      <w:kern w:val="0"/>
      <w:sz w:val="24"/>
      <w:lang w:val="en-US" w:eastAsia="zh-CN" w:bidi="ar"/>
    </w:rPr>
  </w:style>
  <w:style w:type="paragraph" w:styleId="24">
    <w:name w:val="annotation subject"/>
    <w:basedOn w:val="12"/>
    <w:next w:val="12"/>
    <w:link w:val="53"/>
    <w:qFormat/>
    <w:uiPriority w:val="0"/>
    <w:rPr>
      <w:b/>
      <w:bCs/>
    </w:rPr>
  </w:style>
  <w:style w:type="paragraph" w:styleId="25">
    <w:name w:val="Body Text First Indent 2"/>
    <w:basedOn w:val="13"/>
    <w:next w:val="1"/>
    <w:qFormat/>
    <w:uiPriority w:val="0"/>
    <w:pPr>
      <w:spacing w:after="120"/>
      <w:ind w:firstLine="420" w:firstLineChars="200"/>
    </w:pPr>
  </w:style>
  <w:style w:type="table" w:styleId="27">
    <w:name w:val="Table Grid"/>
    <w:basedOn w:val="2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29">
    <w:name w:val=" Char"/>
    <w:basedOn w:val="1"/>
    <w:link w:val="28"/>
    <w:qFormat/>
    <w:uiPriority w:val="0"/>
    <w:pPr>
      <w:ind w:firstLine="200" w:firstLineChars="200"/>
    </w:pPr>
    <w:rPr>
      <w:sz w:val="24"/>
      <w:szCs w:val="24"/>
    </w:rPr>
  </w:style>
  <w:style w:type="character" w:styleId="30">
    <w:name w:val="Strong"/>
    <w:basedOn w:val="28"/>
    <w:qFormat/>
    <w:uiPriority w:val="0"/>
    <w:rPr>
      <w:b/>
      <w:bCs/>
    </w:rPr>
  </w:style>
  <w:style w:type="character" w:styleId="31">
    <w:name w:val="page number"/>
    <w:basedOn w:val="28"/>
    <w:qFormat/>
    <w:uiPriority w:val="0"/>
  </w:style>
  <w:style w:type="character" w:styleId="32">
    <w:name w:val="Hyperlink"/>
    <w:basedOn w:val="28"/>
    <w:qFormat/>
    <w:uiPriority w:val="99"/>
    <w:rPr>
      <w:color w:val="000000"/>
      <w:u w:val="none"/>
    </w:rPr>
  </w:style>
  <w:style w:type="character" w:styleId="33">
    <w:name w:val="annotation reference"/>
    <w:basedOn w:val="28"/>
    <w:qFormat/>
    <w:uiPriority w:val="0"/>
    <w:rPr>
      <w:sz w:val="21"/>
      <w:szCs w:val="21"/>
    </w:rPr>
  </w:style>
  <w:style w:type="paragraph" w:customStyle="1" w:styleId="34">
    <w:name w:val="char"/>
    <w:basedOn w:val="1"/>
    <w:link w:val="28"/>
    <w:qFormat/>
    <w:uiPriority w:val="0"/>
    <w:pPr>
      <w:widowControl/>
      <w:spacing w:after="160" w:line="240" w:lineRule="exact"/>
      <w:jc w:val="left"/>
    </w:pPr>
    <w:rPr>
      <w:rFonts w:ascii="Verdana" w:hAnsi="Verdana" w:eastAsia="仿宋_GB2312" w:cs="”“Times New Roman”“"/>
      <w:kern w:val="0"/>
      <w:sz w:val="24"/>
      <w:szCs w:val="20"/>
      <w:lang w:eastAsia="en-US"/>
    </w:rPr>
  </w:style>
  <w:style w:type="paragraph" w:customStyle="1" w:styleId="35">
    <w:name w:val="Default"/>
    <w:unhideWhenUsed/>
    <w:qFormat/>
    <w:uiPriority w:val="99"/>
    <w:pPr>
      <w:widowControl w:val="0"/>
      <w:autoSpaceDE w:val="0"/>
      <w:autoSpaceDN w:val="0"/>
      <w:adjustRightInd w:val="0"/>
    </w:pPr>
    <w:rPr>
      <w:rFonts w:ascii="宋体" w:hAnsi="宋体" w:eastAsia="宋体" w:cs="Times New Roman"/>
      <w:color w:val="000000"/>
      <w:sz w:val="24"/>
      <w:lang w:val="en-US" w:eastAsia="zh-CN" w:bidi="ar-SA"/>
    </w:rPr>
  </w:style>
  <w:style w:type="paragraph" w:customStyle="1" w:styleId="36">
    <w:name w:val="Char"/>
    <w:basedOn w:val="1"/>
    <w:qFormat/>
    <w:uiPriority w:val="0"/>
    <w:pPr>
      <w:spacing w:line="360" w:lineRule="auto"/>
      <w:ind w:firstLine="200" w:firstLineChars="200"/>
    </w:pPr>
    <w:rPr>
      <w:rFonts w:ascii="宋体" w:hAnsi="宋体" w:cs="宋体"/>
      <w:sz w:val="24"/>
      <w:szCs w:val="24"/>
    </w:rPr>
  </w:style>
  <w:style w:type="paragraph" w:customStyle="1" w:styleId="37">
    <w:name w:val="报告表标题1"/>
    <w:basedOn w:val="3"/>
    <w:qFormat/>
    <w:uiPriority w:val="0"/>
    <w:pPr>
      <w:numPr>
        <w:numId w:val="0"/>
      </w:numPr>
      <w:spacing w:before="0" w:after="0" w:line="240" w:lineRule="auto"/>
    </w:pPr>
    <w:rPr>
      <w:rFonts w:eastAsia="黑体"/>
      <w:kern w:val="32"/>
      <w:sz w:val="30"/>
      <w:szCs w:val="30"/>
    </w:rPr>
  </w:style>
  <w:style w:type="paragraph" w:customStyle="1" w:styleId="38">
    <w:name w:val="表格文字"/>
    <w:basedOn w:val="8"/>
    <w:next w:val="1"/>
    <w:qFormat/>
    <w:uiPriority w:val="0"/>
    <w:pPr>
      <w:adjustRightInd w:val="0"/>
      <w:snapToGrid w:val="0"/>
      <w:jc w:val="center"/>
    </w:pPr>
    <w:rPr>
      <w:rFonts w:ascii="宋体" w:hAnsi="宋体"/>
      <w:sz w:val="21"/>
    </w:rPr>
  </w:style>
  <w:style w:type="paragraph" w:customStyle="1" w:styleId="39">
    <w:name w:val="标准正文"/>
    <w:basedOn w:val="1"/>
    <w:qFormat/>
    <w:uiPriority w:val="0"/>
    <w:pPr>
      <w:spacing w:line="360" w:lineRule="auto"/>
      <w:ind w:firstLine="480" w:firstLineChars="200"/>
      <w:jc w:val="left"/>
    </w:pPr>
    <w:rPr>
      <w:sz w:val="24"/>
    </w:rPr>
  </w:style>
  <w:style w:type="paragraph" w:customStyle="1" w:styleId="40">
    <w:name w:val="正文（首行缩进两字）"/>
    <w:basedOn w:val="1"/>
    <w:qFormat/>
    <w:uiPriority w:val="0"/>
  </w:style>
  <w:style w:type="paragraph" w:customStyle="1" w:styleId="41">
    <w:name w:val="报告表正文"/>
    <w:basedOn w:val="1"/>
    <w:qFormat/>
    <w:uiPriority w:val="0"/>
    <w:pPr>
      <w:adjustRightInd w:val="0"/>
      <w:spacing w:line="312" w:lineRule="auto"/>
      <w:ind w:left="113" w:right="113" w:firstLine="482"/>
      <w:jc w:val="left"/>
    </w:pPr>
    <w:rPr>
      <w:kern w:val="0"/>
      <w:sz w:val="24"/>
    </w:rPr>
  </w:style>
  <w:style w:type="character" w:customStyle="1" w:styleId="42">
    <w:name w:val="正文文本 (2) + 10 pt"/>
    <w:qFormat/>
    <w:uiPriority w:val="0"/>
    <w:rPr>
      <w:rFonts w:ascii="MingLiU" w:hAnsi="MingLiU" w:eastAsia="MingLiU" w:cs="MingLiU"/>
      <w:color w:val="000000"/>
      <w:spacing w:val="0"/>
      <w:w w:val="100"/>
      <w:position w:val="0"/>
      <w:sz w:val="20"/>
      <w:szCs w:val="20"/>
      <w:u w:val="none"/>
      <w:lang w:val="zh-TW" w:eastAsia="zh-TW" w:bidi="zh-TW"/>
    </w:rPr>
  </w:style>
  <w:style w:type="paragraph" w:customStyle="1" w:styleId="43">
    <w:name w:val="表格中文字"/>
    <w:basedOn w:val="1"/>
    <w:next w:val="1"/>
    <w:qFormat/>
    <w:uiPriority w:val="0"/>
    <w:pPr>
      <w:adjustRightInd w:val="0"/>
      <w:jc w:val="center"/>
      <w:textAlignment w:val="baseline"/>
    </w:pPr>
    <w:rPr>
      <w:rFonts w:eastAsia="Times New Roman"/>
      <w:snapToGrid w:val="0"/>
      <w:spacing w:val="4"/>
      <w:w w:val="90"/>
      <w:kern w:val="0"/>
      <w:szCs w:val="20"/>
    </w:rPr>
  </w:style>
  <w:style w:type="paragraph" w:customStyle="1" w:styleId="44">
    <w:name w:val="表文字"/>
    <w:basedOn w:val="1"/>
    <w:qFormat/>
    <w:uiPriority w:val="0"/>
    <w:pPr>
      <w:overflowPunct w:val="0"/>
      <w:autoSpaceDE w:val="0"/>
      <w:autoSpaceDN w:val="0"/>
      <w:adjustRightInd w:val="0"/>
      <w:spacing w:line="240" w:lineRule="atLeast"/>
      <w:jc w:val="center"/>
      <w:textAlignment w:val="baseline"/>
    </w:pPr>
    <w:rPr>
      <w:kern w:val="0"/>
      <w:sz w:val="24"/>
    </w:rPr>
  </w:style>
  <w:style w:type="paragraph" w:customStyle="1" w:styleId="45">
    <w:name w:val="Char Char Char Char"/>
    <w:basedOn w:val="1"/>
    <w:qFormat/>
    <w:uiPriority w:val="0"/>
    <w:pPr>
      <w:spacing w:line="360" w:lineRule="auto"/>
      <w:ind w:firstLine="200" w:firstLineChars="200"/>
    </w:pPr>
    <w:rPr>
      <w:rFonts w:ascii="宋体" w:hAnsi="宋体" w:cs="宋体"/>
      <w:sz w:val="24"/>
      <w:szCs w:val="24"/>
    </w:rPr>
  </w:style>
  <w:style w:type="paragraph" w:customStyle="1" w:styleId="46">
    <w:name w:val="表格标题"/>
    <w:basedOn w:val="8"/>
    <w:qFormat/>
    <w:uiPriority w:val="0"/>
    <w:pPr>
      <w:ind w:firstLine="0"/>
      <w:jc w:val="left"/>
    </w:pPr>
    <w:rPr>
      <w:rFonts w:eastAsia="黑体"/>
    </w:rPr>
  </w:style>
  <w:style w:type="paragraph" w:customStyle="1" w:styleId="47">
    <w:name w:val="表格"/>
    <w:basedOn w:val="1"/>
    <w:next w:val="1"/>
    <w:qFormat/>
    <w:uiPriority w:val="0"/>
    <w:pPr>
      <w:spacing w:line="380" w:lineRule="exact"/>
      <w:jc w:val="center"/>
    </w:pPr>
    <w:rPr>
      <w:rFonts w:hint="eastAsia" w:ascii="宋体" w:hAnsi="宋体"/>
      <w:kern w:val="0"/>
    </w:rPr>
  </w:style>
  <w:style w:type="paragraph" w:customStyle="1" w:styleId="48">
    <w:name w:val="1文章"/>
    <w:basedOn w:val="1"/>
    <w:qFormat/>
    <w:uiPriority w:val="0"/>
    <w:pPr>
      <w:snapToGrid w:val="0"/>
      <w:spacing w:line="360" w:lineRule="auto"/>
      <w:ind w:firstLine="573"/>
    </w:pPr>
    <w:rPr>
      <w:rFonts w:eastAsia="仿宋_GB2312"/>
      <w:sz w:val="28"/>
    </w:rPr>
  </w:style>
  <w:style w:type="paragraph" w:customStyle="1" w:styleId="49">
    <w:name w:val="段落"/>
    <w:basedOn w:val="1"/>
    <w:qFormat/>
    <w:uiPriority w:val="0"/>
    <w:pPr>
      <w:spacing w:line="360" w:lineRule="auto"/>
      <w:ind w:firstLine="420" w:firstLineChars="200"/>
    </w:pPr>
    <w:rPr>
      <w:rFonts w:ascii="宋体"/>
      <w:color w:val="000000"/>
      <w:sz w:val="24"/>
      <w:szCs w:val="24"/>
    </w:rPr>
  </w:style>
  <w:style w:type="character" w:customStyle="1" w:styleId="50">
    <w:name w:val="文档结构图 Char"/>
    <w:basedOn w:val="28"/>
    <w:link w:val="11"/>
    <w:qFormat/>
    <w:uiPriority w:val="0"/>
    <w:rPr>
      <w:rFonts w:ascii="宋体"/>
      <w:kern w:val="2"/>
      <w:sz w:val="18"/>
      <w:szCs w:val="18"/>
    </w:rPr>
  </w:style>
  <w:style w:type="character" w:customStyle="1" w:styleId="51">
    <w:name w:val="批注框文本 Char"/>
    <w:basedOn w:val="28"/>
    <w:link w:val="16"/>
    <w:qFormat/>
    <w:uiPriority w:val="0"/>
    <w:rPr>
      <w:kern w:val="2"/>
      <w:sz w:val="18"/>
      <w:szCs w:val="18"/>
    </w:rPr>
  </w:style>
  <w:style w:type="character" w:customStyle="1" w:styleId="52">
    <w:name w:val="批注文字 Char"/>
    <w:basedOn w:val="28"/>
    <w:link w:val="12"/>
    <w:qFormat/>
    <w:uiPriority w:val="0"/>
    <w:rPr>
      <w:kern w:val="2"/>
      <w:sz w:val="21"/>
      <w:szCs w:val="22"/>
    </w:rPr>
  </w:style>
  <w:style w:type="character" w:customStyle="1" w:styleId="53">
    <w:name w:val="批注主题 Char"/>
    <w:basedOn w:val="52"/>
    <w:link w:val="24"/>
    <w:qFormat/>
    <w:uiPriority w:val="0"/>
    <w:rPr>
      <w:b/>
      <w:bCs/>
    </w:rPr>
  </w:style>
  <w:style w:type="paragraph" w:customStyle="1" w:styleId="54">
    <w:name w:val="List Paragraph"/>
    <w:basedOn w:val="1"/>
    <w:qFormat/>
    <w:uiPriority w:val="34"/>
    <w:pPr>
      <w:ind w:firstLine="420" w:firstLineChars="200"/>
    </w:pPr>
  </w:style>
  <w:style w:type="paragraph" w:customStyle="1" w:styleId="55">
    <w:name w:val="_Style 2"/>
    <w:basedOn w:val="1"/>
    <w:qFormat/>
    <w:uiPriority w:val="34"/>
    <w:pPr>
      <w:ind w:firstLine="420" w:firstLineChars="200"/>
    </w:pPr>
    <w:rPr>
      <w:rFonts w:ascii="Calibri" w:hAnsi="Calibri" w:eastAsia="宋体" w:cs="Times New Roman"/>
      <w:szCs w:val="22"/>
    </w:rPr>
  </w:style>
  <w:style w:type="paragraph" w:customStyle="1" w:styleId="56">
    <w:name w:val="小罗文本"/>
    <w:basedOn w:val="1"/>
    <w:qFormat/>
    <w:uiPriority w:val="0"/>
    <w:pPr>
      <w:spacing w:line="500" w:lineRule="exact"/>
      <w:ind w:firstLine="200" w:firstLineChars="200"/>
    </w:pPr>
    <w:rPr>
      <w:rFonts w:ascii="宋体"/>
      <w:szCs w:val="24"/>
    </w:rPr>
  </w:style>
  <w:style w:type="paragraph" w:customStyle="1" w:styleId="57">
    <w:name w:val="表格1"/>
    <w:basedOn w:val="47"/>
    <w:qFormat/>
    <w:uiPriority w:val="0"/>
    <w:pPr>
      <w:spacing w:line="240" w:lineRule="auto"/>
    </w:pPr>
    <w:rPr>
      <w:sz w:val="21"/>
    </w:rPr>
  </w:style>
  <w:style w:type="paragraph" w:customStyle="1" w:styleId="58">
    <w:name w:val="表头（桑）"/>
    <w:basedOn w:val="1"/>
    <w:qFormat/>
    <w:uiPriority w:val="0"/>
    <w:pPr>
      <w:overflowPunct w:val="0"/>
      <w:autoSpaceDE w:val="0"/>
      <w:autoSpaceDN w:val="0"/>
      <w:adjustRightInd w:val="0"/>
      <w:spacing w:line="300" w:lineRule="auto"/>
      <w:jc w:val="center"/>
      <w:textAlignment w:val="baseline"/>
    </w:pPr>
    <w:rPr>
      <w:rFonts w:ascii="黑体" w:hAnsi="宋体" w:eastAsia="黑体" w:cs="宋体"/>
      <w:kern w:val="0"/>
    </w:rPr>
  </w:style>
  <w:style w:type="paragraph" w:customStyle="1" w:styleId="59">
    <w:name w:val="表格样式"/>
    <w:basedOn w:val="1"/>
    <w:qFormat/>
    <w:uiPriority w:val="99"/>
    <w:pPr>
      <w:spacing w:line="240" w:lineRule="auto"/>
    </w:pPr>
    <w:rPr>
      <w:rFonts w:ascii="Calibri" w:hAnsi="Calibri"/>
      <w:szCs w:val="21"/>
    </w:rPr>
  </w:style>
  <w:style w:type="paragraph" w:customStyle="1" w:styleId="60">
    <w:name w:val="表文"/>
    <w:basedOn w:val="1"/>
    <w:qFormat/>
    <w:uiPriority w:val="0"/>
    <w:pPr>
      <w:autoSpaceDE w:val="0"/>
      <w:autoSpaceDN w:val="0"/>
      <w:adjustRightInd w:val="0"/>
      <w:spacing w:line="360" w:lineRule="exact"/>
      <w:jc w:val="center"/>
      <w:textAlignment w:val="baseline"/>
    </w:pPr>
    <w:rPr>
      <w:rFonts w:eastAsia="仿宋_GB2312"/>
      <w:b/>
      <w:bCs/>
      <w:kern w:val="0"/>
      <w:sz w:val="18"/>
      <w:szCs w:val="20"/>
    </w:rPr>
  </w:style>
  <w:style w:type="paragraph" w:customStyle="1" w:styleId="61">
    <w:name w:val="表格正文"/>
    <w:basedOn w:val="1"/>
    <w:qFormat/>
    <w:uiPriority w:val="0"/>
    <w:pPr>
      <w:jc w:val="center"/>
    </w:pPr>
    <w:rPr>
      <w:kern w:val="0"/>
    </w:rPr>
  </w:style>
  <w:style w:type="character" w:customStyle="1" w:styleId="62">
    <w:name w:val="fontstyle01"/>
    <w:qFormat/>
    <w:uiPriority w:val="0"/>
    <w:rPr>
      <w:rFonts w:ascii="宋体" w:hAnsi="宋体" w:eastAsia="宋体" w:cs="宋体"/>
      <w:color w:val="000000"/>
      <w:sz w:val="24"/>
      <w:szCs w:val="24"/>
    </w:rPr>
  </w:style>
  <w:style w:type="character" w:customStyle="1" w:styleId="63">
    <w:name w:val="title14"/>
    <w:basedOn w:val="28"/>
    <w:qFormat/>
    <w:uiPriority w:val="0"/>
  </w:style>
  <w:style w:type="paragraph" w:customStyle="1" w:styleId="64">
    <w:name w:val="_cyj_正文"/>
    <w:basedOn w:val="1"/>
    <w:qFormat/>
    <w:uiPriority w:val="0"/>
    <w:pPr>
      <w:spacing w:line="480" w:lineRule="exact"/>
      <w:ind w:firstLine="200" w:firstLineChars="200"/>
    </w:pPr>
    <w:rPr>
      <w:rFonts w:hAnsi="宋体"/>
      <w:sz w:val="24"/>
      <w:szCs w:val="24"/>
    </w:rPr>
  </w:style>
  <w:style w:type="paragraph" w:customStyle="1" w:styleId="65">
    <w:name w:val="表头"/>
    <w:basedOn w:val="6"/>
    <w:qFormat/>
    <w:uiPriority w:val="0"/>
    <w:pPr>
      <w:widowControl w:val="0"/>
      <w:adjustRightInd/>
      <w:snapToGrid/>
      <w:spacing w:line="360" w:lineRule="auto"/>
      <w:ind w:firstLine="360" w:firstLineChars="150"/>
    </w:pPr>
    <w:rPr>
      <w:rFonts w:ascii="Times New Roman" w:hAnsi="Times New Roman" w:eastAsia="黑体"/>
      <w:bCs/>
      <w:sz w:val="24"/>
      <w:szCs w:val="24"/>
    </w:rPr>
  </w:style>
  <w:style w:type="paragraph" w:customStyle="1" w:styleId="66">
    <w:name w:val="样式 文本正文 + 首行缩进:  2 字符"/>
    <w:basedOn w:val="67"/>
    <w:qFormat/>
    <w:uiPriority w:val="0"/>
    <w:pPr>
      <w:spacing w:line="360" w:lineRule="auto"/>
    </w:pPr>
    <w:rPr>
      <w:rFonts w:cs="宋体"/>
      <w:szCs w:val="20"/>
    </w:rPr>
  </w:style>
  <w:style w:type="paragraph" w:customStyle="1" w:styleId="67">
    <w:name w:val="文本正文"/>
    <w:basedOn w:val="1"/>
    <w:qFormat/>
    <w:uiPriority w:val="0"/>
    <w:pPr>
      <w:spacing w:line="520" w:lineRule="exact"/>
      <w:ind w:firstLine="200" w:firstLineChars="200"/>
    </w:pPr>
    <w:rPr>
      <w:sz w:val="24"/>
      <w:szCs w:val="24"/>
    </w:rPr>
  </w:style>
  <w:style w:type="character" w:customStyle="1" w:styleId="68">
    <w:name w:val="Char Char Char Char1"/>
    <w:link w:val="69"/>
    <w:qFormat/>
    <w:uiPriority w:val="0"/>
    <w:rPr>
      <w:rFonts w:ascii="宋体" w:hAnsi="宋体" w:cs="宋体"/>
      <w:sz w:val="24"/>
    </w:rPr>
  </w:style>
  <w:style w:type="paragraph" w:customStyle="1" w:styleId="69">
    <w:name w:val="Char Char Char"/>
    <w:basedOn w:val="1"/>
    <w:link w:val="68"/>
    <w:qFormat/>
    <w:uiPriority w:val="0"/>
    <w:pPr>
      <w:spacing w:line="360" w:lineRule="auto"/>
      <w:ind w:firstLine="200" w:firstLineChars="200"/>
    </w:pPr>
    <w:rPr>
      <w:rFonts w:ascii="宋体" w:hAnsi="宋体" w:cs="宋体"/>
      <w:sz w:val="24"/>
    </w:rPr>
  </w:style>
  <w:style w:type="paragraph" w:customStyle="1" w:styleId="70">
    <w:name w:val="无间隔1"/>
    <w:basedOn w:val="71"/>
    <w:qFormat/>
    <w:uiPriority w:val="0"/>
    <w:pPr>
      <w:widowControl w:val="0"/>
      <w:spacing w:line="0" w:lineRule="atLeast"/>
      <w:jc w:val="center"/>
    </w:pPr>
    <w:rPr>
      <w:rFonts w:ascii="Times New Roman" w:hAnsi="Times New Roman" w:eastAsia="宋体" w:cs="Times New Roman"/>
      <w:kern w:val="2"/>
      <w:sz w:val="21"/>
      <w:szCs w:val="22"/>
      <w:lang w:val="en-US" w:eastAsia="zh-CN" w:bidi="ar-SA"/>
    </w:rPr>
  </w:style>
  <w:style w:type="paragraph" w:customStyle="1" w:styleId="71">
    <w:name w:val="纯文本1"/>
    <w:basedOn w:val="1"/>
    <w:qFormat/>
    <w:uiPriority w:val="0"/>
    <w:pPr>
      <w:spacing w:line="240" w:lineRule="auto"/>
      <w:ind w:firstLine="0" w:firstLineChars="0"/>
    </w:pPr>
    <w:rPr>
      <w:rFonts w:ascii="宋体" w:hAnsi="Courier New"/>
      <w:sz w:val="18"/>
    </w:rPr>
  </w:style>
  <w:style w:type="paragraph" w:customStyle="1" w:styleId="72">
    <w:name w:val="样式1"/>
    <w:basedOn w:val="7"/>
    <w:qFormat/>
    <w:uiPriority w:val="0"/>
    <w:pPr>
      <w:widowControl/>
      <w:spacing w:line="500" w:lineRule="exact"/>
      <w:ind w:firstLine="482"/>
    </w:pPr>
    <w:rPr>
      <w:kern w:val="0"/>
      <w:sz w:val="24"/>
    </w:rPr>
  </w:style>
  <w:style w:type="paragraph" w:customStyle="1" w:styleId="73">
    <w:name w:val="表内格式"/>
    <w:basedOn w:val="1"/>
    <w:qFormat/>
    <w:uiPriority w:val="0"/>
    <w:pPr>
      <w:jc w:val="center"/>
    </w:pPr>
    <w:rPr>
      <w:sz w:val="18"/>
      <w:szCs w:val="20"/>
    </w:rPr>
  </w:style>
  <w:style w:type="paragraph" w:customStyle="1" w:styleId="74">
    <w:name w:val="1正文"/>
    <w:basedOn w:val="75"/>
    <w:qFormat/>
    <w:uiPriority w:val="0"/>
    <w:pPr>
      <w:spacing w:line="360" w:lineRule="auto"/>
      <w:ind w:firstLine="200" w:firstLineChars="200"/>
    </w:pPr>
    <w:rPr>
      <w:bCs/>
      <w:kern w:val="0"/>
      <w:sz w:val="24"/>
      <w:szCs w:val="24"/>
    </w:rPr>
  </w:style>
  <w:style w:type="paragraph" w:customStyle="1" w:styleId="75">
    <w:name w:val="正文文本-lxc"/>
    <w:basedOn w:val="1"/>
    <w:qFormat/>
    <w:uiPriority w:val="0"/>
    <w:pPr>
      <w:ind w:firstLine="200" w:firstLineChars="200"/>
    </w:pPr>
    <w:rPr>
      <w:rFonts w:ascii="Times New Roman" w:hAnsi="Times New Roman" w:eastAsia="宋体" w:cs="Times New Roman"/>
      <w:szCs w:val="30"/>
    </w:rPr>
  </w:style>
  <w:style w:type="paragraph" w:customStyle="1" w:styleId="76">
    <w:name w:val="报告表  段"/>
    <w:basedOn w:val="1"/>
    <w:qFormat/>
    <w:uiPriority w:val="0"/>
    <w:pPr>
      <w:adjustRightInd w:val="0"/>
      <w:spacing w:line="360" w:lineRule="auto"/>
      <w:ind w:firstLine="505"/>
      <w:textAlignment w:val="baseline"/>
    </w:pPr>
    <w:rPr>
      <w:rFonts w:ascii="宋体"/>
      <w:kern w:val="0"/>
      <w:sz w:val="24"/>
      <w:szCs w:val="20"/>
    </w:rPr>
  </w:style>
  <w:style w:type="paragraph" w:customStyle="1" w:styleId="77">
    <w:name w:val="Normal (Web)"/>
    <w:basedOn w:val="1"/>
    <w:qFormat/>
    <w:uiPriority w:val="0"/>
    <w:pPr>
      <w:widowControl/>
      <w:spacing w:before="100" w:beforeAutospacing="1" w:after="100" w:afterAutospacing="1"/>
      <w:jc w:val="left"/>
    </w:pPr>
    <w:rPr>
      <w:rFonts w:ascii="宋体" w:hAnsi="宋体"/>
      <w:kern w:val="0"/>
      <w:sz w:val="24"/>
      <w:szCs w:val="24"/>
    </w:rPr>
  </w:style>
  <w:style w:type="character" w:customStyle="1" w:styleId="78">
    <w:name w:val="font21"/>
    <w:basedOn w:val="28"/>
    <w:qFormat/>
    <w:uiPriority w:val="0"/>
    <w:rPr>
      <w:rFonts w:hint="eastAsia" w:ascii="宋体" w:hAnsi="宋体" w:eastAsia="宋体"/>
      <w:color w:val="000000"/>
      <w:sz w:val="21"/>
      <w:szCs w:val="21"/>
    </w:rPr>
  </w:style>
  <w:style w:type="character" w:customStyle="1" w:styleId="79">
    <w:name w:val="font11"/>
    <w:basedOn w:val="28"/>
    <w:qFormat/>
    <w:uiPriority w:val="0"/>
    <w:rPr>
      <w:rFonts w:hint="eastAsia" w:ascii="宋体" w:hAnsi="宋体" w:eastAsia="宋体" w:cs="宋体"/>
      <w:color w:val="FF0000"/>
      <w:sz w:val="21"/>
      <w:szCs w:val="21"/>
      <w:u w:val="none"/>
    </w:rPr>
  </w:style>
  <w:style w:type="paragraph" w:customStyle="1" w:styleId="80">
    <w:name w:val="图表头"/>
    <w:basedOn w:val="1"/>
    <w:qFormat/>
    <w:uiPriority w:val="0"/>
    <w:pPr>
      <w:spacing w:line="240" w:lineRule="auto"/>
      <w:ind w:firstLine="0" w:firstLineChars="0"/>
      <w:jc w:val="center"/>
    </w:pPr>
    <w:rPr>
      <w:rFonts w:ascii="Times New Roman" w:hAnsi="Times New Roman"/>
      <w:b/>
      <w:sz w:val="21"/>
      <w:szCs w:val="21"/>
    </w:rPr>
  </w:style>
  <w:style w:type="paragraph" w:customStyle="1" w:styleId="81">
    <w:name w:val="11"/>
    <w:basedOn w:val="9"/>
    <w:qFormat/>
    <w:uiPriority w:val="0"/>
    <w:pPr>
      <w:autoSpaceDE w:val="0"/>
      <w:autoSpaceDN w:val="0"/>
      <w:adjustRightInd w:val="0"/>
      <w:spacing w:after="0" w:line="360" w:lineRule="auto"/>
      <w:ind w:firstLine="480" w:firstLineChars="200"/>
      <w:jc w:val="left"/>
      <w:textAlignment w:val="baseline"/>
    </w:pPr>
    <w:rPr>
      <w:color w:val="FF0000"/>
      <w:kern w:val="0"/>
      <w:sz w:val="24"/>
      <w:szCs w:val="24"/>
    </w:rPr>
  </w:style>
  <w:style w:type="paragraph" w:customStyle="1" w:styleId="82">
    <w:name w:val="Heading 2"/>
    <w:basedOn w:val="1"/>
    <w:qFormat/>
    <w:uiPriority w:val="1"/>
    <w:pPr>
      <w:autoSpaceDE w:val="0"/>
      <w:autoSpaceDN w:val="0"/>
      <w:ind w:left="960" w:hanging="540"/>
      <w:jc w:val="left"/>
      <w:outlineLvl w:val="2"/>
    </w:pPr>
    <w:rPr>
      <w:rFonts w:ascii="宋体" w:hAnsi="宋体" w:eastAsia="宋体" w:cs="宋体"/>
      <w:b/>
      <w:bCs/>
      <w:kern w:val="0"/>
      <w:sz w:val="24"/>
      <w:szCs w:val="24"/>
      <w:lang w:eastAsia="en-US"/>
    </w:rPr>
  </w:style>
  <w:style w:type="paragraph" w:customStyle="1" w:styleId="83">
    <w:name w:val="Table Paragraph"/>
    <w:basedOn w:val="1"/>
    <w:qFormat/>
    <w:uiPriority w:val="1"/>
    <w:pPr>
      <w:autoSpaceDE w:val="0"/>
      <w:autoSpaceDN w:val="0"/>
      <w:spacing w:before="66"/>
      <w:jc w:val="center"/>
    </w:pPr>
    <w:rPr>
      <w:rFonts w:ascii="宋体" w:hAnsi="宋体" w:eastAsia="宋体" w:cs="宋体"/>
      <w:kern w:val="0"/>
      <w:sz w:val="22"/>
      <w:szCs w:val="22"/>
      <w:lang w:eastAsia="en-US"/>
    </w:rPr>
  </w:style>
  <w:style w:type="paragraph" w:customStyle="1" w:styleId="84">
    <w:name w:val="表字居中"/>
    <w:basedOn w:val="1"/>
    <w:qFormat/>
    <w:uiPriority w:val="0"/>
    <w:pPr>
      <w:jc w:val="center"/>
    </w:pPr>
    <w:rPr>
      <w:szCs w:val="24"/>
    </w:rPr>
  </w:style>
  <w:style w:type="paragraph" w:customStyle="1" w:styleId="85">
    <w:name w:val="正文01"/>
    <w:basedOn w:val="1"/>
    <w:qFormat/>
    <w:uiPriority w:val="0"/>
    <w:pPr>
      <w:spacing w:before="60" w:line="460" w:lineRule="exact"/>
      <w:ind w:firstLine="200" w:firstLineChars="200"/>
    </w:pPr>
    <w:rPr>
      <w:sz w:val="24"/>
      <w:szCs w:val="24"/>
    </w:rPr>
  </w:style>
  <w:style w:type="paragraph" w:customStyle="1" w:styleId="86">
    <w:name w:val="报告书正文 Char Char Char"/>
    <w:basedOn w:val="1"/>
    <w:qFormat/>
    <w:uiPriority w:val="0"/>
    <w:pPr>
      <w:spacing w:line="300" w:lineRule="auto"/>
      <w:ind w:firstLine="480" w:firstLineChars="200"/>
    </w:pPr>
    <w:rPr>
      <w:rFonts w:ascii="宋体" w:hAnsi="宋体"/>
      <w:sz w:val="24"/>
    </w:rPr>
  </w:style>
  <w:style w:type="paragraph" w:customStyle="1" w:styleId="87">
    <w:name w:val="样式 样式 (符号) 宋体 小四 行距: 1.5 倍行距 + 首行缩进:  2 字符"/>
    <w:basedOn w:val="88"/>
    <w:semiHidden/>
    <w:qFormat/>
    <w:uiPriority w:val="0"/>
    <w:pPr>
      <w:ind w:firstLine="456"/>
    </w:pPr>
  </w:style>
  <w:style w:type="paragraph" w:customStyle="1" w:styleId="88">
    <w:name w:val="样式 (符号) 宋体 小四 行距: 1.5 倍行距"/>
    <w:basedOn w:val="1"/>
    <w:semiHidden/>
    <w:qFormat/>
    <w:uiPriority w:val="0"/>
    <w:pPr>
      <w:spacing w:line="360" w:lineRule="auto"/>
      <w:ind w:firstLine="480" w:firstLineChars="200"/>
    </w:pPr>
    <w:rPr>
      <w:rFonts w:hAnsi="宋体" w:cs="宋体"/>
      <w:kern w:val="2"/>
    </w:rPr>
  </w:style>
  <w:style w:type="paragraph" w:customStyle="1" w:styleId="89">
    <w:name w:val="报告表二级标题"/>
    <w:qFormat/>
    <w:uiPriority w:val="0"/>
    <w:pPr>
      <w:spacing w:line="360" w:lineRule="auto"/>
      <w:outlineLvl w:val="1"/>
    </w:pPr>
    <w:rPr>
      <w:rFonts w:ascii="宋体" w:hAnsi="宋体" w:eastAsia="宋体" w:cs="Times New Roman"/>
      <w:b/>
      <w:kern w:val="2"/>
      <w:sz w:val="28"/>
      <w:szCs w:val="28"/>
      <w:lang w:val="en-US" w:eastAsia="zh-CN" w:bidi="ar-SA"/>
    </w:rPr>
  </w:style>
  <w:style w:type="paragraph" w:customStyle="1" w:styleId="90">
    <w:name w:val="表格题注"/>
    <w:qFormat/>
    <w:uiPriority w:val="0"/>
    <w:pPr>
      <w:jc w:val="center"/>
    </w:pPr>
    <w:rPr>
      <w:rFonts w:ascii="Times New Roman" w:hAnsi="Times New Roman" w:eastAsia="宋体" w:cs="Times New Roman"/>
      <w:b/>
      <w:sz w:val="21"/>
      <w:lang w:val="en-US" w:eastAsia="zh-CN" w:bidi="ar-SA"/>
    </w:rPr>
  </w:style>
  <w:style w:type="paragraph" w:customStyle="1" w:styleId="91">
    <w:name w:val="枣酒标题3"/>
    <w:basedOn w:val="1"/>
    <w:qFormat/>
    <w:uiPriority w:val="0"/>
    <w:pPr>
      <w:spacing w:line="360" w:lineRule="auto"/>
    </w:pPr>
    <w:rPr>
      <w:rFonts w:ascii="黑体"/>
      <w:b/>
    </w:rPr>
  </w:style>
  <w:style w:type="paragraph" w:customStyle="1" w:styleId="92">
    <w:name w:val="样式 样式 (符号) 宋体 小四 行距: 1.5 倍行距 + (符号) Times New Roman 上标"/>
    <w:basedOn w:val="88"/>
    <w:semiHidden/>
    <w:qFormat/>
    <w:uiPriority w:val="0"/>
    <w:pPr>
      <w:spacing w:line="480" w:lineRule="exact"/>
      <w:ind w:firstLine="200"/>
    </w:pPr>
    <w:rPr>
      <w:rFonts w:hAnsi="Times New Roman"/>
    </w:rPr>
  </w:style>
  <w:style w:type="paragraph" w:customStyle="1" w:styleId="93">
    <w:name w:val="正文1"/>
    <w:basedOn w:val="1"/>
    <w:qFormat/>
    <w:uiPriority w:val="0"/>
    <w:pPr>
      <w:adjustRightInd w:val="0"/>
      <w:snapToGrid w:val="0"/>
      <w:spacing w:line="360" w:lineRule="auto"/>
      <w:ind w:firstLine="482"/>
    </w:pPr>
    <w:rPr>
      <w:rFonts w:ascii="宋体" w:hAnsi="宋体"/>
      <w:snapToGrid w:val="0"/>
      <w:color w:val="auto"/>
      <w:kern w:val="0"/>
      <w:sz w:val="24"/>
    </w:rPr>
  </w:style>
  <w:style w:type="paragraph" w:customStyle="1" w:styleId="94">
    <w:name w:val="样式 首行缩进:  2 字符"/>
    <w:basedOn w:val="1"/>
    <w:qFormat/>
    <w:uiPriority w:val="0"/>
    <w:pPr>
      <w:spacing w:line="360" w:lineRule="auto"/>
      <w:ind w:firstLine="420" w:firstLineChars="200"/>
    </w:pPr>
    <w:rPr>
      <w:szCs w:val="20"/>
    </w:rPr>
  </w:style>
  <w:style w:type="paragraph" w:customStyle="1" w:styleId="95">
    <w:name w:val="报告书正文"/>
    <w:basedOn w:val="1"/>
    <w:qFormat/>
    <w:uiPriority w:val="0"/>
    <w:pPr>
      <w:spacing w:line="300" w:lineRule="auto"/>
      <w:ind w:firstLine="200" w:firstLineChars="200"/>
    </w:pPr>
    <w:rPr>
      <w:kern w:val="2"/>
    </w:rPr>
  </w:style>
  <w:style w:type="paragraph" w:customStyle="1" w:styleId="96">
    <w:name w:val="图表标题"/>
    <w:next w:val="1"/>
    <w:unhideWhenUsed/>
    <w:qFormat/>
    <w:uiPriority w:val="99"/>
    <w:pPr>
      <w:spacing w:before="120" w:after="120"/>
      <w:jc w:val="center"/>
    </w:pPr>
    <w:rPr>
      <w:rFonts w:ascii="Times New Roman" w:hAnsi="Times New Roman" w:eastAsia="宋体" w:cs="Times New Roman"/>
      <w:b/>
      <w:kern w:val="2"/>
      <w:sz w:val="21"/>
      <w:lang w:val="en-US" w:eastAsia="zh-CN" w:bidi="ar-SA"/>
    </w:rPr>
  </w:style>
  <w:style w:type="paragraph" w:customStyle="1" w:styleId="97">
    <w:name w:val="MM表格内容"/>
    <w:basedOn w:val="1"/>
    <w:qFormat/>
    <w:uiPriority w:val="99"/>
    <w:pPr>
      <w:keepNext/>
      <w:jc w:val="center"/>
    </w:pPr>
    <w:rPr>
      <w:szCs w:val="20"/>
    </w:rPr>
  </w:style>
  <w:style w:type="paragraph" w:customStyle="1" w:styleId="98">
    <w:name w:val="表体"/>
    <w:basedOn w:val="9"/>
    <w:qFormat/>
    <w:uiPriority w:val="0"/>
    <w:pPr>
      <w:spacing w:line="280" w:lineRule="exact"/>
      <w:ind w:firstLine="0" w:firstLineChars="0"/>
    </w:pPr>
    <w:rPr>
      <w:rFonts w:ascii="宋体" w:hAnsi="宋体" w:eastAsia="宋体"/>
      <w:sz w:val="18"/>
      <w:szCs w:val="20"/>
    </w:rPr>
  </w:style>
  <w:style w:type="paragraph" w:customStyle="1" w:styleId="99">
    <w:name w:val="表格内容"/>
    <w:basedOn w:val="38"/>
    <w:qFormat/>
    <w:uiPriority w:val="0"/>
    <w:pPr>
      <w:ind w:firstLine="0" w:firstLineChars="0"/>
    </w:pPr>
    <w:rPr>
      <w:rFonts w:ascii="Times New Roman" w:hAnsi="Times New Roman"/>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w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10.wmf"/><Relationship Id="rId18" Type="http://schemas.openxmlformats.org/officeDocument/2006/relationships/oleObject" Target="embeddings/oleObject1.bin"/><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41</Pages>
  <Words>4476</Words>
  <Characters>25514</Characters>
  <Lines>212</Lines>
  <Paragraphs>59</Paragraphs>
  <TotalTime>16</TotalTime>
  <ScaleCrop>false</ScaleCrop>
  <LinksUpToDate>false</LinksUpToDate>
  <CharactersWithSpaces>29931</CharactersWithSpaces>
  <Application>WPS Office_11.1.0.10072_F1E327BC-269C-435d-A152-05C5408002CA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2017-09-26T02:21:00Z</dcterms:created>
  <dc:creator>Administrator</dc:creator>
  <cp:lastModifiedBy>Administrator</cp:lastModifiedBy>
  <cp:lastPrinted>2019-09-25T07:54:00Z</cp:lastPrinted>
  <dcterms:modified xsi:type="dcterms:W3CDTF">2020-10-15T09:16:34Z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2052-11.1.0.10072</vt:lpwstr>
  </property>
</Properties>
</file>