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56"/>
        <w:rPr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附表</w:t>
      </w:r>
      <w:r>
        <w:rPr>
          <w:rFonts w:hint="eastAsia"/>
          <w:color w:val="000000"/>
          <w:sz w:val="28"/>
          <w:szCs w:val="28"/>
        </w:rPr>
        <w:fldChar w:fldCharType="begin"/>
      </w:r>
      <w:r>
        <w:rPr>
          <w:rFonts w:hint="eastAsia"/>
          <w:color w:val="000000"/>
          <w:sz w:val="28"/>
          <w:szCs w:val="28"/>
        </w:rPr>
        <w:instrText xml:space="preserve">SEQ 表E. \* ARABIC</w:instrText>
      </w:r>
      <w:r>
        <w:rPr>
          <w:rFonts w:hint="eastAsia"/>
          <w:color w:val="000000"/>
          <w:sz w:val="28"/>
          <w:szCs w:val="28"/>
        </w:rPr>
        <w:fldChar w:fldCharType="separate"/>
      </w:r>
      <w:r>
        <w:rPr>
          <w:rFonts w:hint="eastAsia"/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fldChar w:fldCharType="end"/>
      </w:r>
      <w:r>
        <w:rPr>
          <w:rFonts w:hint="eastAsia"/>
          <w:color w:val="000000"/>
          <w:sz w:val="28"/>
          <w:szCs w:val="28"/>
        </w:rPr>
        <w:t>建设项目大气环境影响评价自查表</w:t>
      </w:r>
    </w:p>
    <w:tbl>
      <w:tblPr>
        <w:tblStyle w:val="5"/>
        <w:tblW w:w="0" w:type="auto"/>
        <w:tblInd w:w="-147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3"/>
        <w:gridCol w:w="1562"/>
        <w:gridCol w:w="889"/>
        <w:gridCol w:w="327"/>
        <w:gridCol w:w="77"/>
        <w:gridCol w:w="216"/>
        <w:gridCol w:w="90"/>
        <w:gridCol w:w="124"/>
        <w:gridCol w:w="591"/>
        <w:gridCol w:w="278"/>
        <w:gridCol w:w="119"/>
        <w:gridCol w:w="109"/>
        <w:gridCol w:w="545"/>
        <w:gridCol w:w="434"/>
        <w:gridCol w:w="187"/>
        <w:gridCol w:w="565"/>
        <w:gridCol w:w="99"/>
        <w:gridCol w:w="136"/>
        <w:gridCol w:w="194"/>
        <w:gridCol w:w="432"/>
        <w:gridCol w:w="65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1" w:hRule="atLeast"/>
        </w:trPr>
        <w:tc>
          <w:tcPr>
            <w:tcW w:w="2455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工作内容</w:t>
            </w:r>
          </w:p>
        </w:tc>
        <w:tc>
          <w:tcPr>
            <w:tcW w:w="6064" w:type="dxa"/>
            <w:gridSpan w:val="19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自查项目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1" w:hRule="atLeast"/>
        </w:trPr>
        <w:tc>
          <w:tcPr>
            <w:tcW w:w="893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评价等级与范围</w:t>
            </w:r>
          </w:p>
        </w:tc>
        <w:tc>
          <w:tcPr>
            <w:tcW w:w="15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评价等级</w:t>
            </w:r>
          </w:p>
        </w:tc>
        <w:tc>
          <w:tcPr>
            <w:tcW w:w="2314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一级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  <w:tc>
          <w:tcPr>
            <w:tcW w:w="2336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</w:rPr>
              <w:t>二级</w:t>
            </w:r>
            <w:r>
              <w:rPr>
                <w:rFonts w:hint="eastAsia" w:ascii="MS Gothic" w:hAnsi="MS Gothic" w:eastAsia="宋体" w:cs="MS Gothic"/>
                <w:color w:val="333333"/>
                <w:sz w:val="20"/>
                <w:szCs w:val="20"/>
                <w:shd w:val="clear" w:color="auto" w:fill="FFFFFF"/>
                <w:lang w:eastAsia="zh-CN"/>
              </w:rPr>
              <w:t>□</w:t>
            </w:r>
          </w:p>
        </w:tc>
        <w:tc>
          <w:tcPr>
            <w:tcW w:w="141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rFonts w:hint="eastAsia" w:eastAsia="仿宋"/>
                <w:color w:val="000000"/>
                <w:lang w:eastAsia="zh-CN"/>
              </w:rPr>
            </w:pPr>
            <w:r>
              <w:rPr>
                <w:rFonts w:hint="eastAsia"/>
                <w:color w:val="000000"/>
              </w:rPr>
              <w:t>三级</w:t>
            </w:r>
            <w:r>
              <w:rPr>
                <w:rFonts w:hint="eastAsia" w:ascii="仿宋" w:hAnsi="仿宋" w:eastAsia="仿宋"/>
                <w:color w:val="000000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1" w:hRule="atLeast"/>
        </w:trPr>
        <w:tc>
          <w:tcPr>
            <w:tcW w:w="89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sz w:val="18"/>
                <w:szCs w:val="21"/>
              </w:rPr>
            </w:pPr>
          </w:p>
        </w:tc>
        <w:tc>
          <w:tcPr>
            <w:tcW w:w="15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评价范围</w:t>
            </w:r>
          </w:p>
        </w:tc>
        <w:tc>
          <w:tcPr>
            <w:tcW w:w="2314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边长</w:t>
            </w:r>
            <w:r>
              <w:rPr>
                <w:color w:val="000000"/>
              </w:rPr>
              <w:t>=50km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  <w:tc>
          <w:tcPr>
            <w:tcW w:w="2336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边长</w:t>
            </w:r>
            <w:r>
              <w:rPr>
                <w:color w:val="000000"/>
              </w:rPr>
              <w:t>5</w:t>
            </w:r>
            <w:r>
              <w:rPr>
                <w:rFonts w:hint="eastAsia"/>
                <w:color w:val="000000"/>
              </w:rPr>
              <w:t>～</w:t>
            </w:r>
            <w:r>
              <w:rPr>
                <w:color w:val="000000"/>
              </w:rPr>
              <w:t>50km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  <w:tc>
          <w:tcPr>
            <w:tcW w:w="141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rFonts w:hint="eastAsia" w:eastAsia="仿宋"/>
                <w:color w:val="000000"/>
                <w:lang w:eastAsia="zh-CN"/>
              </w:rPr>
            </w:pPr>
            <w:r>
              <w:rPr>
                <w:rFonts w:hint="eastAsia"/>
                <w:color w:val="000000"/>
              </w:rPr>
              <w:t>边长</w:t>
            </w:r>
            <w:r>
              <w:rPr>
                <w:color w:val="000000"/>
              </w:rPr>
              <w:t>=5 km</w:t>
            </w:r>
            <w:r>
              <w:rPr>
                <w:rFonts w:hint="eastAsia" w:ascii="仿宋" w:hAnsi="仿宋" w:eastAsia="仿宋"/>
                <w:color w:val="000000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1" w:hRule="atLeast"/>
        </w:trPr>
        <w:tc>
          <w:tcPr>
            <w:tcW w:w="893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评价因子</w:t>
            </w:r>
          </w:p>
        </w:tc>
        <w:tc>
          <w:tcPr>
            <w:tcW w:w="15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color w:val="000000"/>
              </w:rPr>
              <w:t>SO</w:t>
            </w:r>
            <w:r>
              <w:rPr>
                <w:color w:val="000000"/>
                <w:vertAlign w:val="subscript"/>
              </w:rPr>
              <w:t xml:space="preserve">2 </w:t>
            </w:r>
            <w:r>
              <w:rPr>
                <w:color w:val="000000"/>
              </w:rPr>
              <w:t>+NO</w:t>
            </w:r>
            <w:r>
              <w:rPr>
                <w:i/>
                <w:color w:val="000000"/>
                <w:vertAlign w:val="subscript"/>
              </w:rPr>
              <w:t>x</w:t>
            </w:r>
            <w:r>
              <w:rPr>
                <w:rFonts w:hint="eastAsia"/>
                <w:color w:val="000000"/>
              </w:rPr>
              <w:t>排放量</w:t>
            </w:r>
          </w:p>
        </w:tc>
        <w:tc>
          <w:tcPr>
            <w:tcW w:w="121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≥</w:t>
            </w:r>
            <w:r>
              <w:rPr>
                <w:color w:val="000000"/>
              </w:rPr>
              <w:t xml:space="preserve"> 2000t/a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  <w:tc>
          <w:tcPr>
            <w:tcW w:w="3434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eastAsia="仿宋"/>
                <w:color w:val="000000"/>
              </w:rPr>
              <w:t xml:space="preserve">500~ </w:t>
            </w:r>
            <w:r>
              <w:rPr>
                <w:color w:val="000000"/>
              </w:rPr>
              <w:t>2000t/a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  <w:tc>
          <w:tcPr>
            <w:tcW w:w="141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rFonts w:hint="eastAsia" w:eastAsia="仿宋"/>
                <w:color w:val="000000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</w:rPr>
              <w:t>＜</w:t>
            </w:r>
            <w:r>
              <w:rPr>
                <w:color w:val="000000"/>
              </w:rPr>
              <w:t>500 t/a</w:t>
            </w:r>
            <w:r>
              <w:rPr>
                <w:rFonts w:hint="eastAsia" w:ascii="仿宋" w:hAnsi="仿宋" w:eastAsia="仿宋"/>
                <w:color w:val="000000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6" w:hRule="atLeast"/>
        </w:trPr>
        <w:tc>
          <w:tcPr>
            <w:tcW w:w="89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sz w:val="18"/>
                <w:szCs w:val="21"/>
              </w:rPr>
            </w:pPr>
          </w:p>
        </w:tc>
        <w:tc>
          <w:tcPr>
            <w:tcW w:w="15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评价因子</w:t>
            </w:r>
          </w:p>
        </w:tc>
        <w:tc>
          <w:tcPr>
            <w:tcW w:w="3986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基本污染物</w:t>
            </w:r>
            <w:r>
              <w:rPr>
                <w:color w:val="000000"/>
              </w:rPr>
              <w:t xml:space="preserve"> (</w:t>
            </w:r>
            <w:r>
              <w:t>CO</w:t>
            </w:r>
            <w:r>
              <w:rPr>
                <w:rFonts w:hint="eastAsia"/>
              </w:rPr>
              <w:t>、</w:t>
            </w:r>
            <w:r>
              <w:t>PM</w:t>
            </w:r>
            <w:r>
              <w:rPr>
                <w:vertAlign w:val="subscript"/>
              </w:rPr>
              <w:t>10</w:t>
            </w:r>
            <w:r>
              <w:rPr>
                <w:rFonts w:hint="eastAsia"/>
              </w:rPr>
              <w:t>、</w:t>
            </w:r>
            <w:r>
              <w:t>PM</w:t>
            </w:r>
            <w:r>
              <w:rPr>
                <w:vertAlign w:val="subscript"/>
              </w:rPr>
              <w:t>2.5</w:t>
            </w:r>
            <w:r>
              <w:rPr>
                <w:rFonts w:hint="eastAsia"/>
              </w:rPr>
              <w:t>、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color w:val="000000"/>
              </w:rPr>
              <w:t>TSP</w:t>
            </w:r>
            <w:r>
              <w:rPr>
                <w:rFonts w:hint="eastAsia"/>
                <w:color w:val="000000"/>
              </w:rPr>
              <w:t>、</w:t>
            </w:r>
            <w:r>
              <w:rPr>
                <w:color w:val="000000"/>
              </w:rPr>
              <w:t>NO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>)</w:t>
            </w:r>
          </w:p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其他污染物</w:t>
            </w:r>
            <w:r>
              <w:rPr>
                <w:color w:val="000000"/>
              </w:rPr>
              <w:t xml:space="preserve"> (  </w:t>
            </w:r>
            <w:r>
              <w:rPr>
                <w:rFonts w:hint="eastAsia"/>
                <w:color w:val="000000"/>
              </w:rPr>
              <w:t>NH</w:t>
            </w:r>
            <w:r>
              <w:rPr>
                <w:rFonts w:hint="eastAsia"/>
                <w:color w:val="000000"/>
                <w:vertAlign w:val="subscript"/>
              </w:rPr>
              <w:t>3</w:t>
            </w:r>
            <w:r>
              <w:rPr>
                <w:rFonts w:hint="eastAsia"/>
                <w:color w:val="000000"/>
              </w:rPr>
              <w:t>、H</w:t>
            </w:r>
            <w:r>
              <w:rPr>
                <w:rFonts w:hint="eastAsia"/>
                <w:color w:val="000000"/>
                <w:vertAlign w:val="subscript"/>
              </w:rPr>
              <w:t>2</w:t>
            </w:r>
            <w:r>
              <w:rPr>
                <w:rFonts w:hint="eastAsia"/>
                <w:color w:val="000000"/>
              </w:rPr>
              <w:t>S</w:t>
            </w:r>
            <w:r>
              <w:rPr>
                <w:color w:val="000000"/>
              </w:rPr>
              <w:t xml:space="preserve">   )</w:t>
            </w:r>
          </w:p>
        </w:tc>
        <w:tc>
          <w:tcPr>
            <w:tcW w:w="2078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ind w:right="412" w:rightChars="196"/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包括二次</w:t>
            </w:r>
            <w:r>
              <w:rPr>
                <w:color w:val="000000"/>
              </w:rPr>
              <w:t>PM</w:t>
            </w:r>
            <w:r>
              <w:rPr>
                <w:color w:val="000000"/>
                <w:vertAlign w:val="subscript"/>
              </w:rPr>
              <w:t>2.5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  <w:p>
            <w:pPr>
              <w:pStyle w:val="9"/>
              <w:snapToGrid w:val="0"/>
              <w:spacing w:before="31" w:line="260" w:lineRule="atLeast"/>
              <w:ind w:right="412" w:rightChars="196"/>
              <w:jc w:val="right"/>
              <w:rPr>
                <w:rFonts w:hint="eastAsia" w:eastAsia="仿宋"/>
                <w:color w:val="000000"/>
                <w:lang w:eastAsia="zh-CN"/>
              </w:rPr>
            </w:pPr>
            <w:r>
              <w:rPr>
                <w:rFonts w:hint="eastAsia"/>
                <w:color w:val="000000"/>
              </w:rPr>
              <w:t>不包括二次</w:t>
            </w:r>
            <w:r>
              <w:rPr>
                <w:color w:val="000000"/>
              </w:rPr>
              <w:t>PM</w:t>
            </w:r>
            <w:r>
              <w:rPr>
                <w:color w:val="000000"/>
                <w:vertAlign w:val="subscript"/>
              </w:rPr>
              <w:t>2.5</w:t>
            </w:r>
            <w:r>
              <w:rPr>
                <w:rFonts w:hint="eastAsia" w:ascii="仿宋" w:hAnsi="仿宋" w:eastAsia="仿宋"/>
                <w:color w:val="000000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1" w:hRule="atLeast"/>
        </w:trPr>
        <w:tc>
          <w:tcPr>
            <w:tcW w:w="89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评价标准</w:t>
            </w:r>
          </w:p>
        </w:tc>
        <w:tc>
          <w:tcPr>
            <w:tcW w:w="15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评价标准</w:t>
            </w:r>
          </w:p>
        </w:tc>
        <w:tc>
          <w:tcPr>
            <w:tcW w:w="172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国家标准</w:t>
            </w:r>
            <w:r>
              <w:rPr>
                <w:rFonts w:hint="eastAsia" w:ascii="MS Gothic" w:hAnsi="MS Gothic" w:eastAsia="MS Gothic" w:cs="MS Gothic"/>
                <w:color w:val="333333"/>
                <w:sz w:val="20"/>
                <w:szCs w:val="20"/>
                <w:shd w:val="clear" w:color="auto" w:fill="FFFFFF"/>
              </w:rPr>
              <w:t>☑</w:t>
            </w:r>
          </w:p>
        </w:tc>
        <w:tc>
          <w:tcPr>
            <w:tcW w:w="226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地方标准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  <w:tc>
          <w:tcPr>
            <w:tcW w:w="99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附录</w:t>
            </w:r>
            <w:r>
              <w:rPr>
                <w:color w:val="000000"/>
              </w:rPr>
              <w:t>D</w:t>
            </w:r>
            <w:r>
              <w:rPr>
                <w:rFonts w:hint="eastAsia" w:ascii="MS Gothic" w:hAnsi="MS Gothic" w:eastAsia="MS Gothic" w:cs="MS Gothic"/>
                <w:color w:val="333333"/>
                <w:sz w:val="20"/>
                <w:szCs w:val="20"/>
                <w:shd w:val="clear" w:color="auto" w:fill="FFFFFF"/>
              </w:rPr>
              <w:t>☑</w:t>
            </w:r>
          </w:p>
        </w:tc>
        <w:tc>
          <w:tcPr>
            <w:tcW w:w="10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其他标准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1" w:hRule="atLeast"/>
        </w:trPr>
        <w:tc>
          <w:tcPr>
            <w:tcW w:w="893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现状评价</w:t>
            </w:r>
          </w:p>
        </w:tc>
        <w:tc>
          <w:tcPr>
            <w:tcW w:w="15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环境功能区</w:t>
            </w:r>
          </w:p>
        </w:tc>
        <w:tc>
          <w:tcPr>
            <w:tcW w:w="2314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一类区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  <w:tc>
          <w:tcPr>
            <w:tcW w:w="2237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二类区</w:t>
            </w:r>
            <w:r>
              <w:rPr>
                <w:rFonts w:hint="eastAsia" w:ascii="MS Gothic" w:hAnsi="MS Gothic" w:eastAsia="MS Gothic" w:cs="MS Gothic"/>
                <w:color w:val="333333"/>
                <w:sz w:val="20"/>
                <w:szCs w:val="20"/>
                <w:shd w:val="clear" w:color="auto" w:fill="FFFFFF"/>
              </w:rPr>
              <w:t>☑</w:t>
            </w:r>
          </w:p>
        </w:tc>
        <w:tc>
          <w:tcPr>
            <w:tcW w:w="151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一类区和二类区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1" w:hRule="atLeast"/>
        </w:trPr>
        <w:tc>
          <w:tcPr>
            <w:tcW w:w="89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sz w:val="18"/>
                <w:szCs w:val="21"/>
              </w:rPr>
            </w:pPr>
          </w:p>
        </w:tc>
        <w:tc>
          <w:tcPr>
            <w:tcW w:w="15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评价基准年</w:t>
            </w:r>
          </w:p>
        </w:tc>
        <w:tc>
          <w:tcPr>
            <w:tcW w:w="6064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201</w:t>
            </w:r>
            <w:r>
              <w:rPr>
                <w:rFonts w:hint="eastAsia"/>
                <w:color w:val="000000"/>
                <w:lang w:val="en-US" w:eastAsia="zh-CN"/>
              </w:rPr>
              <w:t>8</w:t>
            </w:r>
            <w:r>
              <w:rPr>
                <w:rFonts w:hint="eastAsia"/>
                <w:color w:val="000000"/>
              </w:rPr>
              <w:t>）年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1" w:hRule="atLeast"/>
        </w:trPr>
        <w:tc>
          <w:tcPr>
            <w:tcW w:w="89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sz w:val="18"/>
                <w:szCs w:val="21"/>
              </w:rPr>
            </w:pPr>
          </w:p>
        </w:tc>
        <w:tc>
          <w:tcPr>
            <w:tcW w:w="15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环境空气质量</w:t>
            </w:r>
            <w:r>
              <w:rPr>
                <w:color w:val="000000"/>
              </w:rPr>
              <w:br w:type="textWrapping"/>
            </w:r>
            <w:r>
              <w:rPr>
                <w:rFonts w:hint="eastAsia"/>
                <w:color w:val="000000"/>
              </w:rPr>
              <w:t>现状调查数据来源</w:t>
            </w:r>
          </w:p>
        </w:tc>
        <w:tc>
          <w:tcPr>
            <w:tcW w:w="2314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长期例行监测数据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  <w:tc>
          <w:tcPr>
            <w:tcW w:w="2336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主管部门发布的数据</w:t>
            </w:r>
            <w:r>
              <w:rPr>
                <w:rFonts w:hint="eastAsia" w:ascii="MS Gothic" w:hAnsi="MS Gothic" w:eastAsia="MS Gothic" w:cs="MS Gothic"/>
                <w:color w:val="333333"/>
                <w:sz w:val="20"/>
                <w:szCs w:val="20"/>
                <w:shd w:val="clear" w:color="auto" w:fill="FFFFFF"/>
              </w:rPr>
              <w:t>☑</w:t>
            </w:r>
          </w:p>
        </w:tc>
        <w:tc>
          <w:tcPr>
            <w:tcW w:w="141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</w:rPr>
              <w:t>现状补充监测</w:t>
            </w:r>
            <w:r>
              <w:rPr>
                <w:rFonts w:hint="eastAsia" w:ascii="MS Gothic" w:hAnsi="MS Gothic" w:eastAsia="宋体" w:cs="MS Gothic"/>
                <w:color w:val="333333"/>
                <w:sz w:val="20"/>
                <w:szCs w:val="20"/>
                <w:shd w:val="clear" w:color="auto" w:fill="FFFFFF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1" w:hRule="atLeast"/>
        </w:trPr>
        <w:tc>
          <w:tcPr>
            <w:tcW w:w="89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sz w:val="18"/>
                <w:szCs w:val="21"/>
              </w:rPr>
            </w:pPr>
          </w:p>
        </w:tc>
        <w:tc>
          <w:tcPr>
            <w:tcW w:w="15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现状评价</w:t>
            </w:r>
          </w:p>
        </w:tc>
        <w:tc>
          <w:tcPr>
            <w:tcW w:w="3365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达标区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  <w:tc>
          <w:tcPr>
            <w:tcW w:w="269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不达标区</w:t>
            </w:r>
            <w:r>
              <w:rPr>
                <w:rFonts w:hint="eastAsia" w:ascii="MS Gothic" w:hAnsi="MS Gothic" w:eastAsia="MS Gothic" w:cs="MS Gothic"/>
                <w:color w:val="333333"/>
                <w:sz w:val="20"/>
                <w:szCs w:val="20"/>
                <w:shd w:val="clear" w:color="auto" w:fill="FFFFFF"/>
              </w:rPr>
              <w:t>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1" w:hRule="atLeast"/>
        </w:trPr>
        <w:tc>
          <w:tcPr>
            <w:tcW w:w="89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污染源</w:t>
            </w:r>
            <w:r>
              <w:rPr>
                <w:color w:val="000000"/>
              </w:rPr>
              <w:br w:type="textWrapping"/>
            </w:r>
            <w:r>
              <w:rPr>
                <w:rFonts w:hint="eastAsia"/>
                <w:color w:val="000000"/>
              </w:rPr>
              <w:t>调查</w:t>
            </w:r>
          </w:p>
        </w:tc>
        <w:tc>
          <w:tcPr>
            <w:tcW w:w="15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调查内容</w:t>
            </w:r>
          </w:p>
        </w:tc>
        <w:tc>
          <w:tcPr>
            <w:tcW w:w="172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本项目正常排放源</w:t>
            </w:r>
            <w:r>
              <w:rPr>
                <w:rFonts w:hint="eastAsia" w:ascii="MS Gothic" w:hAnsi="MS Gothic" w:eastAsia="MS Gothic" w:cs="MS Gothic"/>
                <w:color w:val="333333"/>
                <w:sz w:val="20"/>
                <w:szCs w:val="20"/>
                <w:shd w:val="clear" w:color="auto" w:fill="FFFFFF"/>
              </w:rPr>
              <w:t>☑</w:t>
            </w:r>
          </w:p>
          <w:p>
            <w:pPr>
              <w:pStyle w:val="9"/>
              <w:snapToGrid w:val="0"/>
              <w:spacing w:before="31" w:line="260" w:lineRule="atLeast"/>
              <w:jc w:val="right"/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</w:rPr>
              <w:t>本项目非正常排放源</w:t>
            </w:r>
            <w:r>
              <w:rPr>
                <w:rFonts w:hint="eastAsia" w:ascii="MS Gothic" w:hAnsi="MS Gothic" w:eastAsia="宋体" w:cs="MS Gothic"/>
                <w:color w:val="333333"/>
                <w:sz w:val="20"/>
                <w:szCs w:val="20"/>
                <w:shd w:val="clear" w:color="auto" w:fill="FFFFFF"/>
                <w:lang w:eastAsia="zh-CN"/>
              </w:rPr>
              <w:t>□</w:t>
            </w:r>
          </w:p>
          <w:p>
            <w:pPr>
              <w:pStyle w:val="9"/>
              <w:snapToGrid w:val="0"/>
              <w:spacing w:before="31" w:line="260" w:lineRule="atLeast"/>
              <w:jc w:val="right"/>
              <w:rPr>
                <w:rFonts w:hint="eastAsia" w:eastAsia="仿宋"/>
                <w:color w:val="000000"/>
                <w:lang w:eastAsia="zh-CN"/>
              </w:rPr>
            </w:pPr>
            <w:r>
              <w:rPr>
                <w:rFonts w:hint="eastAsia"/>
                <w:color w:val="000000"/>
              </w:rPr>
              <w:t>现有污染源</w:t>
            </w:r>
            <w:r>
              <w:rPr>
                <w:rFonts w:hint="eastAsia" w:ascii="仿宋" w:hAnsi="仿宋" w:eastAsia="仿宋"/>
                <w:color w:val="000000"/>
                <w:lang w:eastAsia="zh-CN"/>
              </w:rPr>
              <w:t>□</w:t>
            </w:r>
          </w:p>
        </w:tc>
        <w:tc>
          <w:tcPr>
            <w:tcW w:w="164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拟替代的污染源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  <w:tc>
          <w:tcPr>
            <w:tcW w:w="1615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其他在建、拟建项目污染源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  <w:tc>
          <w:tcPr>
            <w:tcW w:w="10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区域污染源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1" w:hRule="atLeast"/>
        </w:trPr>
        <w:tc>
          <w:tcPr>
            <w:tcW w:w="893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大气环境影响预测与</w:t>
            </w:r>
            <w:r>
              <w:rPr>
                <w:color w:val="000000"/>
              </w:rPr>
              <w:br w:type="textWrapping"/>
            </w:r>
            <w:r>
              <w:rPr>
                <w:rFonts w:hint="eastAsia"/>
                <w:color w:val="000000"/>
              </w:rPr>
              <w:t>评价</w:t>
            </w:r>
          </w:p>
        </w:tc>
        <w:tc>
          <w:tcPr>
            <w:tcW w:w="15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预测模型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color w:val="000000"/>
                <w:szCs w:val="18"/>
              </w:rPr>
              <w:t>AERMOD</w:t>
            </w:r>
            <w:r>
              <w:rPr>
                <w:color w:val="000000"/>
                <w:szCs w:val="18"/>
              </w:rPr>
              <w:br w:type="textWrapping"/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  <w:tc>
          <w:tcPr>
            <w:tcW w:w="71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color w:val="000000"/>
                <w:szCs w:val="18"/>
              </w:rPr>
              <w:t>ADMS</w:t>
            </w:r>
            <w:r>
              <w:rPr>
                <w:color w:val="000000"/>
                <w:szCs w:val="18"/>
              </w:rPr>
              <w:br w:type="textWrapping"/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  <w:tc>
          <w:tcPr>
            <w:tcW w:w="111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color w:val="000000"/>
                <w:szCs w:val="18"/>
              </w:rPr>
              <w:t>AUSTAL2000</w:t>
            </w:r>
            <w:r>
              <w:rPr>
                <w:color w:val="000000"/>
                <w:szCs w:val="18"/>
              </w:rPr>
              <w:br w:type="textWrapping"/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  <w:tc>
          <w:tcPr>
            <w:tcW w:w="10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color w:val="000000"/>
                <w:szCs w:val="18"/>
              </w:rPr>
              <w:t>EDMS/AEDT</w:t>
            </w:r>
            <w:r>
              <w:rPr>
                <w:color w:val="000000"/>
                <w:szCs w:val="18"/>
              </w:rPr>
              <w:br w:type="textWrapping"/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color w:val="000000"/>
                <w:szCs w:val="18"/>
              </w:rPr>
              <w:t>CALPUFF</w:t>
            </w:r>
            <w:r>
              <w:rPr>
                <w:color w:val="000000"/>
                <w:szCs w:val="18"/>
              </w:rPr>
              <w:br w:type="textWrapping"/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  <w:tc>
          <w:tcPr>
            <w:tcW w:w="76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  <w:szCs w:val="18"/>
              </w:rPr>
              <w:t>网格模型</w:t>
            </w:r>
            <w:r>
              <w:rPr>
                <w:color w:val="000000"/>
                <w:szCs w:val="18"/>
              </w:rPr>
              <w:br w:type="textWrapping"/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  <w:tc>
          <w:tcPr>
            <w:tcW w:w="6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rFonts w:hint="eastAsia" w:eastAsia="仿宋"/>
                <w:color w:val="000000"/>
                <w:lang w:eastAsia="zh-CN"/>
              </w:rPr>
            </w:pPr>
            <w:r>
              <w:rPr>
                <w:rFonts w:hint="eastAsia"/>
                <w:color w:val="000000"/>
              </w:rPr>
              <w:t>其他</w:t>
            </w:r>
            <w:r>
              <w:rPr>
                <w:color w:val="000000"/>
              </w:rPr>
              <w:br w:type="textWrapping"/>
            </w:r>
            <w:r>
              <w:rPr>
                <w:rFonts w:hint="eastAsia" w:ascii="仿宋" w:hAnsi="仿宋" w:eastAsia="仿宋"/>
                <w:color w:val="000000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72" w:hRule="atLeast"/>
        </w:trPr>
        <w:tc>
          <w:tcPr>
            <w:tcW w:w="89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sz w:val="18"/>
                <w:szCs w:val="21"/>
              </w:rPr>
            </w:pPr>
          </w:p>
        </w:tc>
        <w:tc>
          <w:tcPr>
            <w:tcW w:w="15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预测范围</w:t>
            </w:r>
          </w:p>
        </w:tc>
        <w:tc>
          <w:tcPr>
            <w:tcW w:w="159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</w:rPr>
              <w:t>边长</w:t>
            </w:r>
            <w:r>
              <w:rPr>
                <w:rFonts w:hint="eastAsia" w:ascii="仿宋" w:hAnsi="仿宋" w:eastAsia="仿宋"/>
                <w:color w:val="000000"/>
              </w:rPr>
              <w:t>≥</w:t>
            </w:r>
            <w:r>
              <w:rPr>
                <w:color w:val="000000"/>
              </w:rPr>
              <w:t>50km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  <w:tc>
          <w:tcPr>
            <w:tcW w:w="3051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</w:rPr>
              <w:t>边长</w:t>
            </w:r>
            <w:r>
              <w:rPr>
                <w:color w:val="000000"/>
              </w:rPr>
              <w:t>5</w:t>
            </w:r>
            <w:r>
              <w:rPr>
                <w:rFonts w:hint="eastAsia"/>
                <w:color w:val="000000"/>
              </w:rPr>
              <w:t>～</w:t>
            </w:r>
            <w:r>
              <w:rPr>
                <w:color w:val="000000"/>
              </w:rPr>
              <w:t>50km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  <w:tc>
          <w:tcPr>
            <w:tcW w:w="141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边长</w:t>
            </w:r>
            <w:r>
              <w:rPr>
                <w:color w:val="000000"/>
              </w:rPr>
              <w:t>=5 km</w:t>
            </w:r>
            <w:r>
              <w:rPr>
                <w:rFonts w:hint="eastAsia" w:ascii="MS Gothic" w:hAnsi="MS Gothic" w:eastAsia="MS Gothic" w:cs="MS Gothic"/>
                <w:color w:val="333333"/>
                <w:sz w:val="20"/>
                <w:szCs w:val="20"/>
                <w:shd w:val="clear" w:color="auto" w:fill="FFFFFF"/>
              </w:rPr>
              <w:t>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1" w:hRule="atLeast"/>
        </w:trPr>
        <w:tc>
          <w:tcPr>
            <w:tcW w:w="89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sz w:val="18"/>
                <w:szCs w:val="21"/>
              </w:rPr>
            </w:pPr>
          </w:p>
        </w:tc>
        <w:tc>
          <w:tcPr>
            <w:tcW w:w="15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预测因子</w:t>
            </w:r>
          </w:p>
        </w:tc>
        <w:tc>
          <w:tcPr>
            <w:tcW w:w="3365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预测因子</w:t>
            </w:r>
            <w:r>
              <w:rPr>
                <w:color w:val="000000"/>
              </w:rPr>
              <w:t>(</w:t>
            </w:r>
            <w:r>
              <w:rPr>
                <w:rFonts w:hint="eastAsia"/>
                <w:color w:val="000000"/>
              </w:rPr>
              <w:t>NH</w:t>
            </w:r>
            <w:r>
              <w:rPr>
                <w:rFonts w:hint="eastAsia"/>
                <w:color w:val="000000"/>
                <w:vertAlign w:val="subscript"/>
              </w:rPr>
              <w:t>3</w:t>
            </w:r>
            <w:r>
              <w:rPr>
                <w:rFonts w:hint="eastAsia"/>
                <w:color w:val="000000"/>
              </w:rPr>
              <w:t>、H</w:t>
            </w:r>
            <w:r>
              <w:rPr>
                <w:rFonts w:hint="eastAsia"/>
                <w:color w:val="000000"/>
                <w:vertAlign w:val="subscript"/>
              </w:rPr>
              <w:t>2</w:t>
            </w:r>
            <w:r>
              <w:rPr>
                <w:rFonts w:hint="eastAsia"/>
                <w:color w:val="000000"/>
              </w:rPr>
              <w:t>S</w:t>
            </w:r>
            <w:r>
              <w:rPr>
                <w:color w:val="000000"/>
              </w:rPr>
              <w:t xml:space="preserve"> )</w:t>
            </w:r>
          </w:p>
        </w:tc>
        <w:tc>
          <w:tcPr>
            <w:tcW w:w="269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ind w:right="552" w:rightChars="263"/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包括二次</w:t>
            </w:r>
            <w:r>
              <w:rPr>
                <w:color w:val="000000"/>
              </w:rPr>
              <w:t>PM</w:t>
            </w:r>
            <w:r>
              <w:rPr>
                <w:color w:val="000000"/>
                <w:vertAlign w:val="subscript"/>
              </w:rPr>
              <w:t>2.5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  <w:p>
            <w:pPr>
              <w:pStyle w:val="9"/>
              <w:snapToGrid w:val="0"/>
              <w:spacing w:before="31" w:line="260" w:lineRule="atLeast"/>
              <w:ind w:right="552" w:rightChars="263"/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不包括二次</w:t>
            </w:r>
            <w:r>
              <w:rPr>
                <w:color w:val="000000"/>
              </w:rPr>
              <w:t>PM</w:t>
            </w:r>
            <w:r>
              <w:rPr>
                <w:color w:val="000000"/>
                <w:vertAlign w:val="subscript"/>
              </w:rPr>
              <w:t>2.5</w:t>
            </w:r>
            <w:r>
              <w:rPr>
                <w:rFonts w:hint="eastAsia" w:ascii="MS Gothic" w:hAnsi="MS Gothic" w:eastAsia="MS Gothic" w:cs="MS Gothic"/>
                <w:color w:val="333333"/>
                <w:sz w:val="20"/>
                <w:szCs w:val="20"/>
                <w:shd w:val="clear" w:color="auto" w:fill="FFFFFF"/>
              </w:rPr>
              <w:t>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1" w:hRule="atLeast"/>
        </w:trPr>
        <w:tc>
          <w:tcPr>
            <w:tcW w:w="89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sz w:val="18"/>
                <w:szCs w:val="21"/>
              </w:rPr>
            </w:pPr>
          </w:p>
        </w:tc>
        <w:tc>
          <w:tcPr>
            <w:tcW w:w="15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正常排放短期浓度</w:t>
            </w:r>
            <w:r>
              <w:rPr>
                <w:color w:val="000000"/>
              </w:rPr>
              <w:br w:type="textWrapping"/>
            </w:r>
            <w:r>
              <w:rPr>
                <w:rFonts w:hint="eastAsia"/>
                <w:color w:val="000000"/>
              </w:rPr>
              <w:t>贡献值</w:t>
            </w:r>
          </w:p>
        </w:tc>
        <w:tc>
          <w:tcPr>
            <w:tcW w:w="3365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rFonts w:hint="eastAsia" w:eastAsia="仿宋"/>
                <w:color w:val="000000"/>
                <w:lang w:eastAsia="zh-CN"/>
              </w:rPr>
            </w:pPr>
            <m:oMath>
              <m:sSub>
                <m:sSubP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hint="default" w:ascii="Cambria Math" w:hAnsi="Cambria Math"/>
                      <w:color w:val="000000"/>
                    </w:rPr>
                    <m:t>C</m:t>
                  </m: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/>
                    </w:rPr>
                    <m:t>本项目</m:t>
                  </m: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hint="eastAsia"/>
                <w:color w:val="000000"/>
              </w:rPr>
              <w:t>最大占标率</w:t>
            </w:r>
            <w:r>
              <w:rPr>
                <w:rFonts w:hint="eastAsia" w:ascii="仿宋" w:hAnsi="仿宋" w:eastAsia="仿宋"/>
                <w:color w:val="000000"/>
              </w:rPr>
              <w:t>≤</w:t>
            </w:r>
            <w:r>
              <w:rPr>
                <w:color w:val="000000"/>
              </w:rPr>
              <w:t>100%</w:t>
            </w:r>
            <w:r>
              <w:rPr>
                <w:rFonts w:hint="eastAsia" w:ascii="仿宋" w:hAnsi="仿宋" w:eastAsia="仿宋"/>
                <w:color w:val="000000"/>
                <w:lang w:eastAsia="zh-CN"/>
              </w:rPr>
              <w:t>☑</w:t>
            </w:r>
          </w:p>
        </w:tc>
        <w:tc>
          <w:tcPr>
            <w:tcW w:w="269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m:oMath>
              <m:sSub>
                <m:sSubP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hint="default" w:ascii="Cambria Math" w:hAnsi="Cambria Math"/>
                      <w:color w:val="000000"/>
                    </w:rPr>
                    <m:t>C</m:t>
                  </m: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/>
                    </w:rPr>
                    <m:t>本项目</m:t>
                  </m: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hint="eastAsia"/>
                <w:color w:val="000000"/>
              </w:rPr>
              <w:t>最大占标率</w:t>
            </w:r>
            <w:r>
              <w:rPr>
                <w:rFonts w:hint="eastAsia" w:ascii="仿宋" w:hAnsi="仿宋" w:eastAsia="仿宋"/>
                <w:color w:val="000000"/>
              </w:rPr>
              <w:t>＞</w:t>
            </w:r>
            <w:r>
              <w:rPr>
                <w:color w:val="000000"/>
              </w:rPr>
              <w:t>100%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9" w:hRule="atLeast"/>
        </w:trPr>
        <w:tc>
          <w:tcPr>
            <w:tcW w:w="89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sz w:val="18"/>
                <w:szCs w:val="21"/>
              </w:rPr>
            </w:pPr>
          </w:p>
        </w:tc>
        <w:tc>
          <w:tcPr>
            <w:tcW w:w="156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正常排放年均浓度</w:t>
            </w:r>
            <w:r>
              <w:rPr>
                <w:color w:val="000000"/>
              </w:rPr>
              <w:br w:type="textWrapping"/>
            </w:r>
            <w:r>
              <w:rPr>
                <w:rFonts w:hint="eastAsia"/>
                <w:color w:val="000000"/>
              </w:rPr>
              <w:t>贡献值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一类区</w:t>
            </w:r>
          </w:p>
        </w:tc>
        <w:tc>
          <w:tcPr>
            <w:tcW w:w="2476" w:type="dxa"/>
            <w:gridSpan w:val="10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m:oMath>
              <m:sSub>
                <m:sSubP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hint="default" w:ascii="Cambria Math" w:hAnsi="Cambria Math"/>
                      <w:color w:val="000000"/>
                    </w:rPr>
                    <m:t>C</m:t>
                  </m: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/>
                    </w:rPr>
                    <m:t>本项目</m:t>
                  </m: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hint="eastAsia"/>
                <w:color w:val="000000"/>
              </w:rPr>
              <w:t>最大占标率</w:t>
            </w:r>
            <w:r>
              <w:rPr>
                <w:rFonts w:hint="eastAsia" w:ascii="仿宋" w:hAnsi="仿宋" w:eastAsia="仿宋"/>
                <w:color w:val="000000"/>
              </w:rPr>
              <w:t>≤</w:t>
            </w:r>
            <w:r>
              <w:rPr>
                <w:color w:val="000000"/>
              </w:rPr>
              <w:t>10%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  <w:tc>
          <w:tcPr>
            <w:tcW w:w="269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m:oMath>
              <m:sSub>
                <m:sSubP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hint="default" w:ascii="Cambria Math" w:hAnsi="Cambria Math"/>
                      <w:color w:val="000000"/>
                    </w:rPr>
                    <m:t>C</m:t>
                  </m: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/>
                    </w:rPr>
                    <m:t>本项目</m:t>
                  </m: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hint="eastAsia"/>
                <w:color w:val="000000"/>
              </w:rPr>
              <w:t>最大标率</w:t>
            </w:r>
            <w:r>
              <w:rPr>
                <w:rFonts w:hint="eastAsia" w:ascii="仿宋" w:hAnsi="仿宋" w:eastAsia="仿宋"/>
                <w:color w:val="000000"/>
              </w:rPr>
              <w:t>＞</w:t>
            </w:r>
            <w:r>
              <w:rPr>
                <w:color w:val="000000"/>
              </w:rPr>
              <w:t xml:space="preserve">10% 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11" w:hRule="atLeast"/>
        </w:trPr>
        <w:tc>
          <w:tcPr>
            <w:tcW w:w="89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sz w:val="18"/>
                <w:szCs w:val="21"/>
              </w:rPr>
            </w:pPr>
          </w:p>
        </w:tc>
        <w:tc>
          <w:tcPr>
            <w:tcW w:w="156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sz w:val="18"/>
                <w:szCs w:val="21"/>
              </w:rPr>
            </w:pP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二类区</w:t>
            </w:r>
          </w:p>
        </w:tc>
        <w:tc>
          <w:tcPr>
            <w:tcW w:w="2476" w:type="dxa"/>
            <w:gridSpan w:val="10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rFonts w:hint="eastAsia" w:eastAsia="仿宋"/>
                <w:color w:val="000000"/>
                <w:lang w:eastAsia="zh-CN"/>
              </w:rPr>
            </w:pPr>
            <m:oMath>
              <m:sSub>
                <m:sSubP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hint="default" w:ascii="Cambria Math" w:hAnsi="Cambria Math"/>
                      <w:color w:val="000000"/>
                    </w:rPr>
                    <m:t>C</m:t>
                  </m: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/>
                    </w:rPr>
                    <m:t>本项目</m:t>
                  </m: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hint="eastAsia"/>
                <w:color w:val="000000"/>
              </w:rPr>
              <w:t>最大占标率</w:t>
            </w:r>
            <w:r>
              <w:rPr>
                <w:rFonts w:hint="eastAsia" w:ascii="仿宋" w:hAnsi="仿宋" w:eastAsia="仿宋"/>
                <w:color w:val="000000"/>
              </w:rPr>
              <w:t>≤</w:t>
            </w:r>
            <w:r>
              <w:rPr>
                <w:color w:val="000000"/>
              </w:rPr>
              <w:t>30%</w:t>
            </w:r>
            <w:r>
              <w:rPr>
                <w:rFonts w:hint="eastAsia" w:ascii="仿宋" w:hAnsi="仿宋" w:eastAsia="仿宋"/>
                <w:color w:val="000000"/>
                <w:lang w:eastAsia="zh-CN"/>
              </w:rPr>
              <w:t>☑</w:t>
            </w:r>
          </w:p>
        </w:tc>
        <w:tc>
          <w:tcPr>
            <w:tcW w:w="269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m:oMath>
              <m:sSub>
                <m:sSubP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hint="default" w:ascii="Cambria Math" w:hAnsi="Cambria Math"/>
                      <w:color w:val="000000"/>
                    </w:rPr>
                    <m:t>C</m:t>
                  </m: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/>
                    </w:rPr>
                    <m:t>本项目</m:t>
                  </m: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hint="eastAsia"/>
                <w:color w:val="000000"/>
              </w:rPr>
              <w:t>最大标率</w:t>
            </w:r>
            <w:r>
              <w:rPr>
                <w:rFonts w:hint="eastAsia" w:ascii="仿宋" w:hAnsi="仿宋" w:eastAsia="仿宋"/>
                <w:color w:val="000000"/>
              </w:rPr>
              <w:t>＞</w:t>
            </w:r>
            <w:r>
              <w:rPr>
                <w:color w:val="000000"/>
              </w:rPr>
              <w:t xml:space="preserve">30% 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1" w:hRule="atLeast"/>
        </w:trPr>
        <w:tc>
          <w:tcPr>
            <w:tcW w:w="89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sz w:val="18"/>
                <w:szCs w:val="21"/>
              </w:rPr>
            </w:pPr>
          </w:p>
        </w:tc>
        <w:tc>
          <w:tcPr>
            <w:tcW w:w="15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非正常排放</w:t>
            </w:r>
            <w:r>
              <w:rPr>
                <w:color w:val="000000"/>
              </w:rPr>
              <w:t>1h</w:t>
            </w:r>
            <w:r>
              <w:rPr>
                <w:rFonts w:hint="eastAsia"/>
                <w:color w:val="000000"/>
              </w:rPr>
              <w:t>浓度</w:t>
            </w:r>
            <w:r>
              <w:rPr>
                <w:color w:val="000000"/>
              </w:rPr>
              <w:br w:type="textWrapping"/>
            </w:r>
            <w:r>
              <w:rPr>
                <w:rFonts w:hint="eastAsia"/>
                <w:color w:val="000000"/>
              </w:rPr>
              <w:t>贡献值</w:t>
            </w:r>
          </w:p>
        </w:tc>
        <w:tc>
          <w:tcPr>
            <w:tcW w:w="129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非正常持续时长（）</w:t>
            </w:r>
            <w:r>
              <w:rPr>
                <w:color w:val="000000"/>
              </w:rPr>
              <w:t>h</w:t>
            </w:r>
          </w:p>
        </w:tc>
        <w:tc>
          <w:tcPr>
            <w:tcW w:w="2693" w:type="dxa"/>
            <w:gridSpan w:val="10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m:oMath>
              <m:sSub>
                <m:sSubP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hint="default" w:ascii="Cambria Math" w:hAnsi="Cambria Math"/>
                      <w:color w:val="000000"/>
                    </w:rPr>
                    <m:t>C</m:t>
                  </m: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/>
                    </w:rPr>
                    <m:t>非正常</m:t>
                  </m: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hint="eastAsia"/>
                <w:color w:val="000000"/>
              </w:rPr>
              <w:t>占标率</w:t>
            </w:r>
            <w:r>
              <w:rPr>
                <w:rFonts w:hint="eastAsia" w:ascii="仿宋" w:hAnsi="仿宋" w:eastAsia="仿宋"/>
                <w:color w:val="000000"/>
              </w:rPr>
              <w:t>≤</w:t>
            </w:r>
            <w:r>
              <w:rPr>
                <w:color w:val="000000"/>
              </w:rPr>
              <w:t xml:space="preserve">100% 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  <w:tc>
          <w:tcPr>
            <w:tcW w:w="2078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m:oMath>
              <m:sSub>
                <m:sSubP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hint="default" w:ascii="Cambria Math" w:hAnsi="Cambria Math"/>
                      <w:color w:val="000000"/>
                    </w:rPr>
                    <m:t>C</m:t>
                  </m: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/>
                    </w:rPr>
                    <m:t>非正常</m:t>
                  </m: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hint="eastAsia"/>
                <w:color w:val="000000"/>
              </w:rPr>
              <w:t>占标率</w:t>
            </w:r>
            <w:r>
              <w:rPr>
                <w:rFonts w:hint="eastAsia" w:ascii="仿宋" w:hAnsi="仿宋" w:eastAsia="仿宋"/>
                <w:color w:val="000000"/>
              </w:rPr>
              <w:t>＞</w:t>
            </w:r>
            <w:r>
              <w:rPr>
                <w:color w:val="000000"/>
              </w:rPr>
              <w:t>100%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5" w:hRule="atLeast"/>
        </w:trPr>
        <w:tc>
          <w:tcPr>
            <w:tcW w:w="89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sz w:val="18"/>
                <w:szCs w:val="21"/>
              </w:rPr>
            </w:pPr>
          </w:p>
        </w:tc>
        <w:tc>
          <w:tcPr>
            <w:tcW w:w="15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保证率日平均浓度和年平均浓度叠加值</w:t>
            </w:r>
          </w:p>
        </w:tc>
        <w:tc>
          <w:tcPr>
            <w:tcW w:w="2820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m:oMath>
              <m:sSub>
                <m:sSubP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hint="default" w:ascii="Cambria Math" w:hAnsi="Cambria Math"/>
                      <w:color w:val="000000"/>
                    </w:rPr>
                    <m:t>C</m:t>
                  </m: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/>
                    </w:rPr>
                    <m:t>叠加</m:t>
                  </m: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hint="eastAsia"/>
                <w:color w:val="000000"/>
              </w:rPr>
              <w:t>达标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  <w:tc>
          <w:tcPr>
            <w:tcW w:w="3244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m:oMath>
              <m:sSub>
                <m:sSubP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hint="default" w:ascii="Cambria Math" w:hAnsi="Cambria Math"/>
                      <w:color w:val="000000"/>
                    </w:rPr>
                    <m:t>C</m:t>
                  </m: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/>
                    </w:rPr>
                    <m:t>叠加</m:t>
                  </m:r>
                  <m:ctrlPr>
                    <w:rPr>
                      <w:rFonts w:hint="default" w:ascii="Cambria Math" w:hAnsi="Cambria Math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hint="eastAsia"/>
                <w:color w:val="000000"/>
              </w:rPr>
              <w:t>不达标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1" w:hRule="atLeast"/>
        </w:trPr>
        <w:tc>
          <w:tcPr>
            <w:tcW w:w="89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sz w:val="18"/>
                <w:szCs w:val="21"/>
              </w:rPr>
            </w:pPr>
          </w:p>
        </w:tc>
        <w:tc>
          <w:tcPr>
            <w:tcW w:w="15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区域环境质量的整体变化情况</w:t>
            </w:r>
          </w:p>
        </w:tc>
        <w:tc>
          <w:tcPr>
            <w:tcW w:w="2820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rFonts w:hint="eastAsia" w:eastAsia="仿宋"/>
                <w:color w:val="000000"/>
                <w:lang w:eastAsia="zh-CN"/>
              </w:rPr>
            </w:pPr>
            <w:r>
              <w:rPr>
                <w:i/>
                <w:color w:val="000000"/>
              </w:rPr>
              <w:t xml:space="preserve">k </w:t>
            </w:r>
            <w:r>
              <w:rPr>
                <w:rFonts w:hint="eastAsia" w:ascii="仿宋" w:hAnsi="仿宋" w:eastAsia="仿宋"/>
                <w:color w:val="000000"/>
              </w:rPr>
              <w:t>≤</w:t>
            </w:r>
            <w:r>
              <w:rPr>
                <w:color w:val="000000"/>
              </w:rPr>
              <w:t xml:space="preserve">-20% </w:t>
            </w:r>
            <w:r>
              <w:rPr>
                <w:rFonts w:hint="eastAsia" w:ascii="仿宋" w:hAnsi="仿宋" w:eastAsia="仿宋"/>
                <w:color w:val="000000"/>
                <w:lang w:eastAsia="zh-CN"/>
              </w:rPr>
              <w:t>☑</w:t>
            </w:r>
          </w:p>
        </w:tc>
        <w:tc>
          <w:tcPr>
            <w:tcW w:w="3244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i/>
                <w:color w:val="000000"/>
              </w:rPr>
              <w:t>k</w:t>
            </w:r>
            <w:r>
              <w:rPr>
                <w:rFonts w:hint="eastAsia" w:ascii="仿宋" w:hAnsi="仿宋" w:eastAsia="仿宋"/>
                <w:color w:val="000000"/>
              </w:rPr>
              <w:t>＞</w:t>
            </w:r>
            <w:r>
              <w:rPr>
                <w:color w:val="000000"/>
              </w:rPr>
              <w:t xml:space="preserve">-20% 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1" w:hRule="atLeast"/>
        </w:trPr>
        <w:tc>
          <w:tcPr>
            <w:tcW w:w="893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环境监测</w:t>
            </w:r>
            <w:r>
              <w:rPr>
                <w:color w:val="000000"/>
              </w:rPr>
              <w:br w:type="textWrapping"/>
            </w:r>
            <w:r>
              <w:rPr>
                <w:rFonts w:hint="eastAsia"/>
                <w:color w:val="000000"/>
              </w:rPr>
              <w:t>计划</w:t>
            </w:r>
          </w:p>
        </w:tc>
        <w:tc>
          <w:tcPr>
            <w:tcW w:w="15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污染源监测</w:t>
            </w:r>
          </w:p>
        </w:tc>
        <w:tc>
          <w:tcPr>
            <w:tcW w:w="2592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监测因子：（</w:t>
            </w:r>
            <w:r>
              <w:rPr>
                <w:rFonts w:hint="eastAsia"/>
                <w:color w:val="000000"/>
                <w:lang w:val="en-US" w:eastAsia="zh-CN"/>
              </w:rPr>
              <w:t>SO</w:t>
            </w:r>
            <w:r>
              <w:rPr>
                <w:rFonts w:hint="eastAsia"/>
                <w:color w:val="000000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color w:val="000000"/>
              </w:rPr>
              <w:t>、</w:t>
            </w:r>
            <w:r>
              <w:rPr>
                <w:color w:val="000000"/>
              </w:rPr>
              <w:t>NO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rFonts w:hint="eastAsia"/>
              </w:rPr>
              <w:t>、</w:t>
            </w:r>
            <w:r>
              <w:t>PM</w:t>
            </w:r>
            <w:r>
              <w:rPr>
                <w:vertAlign w:val="subscript"/>
              </w:rPr>
              <w:t>10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color w:val="000000" w:themeColor="text1"/>
                <w:lang w:val="en-US" w:eastAsia="zh-CN"/>
              </w:rPr>
              <w:t>VOC</w:t>
            </w:r>
            <w:r>
              <w:rPr>
                <w:rFonts w:hint="eastAsia"/>
                <w:color w:val="000000" w:themeColor="text1"/>
                <w:vertAlign w:val="subscript"/>
                <w:lang w:val="en-US" w:eastAsia="zh-CN"/>
              </w:rPr>
              <w:t>S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2388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</w:rPr>
              <w:t>有组织废气监测</w:t>
            </w:r>
            <w:r>
              <w:rPr>
                <w:rFonts w:hint="eastAsia" w:ascii="MS Gothic" w:hAnsi="MS Gothic" w:eastAsia="宋体" w:cs="MS Gothic"/>
                <w:color w:val="333333"/>
                <w:sz w:val="20"/>
                <w:szCs w:val="20"/>
                <w:shd w:val="clear" w:color="auto" w:fill="FFFFFF"/>
                <w:lang w:eastAsia="zh-CN"/>
              </w:rPr>
              <w:t>☑</w:t>
            </w:r>
            <w:r>
              <w:rPr>
                <w:color w:val="000000"/>
              </w:rPr>
              <w:br w:type="textWrapping"/>
            </w:r>
            <w:r>
              <w:rPr>
                <w:rFonts w:hint="eastAsia"/>
                <w:color w:val="000000"/>
              </w:rPr>
              <w:t>无组织废气监测</w:t>
            </w:r>
            <w:r>
              <w:rPr>
                <w:rFonts w:hint="eastAsia" w:ascii="MS Gothic" w:hAnsi="MS Gothic" w:eastAsia="宋体" w:cs="MS Gothic"/>
                <w:color w:val="333333"/>
                <w:sz w:val="20"/>
                <w:szCs w:val="20"/>
                <w:shd w:val="clear" w:color="auto" w:fill="FFFFFF"/>
                <w:lang w:eastAsia="zh-CN"/>
              </w:rPr>
              <w:t>□</w:t>
            </w:r>
          </w:p>
        </w:tc>
        <w:tc>
          <w:tcPr>
            <w:tcW w:w="10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无监测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1" w:hRule="atLeast"/>
        </w:trPr>
        <w:tc>
          <w:tcPr>
            <w:tcW w:w="89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sz w:val="18"/>
                <w:szCs w:val="21"/>
              </w:rPr>
            </w:pPr>
          </w:p>
        </w:tc>
        <w:tc>
          <w:tcPr>
            <w:tcW w:w="15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环境质量监测</w:t>
            </w:r>
          </w:p>
        </w:tc>
        <w:tc>
          <w:tcPr>
            <w:tcW w:w="2592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监测因子：（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2388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监测点位数（）</w:t>
            </w:r>
          </w:p>
        </w:tc>
        <w:tc>
          <w:tcPr>
            <w:tcW w:w="10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无监测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4" w:hRule="atLeast"/>
        </w:trPr>
        <w:tc>
          <w:tcPr>
            <w:tcW w:w="893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评价结论</w:t>
            </w:r>
          </w:p>
        </w:tc>
        <w:tc>
          <w:tcPr>
            <w:tcW w:w="15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环境影响</w:t>
            </w:r>
          </w:p>
        </w:tc>
        <w:tc>
          <w:tcPr>
            <w:tcW w:w="6064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可以接受</w:t>
            </w:r>
            <w:r>
              <w:rPr>
                <w:rFonts w:hint="eastAsia" w:ascii="MS Gothic" w:hAnsi="MS Gothic" w:eastAsia="MS Gothic" w:cs="MS Gothic"/>
                <w:color w:val="333333"/>
                <w:sz w:val="20"/>
                <w:szCs w:val="20"/>
                <w:shd w:val="clear" w:color="auto" w:fill="FFFFFF"/>
              </w:rPr>
              <w:t>☑</w:t>
            </w:r>
            <w:r>
              <w:rPr>
                <w:rFonts w:hint="eastAsia"/>
                <w:color w:val="000000"/>
              </w:rPr>
              <w:t>不可以接受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8" w:hRule="atLeast"/>
        </w:trPr>
        <w:tc>
          <w:tcPr>
            <w:tcW w:w="89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sz w:val="18"/>
                <w:szCs w:val="21"/>
              </w:rPr>
            </w:pPr>
          </w:p>
        </w:tc>
        <w:tc>
          <w:tcPr>
            <w:tcW w:w="15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大气环境防护距离</w:t>
            </w:r>
          </w:p>
        </w:tc>
        <w:tc>
          <w:tcPr>
            <w:tcW w:w="6064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color w:val="000000"/>
              </w:rPr>
              <w:t>0m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1" w:hRule="atLeast"/>
        </w:trPr>
        <w:tc>
          <w:tcPr>
            <w:tcW w:w="89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sz w:val="18"/>
                <w:szCs w:val="21"/>
              </w:rPr>
            </w:pPr>
          </w:p>
        </w:tc>
        <w:tc>
          <w:tcPr>
            <w:tcW w:w="15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污染源年排放量</w:t>
            </w:r>
          </w:p>
        </w:tc>
        <w:tc>
          <w:tcPr>
            <w:tcW w:w="150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color w:val="000000" w:themeColor="text1"/>
              </w:rPr>
              <w:t>SO</w:t>
            </w:r>
            <w:r>
              <w:rPr>
                <w:color w:val="000000" w:themeColor="text1"/>
                <w:vertAlign w:val="subscript"/>
              </w:rPr>
              <w:t>2</w:t>
            </w:r>
            <w:r>
              <w:rPr>
                <w:color w:val="000000" w:themeColor="text1"/>
              </w:rPr>
              <w:t>:</w:t>
            </w:r>
            <w:r>
              <w:rPr>
                <w:rFonts w:hint="eastAsia"/>
                <w:color w:val="000000" w:themeColor="text1"/>
              </w:rPr>
              <w:t>（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0.020 </w:t>
            </w:r>
            <w:r>
              <w:rPr>
                <w:rFonts w:hint="eastAsia"/>
                <w:color w:val="000000" w:themeColor="text1"/>
              </w:rPr>
              <w:t>）</w:t>
            </w:r>
            <w:r>
              <w:rPr>
                <w:color w:val="000000" w:themeColor="text1"/>
              </w:rPr>
              <w:t>t/a</w:t>
            </w:r>
          </w:p>
        </w:tc>
        <w:tc>
          <w:tcPr>
            <w:tcW w:w="1856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color w:val="000000" w:themeColor="text1"/>
              </w:rPr>
              <w:t>NO</w:t>
            </w:r>
            <w:r>
              <w:rPr>
                <w:color w:val="000000" w:themeColor="text1"/>
                <w:vertAlign w:val="subscript"/>
              </w:rPr>
              <w:t>x</w:t>
            </w:r>
            <w:r>
              <w:rPr>
                <w:color w:val="000000" w:themeColor="text1"/>
              </w:rPr>
              <w:t>:</w:t>
            </w:r>
            <w:r>
              <w:rPr>
                <w:rFonts w:hint="eastAsia"/>
                <w:color w:val="000000" w:themeColor="text1"/>
              </w:rPr>
              <w:t>（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0.158 </w:t>
            </w:r>
            <w:r>
              <w:rPr>
                <w:rFonts w:hint="eastAsia"/>
                <w:color w:val="000000" w:themeColor="text1"/>
              </w:rPr>
              <w:t>）</w:t>
            </w:r>
            <w:r>
              <w:rPr>
                <w:color w:val="000000" w:themeColor="text1"/>
              </w:rPr>
              <w:t>t/a</w:t>
            </w:r>
          </w:p>
        </w:tc>
        <w:tc>
          <w:tcPr>
            <w:tcW w:w="142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rFonts w:hint="eastAsia"/>
                <w:color w:val="000000" w:themeColor="text1"/>
              </w:rPr>
              <w:t>颗粒物</w:t>
            </w:r>
            <w:r>
              <w:rPr>
                <w:color w:val="000000" w:themeColor="text1"/>
              </w:rPr>
              <w:t>:</w:t>
            </w:r>
            <w:r>
              <w:rPr>
                <w:rFonts w:hint="eastAsia"/>
                <w:color w:val="000000" w:themeColor="text1"/>
              </w:rPr>
              <w:t>（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1.028</w:t>
            </w:r>
            <w:r>
              <w:rPr>
                <w:rFonts w:hint="eastAsia"/>
                <w:color w:val="000000" w:themeColor="text1"/>
              </w:rPr>
              <w:t xml:space="preserve"> ）</w:t>
            </w:r>
            <w:r>
              <w:rPr>
                <w:color w:val="000000" w:themeColor="text1"/>
              </w:rPr>
              <w:t>t/a</w:t>
            </w:r>
          </w:p>
        </w:tc>
        <w:tc>
          <w:tcPr>
            <w:tcW w:w="127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rPr>
                <w:color w:val="000000"/>
              </w:rPr>
            </w:pPr>
            <w:r>
              <w:rPr>
                <w:color w:val="000000" w:themeColor="text1"/>
              </w:rPr>
              <w:t>VOC</w:t>
            </w:r>
            <w:r>
              <w:rPr>
                <w:color w:val="000000" w:themeColor="text1"/>
                <w:vertAlign w:val="subscript"/>
              </w:rPr>
              <w:t>s</w:t>
            </w:r>
            <w:r>
              <w:rPr>
                <w:color w:val="000000" w:themeColor="text1"/>
              </w:rPr>
              <w:t>:</w:t>
            </w:r>
            <w:r>
              <w:rPr>
                <w:rFonts w:hint="eastAsia"/>
                <w:color w:val="000000" w:themeColor="text1"/>
              </w:rPr>
              <w:t>（</w:t>
            </w:r>
            <w:r>
              <w:rPr>
                <w:rFonts w:hint="eastAsia"/>
                <w:color w:val="000000" w:themeColor="text1"/>
                <w:lang w:val="en-US" w:eastAsia="zh-CN"/>
              </w:rPr>
              <w:t>0.15</w:t>
            </w:r>
            <w:r>
              <w:rPr>
                <w:rFonts w:hint="eastAsia"/>
                <w:color w:val="000000" w:themeColor="text1"/>
              </w:rPr>
              <w:t xml:space="preserve"> ）</w:t>
            </w:r>
            <w:r>
              <w:rPr>
                <w:color w:val="000000" w:themeColor="text1"/>
              </w:rPr>
              <w:t>t/a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11" w:hRule="atLeast"/>
        </w:trPr>
        <w:tc>
          <w:tcPr>
            <w:tcW w:w="8519" w:type="dxa"/>
            <w:gridSpan w:val="21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9"/>
              <w:snapToGrid w:val="0"/>
              <w:spacing w:before="31" w:line="260" w:lineRule="atLeast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注：“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  <w:r>
              <w:rPr>
                <w:rFonts w:hint="eastAsia"/>
                <w:color w:val="000000"/>
              </w:rPr>
              <w:t>”为勾选项，填“√”；</w:t>
            </w:r>
            <w:r>
              <w:rPr>
                <w:color w:val="000000"/>
              </w:rPr>
              <w:t>“</w:t>
            </w:r>
            <w:r>
              <w:rPr>
                <w:rFonts w:hint="eastAsia"/>
                <w:color w:val="000000"/>
              </w:rPr>
              <w:t>（）</w:t>
            </w:r>
            <w:r>
              <w:rPr>
                <w:color w:val="000000"/>
              </w:rPr>
              <w:t xml:space="preserve">” </w:t>
            </w:r>
            <w:r>
              <w:rPr>
                <w:rFonts w:hint="eastAsia"/>
                <w:color w:val="000000"/>
              </w:rPr>
              <w:t>为内容填写项</w:t>
            </w:r>
          </w:p>
        </w:tc>
      </w:tr>
    </w:tbl>
    <w:p>
      <w:pPr>
        <w:pStyle w:val="2"/>
        <w:spacing w:before="156"/>
        <w:rPr>
          <w:kern w:val="0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2"/>
        <w:spacing w:before="156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附表2 建设项目地表水环境影响评价自查表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"/>
        <w:gridCol w:w="2618"/>
        <w:gridCol w:w="1923"/>
        <w:gridCol w:w="344"/>
        <w:gridCol w:w="1513"/>
        <w:gridCol w:w="755"/>
        <w:gridCol w:w="715"/>
        <w:gridCol w:w="1453"/>
        <w:gridCol w:w="100"/>
        <w:gridCol w:w="781"/>
        <w:gridCol w:w="1148"/>
        <w:gridCol w:w="339"/>
        <w:gridCol w:w="331"/>
        <w:gridCol w:w="1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0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szCs w:val="21"/>
              </w:rPr>
              <w:t>工作内容</w:t>
            </w:r>
          </w:p>
        </w:tc>
        <w:tc>
          <w:tcPr>
            <w:tcW w:w="1134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szCs w:val="21"/>
              </w:rPr>
              <w:t>自查项目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影影响识别</w:t>
            </w:r>
          </w:p>
        </w:tc>
        <w:tc>
          <w:tcPr>
            <w:tcW w:w="2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影响类型</w:t>
            </w:r>
          </w:p>
        </w:tc>
        <w:tc>
          <w:tcPr>
            <w:tcW w:w="1134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水污染影响型</w:t>
            </w:r>
            <w:r>
              <w:rPr>
                <w:rFonts w:hint="eastAsia" w:ascii="MS Mincho" w:hAnsi="MS Mincho" w:eastAsia="MS Mincho" w:cs="MS Mincho"/>
                <w:bCs/>
                <w:spacing w:val="6"/>
                <w:szCs w:val="21"/>
              </w:rPr>
              <w:t>☑</w:t>
            </w:r>
            <w:r>
              <w:rPr>
                <w:rFonts w:hint="eastAsia"/>
                <w:szCs w:val="21"/>
              </w:rPr>
              <w:t>；水文要素影响型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水环境保护目标</w:t>
            </w:r>
          </w:p>
        </w:tc>
        <w:tc>
          <w:tcPr>
            <w:tcW w:w="1134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kern w:val="21"/>
                <w:szCs w:val="21"/>
              </w:rPr>
            </w:pPr>
            <w:r>
              <w:rPr>
                <w:rFonts w:hint="eastAsia"/>
                <w:szCs w:val="21"/>
              </w:rPr>
              <w:t>饮用水水源保护区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；饮用水取水口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；涉水的自然保护区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；重要湿地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adjustRightInd w:val="0"/>
              <w:ind w:firstLine="420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重点保护与珍稀水生生物的栖息地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；重要水生生物的自然产卵场及索饵场、越冬场和洄游通道、天然渔场等渔业水体□；涉水的风景名胜区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；其他</w:t>
            </w:r>
            <w:r>
              <w:rPr>
                <w:rFonts w:hint="eastAsia" w:ascii="MS Mincho" w:hAnsi="MS Mincho" w:eastAsia="MS Mincho" w:cs="MS Mincho"/>
                <w:bCs/>
                <w:spacing w:val="6"/>
                <w:szCs w:val="21"/>
              </w:rPr>
              <w:t>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影响途径</w:t>
            </w:r>
          </w:p>
        </w:tc>
        <w:tc>
          <w:tcPr>
            <w:tcW w:w="75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水污染影响型</w:t>
            </w:r>
          </w:p>
        </w:tc>
        <w:tc>
          <w:tcPr>
            <w:tcW w:w="37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水文要素影响型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75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直接排放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  <w:r>
              <w:rPr>
                <w:rFonts w:hint="eastAsia"/>
                <w:szCs w:val="21"/>
              </w:rPr>
              <w:t>；间接排放</w:t>
            </w:r>
            <w:r>
              <w:rPr>
                <w:rFonts w:hint="eastAsia" w:ascii="MS Mincho" w:hAnsi="MS Mincho" w:eastAsia="MS Mincho" w:cs="MS Mincho"/>
                <w:bCs/>
                <w:spacing w:val="6"/>
                <w:szCs w:val="21"/>
              </w:rPr>
              <w:t>☑</w:t>
            </w:r>
            <w:r>
              <w:rPr>
                <w:rFonts w:hint="eastAsia"/>
                <w:szCs w:val="21"/>
              </w:rPr>
              <w:t>；其他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</w:p>
        </w:tc>
        <w:tc>
          <w:tcPr>
            <w:tcW w:w="37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水温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；径流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；水域面积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影响因子</w:t>
            </w:r>
          </w:p>
        </w:tc>
        <w:tc>
          <w:tcPr>
            <w:tcW w:w="75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kern w:val="21"/>
                <w:szCs w:val="21"/>
              </w:rPr>
            </w:pPr>
            <w:r>
              <w:rPr>
                <w:rFonts w:hint="eastAsia"/>
                <w:szCs w:val="21"/>
              </w:rPr>
              <w:t>持久性污染物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；有毒有害污染物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；非持久性污染物</w:t>
            </w:r>
            <w:r>
              <w:rPr>
                <w:rFonts w:hint="eastAsia" w:ascii="MS Mincho" w:hAnsi="MS Mincho" w:eastAsia="MS Mincho" w:cs="MS Mincho"/>
                <w:bCs/>
                <w:spacing w:val="6"/>
                <w:szCs w:val="21"/>
              </w:rPr>
              <w:t>☑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adjustRightInd w:val="0"/>
              <w:ind w:firstLine="420"/>
              <w:rPr>
                <w:kern w:val="0"/>
                <w:szCs w:val="21"/>
              </w:rPr>
            </w:pPr>
            <w:r>
              <w:rPr>
                <w:szCs w:val="21"/>
              </w:rPr>
              <w:t>pH</w:t>
            </w:r>
            <w:r>
              <w:rPr>
                <w:rFonts w:hint="eastAsia"/>
                <w:szCs w:val="21"/>
              </w:rPr>
              <w:t>值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；热污染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；富营养化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；其他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</w:p>
        </w:tc>
        <w:tc>
          <w:tcPr>
            <w:tcW w:w="37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水温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；水位（水深）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；流速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；流量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；其他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05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评价等级</w:t>
            </w:r>
          </w:p>
        </w:tc>
        <w:tc>
          <w:tcPr>
            <w:tcW w:w="75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水污染影响型</w:t>
            </w:r>
          </w:p>
        </w:tc>
        <w:tc>
          <w:tcPr>
            <w:tcW w:w="37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水文要素影响型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05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75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一级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；二级</w:t>
            </w:r>
            <w:r>
              <w:rPr>
                <w:rFonts w:hint="eastAsia" w:ascii="MS Mincho" w:hAnsi="MS Mincho" w:eastAsia="宋体" w:cs="MS Mincho"/>
                <w:bCs/>
                <w:spacing w:val="6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；三级</w:t>
            </w:r>
            <w:r>
              <w:rPr>
                <w:szCs w:val="21"/>
              </w:rPr>
              <w:t>A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  <w:r>
              <w:rPr>
                <w:rFonts w:hint="eastAsia"/>
                <w:szCs w:val="21"/>
              </w:rPr>
              <w:t>；三级</w:t>
            </w:r>
            <w:r>
              <w:rPr>
                <w:szCs w:val="21"/>
              </w:rPr>
              <w:t>B</w:t>
            </w:r>
            <w:r>
              <w:rPr>
                <w:rFonts w:hint="eastAsia" w:ascii="仿宋" w:hAnsi="仿宋" w:eastAsia="仿宋"/>
                <w:color w:val="000000"/>
                <w:lang w:eastAsia="zh-CN"/>
              </w:rPr>
              <w:t>☑</w:t>
            </w:r>
            <w:r>
              <w:rPr>
                <w:rFonts w:hint="eastAsia"/>
                <w:szCs w:val="21"/>
              </w:rPr>
              <w:t>；</w:t>
            </w:r>
          </w:p>
        </w:tc>
        <w:tc>
          <w:tcPr>
            <w:tcW w:w="37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一级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；二级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；三级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现现状调查</w:t>
            </w:r>
          </w:p>
        </w:tc>
        <w:tc>
          <w:tcPr>
            <w:tcW w:w="2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区域污染源</w:t>
            </w:r>
          </w:p>
        </w:tc>
        <w:tc>
          <w:tcPr>
            <w:tcW w:w="75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调查项目</w:t>
            </w:r>
          </w:p>
        </w:tc>
        <w:tc>
          <w:tcPr>
            <w:tcW w:w="37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数据来源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已建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；在建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；拟建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；其他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</w:t>
            </w:r>
          </w:p>
        </w:tc>
        <w:tc>
          <w:tcPr>
            <w:tcW w:w="566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拟替代的污染源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</w:t>
            </w:r>
          </w:p>
        </w:tc>
        <w:tc>
          <w:tcPr>
            <w:tcW w:w="37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排污许可证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；环评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；环保验收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；既有实测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；现场监测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；入河排放数据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；其他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受影响水体水环境质量</w:t>
            </w:r>
          </w:p>
        </w:tc>
        <w:tc>
          <w:tcPr>
            <w:tcW w:w="75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调查项目</w:t>
            </w:r>
          </w:p>
        </w:tc>
        <w:tc>
          <w:tcPr>
            <w:tcW w:w="37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数据来源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75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kern w:val="21"/>
                <w:szCs w:val="21"/>
              </w:rPr>
            </w:pPr>
            <w:r>
              <w:rPr>
                <w:rFonts w:hint="eastAsia"/>
                <w:szCs w:val="21"/>
              </w:rPr>
              <w:t>丰水期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；平水期</w:t>
            </w:r>
            <w:r>
              <w:rPr>
                <w:rFonts w:hint="eastAsia" w:ascii="MS Mincho" w:hAnsi="MS Mincho" w:eastAsia="宋体" w:cs="MS Mincho"/>
                <w:bCs/>
                <w:spacing w:val="6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；枯水期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  <w:r>
              <w:rPr>
                <w:rFonts w:hint="eastAsia"/>
                <w:szCs w:val="21"/>
              </w:rPr>
              <w:t>；冰封期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adjustRightInd w:val="0"/>
              <w:ind w:firstLine="420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春季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；夏季</w:t>
            </w:r>
            <w:r>
              <w:rPr>
                <w:rFonts w:hint="eastAsia" w:ascii="MS Mincho" w:hAnsi="MS Mincho" w:eastAsia="MS Mincho" w:cs="MS Mincho"/>
                <w:bCs/>
                <w:spacing w:val="6"/>
                <w:szCs w:val="21"/>
              </w:rPr>
              <w:t>☑</w:t>
            </w:r>
            <w:r>
              <w:rPr>
                <w:rFonts w:hint="eastAsia"/>
                <w:szCs w:val="21"/>
              </w:rPr>
              <w:t>；秋季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；冬季</w:t>
            </w:r>
            <w:r>
              <w:rPr>
                <w:rFonts w:hint="eastAsia" w:ascii="MS Mincho" w:hAnsi="MS Mincho" w:eastAsia="宋体" w:cs="MS Mincho"/>
                <w:bCs/>
                <w:spacing w:val="6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；</w:t>
            </w:r>
          </w:p>
        </w:tc>
        <w:tc>
          <w:tcPr>
            <w:tcW w:w="37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生态环境保护主管部门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；补充监测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；其他</w:t>
            </w:r>
            <w:r>
              <w:rPr>
                <w:rFonts w:hint="eastAsia" w:ascii="MS Mincho" w:hAnsi="MS Mincho" w:eastAsia="MS Mincho" w:cs="MS Mincho"/>
                <w:bCs/>
                <w:spacing w:val="6"/>
                <w:szCs w:val="21"/>
              </w:rPr>
              <w:t>☑</w:t>
            </w:r>
            <w:r>
              <w:rPr>
                <w:rFonts w:hint="eastAsia"/>
                <w:szCs w:val="21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区域水资源开发利用状况</w:t>
            </w:r>
          </w:p>
        </w:tc>
        <w:tc>
          <w:tcPr>
            <w:tcW w:w="1134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未开发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；开发量</w:t>
            </w:r>
            <w:r>
              <w:rPr>
                <w:szCs w:val="21"/>
              </w:rPr>
              <w:t>40%</w:t>
            </w:r>
            <w:r>
              <w:rPr>
                <w:rFonts w:hint="eastAsia"/>
                <w:szCs w:val="21"/>
              </w:rPr>
              <w:t>以下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；开发量</w:t>
            </w:r>
            <w:r>
              <w:rPr>
                <w:szCs w:val="21"/>
              </w:rPr>
              <w:t>40%</w:t>
            </w:r>
            <w:r>
              <w:rPr>
                <w:rFonts w:hint="eastAsia"/>
                <w:szCs w:val="21"/>
              </w:rPr>
              <w:t>以上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水文情势调查</w:t>
            </w:r>
          </w:p>
        </w:tc>
        <w:tc>
          <w:tcPr>
            <w:tcW w:w="75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调查时期</w:t>
            </w:r>
          </w:p>
        </w:tc>
        <w:tc>
          <w:tcPr>
            <w:tcW w:w="37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数据来源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75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21"/>
                <w:szCs w:val="21"/>
              </w:rPr>
            </w:pPr>
            <w:r>
              <w:rPr>
                <w:rFonts w:hint="eastAsia"/>
                <w:szCs w:val="21"/>
              </w:rPr>
              <w:t>丰水期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；平水期</w:t>
            </w:r>
            <w:r>
              <w:rPr>
                <w:rFonts w:hint="eastAsia" w:ascii="MS Mincho" w:hAnsi="MS Mincho" w:eastAsia="宋体" w:cs="MS Mincho"/>
                <w:bCs/>
                <w:spacing w:val="6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；枯水期</w:t>
            </w:r>
            <w:r>
              <w:rPr>
                <w:rFonts w:hint="eastAsia" w:ascii="仿宋" w:hAnsi="仿宋" w:eastAsia="仿宋"/>
                <w:color w:val="000000"/>
                <w:lang w:eastAsia="zh-CN"/>
              </w:rPr>
              <w:t>☑</w:t>
            </w:r>
            <w:r>
              <w:rPr>
                <w:rFonts w:hint="eastAsia"/>
                <w:szCs w:val="21"/>
              </w:rPr>
              <w:t>；冰封期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春季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；夏季</w:t>
            </w:r>
            <w:r>
              <w:rPr>
                <w:rFonts w:hint="eastAsia" w:ascii="MS Mincho" w:hAnsi="MS Mincho" w:eastAsia="MS Mincho" w:cs="MS Mincho"/>
                <w:bCs/>
                <w:spacing w:val="6"/>
                <w:szCs w:val="21"/>
              </w:rPr>
              <w:t>☑</w:t>
            </w:r>
            <w:r>
              <w:rPr>
                <w:rFonts w:hint="eastAsia"/>
                <w:szCs w:val="21"/>
              </w:rPr>
              <w:t>；秋季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；冬季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</w:t>
            </w:r>
          </w:p>
        </w:tc>
        <w:tc>
          <w:tcPr>
            <w:tcW w:w="37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水行政主管部门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；补充监测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；其他</w:t>
            </w:r>
            <w:r>
              <w:rPr>
                <w:rFonts w:hint="eastAsia" w:ascii="MS Mincho" w:hAnsi="MS Mincho" w:eastAsia="MS Mincho" w:cs="MS Mincho"/>
                <w:bCs/>
                <w:spacing w:val="6"/>
                <w:szCs w:val="21"/>
              </w:rPr>
              <w:t>☑</w:t>
            </w:r>
            <w:r>
              <w:rPr>
                <w:rFonts w:hint="eastAsia"/>
                <w:szCs w:val="21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补充监测</w:t>
            </w:r>
          </w:p>
        </w:tc>
        <w:tc>
          <w:tcPr>
            <w:tcW w:w="52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监测时期</w:t>
            </w:r>
          </w:p>
        </w:tc>
        <w:tc>
          <w:tcPr>
            <w:tcW w:w="3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监测因子</w:t>
            </w:r>
          </w:p>
        </w:tc>
        <w:tc>
          <w:tcPr>
            <w:tcW w:w="2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监测断面或点位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52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21"/>
                <w:szCs w:val="21"/>
              </w:rPr>
            </w:pPr>
            <w:r>
              <w:rPr>
                <w:rFonts w:hint="eastAsia"/>
                <w:szCs w:val="21"/>
              </w:rPr>
              <w:t>丰水期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  <w:r>
              <w:rPr>
                <w:rFonts w:hint="eastAsia"/>
                <w:szCs w:val="21"/>
              </w:rPr>
              <w:t>；平水期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  <w:r>
              <w:rPr>
                <w:rFonts w:hint="eastAsia"/>
                <w:szCs w:val="21"/>
              </w:rPr>
              <w:t>；枯水期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；冰封期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春季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；夏季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  <w:r>
              <w:rPr>
                <w:rFonts w:hint="eastAsia"/>
                <w:szCs w:val="21"/>
              </w:rPr>
              <w:t>；秋季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；冬季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</w:t>
            </w:r>
          </w:p>
        </w:tc>
        <w:tc>
          <w:tcPr>
            <w:tcW w:w="3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kern w:val="28"/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21"/>
                <w:szCs w:val="21"/>
              </w:rPr>
            </w:pPr>
            <w:r>
              <w:rPr>
                <w:rFonts w:hint="eastAsia"/>
                <w:szCs w:val="21"/>
              </w:rPr>
              <w:t>监测断面或点位个数</w:t>
            </w:r>
          </w:p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（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现现状评价</w:t>
            </w:r>
          </w:p>
        </w:tc>
        <w:tc>
          <w:tcPr>
            <w:tcW w:w="2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评价范围</w:t>
            </w:r>
          </w:p>
        </w:tc>
        <w:tc>
          <w:tcPr>
            <w:tcW w:w="1134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河流：长度（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）</w:t>
            </w:r>
            <w:r>
              <w:rPr>
                <w:szCs w:val="21"/>
              </w:rPr>
              <w:t>km</w:t>
            </w:r>
            <w:r>
              <w:rPr>
                <w:rFonts w:hint="eastAsia"/>
                <w:szCs w:val="21"/>
              </w:rPr>
              <w:t>；湖库、河口及近岸海域：面积（）</w:t>
            </w:r>
            <w:r>
              <w:rPr>
                <w:szCs w:val="21"/>
              </w:rPr>
              <w:t>km</w:t>
            </w:r>
            <w:r>
              <w:rPr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评价因子</w:t>
            </w:r>
          </w:p>
        </w:tc>
        <w:tc>
          <w:tcPr>
            <w:tcW w:w="1134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kern w:val="28"/>
                <w:szCs w:val="21"/>
              </w:rPr>
              <w:t>pH</w:t>
            </w:r>
            <w:r>
              <w:rPr>
                <w:rFonts w:hint="eastAsia" w:hAnsi="宋体"/>
                <w:kern w:val="28"/>
                <w:szCs w:val="21"/>
              </w:rPr>
              <w:t>、</w:t>
            </w:r>
            <w:r>
              <w:rPr>
                <w:rFonts w:hint="default" w:ascii="Times New Roman" w:hAnsi="Times New Roman" w:cs="Times New Roman"/>
                <w:szCs w:val="21"/>
                <w:lang w:bidi="ar"/>
              </w:rPr>
              <w:t>透明度</w:t>
            </w:r>
            <w:r>
              <w:rPr>
                <w:rFonts w:hint="eastAsia" w:ascii="Times New Roman" w:hAnsi="Times New Roman" w:cs="Times New Roman"/>
                <w:szCs w:val="21"/>
                <w:lang w:eastAsia="zh-CN" w:bidi="ar"/>
              </w:rPr>
              <w:t>、</w:t>
            </w:r>
            <w:r>
              <w:rPr>
                <w:kern w:val="28"/>
                <w:szCs w:val="21"/>
              </w:rPr>
              <w:t>NH</w:t>
            </w:r>
            <w:r>
              <w:rPr>
                <w:kern w:val="28"/>
                <w:szCs w:val="21"/>
                <w:vertAlign w:val="subscript"/>
              </w:rPr>
              <w:t>3</w:t>
            </w:r>
            <w:r>
              <w:rPr>
                <w:kern w:val="28"/>
                <w:szCs w:val="21"/>
              </w:rPr>
              <w:t>-N</w:t>
            </w:r>
            <w:r>
              <w:rPr>
                <w:rFonts w:hint="eastAsia"/>
                <w:kern w:val="28"/>
                <w:szCs w:val="21"/>
              </w:rPr>
              <w:t>、</w:t>
            </w:r>
            <w:r>
              <w:rPr>
                <w:kern w:val="28"/>
                <w:szCs w:val="21"/>
              </w:rPr>
              <w:t>COD</w:t>
            </w:r>
            <w:r>
              <w:rPr>
                <w:kern w:val="28"/>
                <w:szCs w:val="21"/>
                <w:vertAlign w:val="subscript"/>
              </w:rPr>
              <w:t>cr</w:t>
            </w:r>
            <w:r>
              <w:rPr>
                <w:rFonts w:hint="eastAsia" w:hAnsi="宋体"/>
                <w:kern w:val="28"/>
                <w:szCs w:val="21"/>
              </w:rPr>
              <w:t>、</w:t>
            </w:r>
            <w:r>
              <w:rPr>
                <w:rFonts w:hint="eastAsia"/>
                <w:kern w:val="28"/>
                <w:szCs w:val="21"/>
              </w:rPr>
              <w:t>总</w:t>
            </w:r>
            <w:r>
              <w:rPr>
                <w:rFonts w:hint="eastAsia"/>
                <w:kern w:val="28"/>
                <w:szCs w:val="21"/>
                <w:lang w:val="en-US" w:eastAsia="zh-CN"/>
              </w:rPr>
              <w:t>磷</w:t>
            </w:r>
            <w:r>
              <w:rPr>
                <w:rFonts w:hint="eastAsia"/>
                <w:szCs w:val="21"/>
              </w:rPr>
              <w:t>、DO、</w:t>
            </w:r>
            <w:r>
              <w:rPr>
                <w:rFonts w:hint="default" w:ascii="Times New Roman" w:hAnsi="Times New Roman" w:cs="Times New Roman"/>
                <w:szCs w:val="21"/>
                <w:lang w:bidi="ar"/>
              </w:rPr>
              <w:t>氧化还原电位</w:t>
            </w:r>
            <w:r>
              <w:rPr>
                <w:rFonts w:hint="eastAsia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评价标准</w:t>
            </w:r>
          </w:p>
        </w:tc>
        <w:tc>
          <w:tcPr>
            <w:tcW w:w="1134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21"/>
                <w:szCs w:val="21"/>
              </w:rPr>
            </w:pPr>
            <w:r>
              <w:rPr>
                <w:rFonts w:hint="eastAsia"/>
                <w:szCs w:val="21"/>
              </w:rPr>
              <w:t>河流、湖库、河口：</w:t>
            </w:r>
            <w:r>
              <w:rPr>
                <w:szCs w:val="21"/>
              </w:rPr>
              <w:t>I</w:t>
            </w:r>
            <w:r>
              <w:rPr>
                <w:rFonts w:hint="eastAsia"/>
                <w:szCs w:val="21"/>
              </w:rPr>
              <w:t>类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</w:t>
            </w:r>
            <w:r>
              <w:rPr>
                <w:szCs w:val="21"/>
              </w:rPr>
              <w:t xml:space="preserve"> II</w:t>
            </w:r>
            <w:r>
              <w:rPr>
                <w:rFonts w:hint="eastAsia"/>
                <w:szCs w:val="21"/>
              </w:rPr>
              <w:t>类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；Ⅲ类</w:t>
            </w:r>
            <w:r>
              <w:rPr>
                <w:rFonts w:hint="eastAsia" w:ascii="仿宋" w:hAnsi="仿宋" w:eastAsia="仿宋"/>
                <w:color w:val="000000"/>
                <w:lang w:eastAsia="zh-CN"/>
              </w:rPr>
              <w:t>☑</w:t>
            </w:r>
            <w:r>
              <w:rPr>
                <w:rFonts w:hint="eastAsia"/>
                <w:szCs w:val="21"/>
              </w:rPr>
              <w:t>；Ⅳ类</w:t>
            </w:r>
            <w:r>
              <w:rPr>
                <w:rFonts w:hint="eastAsia" w:ascii="MS Mincho" w:hAnsi="MS Mincho" w:eastAsia="宋体" w:cs="MS Mincho"/>
                <w:bCs/>
                <w:spacing w:val="6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；Ⅴ类</w:t>
            </w:r>
            <w:r>
              <w:rPr>
                <w:rFonts w:hint="eastAsia" w:cs="MS Gothic"/>
                <w:bCs/>
                <w:spacing w:val="6"/>
                <w:szCs w:val="21"/>
              </w:rPr>
              <w:t>□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近岸海域：第一类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；第二类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；第三类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；第四类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规划年评价标准（）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评价时期</w:t>
            </w:r>
          </w:p>
        </w:tc>
        <w:tc>
          <w:tcPr>
            <w:tcW w:w="1134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21"/>
                <w:szCs w:val="21"/>
              </w:rPr>
            </w:pPr>
            <w:r>
              <w:rPr>
                <w:rFonts w:hint="eastAsia"/>
                <w:szCs w:val="21"/>
              </w:rPr>
              <w:t>丰水期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；平水期</w:t>
            </w:r>
            <w:r>
              <w:rPr>
                <w:rFonts w:hint="eastAsia" w:ascii="MS Mincho" w:hAnsi="MS Mincho" w:eastAsia="宋体" w:cs="MS Mincho"/>
                <w:bCs/>
                <w:spacing w:val="6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；枯水期</w:t>
            </w:r>
            <w:r>
              <w:rPr>
                <w:rFonts w:hint="eastAsia" w:ascii="仿宋" w:hAnsi="仿宋" w:eastAsia="仿宋"/>
                <w:color w:val="000000"/>
                <w:lang w:eastAsia="zh-CN"/>
              </w:rPr>
              <w:t>☑</w:t>
            </w:r>
            <w:r>
              <w:rPr>
                <w:rFonts w:hint="eastAsia"/>
                <w:szCs w:val="21"/>
              </w:rPr>
              <w:t>；冰封期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春季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；夏季</w:t>
            </w:r>
            <w:r>
              <w:rPr>
                <w:rFonts w:hint="eastAsia" w:ascii="MS Mincho" w:hAnsi="MS Mincho" w:eastAsia="MS Mincho" w:cs="MS Mincho"/>
                <w:bCs/>
                <w:spacing w:val="6"/>
                <w:szCs w:val="21"/>
              </w:rPr>
              <w:t>☑</w:t>
            </w:r>
            <w:r>
              <w:rPr>
                <w:rFonts w:hint="eastAsia"/>
                <w:szCs w:val="21"/>
              </w:rPr>
              <w:t>；秋季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；冬季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  <w:r>
              <w:rPr>
                <w:rFonts w:hint="eastAsia"/>
                <w:szCs w:val="21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评价结论</w:t>
            </w:r>
          </w:p>
        </w:tc>
        <w:tc>
          <w:tcPr>
            <w:tcW w:w="940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21"/>
                <w:szCs w:val="21"/>
              </w:rPr>
            </w:pPr>
            <w:r>
              <w:rPr>
                <w:rFonts w:hint="eastAsia"/>
                <w:szCs w:val="21"/>
              </w:rPr>
              <w:t>水环境功能区或水功能区、近岸海域环境功能区水质达标状况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  <w:r>
              <w:rPr>
                <w:rFonts w:hint="eastAsia"/>
                <w:szCs w:val="21"/>
              </w:rPr>
              <w:t>；达标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  <w:r>
              <w:rPr>
                <w:rFonts w:hint="eastAsia"/>
                <w:szCs w:val="21"/>
              </w:rPr>
              <w:t>；不达标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水环境控制单元或断面水质达标状况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；达标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  <w:r>
              <w:rPr>
                <w:rFonts w:hint="eastAsia"/>
                <w:szCs w:val="21"/>
              </w:rPr>
              <w:t>；不达标</w:t>
            </w:r>
            <w:r>
              <w:rPr>
                <w:rFonts w:hint="eastAsia" w:ascii="MS Mincho" w:hAnsi="MS Mincho" w:eastAsia="MS Mincho" w:cs="MS Mincho"/>
                <w:bCs/>
                <w:spacing w:val="6"/>
                <w:szCs w:val="21"/>
              </w:rPr>
              <w:t>☑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水环境保护目标质量状况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  <w:r>
              <w:rPr>
                <w:rFonts w:hint="eastAsia"/>
                <w:szCs w:val="21"/>
              </w:rPr>
              <w:t>；达标</w:t>
            </w:r>
            <w:r>
              <w:rPr>
                <w:rFonts w:hint="eastAsia" w:ascii="仿宋" w:hAnsi="仿宋" w:eastAsia="仿宋"/>
                <w:color w:val="000000"/>
                <w:lang w:eastAsia="zh-CN"/>
              </w:rPr>
              <w:t>☑</w:t>
            </w:r>
            <w:r>
              <w:rPr>
                <w:rFonts w:hint="eastAsia"/>
                <w:szCs w:val="21"/>
              </w:rPr>
              <w:t>；不达标</w:t>
            </w:r>
            <w:r>
              <w:rPr>
                <w:rFonts w:hint="eastAsia" w:ascii="MS Mincho" w:hAnsi="MS Mincho" w:eastAsia="宋体" w:cs="MS Mincho"/>
                <w:bCs/>
                <w:spacing w:val="6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对照断面、控制断面等代表性断面的水质状况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  <w:r>
              <w:rPr>
                <w:rFonts w:hint="eastAsia"/>
                <w:szCs w:val="21"/>
              </w:rPr>
              <w:t>；达标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  <w:r>
              <w:rPr>
                <w:rFonts w:hint="eastAsia"/>
                <w:szCs w:val="21"/>
              </w:rPr>
              <w:t>；不达标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；底泥污染评价</w:t>
            </w:r>
            <w:r>
              <w:rPr>
                <w:rFonts w:hint="eastAsia" w:ascii="仿宋" w:hAnsi="仿宋" w:eastAsia="仿宋"/>
                <w:color w:val="000000"/>
              </w:rPr>
              <w:t>□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水资源与开发利用程度及其水文情势评价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水环境质量回顾评价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流域（区域）水资源（包括水能资源）与开发利用总体状况、生态流量管理要求与现状满足程度、建设项目占用水域空间的水流状况与河湖演变状况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21"/>
                <w:szCs w:val="21"/>
              </w:rPr>
            </w:pPr>
            <w:r>
              <w:rPr>
                <w:rFonts w:hint="eastAsia"/>
                <w:szCs w:val="21"/>
              </w:rPr>
              <w:t>达标区</w:t>
            </w:r>
            <w:r>
              <w:rPr>
                <w:rFonts w:hint="eastAsia" w:ascii="MS Mincho" w:hAnsi="MS Mincho" w:cs="MS Mincho"/>
                <w:bCs/>
                <w:spacing w:val="6"/>
                <w:szCs w:val="21"/>
                <w:lang w:eastAsia="zh-CN"/>
              </w:rPr>
              <w:t>☑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不达标区</w:t>
            </w:r>
            <w:r>
              <w:rPr>
                <w:rFonts w:hint="eastAsia" w:ascii="MS Mincho" w:hAnsi="MS Mincho" w:eastAsia="宋体" w:cs="MS Mincho"/>
                <w:bCs/>
                <w:spacing w:val="6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影影响预测</w:t>
            </w:r>
          </w:p>
        </w:tc>
        <w:tc>
          <w:tcPr>
            <w:tcW w:w="2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预测范围</w:t>
            </w:r>
          </w:p>
        </w:tc>
        <w:tc>
          <w:tcPr>
            <w:tcW w:w="1134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河流：长度（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）</w:t>
            </w:r>
            <w:r>
              <w:rPr>
                <w:szCs w:val="21"/>
              </w:rPr>
              <w:t>km</w:t>
            </w:r>
            <w:r>
              <w:rPr>
                <w:rFonts w:hint="eastAsia"/>
                <w:szCs w:val="21"/>
              </w:rPr>
              <w:t>；湖库、河口及近岸海域：面积（）</w:t>
            </w:r>
            <w:r>
              <w:rPr>
                <w:szCs w:val="21"/>
              </w:rPr>
              <w:t>km</w:t>
            </w:r>
            <w:r>
              <w:rPr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预测因子</w:t>
            </w:r>
          </w:p>
        </w:tc>
        <w:tc>
          <w:tcPr>
            <w:tcW w:w="1134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预测时期</w:t>
            </w:r>
          </w:p>
        </w:tc>
        <w:tc>
          <w:tcPr>
            <w:tcW w:w="1134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21"/>
                <w:szCs w:val="21"/>
              </w:rPr>
            </w:pPr>
            <w:r>
              <w:rPr>
                <w:rFonts w:hint="eastAsia"/>
                <w:szCs w:val="21"/>
              </w:rPr>
              <w:t>丰水期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；平水期</w:t>
            </w:r>
            <w:r>
              <w:rPr>
                <w:rFonts w:hint="eastAsia" w:ascii="MS Mincho" w:hAnsi="MS Mincho" w:eastAsia="宋体" w:cs="MS Mincho"/>
                <w:bCs/>
                <w:spacing w:val="6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；枯水期</w:t>
            </w:r>
            <w:r>
              <w:rPr>
                <w:rFonts w:hint="eastAsia" w:ascii="MS Mincho" w:hAnsi="MS Mincho" w:eastAsia="宋体" w:cs="MS Mincho"/>
                <w:bCs/>
                <w:spacing w:val="6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；冰封期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春季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；夏季</w:t>
            </w:r>
            <w:r>
              <w:rPr>
                <w:rFonts w:hint="eastAsia" w:ascii="MS Mincho" w:hAnsi="MS Mincho" w:eastAsia="宋体" w:cs="MS Mincho"/>
                <w:bCs/>
                <w:spacing w:val="6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；秋季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；冬季</w:t>
            </w:r>
            <w:r>
              <w:rPr>
                <w:rFonts w:hint="eastAsia" w:ascii="MS Mincho" w:hAnsi="MS Mincho" w:eastAsia="宋体" w:cs="MS Mincho"/>
                <w:bCs/>
                <w:spacing w:val="6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设计水文条件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预测情景</w:t>
            </w:r>
          </w:p>
        </w:tc>
        <w:tc>
          <w:tcPr>
            <w:tcW w:w="1134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21"/>
                <w:szCs w:val="21"/>
              </w:rPr>
            </w:pPr>
            <w:r>
              <w:rPr>
                <w:rFonts w:hint="eastAsia"/>
                <w:szCs w:val="21"/>
              </w:rPr>
              <w:t>建设期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；生产运行期</w:t>
            </w:r>
            <w:r>
              <w:rPr>
                <w:rFonts w:hint="eastAsia" w:ascii="MS Mincho" w:hAnsi="MS Mincho" w:eastAsia="宋体" w:cs="MS Mincho"/>
                <w:bCs/>
                <w:spacing w:val="6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；服务期满后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正常工况</w:t>
            </w:r>
            <w:r>
              <w:rPr>
                <w:rFonts w:hint="eastAsia" w:ascii="MS Mincho" w:hAnsi="MS Mincho" w:eastAsia="宋体" w:cs="MS Mincho"/>
                <w:bCs/>
                <w:spacing w:val="6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；非正常工况</w:t>
            </w:r>
            <w:r>
              <w:rPr>
                <w:rFonts w:hint="eastAsia" w:ascii="MS Mincho" w:hAnsi="MS Mincho" w:eastAsia="宋体" w:cs="MS Mincho"/>
                <w:bCs/>
                <w:spacing w:val="6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污染控制和减缓措施方案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区（流）域水环境质量改善目标</w:t>
            </w:r>
            <w:r>
              <w:rPr>
                <w:rFonts w:hint="eastAsia" w:ascii="MS Mincho" w:hAnsi="MS Mincho" w:eastAsia="宋体" w:cs="MS Mincho"/>
                <w:bCs/>
                <w:spacing w:val="6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；替代削减源</w:t>
            </w:r>
            <w:r>
              <w:rPr>
                <w:szCs w:val="21"/>
              </w:rPr>
              <w:t xml:space="preserve"> 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 w:ascii="宋体" w:hAnsi="宋体" w:cs="宋体"/>
                <w:szCs w:val="21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预测方法</w:t>
            </w:r>
          </w:p>
        </w:tc>
        <w:tc>
          <w:tcPr>
            <w:tcW w:w="1134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数值解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；解析解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；其他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；导则推荐模式</w:t>
            </w:r>
            <w:r>
              <w:rPr>
                <w:rFonts w:hint="eastAsia" w:ascii="MS Mincho" w:hAnsi="MS Mincho" w:eastAsia="宋体" w:cs="MS Mincho"/>
                <w:bCs/>
                <w:spacing w:val="6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；其他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影影响评价</w:t>
            </w:r>
          </w:p>
        </w:tc>
        <w:tc>
          <w:tcPr>
            <w:tcW w:w="2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水污染控制和水源井影响减缓措施有效性评价</w:t>
            </w:r>
          </w:p>
        </w:tc>
        <w:tc>
          <w:tcPr>
            <w:tcW w:w="1134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区（流）域水环境质量改善目标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；替代削减源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水环境影响评价</w:t>
            </w:r>
          </w:p>
        </w:tc>
        <w:tc>
          <w:tcPr>
            <w:tcW w:w="1134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21"/>
                <w:szCs w:val="21"/>
              </w:rPr>
            </w:pPr>
            <w:r>
              <w:rPr>
                <w:rFonts w:hint="eastAsia"/>
                <w:szCs w:val="21"/>
              </w:rPr>
              <w:t>排放口混合区外满足水环境管理要求</w:t>
            </w:r>
            <w:r>
              <w:rPr>
                <w:rFonts w:hint="eastAsia" w:ascii="MS Mincho" w:hAnsi="MS Mincho" w:cs="MS Mincho"/>
                <w:bCs/>
                <w:spacing w:val="6"/>
                <w:szCs w:val="21"/>
                <w:lang w:eastAsia="zh-CN"/>
              </w:rPr>
              <w:t>☑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水环境功能区或水功能区、近岸海域环境功能区水质达标</w:t>
            </w:r>
            <w:r>
              <w:rPr>
                <w:rFonts w:hint="eastAsia" w:ascii="MS Mincho" w:hAnsi="MS Mincho" w:cs="MS Mincho"/>
                <w:bCs/>
                <w:spacing w:val="6"/>
                <w:szCs w:val="21"/>
                <w:lang w:eastAsia="zh-CN"/>
              </w:rPr>
              <w:t>☑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满足水环境保护目标水域水环境质量要求</w:t>
            </w:r>
            <w:r>
              <w:rPr>
                <w:rFonts w:hint="eastAsia" w:ascii="MS Mincho" w:hAnsi="MS Mincho" w:cs="MS Mincho"/>
                <w:bCs/>
                <w:spacing w:val="6"/>
                <w:szCs w:val="21"/>
                <w:lang w:eastAsia="zh-CN"/>
              </w:rPr>
              <w:t>☑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水环境控制单元或断面水质达标</w:t>
            </w:r>
            <w:r>
              <w:rPr>
                <w:rFonts w:hint="eastAsia" w:ascii="MS Mincho" w:hAnsi="MS Mincho" w:cs="MS Mincho"/>
                <w:bCs/>
                <w:spacing w:val="6"/>
                <w:szCs w:val="21"/>
                <w:lang w:eastAsia="zh-CN"/>
              </w:rPr>
              <w:t>☑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满足重点水污染物排放总量控制指标要求，重点行业建设项目，主要污染物排放满足等量或减量替代要求</w:t>
            </w:r>
            <w:r>
              <w:rPr>
                <w:rFonts w:hint="eastAsia" w:ascii="MS Mincho" w:hAnsi="MS Mincho" w:cs="MS Mincho"/>
                <w:bCs/>
                <w:spacing w:val="6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满足区（流）域水环境质量改善目标要求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水文要素影响型建设项目同时应包括水文情势变化评价、主要水文特征值影响评价、生态流量符合性评价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对于新设或调整入河（湖库、近岸海域）排放口的建设项目，应包括排放口设置的环境合理性评价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adjustRightIn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满足生态保护红线、水环境质量底线、资源利用上线和环境准入清单管理要求</w:t>
            </w:r>
            <w:r>
              <w:rPr>
                <w:rFonts w:hint="eastAsia" w:ascii="MS Mincho" w:hAnsi="MS Mincho" w:cs="MS Mincho"/>
                <w:bCs/>
                <w:spacing w:val="6"/>
                <w:szCs w:val="21"/>
                <w:lang w:eastAsia="zh-CN"/>
              </w:rPr>
              <w:t>☑</w:t>
            </w:r>
            <w:r>
              <w:rPr>
                <w:rFonts w:hint="eastAsia"/>
                <w:szCs w:val="21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污染源排放量核算</w:t>
            </w:r>
          </w:p>
        </w:tc>
        <w:tc>
          <w:tcPr>
            <w:tcW w:w="3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污染物名称</w:t>
            </w:r>
          </w:p>
        </w:tc>
        <w:tc>
          <w:tcPr>
            <w:tcW w:w="29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排放量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t/a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46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排放浓度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mg/L</w:t>
            </w:r>
            <w:r>
              <w:rPr>
                <w:rFonts w:hint="eastAsia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3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（COD、</w:t>
            </w:r>
            <w:r>
              <w:rPr>
                <w:kern w:val="28"/>
                <w:szCs w:val="21"/>
              </w:rPr>
              <w:t>NH</w:t>
            </w:r>
            <w:r>
              <w:rPr>
                <w:kern w:val="28"/>
                <w:szCs w:val="21"/>
                <w:vertAlign w:val="subscript"/>
              </w:rPr>
              <w:t>3</w:t>
            </w:r>
            <w:r>
              <w:rPr>
                <w:kern w:val="28"/>
                <w:szCs w:val="21"/>
              </w:rPr>
              <w:t>-N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9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  <w:lang w:val="en-US" w:eastAsia="zh-CN"/>
              </w:rPr>
              <w:t>0.018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  <w:lang w:val="en-US" w:eastAsia="zh-CN"/>
              </w:rPr>
              <w:t>0.0018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46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（50、5）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替代源排放情况</w:t>
            </w:r>
          </w:p>
        </w:tc>
        <w:tc>
          <w:tcPr>
            <w:tcW w:w="2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污染源名称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排放许可证编号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污染物名称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排放量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t/a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排放浓度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mg/L</w:t>
            </w:r>
            <w:r>
              <w:rPr>
                <w:rFonts w:hint="eastAsia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（）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（）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（）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（）</w:t>
            </w:r>
          </w:p>
        </w:tc>
        <w:tc>
          <w:tcPr>
            <w:tcW w:w="2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生态流量确定</w:t>
            </w:r>
          </w:p>
        </w:tc>
        <w:tc>
          <w:tcPr>
            <w:tcW w:w="1134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21"/>
                <w:szCs w:val="21"/>
              </w:rPr>
            </w:pPr>
            <w:r>
              <w:rPr>
                <w:rFonts w:hint="eastAsia"/>
                <w:szCs w:val="21"/>
              </w:rPr>
              <w:t>生态流量：一般水期（）</w:t>
            </w:r>
            <w:r>
              <w:rPr>
                <w:szCs w:val="21"/>
              </w:rPr>
              <w:t>m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szCs w:val="21"/>
              </w:rPr>
              <w:t>/s</w:t>
            </w:r>
            <w:r>
              <w:rPr>
                <w:rFonts w:hint="eastAsia"/>
                <w:szCs w:val="21"/>
              </w:rPr>
              <w:t>；鱼类繁殖期（）</w:t>
            </w:r>
            <w:r>
              <w:rPr>
                <w:szCs w:val="21"/>
              </w:rPr>
              <w:t>m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szCs w:val="21"/>
              </w:rPr>
              <w:t>/s</w:t>
            </w:r>
            <w:r>
              <w:rPr>
                <w:rFonts w:hint="eastAsia"/>
                <w:szCs w:val="21"/>
              </w:rPr>
              <w:t>；其他（）</w:t>
            </w:r>
            <w:r>
              <w:rPr>
                <w:szCs w:val="21"/>
              </w:rPr>
              <w:t>m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szCs w:val="21"/>
              </w:rPr>
              <w:t>/s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生态水位：一般水期（）</w:t>
            </w:r>
            <w:r>
              <w:rPr>
                <w:szCs w:val="21"/>
              </w:rPr>
              <w:t>m</w:t>
            </w:r>
            <w:r>
              <w:rPr>
                <w:rFonts w:hint="eastAsia"/>
                <w:szCs w:val="21"/>
              </w:rPr>
              <w:t>；鱼类繁殖期（）</w:t>
            </w:r>
            <w:r>
              <w:rPr>
                <w:szCs w:val="21"/>
              </w:rPr>
              <w:t>m</w:t>
            </w:r>
            <w:r>
              <w:rPr>
                <w:rFonts w:hint="eastAsia"/>
                <w:szCs w:val="21"/>
              </w:rPr>
              <w:t>；其他（）</w:t>
            </w:r>
            <w:r>
              <w:rPr>
                <w:szCs w:val="21"/>
              </w:rPr>
              <w:t>m</w:t>
            </w:r>
            <w:r>
              <w:rPr>
                <w:rFonts w:hint="eastAsia"/>
                <w:szCs w:val="21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防防治措施</w:t>
            </w:r>
          </w:p>
        </w:tc>
        <w:tc>
          <w:tcPr>
            <w:tcW w:w="2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环境措施</w:t>
            </w:r>
          </w:p>
        </w:tc>
        <w:tc>
          <w:tcPr>
            <w:tcW w:w="1134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污水处理设施</w:t>
            </w:r>
            <w:r>
              <w:rPr>
                <w:rFonts w:hint="eastAsia" w:ascii="MS Mincho" w:hAnsi="MS Mincho" w:eastAsia="宋体" w:cs="MS Mincho"/>
                <w:bCs/>
                <w:spacing w:val="6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；水文减缓设施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；生态流量保障设施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；区域消减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；依托其他工程措施</w:t>
            </w:r>
            <w:r>
              <w:rPr>
                <w:rFonts w:hint="eastAsia" w:ascii="MS Mincho" w:hAnsi="MS Mincho" w:cs="MS Mincho"/>
                <w:bCs/>
                <w:spacing w:val="6"/>
                <w:szCs w:val="21"/>
                <w:lang w:eastAsia="zh-CN"/>
              </w:rPr>
              <w:t>☑</w:t>
            </w:r>
            <w:r>
              <w:rPr>
                <w:rFonts w:hint="eastAsia"/>
                <w:szCs w:val="21"/>
              </w:rPr>
              <w:t>；其他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监测计划</w:t>
            </w:r>
          </w:p>
        </w:tc>
        <w:tc>
          <w:tcPr>
            <w:tcW w:w="3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</w:p>
        </w:tc>
        <w:tc>
          <w:tcPr>
            <w:tcW w:w="29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环境质量</w:t>
            </w:r>
          </w:p>
        </w:tc>
        <w:tc>
          <w:tcPr>
            <w:tcW w:w="46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污染源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3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监测方式</w:t>
            </w:r>
          </w:p>
        </w:tc>
        <w:tc>
          <w:tcPr>
            <w:tcW w:w="29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手动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；自动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；无监测</w:t>
            </w:r>
            <w:r>
              <w:rPr>
                <w:rFonts w:hint="eastAsia" w:ascii="MS Mincho" w:hAnsi="MS Mincho" w:cs="MS Mincho"/>
                <w:bCs/>
                <w:spacing w:val="6"/>
                <w:szCs w:val="21"/>
                <w:lang w:eastAsia="zh-CN"/>
              </w:rPr>
              <w:t>☑</w:t>
            </w:r>
            <w:r>
              <w:rPr>
                <w:rFonts w:hint="eastAsia"/>
                <w:szCs w:val="21"/>
              </w:rPr>
              <w:t>；</w:t>
            </w:r>
          </w:p>
        </w:tc>
        <w:tc>
          <w:tcPr>
            <w:tcW w:w="46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手动</w:t>
            </w:r>
            <w:r>
              <w:rPr>
                <w:rFonts w:hint="eastAsia" w:ascii="MS Mincho" w:hAnsi="MS Mincho" w:eastAsia="宋体" w:cs="MS Mincho"/>
                <w:bCs/>
                <w:spacing w:val="6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；自动</w:t>
            </w:r>
            <w:r>
              <w:rPr>
                <w:rFonts w:hint="eastAsia" w:ascii="MS Mincho" w:hAnsi="MS Mincho" w:eastAsia="宋体" w:cs="MS Mincho"/>
                <w:bCs/>
                <w:spacing w:val="6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；无监测</w:t>
            </w:r>
            <w:r>
              <w:rPr>
                <w:rFonts w:hint="eastAsia" w:ascii="MS Mincho" w:hAnsi="MS Mincho" w:eastAsia="宋体" w:cs="MS Mincho"/>
                <w:bCs/>
                <w:spacing w:val="6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3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监测点位</w:t>
            </w:r>
          </w:p>
        </w:tc>
        <w:tc>
          <w:tcPr>
            <w:tcW w:w="29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（/）</w:t>
            </w:r>
          </w:p>
        </w:tc>
        <w:tc>
          <w:tcPr>
            <w:tcW w:w="46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（排污口）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3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监测因子</w:t>
            </w:r>
          </w:p>
        </w:tc>
        <w:tc>
          <w:tcPr>
            <w:tcW w:w="29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kern w:val="28"/>
                <w:szCs w:val="21"/>
              </w:rPr>
              <w:t>/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46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（COD、</w:t>
            </w:r>
            <w:r>
              <w:rPr>
                <w:kern w:val="28"/>
                <w:szCs w:val="21"/>
              </w:rPr>
              <w:t>NH</w:t>
            </w:r>
            <w:r>
              <w:rPr>
                <w:kern w:val="28"/>
                <w:szCs w:val="21"/>
                <w:vertAlign w:val="subscript"/>
              </w:rPr>
              <w:t>3</w:t>
            </w:r>
            <w:r>
              <w:rPr>
                <w:kern w:val="28"/>
                <w:szCs w:val="21"/>
              </w:rPr>
              <w:t>-N</w:t>
            </w:r>
            <w:r>
              <w:rPr>
                <w:rFonts w:hint="eastAsia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污染物排放清单</w:t>
            </w:r>
          </w:p>
        </w:tc>
        <w:tc>
          <w:tcPr>
            <w:tcW w:w="1134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 w:ascii="MS Mincho" w:hAnsi="MS Mincho" w:cs="MS Mincho"/>
                <w:bCs/>
                <w:spacing w:val="6"/>
                <w:szCs w:val="21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0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评价结论</w:t>
            </w:r>
          </w:p>
        </w:tc>
        <w:tc>
          <w:tcPr>
            <w:tcW w:w="1134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可以接受</w:t>
            </w:r>
            <w:r>
              <w:rPr>
                <w:rFonts w:hint="eastAsia" w:ascii="MS Mincho" w:hAnsi="MS Mincho" w:eastAsia="MS Mincho" w:cs="MS Mincho"/>
                <w:bCs/>
                <w:spacing w:val="6"/>
                <w:szCs w:val="21"/>
              </w:rPr>
              <w:t>☑</w:t>
            </w:r>
            <w:r>
              <w:rPr>
                <w:rFonts w:hint="eastAsia"/>
                <w:szCs w:val="21"/>
              </w:rPr>
              <w:t>；不可以接受</w:t>
            </w:r>
            <w:r>
              <w:rPr>
                <w:rFonts w:hint="eastAsia" w:ascii="MS Mincho" w:hAnsi="MS Mincho" w:eastAsia="MS Mincho" w:cs="MS Mincho"/>
                <w:szCs w:val="21"/>
              </w:rPr>
              <w:t>☐</w:t>
            </w:r>
            <w:r>
              <w:rPr>
                <w:rFonts w:hint="eastAsia"/>
                <w:szCs w:val="21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40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ind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注：</w:t>
            </w:r>
            <w:r>
              <w:rPr>
                <w:szCs w:val="21"/>
              </w:rPr>
              <w:t>“□”</w:t>
            </w:r>
            <w:r>
              <w:rPr>
                <w:rFonts w:hint="eastAsia"/>
                <w:szCs w:val="21"/>
              </w:rPr>
              <w:t>为勾选项</w:t>
            </w:r>
            <w:r>
              <w:rPr>
                <w:szCs w:val="21"/>
              </w:rPr>
              <w:t>”</w:t>
            </w:r>
            <w:r>
              <w:rPr>
                <w:rFonts w:hint="eastAsia"/>
                <w:szCs w:val="21"/>
              </w:rPr>
              <w:t>，可</w:t>
            </w:r>
            <w:r>
              <w:rPr>
                <w:szCs w:val="21"/>
              </w:rPr>
              <w:t>√</w:t>
            </w:r>
            <w:r>
              <w:rPr>
                <w:rFonts w:hint="eastAsia"/>
                <w:szCs w:val="21"/>
              </w:rPr>
              <w:t>；</w:t>
            </w:r>
            <w:r>
              <w:rPr>
                <w:szCs w:val="21"/>
              </w:rPr>
              <w:t>“</w:t>
            </w:r>
            <w:r>
              <w:rPr>
                <w:rFonts w:hint="eastAsia"/>
                <w:szCs w:val="21"/>
              </w:rPr>
              <w:t>（）</w:t>
            </w:r>
            <w:r>
              <w:rPr>
                <w:szCs w:val="21"/>
              </w:rPr>
              <w:t>”</w:t>
            </w:r>
            <w:r>
              <w:rPr>
                <w:rFonts w:hint="eastAsia"/>
                <w:szCs w:val="21"/>
              </w:rPr>
              <w:t>为内容填写项；</w:t>
            </w:r>
            <w:r>
              <w:rPr>
                <w:szCs w:val="21"/>
              </w:rPr>
              <w:t>“</w:t>
            </w:r>
            <w:r>
              <w:rPr>
                <w:rFonts w:hint="eastAsia"/>
                <w:szCs w:val="21"/>
              </w:rPr>
              <w:t>备注</w:t>
            </w:r>
            <w:r>
              <w:rPr>
                <w:szCs w:val="21"/>
              </w:rPr>
              <w:t>”</w:t>
            </w:r>
            <w:r>
              <w:rPr>
                <w:rFonts w:hint="eastAsia"/>
                <w:szCs w:val="21"/>
              </w:rPr>
              <w:t>为其他补充内容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247" w:bottom="180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4A01"/>
    <w:rsid w:val="00070943"/>
    <w:rsid w:val="000A26AA"/>
    <w:rsid w:val="000D01D5"/>
    <w:rsid w:val="001E45AE"/>
    <w:rsid w:val="006B75D3"/>
    <w:rsid w:val="006B7921"/>
    <w:rsid w:val="007E1498"/>
    <w:rsid w:val="00A84A01"/>
    <w:rsid w:val="00B3424F"/>
    <w:rsid w:val="00B97AFC"/>
    <w:rsid w:val="00BA27F3"/>
    <w:rsid w:val="00BA630D"/>
    <w:rsid w:val="00BE02B6"/>
    <w:rsid w:val="00C760A8"/>
    <w:rsid w:val="00CF555F"/>
    <w:rsid w:val="00E20EDA"/>
    <w:rsid w:val="00E94F6F"/>
    <w:rsid w:val="00F97C7F"/>
    <w:rsid w:val="05913EED"/>
    <w:rsid w:val="0BD11DDD"/>
    <w:rsid w:val="452921B7"/>
    <w:rsid w:val="4FA151FB"/>
    <w:rsid w:val="591D5C4D"/>
    <w:rsid w:val="653D5AC4"/>
    <w:rsid w:val="6DCB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link w:val="7"/>
    <w:semiHidden/>
    <w:unhideWhenUsed/>
    <w:qFormat/>
    <w:uiPriority w:val="35"/>
    <w:pPr>
      <w:keepNext/>
      <w:adjustRightInd w:val="0"/>
      <w:spacing w:beforeLines="50"/>
      <w:jc w:val="center"/>
    </w:pPr>
    <w:rPr>
      <w:rFonts w:ascii="黑体" w:hAnsi="黑体" w:eastAsia="黑体" w:cstheme="majorBidi"/>
      <w:kern w:val="21"/>
      <w:szCs w:val="22"/>
    </w:rPr>
  </w:style>
  <w:style w:type="paragraph" w:styleId="3">
    <w:name w:val="Body Text"/>
    <w:basedOn w:val="1"/>
    <w:link w:val="10"/>
    <w:semiHidden/>
    <w:unhideWhenUsed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Cs w:val="21"/>
      <w:lang w:eastAsia="en-US" w:bidi="en-US"/>
    </w:rPr>
  </w:style>
  <w:style w:type="paragraph" w:styleId="4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character" w:customStyle="1" w:styleId="7">
    <w:name w:val="题注 Char"/>
    <w:link w:val="2"/>
    <w:semiHidden/>
    <w:qFormat/>
    <w:uiPriority w:val="35"/>
    <w:rPr>
      <w:rFonts w:ascii="黑体" w:hAnsi="黑体" w:eastAsia="黑体" w:cstheme="majorBidi"/>
      <w:kern w:val="21"/>
    </w:rPr>
  </w:style>
  <w:style w:type="character" w:customStyle="1" w:styleId="8">
    <w:name w:val="批注框文本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表格文字"/>
    <w:qFormat/>
    <w:uiPriority w:val="0"/>
    <w:pPr>
      <w:spacing w:beforeLines="10" w:line="0" w:lineRule="atLeast"/>
      <w:jc w:val="center"/>
    </w:pPr>
    <w:rPr>
      <w:rFonts w:ascii="Times New Roman" w:hAnsi="Times New Roman" w:eastAsia="宋体" w:cs="Times New Roman"/>
      <w:kern w:val="2"/>
      <w:sz w:val="18"/>
      <w:szCs w:val="21"/>
      <w:lang w:val="en-US" w:eastAsia="zh-CN" w:bidi="ar-SA"/>
    </w:rPr>
  </w:style>
  <w:style w:type="character" w:customStyle="1" w:styleId="10">
    <w:name w:val="正文文本 Char"/>
    <w:basedOn w:val="6"/>
    <w:link w:val="3"/>
    <w:semiHidden/>
    <w:qFormat/>
    <w:uiPriority w:val="1"/>
    <w:rPr>
      <w:rFonts w:ascii="宋体" w:hAnsi="宋体" w:eastAsia="宋体" w:cs="宋体"/>
      <w:kern w:val="0"/>
      <w:szCs w:val="21"/>
      <w:lang w:eastAsia="en-US" w:bidi="en-US"/>
    </w:rPr>
  </w:style>
  <w:style w:type="paragraph" w:customStyle="1" w:styleId="11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757</Words>
  <Characters>4319</Characters>
  <Lines>35</Lines>
  <Paragraphs>10</Paragraphs>
  <TotalTime>0</TotalTime>
  <ScaleCrop>false</ScaleCrop>
  <LinksUpToDate>false</LinksUpToDate>
  <CharactersWithSpaces>5066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2020-01-07T08:39:00Z</dcterms:created>
  <dc:creator>PC</dc:creator>
  <cp:lastModifiedBy>Administrator</cp:lastModifiedBy>
  <dcterms:modified xsi:type="dcterms:W3CDTF">2020-07-27T09:00:52Z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