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附表2   建设项目大气环境影响评价自查表</w:t>
      </w:r>
    </w:p>
    <w:tbl>
      <w:tblPr>
        <w:tblStyle w:val="4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2694"/>
        <w:gridCol w:w="1407"/>
        <w:gridCol w:w="322"/>
        <w:gridCol w:w="737"/>
        <w:gridCol w:w="151"/>
        <w:gridCol w:w="319"/>
        <w:gridCol w:w="127"/>
        <w:gridCol w:w="316"/>
        <w:gridCol w:w="397"/>
        <w:gridCol w:w="348"/>
        <w:gridCol w:w="462"/>
        <w:gridCol w:w="338"/>
        <w:gridCol w:w="1021"/>
        <w:gridCol w:w="696"/>
        <w:gridCol w:w="237"/>
        <w:gridCol w:w="170"/>
        <w:gridCol w:w="131"/>
        <w:gridCol w:w="207"/>
        <w:gridCol w:w="325"/>
        <w:gridCol w:w="237"/>
        <w:gridCol w:w="85"/>
        <w:gridCol w:w="517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4327" w:type="dxa"/>
            <w:gridSpan w:val="2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工作内容</w:t>
            </w:r>
          </w:p>
        </w:tc>
        <w:tc>
          <w:tcPr>
            <w:tcW w:w="9847" w:type="dxa"/>
            <w:gridSpan w:val="22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评价等级与范围</w:t>
            </w: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评价等级</w:t>
            </w:r>
          </w:p>
        </w:tc>
        <w:tc>
          <w:tcPr>
            <w:tcW w:w="3776" w:type="dxa"/>
            <w:gridSpan w:val="8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一级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3102" w:type="dxa"/>
            <w:gridSpan w:val="6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二级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</w:tc>
        <w:tc>
          <w:tcPr>
            <w:tcW w:w="2969" w:type="dxa"/>
            <w:gridSpan w:val="8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三级</w:t>
            </w:r>
            <w:r>
              <w:rPr>
                <w:rFonts w:ascii="Times New Roman" w:hAnsi="Times New Roman"/>
                <w:szCs w:val="20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评价范围</w:t>
            </w:r>
          </w:p>
        </w:tc>
        <w:tc>
          <w:tcPr>
            <w:tcW w:w="3776" w:type="dxa"/>
            <w:gridSpan w:val="8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边长</w:t>
            </w:r>
            <w:r>
              <w:rPr>
                <w:rFonts w:ascii="Times New Roman" w:hAnsi="Times New Roman"/>
              </w:rPr>
              <w:t>=50km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3102" w:type="dxa"/>
            <w:gridSpan w:val="6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边长</w:t>
            </w:r>
            <w:r>
              <w:rPr>
                <w:rFonts w:ascii="Times New Roman" w:hAnsi="Times New Roman"/>
              </w:rPr>
              <w:t>5~50km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</w:tc>
        <w:tc>
          <w:tcPr>
            <w:tcW w:w="2969" w:type="dxa"/>
            <w:gridSpan w:val="8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边长</w:t>
            </w:r>
            <w:r>
              <w:rPr>
                <w:rFonts w:ascii="Times New Roman" w:hAnsi="Times New Roman"/>
              </w:rPr>
              <w:t>=5km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  <w:r>
              <w:rPr>
                <w:rFonts w:ascii="Times New Roman" w:hAnsi="Times New Roman"/>
              </w:rPr>
              <w:t xml:space="preserve">   0</w:t>
            </w:r>
            <w:r>
              <w:rPr>
                <w:rFonts w:ascii="Times New Roman" w:hAnsi="Times New Roman"/>
                <w:szCs w:val="20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评价因子</w:t>
            </w:r>
          </w:p>
        </w:tc>
        <w:tc>
          <w:tcPr>
            <w:tcW w:w="2694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+NO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排放量</w:t>
            </w:r>
          </w:p>
        </w:tc>
        <w:tc>
          <w:tcPr>
            <w:tcW w:w="2936" w:type="dxa"/>
            <w:gridSpan w:val="5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黑体" w:hAnsi="黑体" w:eastAsia="黑体" w:cs="黑体"/>
              </w:rPr>
              <w:t>≥</w:t>
            </w:r>
            <w:r>
              <w:rPr>
                <w:rFonts w:ascii="Times New Roman" w:hAnsi="Times New Roman"/>
              </w:rPr>
              <w:t>2000t/a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3942" w:type="dxa"/>
            <w:gridSpan w:val="9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500~2000t/a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2969" w:type="dxa"/>
            <w:gridSpan w:val="8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＜</w:t>
            </w:r>
            <w:r>
              <w:rPr>
                <w:rFonts w:ascii="Times New Roman" w:hAnsi="Times New Roman"/>
              </w:rPr>
              <w:t>500t/a</w:t>
            </w:r>
            <w:r>
              <w:rPr>
                <w:rFonts w:ascii="Times New Roman" w:hAnsi="Times New Roman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评价因子</w:t>
            </w:r>
          </w:p>
        </w:tc>
        <w:tc>
          <w:tcPr>
            <w:tcW w:w="5945" w:type="dxa"/>
            <w:gridSpan w:val="12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基本污染物（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PM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10</w:t>
            </w:r>
            <w:r>
              <w:rPr>
                <w:rFonts w:hint="eastAsia"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PM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2.5</w:t>
            </w:r>
            <w:r>
              <w:rPr>
                <w:rFonts w:hint="eastAsia"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NO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X</w:t>
            </w:r>
            <w:r>
              <w:rPr>
                <w:rFonts w:hint="eastAsia"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CO</w:t>
            </w:r>
            <w:r>
              <w:rPr>
                <w:rFonts w:hint="eastAsia"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</w:rPr>
              <w:t>）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其他污染物（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hint="eastAsia" w:ascii="Times New Roman" w:hAnsi="Times New Roman"/>
              </w:rPr>
              <w:t>无</w:t>
            </w:r>
            <w:r>
              <w:rPr>
                <w:rFonts w:ascii="Times New Roman" w:hAnsi="Times New Roman"/>
              </w:rPr>
              <w:t xml:space="preserve">           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3902" w:type="dxa"/>
            <w:gridSpan w:val="10"/>
          </w:tcPr>
          <w:p>
            <w:pPr>
              <w:wordWrap w:val="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包括二次</w:t>
            </w:r>
            <w:r>
              <w:rPr>
                <w:rFonts w:ascii="Times New Roman" w:hAnsi="Times New Roman"/>
              </w:rPr>
              <w:t>PM</w:t>
            </w:r>
            <w:r>
              <w:rPr>
                <w:rFonts w:ascii="Times New Roman" w:hAnsi="Times New Roman"/>
                <w:vertAlign w:val="subscript"/>
              </w:rPr>
              <w:t xml:space="preserve">2.5 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  <w:r>
              <w:rPr>
                <w:rFonts w:ascii="Times New Roman" w:hAnsi="Times New Roman"/>
                <w:vertAlign w:val="subscript"/>
              </w:rPr>
              <w:t xml:space="preserve">   </w:t>
            </w:r>
          </w:p>
          <w:p>
            <w:pPr>
              <w:wordWrap w:val="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不包括二次</w:t>
            </w:r>
            <w:r>
              <w:rPr>
                <w:rFonts w:ascii="Times New Roman" w:hAnsi="Times New Roman"/>
              </w:rPr>
              <w:t>PM</w:t>
            </w:r>
            <w:r>
              <w:rPr>
                <w:rFonts w:ascii="Times New Roman" w:hAnsi="Times New Roman"/>
                <w:vertAlign w:val="subscript"/>
              </w:rPr>
              <w:t xml:space="preserve">2.5 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  <w:r>
              <w:rPr>
                <w:rFonts w:ascii="Times New Roman" w:hAnsi="Times New Roman"/>
                <w:vertAlign w:val="subscript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评价标准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评价标准</w:t>
            </w:r>
          </w:p>
        </w:tc>
        <w:tc>
          <w:tcPr>
            <w:tcW w:w="3379" w:type="dxa"/>
            <w:gridSpan w:val="7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国家标准</w:t>
            </w:r>
            <w:r>
              <w:rPr>
                <w:rFonts w:ascii="Times New Roman" w:hAnsi="Times New Roman"/>
                <w:szCs w:val="20"/>
              </w:rPr>
              <w:sym w:font="Wingdings" w:char="00FE"/>
            </w:r>
          </w:p>
        </w:tc>
        <w:tc>
          <w:tcPr>
            <w:tcW w:w="2566" w:type="dxa"/>
            <w:gridSpan w:val="5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地方标准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766" w:type="dxa"/>
            <w:gridSpan w:val="6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附录</w:t>
            </w:r>
            <w:r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2136" w:type="dxa"/>
            <w:gridSpan w:val="4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其他标准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现状评价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环境功能区</w:t>
            </w:r>
          </w:p>
        </w:tc>
        <w:tc>
          <w:tcPr>
            <w:tcW w:w="3776" w:type="dxa"/>
            <w:gridSpan w:val="8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一类区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3403" w:type="dxa"/>
            <w:gridSpan w:val="8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二类区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  <w:tc>
          <w:tcPr>
            <w:tcW w:w="2668" w:type="dxa"/>
            <w:gridSpan w:val="6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一类区和二类区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环境基准年</w:t>
            </w:r>
          </w:p>
        </w:tc>
        <w:tc>
          <w:tcPr>
            <w:tcW w:w="9847" w:type="dxa"/>
            <w:gridSpan w:val="2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 xml:space="preserve"> 201</w:t>
            </w:r>
            <w:r>
              <w:rPr>
                <w:rFonts w:hint="eastAsia" w:ascii="Times New Roman" w:hAnsi="Times New Roman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</w:rPr>
              <w:t>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环境空气质量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现状调查数据来源</w:t>
            </w:r>
          </w:p>
        </w:tc>
        <w:tc>
          <w:tcPr>
            <w:tcW w:w="3379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长期例行监测数据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3669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主管部门发布的数据</w:t>
            </w:r>
            <w:r>
              <w:rPr>
                <w:rFonts w:ascii="Times New Roman" w:hAnsi="Times New Roman"/>
                <w:szCs w:val="20"/>
              </w:rPr>
              <w:sym w:font="Wingdings" w:char="00FE"/>
            </w:r>
          </w:p>
        </w:tc>
        <w:tc>
          <w:tcPr>
            <w:tcW w:w="2799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现状补充监测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现状评估</w:t>
            </w:r>
          </w:p>
        </w:tc>
        <w:tc>
          <w:tcPr>
            <w:tcW w:w="59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达标区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</w:tc>
        <w:tc>
          <w:tcPr>
            <w:tcW w:w="390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不达标区</w:t>
            </w:r>
            <w:r>
              <w:rPr>
                <w:rFonts w:ascii="Times New Roman" w:hAnsi="Times New Roman"/>
                <w:szCs w:val="20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1633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污染源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调查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调查内容</w:t>
            </w:r>
          </w:p>
        </w:tc>
        <w:tc>
          <w:tcPr>
            <w:tcW w:w="3063" w:type="dxa"/>
            <w:gridSpan w:val="6"/>
            <w:vMerge w:val="restart"/>
            <w:vAlign w:val="center"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本项目正常排放源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本项目非正常排放源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现有污染源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</w:tc>
        <w:tc>
          <w:tcPr>
            <w:tcW w:w="288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拟替代的污染源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2003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其他在建、拟建项目污染源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区域污染源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大气环境影响预测与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预测模型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AERMOD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0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65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AUSTAL2000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82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EDMS/AEDT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23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CALPUFF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371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网络模型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其他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预测范围</w:t>
            </w:r>
          </w:p>
        </w:tc>
        <w:tc>
          <w:tcPr>
            <w:tcW w:w="261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边长</w:t>
            </w:r>
            <w:r>
              <w:rPr>
                <w:rFonts w:hint="eastAsia" w:ascii="黑体" w:hAnsi="黑体" w:eastAsia="黑体" w:cs="黑体"/>
              </w:rPr>
              <w:t>≥</w:t>
            </w:r>
            <w:r>
              <w:rPr>
                <w:rFonts w:ascii="Times New Roman" w:hAnsi="Times New Roman" w:eastAsia="黑体"/>
              </w:rPr>
              <w:t xml:space="preserve">50km 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4562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边长</w:t>
            </w:r>
            <w:r>
              <w:rPr>
                <w:rFonts w:ascii="Times New Roman" w:hAnsi="Times New Roman"/>
              </w:rPr>
              <w:t xml:space="preserve">5~50km 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266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边长</w:t>
            </w:r>
            <w:r>
              <w:rPr>
                <w:rFonts w:ascii="Times New Roman" w:hAnsi="Times New Roman"/>
              </w:rPr>
              <w:t xml:space="preserve">=5km 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预测因子</w:t>
            </w:r>
          </w:p>
        </w:tc>
        <w:tc>
          <w:tcPr>
            <w:tcW w:w="59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预测因子（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  <w:lang w:eastAsia="zh-CN"/>
              </w:rPr>
              <w:t>非甲烷总烃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3902" w:type="dxa"/>
            <w:gridSpan w:val="10"/>
          </w:tcPr>
          <w:p>
            <w:pPr>
              <w:wordWrap w:val="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包括二次</w:t>
            </w:r>
            <w:r>
              <w:rPr>
                <w:rFonts w:ascii="Times New Roman" w:hAnsi="Times New Roman"/>
              </w:rPr>
              <w:t>PM</w:t>
            </w:r>
            <w:r>
              <w:rPr>
                <w:rFonts w:ascii="Times New Roman" w:hAnsi="Times New Roman"/>
                <w:vertAlign w:val="subscript"/>
              </w:rPr>
              <w:t xml:space="preserve">2.5 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  <w:r>
              <w:rPr>
                <w:rFonts w:ascii="Times New Roman" w:hAnsi="Times New Roman"/>
                <w:vertAlign w:val="subscript"/>
              </w:rPr>
              <w:t xml:space="preserve">   </w:t>
            </w:r>
          </w:p>
          <w:p>
            <w:pPr>
              <w:wordWrap w:val="0"/>
              <w:jc w:val="righ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不包括二次</w:t>
            </w:r>
            <w:r>
              <w:rPr>
                <w:rFonts w:ascii="Times New Roman" w:hAnsi="Times New Roman"/>
              </w:rPr>
              <w:t>PM</w:t>
            </w:r>
            <w:r>
              <w:rPr>
                <w:rFonts w:ascii="Times New Roman" w:hAnsi="Times New Roman"/>
                <w:vertAlign w:val="subscript"/>
              </w:rPr>
              <w:t xml:space="preserve">2.5 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  <w:r>
              <w:rPr>
                <w:rFonts w:ascii="Times New Roman" w:hAnsi="Times New Roman"/>
                <w:vertAlign w:val="subscript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贡献值</w:t>
            </w:r>
          </w:p>
        </w:tc>
        <w:tc>
          <w:tcPr>
            <w:tcW w:w="59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本项目</w:t>
            </w:r>
            <w:r>
              <w:rPr>
                <w:rFonts w:hint="eastAsia" w:ascii="Times New Roman" w:hAnsi="Times New Roman"/>
              </w:rPr>
              <w:t>最大占标率≤</w:t>
            </w:r>
            <w:r>
              <w:rPr>
                <w:rFonts w:ascii="Times New Roman" w:hAnsi="Times New Roman"/>
              </w:rPr>
              <w:t>100%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  <w:tc>
          <w:tcPr>
            <w:tcW w:w="390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本项目</w:t>
            </w:r>
            <w:r>
              <w:rPr>
                <w:rFonts w:hint="eastAsia" w:ascii="Times New Roman" w:hAnsi="Times New Roman"/>
              </w:rPr>
              <w:t>最大占标率＞</w:t>
            </w:r>
            <w:r>
              <w:rPr>
                <w:rFonts w:ascii="Times New Roman" w:hAnsi="Times New Roman"/>
              </w:rPr>
              <w:t>100%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正常排放年均浓度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贡献值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一类区</w:t>
            </w:r>
          </w:p>
        </w:tc>
        <w:tc>
          <w:tcPr>
            <w:tcW w:w="421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本项目</w:t>
            </w:r>
            <w:r>
              <w:rPr>
                <w:rFonts w:hint="eastAsia" w:ascii="Times New Roman" w:hAnsi="Times New Roman"/>
              </w:rPr>
              <w:t>最大占标率≤</w:t>
            </w:r>
            <w:r>
              <w:rPr>
                <w:rFonts w:ascii="Times New Roman" w:hAnsi="Times New Roman"/>
              </w:rPr>
              <w:t>10%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  <w:tc>
          <w:tcPr>
            <w:tcW w:w="390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本项目</w:t>
            </w:r>
            <w:r>
              <w:rPr>
                <w:rFonts w:hint="eastAsia" w:ascii="Times New Roman" w:hAnsi="Times New Roman"/>
              </w:rPr>
              <w:t>最大占标率＞</w:t>
            </w:r>
            <w:r>
              <w:rPr>
                <w:rFonts w:ascii="Times New Roman" w:hAnsi="Times New Roman"/>
              </w:rPr>
              <w:t>10%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二类区</w:t>
            </w:r>
          </w:p>
        </w:tc>
        <w:tc>
          <w:tcPr>
            <w:tcW w:w="421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本项目</w:t>
            </w:r>
            <w:r>
              <w:rPr>
                <w:rFonts w:hint="eastAsia" w:ascii="Times New Roman" w:hAnsi="Times New Roman"/>
              </w:rPr>
              <w:t>最大占标率≤</w:t>
            </w:r>
            <w:r>
              <w:rPr>
                <w:rFonts w:ascii="Times New Roman" w:hAnsi="Times New Roman"/>
              </w:rPr>
              <w:t>30%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  <w:tc>
          <w:tcPr>
            <w:tcW w:w="390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本项目</w:t>
            </w:r>
            <w:r>
              <w:rPr>
                <w:rFonts w:hint="eastAsia" w:ascii="Times New Roman" w:hAnsi="Times New Roman"/>
              </w:rPr>
              <w:t>最大占标率＞</w:t>
            </w:r>
            <w:r>
              <w:rPr>
                <w:rFonts w:ascii="Times New Roman" w:hAnsi="Times New Roman"/>
              </w:rPr>
              <w:t>30%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非正常排放</w:t>
            </w:r>
            <w:r>
              <w:rPr>
                <w:rFonts w:ascii="Times New Roman" w:hAnsi="Times New Roman"/>
              </w:rPr>
              <w:t>1h</w:t>
            </w:r>
            <w:r>
              <w:rPr>
                <w:rFonts w:hint="eastAsia" w:ascii="Times New Roman" w:hAnsi="Times New Roman"/>
              </w:rPr>
              <w:t>浓度贡献值</w:t>
            </w:r>
          </w:p>
        </w:tc>
        <w:tc>
          <w:tcPr>
            <w:tcW w:w="261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非正常持续时长（</w:t>
            </w:r>
            <w:r>
              <w:rPr>
                <w:rFonts w:ascii="Times New Roman" w:hAnsi="Times New Roman"/>
              </w:rPr>
              <w:t>0.5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4024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非正常</w:t>
            </w:r>
            <w:r>
              <w:rPr>
                <w:rFonts w:hint="eastAsia" w:ascii="Times New Roman" w:hAnsi="Times New Roman"/>
              </w:rPr>
              <w:t>占标率≤</w:t>
            </w:r>
            <w:r>
              <w:rPr>
                <w:rFonts w:ascii="Times New Roman" w:hAnsi="Times New Roman"/>
              </w:rPr>
              <w:t>100%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  <w:tc>
          <w:tcPr>
            <w:tcW w:w="3206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非正常</w:t>
            </w:r>
            <w:r>
              <w:rPr>
                <w:rFonts w:hint="eastAsia" w:ascii="Times New Roman" w:hAnsi="Times New Roman"/>
              </w:rPr>
              <w:t>占标率＞</w:t>
            </w:r>
            <w:r>
              <w:rPr>
                <w:rFonts w:ascii="Times New Roman" w:hAnsi="Times New Roman"/>
              </w:rPr>
              <w:t>100%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保证率日平均浓度和年平均浓度叠加值</w:t>
            </w:r>
          </w:p>
        </w:tc>
        <w:tc>
          <w:tcPr>
            <w:tcW w:w="59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叠加</w:t>
            </w:r>
            <w:r>
              <w:rPr>
                <w:rFonts w:hint="eastAsia" w:ascii="Times New Roman" w:hAnsi="Times New Roman"/>
              </w:rPr>
              <w:t>达标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</w:tc>
        <w:tc>
          <w:tcPr>
            <w:tcW w:w="390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hint="eastAsia" w:ascii="Times New Roman" w:hAnsi="Times New Roman"/>
                <w:vertAlign w:val="subscript"/>
              </w:rPr>
              <w:t>叠加</w:t>
            </w:r>
            <w:r>
              <w:rPr>
                <w:rFonts w:hint="eastAsia" w:ascii="Times New Roman" w:hAnsi="Times New Roman"/>
              </w:rPr>
              <w:t>不达标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区域环境质量的整体变化情况</w:t>
            </w:r>
          </w:p>
        </w:tc>
        <w:tc>
          <w:tcPr>
            <w:tcW w:w="5945" w:type="dxa"/>
            <w:gridSpan w:val="12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hakuyoxingshu7000" w:hAnsi="hakuyoxingshu7000" w:eastAsia="hakuyoxingshu7000" w:cs="hakuyoxingshu7000"/>
              </w:rPr>
              <w:t>ｋ</w:t>
            </w:r>
            <w:r>
              <w:rPr>
                <w:rFonts w:hint="eastAsia" w:ascii="Times New Roman" w:hAnsi="Times New Roman"/>
              </w:rPr>
              <w:t>≤</w:t>
            </w:r>
            <w:r>
              <w:rPr>
                <w:rFonts w:ascii="Times New Roman" w:hAnsi="Times New Roman"/>
              </w:rPr>
              <w:t>-20%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</w:tc>
        <w:tc>
          <w:tcPr>
            <w:tcW w:w="390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hakuyoxingshu7000" w:hAnsi="hakuyoxingshu7000" w:eastAsia="hakuyoxingshu7000" w:cs="hakuyoxingshu7000"/>
              </w:rPr>
              <w:t>ｋ</w:t>
            </w:r>
            <w:r>
              <w:rPr>
                <w:rFonts w:hint="eastAsia" w:ascii="Times New Roman" w:hAnsi="Times New Roman"/>
              </w:rPr>
              <w:t>＞</w:t>
            </w:r>
            <w:r>
              <w:rPr>
                <w:rFonts w:ascii="Times New Roman" w:hAnsi="Times New Roman"/>
              </w:rPr>
              <w:t>-20%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环境监测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计划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污染源监测</w:t>
            </w:r>
          </w:p>
        </w:tc>
        <w:tc>
          <w:tcPr>
            <w:tcW w:w="458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监测因子：（</w:t>
            </w:r>
            <w:r>
              <w:rPr>
                <w:rFonts w:hint="eastAsia"/>
                <w:lang w:eastAsia="zh-CN"/>
              </w:rPr>
              <w:t>非甲烷总烃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有组织废气监测</w:t>
            </w:r>
            <w:r>
              <w:rPr>
                <w:rFonts w:ascii="Times New Roman" w:hAnsi="Times New Roman"/>
                <w:szCs w:val="20"/>
              </w:rPr>
              <w:sym w:font="Wingdings" w:char="00A8"/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无组织废气监测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无监测</w:t>
            </w:r>
            <w:bookmarkStart w:id="0" w:name="OLE_LINK2"/>
            <w:bookmarkStart w:id="1" w:name="OLE_LINK3"/>
            <w:r>
              <w:rPr>
                <w:rFonts w:ascii="Times New Roman" w:hAnsi="Times New Roman"/>
                <w:szCs w:val="20"/>
              </w:rPr>
              <w:sym w:font="Wingdings" w:char="F0A8"/>
            </w:r>
            <w:bookmarkEnd w:id="0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环境质量监测</w:t>
            </w:r>
          </w:p>
        </w:tc>
        <w:tc>
          <w:tcPr>
            <w:tcW w:w="458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监测因子：（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监测点位数（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</w:rPr>
              <w:t>）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无监测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评价结论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环境影响</w:t>
            </w:r>
          </w:p>
        </w:tc>
        <w:tc>
          <w:tcPr>
            <w:tcW w:w="9847" w:type="dxa"/>
            <w:gridSpan w:val="2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可以接受</w:t>
            </w:r>
            <w:r>
              <w:rPr>
                <w:rFonts w:ascii="Times New Roman" w:hAnsi="Times New Roman"/>
                <w:szCs w:val="20"/>
              </w:rPr>
              <w:sym w:font="Wingdings" w:char="F0FE"/>
            </w:r>
            <w:r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hint="eastAsia" w:ascii="Times New Roman" w:hAnsi="Times New Roman"/>
              </w:rPr>
              <w:t>不可以接受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大气环境防护距离</w:t>
            </w:r>
          </w:p>
        </w:tc>
        <w:tc>
          <w:tcPr>
            <w:tcW w:w="9847" w:type="dxa"/>
            <w:gridSpan w:val="2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距（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四周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）厂界最远（</w:t>
            </w:r>
            <w:r>
              <w:rPr>
                <w:rFonts w:ascii="Times New Roman" w:hAnsi="Times New Roman"/>
              </w:rPr>
              <w:t xml:space="preserve">  0  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ascii="Times New Roman" w:hAnsi="Times New Roma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33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污染源年排放量</w:t>
            </w:r>
          </w:p>
        </w:tc>
        <w:tc>
          <w:tcPr>
            <w:tcW w:w="246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：（</w:t>
            </w:r>
            <w:r>
              <w:rPr>
                <w:rFonts w:ascii="Times New Roman" w:hAnsi="Times New Roman"/>
              </w:rPr>
              <w:t xml:space="preserve"> 0 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ascii="Times New Roman" w:hAnsi="Times New Roman"/>
              </w:rPr>
              <w:t>t/a</w:t>
            </w:r>
          </w:p>
        </w:tc>
        <w:tc>
          <w:tcPr>
            <w:tcW w:w="2458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：（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ascii="Times New Roman" w:hAnsi="Times New Roman"/>
              </w:rPr>
              <w:t>t/a</w:t>
            </w:r>
          </w:p>
        </w:tc>
        <w:tc>
          <w:tcPr>
            <w:tcW w:w="246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颗粒物：（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ascii="Times New Roman" w:hAnsi="Times New Roman"/>
              </w:rPr>
              <w:t>t/a</w:t>
            </w:r>
          </w:p>
        </w:tc>
        <w:tc>
          <w:tcPr>
            <w:tcW w:w="2461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VOCs</w:t>
            </w:r>
            <w:r>
              <w:rPr>
                <w:rFonts w:hint="eastAsia" w:ascii="Times New Roman" w:hAnsi="Times New Roman"/>
              </w:rPr>
              <w:t>：（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ascii="Times New Roman" w:hAnsi="Times New Roman"/>
              </w:rPr>
              <w:t>t/a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174" w:type="dxa"/>
            <w:gridSpan w:val="24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注：“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sym w:font="Wingdings" w:char="F0A8"/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”为勾选项，填“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√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”；“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”为内容填写项</w:t>
            </w:r>
          </w:p>
        </w:tc>
      </w:tr>
    </w:tbl>
    <w:p>
      <w:pPr>
        <w:jc w:val="center"/>
        <w:rPr>
          <w:rFonts w:ascii="Times New Roman" w:hAnsi="Times New Roma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</w:rPr>
      </w:pPr>
      <w:r>
        <w:rPr>
          <w:rFonts w:hint="eastAsia"/>
          <w:b/>
          <w:bCs/>
        </w:rPr>
        <w:t>附表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地表水环境影响评价自查表</w:t>
      </w:r>
    </w:p>
    <w:tbl>
      <w:tblPr>
        <w:tblStyle w:val="4"/>
        <w:tblW w:w="13826" w:type="dxa"/>
        <w:tblInd w:w="-1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"/>
        <w:gridCol w:w="2347"/>
        <w:gridCol w:w="3244"/>
        <w:gridCol w:w="1975"/>
        <w:gridCol w:w="1512"/>
        <w:gridCol w:w="2438"/>
        <w:gridCol w:w="19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工作内容</w:t>
            </w:r>
          </w:p>
        </w:tc>
        <w:tc>
          <w:tcPr>
            <w:tcW w:w="11145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自查项目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影响识别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影响类型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水污染影响型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；水文要素影响型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水环境保护目标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饮用水水源保护区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；饮用水取水口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；涉水的自然保护区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；重要湿地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；重点保护与珍稀水生生物的栖息地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；重要水生生物的自然产卵场及索饵场、越冬场和洄游通道、天然渔场等渔业水体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；涉水的风景名胜区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F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影响途径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水污染影响型</w:t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219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直接排放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；间接排放</w:t>
            </w:r>
            <w:r>
              <w:rPr>
                <w:szCs w:val="20"/>
              </w:rPr>
              <w:sym w:font="Wingdings 2" w:char="0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0052"/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水温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；径流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；水域面积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影响因子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持久性污染物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；有毒有害污染物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；非持久性污染物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</w:t>
            </w:r>
            <w:r>
              <w:t>pH</w:t>
            </w:r>
            <w:r>
              <w:rPr>
                <w:rFonts w:hint="eastAsia"/>
              </w:rPr>
              <w:t>值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；热污染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；富营养化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F0A3"/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水温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；水位（水深）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；流速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评价等级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水污染影响型</w:t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一级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；二级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；三级</w:t>
            </w:r>
            <w:r>
              <w:t>A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；三级</w:t>
            </w:r>
            <w:r>
              <w:t>B</w:t>
            </w:r>
            <w:r>
              <w:rPr>
                <w:szCs w:val="20"/>
              </w:rPr>
              <w:sym w:font="Wingdings 2" w:char="F052"/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一级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；二级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；三级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现状调查</w:t>
            </w: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区域污染源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调查项目</w:t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已建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；在建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；拟建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0052"/>
            </w:r>
          </w:p>
        </w:tc>
        <w:tc>
          <w:tcPr>
            <w:tcW w:w="19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拟替代的污染源</w:t>
            </w:r>
            <w:r>
              <w:rPr>
                <w:szCs w:val="20"/>
              </w:rPr>
              <w:sym w:font="Wingdings 2" w:char="F0A3"/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；环评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；环保验收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；既有实测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；现场监测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；入河排放口数据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受影响水体水环境质量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调查时期</w:t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丰水期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；平水期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；枯水期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；冰封期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；春季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；夏季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；秋季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；冬季</w:t>
            </w:r>
            <w:r>
              <w:rPr>
                <w:szCs w:val="20"/>
              </w:rPr>
              <w:sym w:font="Wingdings 2" w:char="F0A3"/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生态环境保护主管部门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；补充监测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区域水资源开发利用情况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未开发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；开发量</w:t>
            </w:r>
            <w:r>
              <w:t>40%</w:t>
            </w:r>
            <w:r>
              <w:rPr>
                <w:rFonts w:hint="eastAsia"/>
              </w:rPr>
              <w:t>以下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；开发量</w:t>
            </w:r>
            <w:r>
              <w:t>40%</w:t>
            </w:r>
            <w:r>
              <w:rPr>
                <w:rFonts w:hint="eastAsia"/>
              </w:rPr>
              <w:t>以上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水文情势调查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调查时期</w:t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丰水期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；平水期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；枯水期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；冰封期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；春季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；夏季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；秋季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；冬季</w:t>
            </w:r>
            <w:r>
              <w:rPr>
                <w:szCs w:val="20"/>
              </w:rPr>
              <w:sym w:font="Wingdings 2" w:char="F0A3"/>
            </w:r>
          </w:p>
        </w:tc>
        <w:tc>
          <w:tcPr>
            <w:tcW w:w="5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水行政主管部门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；补充监测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补充监测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监测时期</w:t>
            </w:r>
          </w:p>
        </w:tc>
        <w:tc>
          <w:tcPr>
            <w:tcW w:w="39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监测因子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监测断面或点位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丰水期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；平水期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；枯水期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；冰封期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；春季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；夏季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；秋季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；冬季</w:t>
            </w:r>
            <w:r>
              <w:rPr>
                <w:szCs w:val="20"/>
              </w:rPr>
              <w:sym w:font="Wingdings 2" w:char="F0A3"/>
            </w:r>
          </w:p>
        </w:tc>
        <w:tc>
          <w:tcPr>
            <w:tcW w:w="39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t>pH</w:t>
            </w:r>
            <w:r>
              <w:rPr>
                <w:rFonts w:hint="eastAsia"/>
                <w:lang w:eastAsia="zh-CN"/>
              </w:rPr>
              <w:t>、</w:t>
            </w:r>
            <w:r>
              <w:t>SS</w:t>
            </w:r>
            <w:r>
              <w:rPr>
                <w:rFonts w:hint="eastAsia"/>
                <w:lang w:eastAsia="zh-CN"/>
              </w:rPr>
              <w:t>、</w:t>
            </w:r>
            <w:r>
              <w:t>COD</w:t>
            </w:r>
            <w:r>
              <w:rPr>
                <w:rFonts w:hint="eastAsia"/>
                <w:lang w:eastAsia="zh-CN"/>
              </w:rPr>
              <w:t>、</w:t>
            </w:r>
            <w:r>
              <w:t>BOD</w:t>
            </w:r>
            <w:r>
              <w:rPr>
                <w:vertAlign w:val="subscript"/>
              </w:rPr>
              <w:t>5</w:t>
            </w:r>
            <w:r>
              <w:rPr>
                <w:rFonts w:hint="eastAsia"/>
                <w:lang w:eastAsia="zh-CN"/>
              </w:rPr>
              <w:t>、</w:t>
            </w:r>
            <w:r>
              <w:t>NH</w:t>
            </w:r>
            <w:r>
              <w:rPr>
                <w:vertAlign w:val="subscript"/>
              </w:rPr>
              <w:t>3</w:t>
            </w:r>
            <w:r>
              <w:t>-N</w:t>
            </w:r>
            <w:r>
              <w:rPr>
                <w:rFonts w:hint="eastAsia"/>
              </w:rPr>
              <w:t>）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监测断面或点位个数（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）个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现状评价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评价范围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河流：长度（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t>km</w:t>
            </w:r>
            <w:r>
              <w:rPr>
                <w:rFonts w:hint="eastAsia"/>
              </w:rPr>
              <w:t>；湖库、河口及近岸海域：面积（</w:t>
            </w:r>
            <w:r>
              <w:t xml:space="preserve">  </w:t>
            </w:r>
            <w:r>
              <w:rPr>
                <w:rFonts w:hint="eastAsia"/>
              </w:rPr>
              <w:t>）</w:t>
            </w:r>
            <w:r>
              <w:t>km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评价因子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pH</w:t>
            </w:r>
            <w:r>
              <w:rPr>
                <w:rFonts w:hint="eastAsia"/>
                <w:lang w:eastAsia="zh-CN"/>
              </w:rPr>
              <w:t>、</w:t>
            </w:r>
            <w:r>
              <w:t>SS</w:t>
            </w:r>
            <w:r>
              <w:rPr>
                <w:rFonts w:hint="eastAsia"/>
                <w:lang w:eastAsia="zh-CN"/>
              </w:rPr>
              <w:t>、</w:t>
            </w:r>
            <w:r>
              <w:t>COD</w:t>
            </w:r>
            <w:r>
              <w:rPr>
                <w:rFonts w:hint="eastAsia"/>
                <w:lang w:eastAsia="zh-CN"/>
              </w:rPr>
              <w:t>、</w:t>
            </w:r>
            <w:r>
              <w:t>BOD</w:t>
            </w:r>
            <w:r>
              <w:rPr>
                <w:vertAlign w:val="subscript"/>
              </w:rPr>
              <w:t>5</w:t>
            </w:r>
            <w:r>
              <w:rPr>
                <w:rFonts w:hint="eastAsia"/>
                <w:lang w:eastAsia="zh-CN"/>
              </w:rPr>
              <w:t>、</w:t>
            </w:r>
            <w:r>
              <w:t>NH</w:t>
            </w:r>
            <w:r>
              <w:rPr>
                <w:vertAlign w:val="subscript"/>
              </w:rPr>
              <w:t>3</w:t>
            </w:r>
            <w:r>
              <w:t>-N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河流、湖库、河口：Ⅰ类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；Ⅱ类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；Ⅲ类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；Ⅳ类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；Ⅴ类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近岸海域：第一类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；第二类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；第三类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；第四类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规划年评价标准（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评价时期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丰水期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；平水期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；枯水期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；冰封期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；春季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；夏季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；秋季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；冬季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评价结论</w:t>
            </w:r>
          </w:p>
        </w:tc>
        <w:tc>
          <w:tcPr>
            <w:tcW w:w="9169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水环境功能区或水功能区、近岸海域环境功能区水质达标状况：达标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；不达标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水环境控制单元或断面水质达标状况：达标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；不达标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水环境保护目标质量状况：达标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；不达标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对照断面、控制断面等代表性断面的水质状况：达标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；不达标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底泥污染评价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水资源与开发利用程度及其水文情势评价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水环境质量回顾评价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流域（区域）水资源（包括水能资源）与开发利用总体状况、生态流量管理要求与现状满足程度、建设项目占用水域空间的水流状况与河湖演变状况</w:t>
            </w:r>
            <w:r>
              <w:rPr>
                <w:szCs w:val="20"/>
              </w:rPr>
              <w:sym w:font="Wingdings 2" w:char="F0A3"/>
            </w:r>
          </w:p>
        </w:tc>
        <w:tc>
          <w:tcPr>
            <w:tcW w:w="197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达标区</w:t>
            </w:r>
            <w:r>
              <w:rPr>
                <w:szCs w:val="20"/>
              </w:rPr>
              <w:sym w:font="Wingdings 2" w:char="0052"/>
            </w:r>
          </w:p>
          <w:p>
            <w:pPr>
              <w:jc w:val="left"/>
            </w:pPr>
            <w:r>
              <w:rPr>
                <w:rFonts w:hint="eastAsia"/>
              </w:rPr>
              <w:t>不达标区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影响预测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预测范围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河流：长度（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km</w:t>
            </w:r>
            <w:r>
              <w:rPr>
                <w:rFonts w:hint="eastAsia"/>
              </w:rPr>
              <w:t>；湖库、河口及近岸海域：面积（</w:t>
            </w:r>
            <w:r>
              <w:t xml:space="preserve">  </w:t>
            </w:r>
            <w:r>
              <w:rPr>
                <w:rFonts w:hint="eastAsia"/>
              </w:rPr>
              <w:t>）</w:t>
            </w:r>
            <w:r>
              <w:t>km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预测因子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预测时期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丰水期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；平水期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；枯水期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；冰封期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；春季</w:t>
            </w:r>
            <w:r>
              <w:rPr>
                <w:szCs w:val="20"/>
              </w:rPr>
              <w:sym w:font="Wingdings 2" w:char="0052"/>
            </w:r>
            <w:r>
              <w:rPr>
                <w:rFonts w:hint="eastAsia"/>
              </w:rPr>
              <w:t>；夏季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；秋季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；冬季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设计水文条件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预测情景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建设期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；生产运行期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；服务期满后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正常工况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；非正常工况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污染控制和减缓措施方案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区（流）域环境质量改善目标要求情景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预测方法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数值解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；解析解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导则推荐模式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：其他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影响评价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水污染控制和水环境影响减缓措施有效性评价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区（流）域环境质量改善目标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；替代削减源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水环境影响评价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排放口混合区外满足水环境管理要求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水环境功能区或水功能区、近岸海域环境功能区水质达标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满足水环境保护目标水域水环境质量要求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水环境控制单元或断面水质达标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满足重点水污染物排放总量控制指标要求，重点行业建设项目，主要污染物排放满足等量或减量替代要求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满足区（流）域水环境质量改善目标要求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水文要素影响型建设项目同时应包括水文情势变化评价、主要水文特征值影响评价、生态流量符合性评价</w:t>
            </w:r>
            <w:r>
              <w:rPr>
                <w:szCs w:val="20"/>
              </w:rPr>
              <w:sym w:font="Wingdings 2" w:char="0052"/>
            </w:r>
          </w:p>
          <w:p>
            <w:pPr>
              <w:jc w:val="left"/>
            </w:pPr>
            <w:r>
              <w:rPr>
                <w:rFonts w:hint="eastAsia"/>
              </w:rPr>
              <w:t>对于新设或调整入河（湖库、近岸海域）排放口的建设项目，应包括排放口设置的环境合理性评价</w:t>
            </w:r>
            <w:r>
              <w:rPr>
                <w:szCs w:val="20"/>
              </w:rPr>
              <w:sym w:font="Wingdings 2" w:char="F0A3"/>
            </w:r>
          </w:p>
          <w:p>
            <w:pPr>
              <w:jc w:val="left"/>
            </w:pPr>
            <w:r>
              <w:rPr>
                <w:rFonts w:hint="eastAsia"/>
              </w:rPr>
              <w:t>满足生态环境保护红线、水环境质量底线、资源利用上线和环境准入清单管理要求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污染源排放核算</w:t>
            </w:r>
          </w:p>
        </w:tc>
        <w:tc>
          <w:tcPr>
            <w:tcW w:w="32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污染物名称</w:t>
            </w:r>
          </w:p>
        </w:tc>
        <w:tc>
          <w:tcPr>
            <w:tcW w:w="34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排放量</w:t>
            </w:r>
            <w:r>
              <w:t>/</w:t>
            </w:r>
            <w:r>
              <w:rPr>
                <w:rFonts w:hint="eastAsia"/>
              </w:rPr>
              <w:t>（</w:t>
            </w:r>
            <w:r>
              <w:t>t/a</w:t>
            </w:r>
            <w:r>
              <w:rPr>
                <w:rFonts w:hint="eastAsia"/>
              </w:rPr>
              <w:t>）</w:t>
            </w:r>
          </w:p>
        </w:tc>
        <w:tc>
          <w:tcPr>
            <w:tcW w:w="44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排放浓度</w:t>
            </w:r>
            <w:r>
              <w:t>/</w:t>
            </w:r>
            <w:r>
              <w:rPr>
                <w:rFonts w:hint="eastAsia"/>
              </w:rPr>
              <w:t>（</w:t>
            </w:r>
            <w:r>
              <w:t>mg/L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34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44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替代源排放情况</w:t>
            </w:r>
          </w:p>
        </w:tc>
        <w:tc>
          <w:tcPr>
            <w:tcW w:w="3244" w:type="dxa"/>
            <w:vAlign w:val="center"/>
          </w:tcPr>
          <w:p>
            <w:pPr>
              <w:tabs>
                <w:tab w:val="left" w:pos="1017"/>
              </w:tabs>
              <w:jc w:val="left"/>
            </w:pPr>
            <w:r>
              <w:rPr>
                <w:rFonts w:hint="eastAsia"/>
              </w:rPr>
              <w:t>污染源名称</w:t>
            </w:r>
          </w:p>
        </w:tc>
        <w:tc>
          <w:tcPr>
            <w:tcW w:w="19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排污许可证编号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污染物名称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排放量</w:t>
            </w:r>
            <w:r>
              <w:t>/</w:t>
            </w:r>
            <w:r>
              <w:rPr>
                <w:rFonts w:hint="eastAsia"/>
              </w:rPr>
              <w:t>（</w:t>
            </w:r>
            <w:r>
              <w:t>t/a</w:t>
            </w:r>
            <w:r>
              <w:rPr>
                <w:rFonts w:hint="eastAsia"/>
              </w:rPr>
              <w:t>）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排放浓度</w:t>
            </w:r>
            <w:r>
              <w:t>/</w:t>
            </w:r>
            <w:r>
              <w:rPr>
                <w:rFonts w:hint="eastAsia"/>
              </w:rPr>
              <w:t>（</w:t>
            </w:r>
            <w:r>
              <w:t>mg/L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（）</w:t>
            </w:r>
          </w:p>
        </w:tc>
        <w:tc>
          <w:tcPr>
            <w:tcW w:w="19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（）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（）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（）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生态流量确定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生态流量：一般水期（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/s</w:t>
            </w:r>
            <w:r>
              <w:rPr>
                <w:rFonts w:hint="eastAsia"/>
              </w:rPr>
              <w:t>；鱼类繁殖期（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/s</w:t>
            </w:r>
            <w:r>
              <w:rPr>
                <w:rFonts w:hint="eastAsia"/>
              </w:rPr>
              <w:t>；其他（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/s</w:t>
            </w:r>
          </w:p>
          <w:p>
            <w:pPr>
              <w:jc w:val="left"/>
            </w:pPr>
            <w:r>
              <w:rPr>
                <w:rFonts w:hint="eastAsia"/>
              </w:rPr>
              <w:t>生态水位：一般水期（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m</w:t>
            </w:r>
            <w:r>
              <w:rPr>
                <w:rFonts w:hint="eastAsia"/>
              </w:rPr>
              <w:t>；鱼类繁殖期（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m</w:t>
            </w:r>
            <w:r>
              <w:rPr>
                <w:rFonts w:hint="eastAsia"/>
              </w:rPr>
              <w:t>；其他（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m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防治措施</w:t>
            </w: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环保措施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污水处理设施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；水文减缓设施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；生态流量保障措施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；区域削减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；依托其他工程措施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；其他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监测计划</w:t>
            </w:r>
          </w:p>
        </w:tc>
        <w:tc>
          <w:tcPr>
            <w:tcW w:w="3244" w:type="dxa"/>
            <w:vAlign w:val="center"/>
          </w:tcPr>
          <w:p>
            <w:pPr>
              <w:jc w:val="center"/>
            </w:pPr>
          </w:p>
        </w:tc>
        <w:tc>
          <w:tcPr>
            <w:tcW w:w="34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环境质量</w:t>
            </w:r>
          </w:p>
        </w:tc>
        <w:tc>
          <w:tcPr>
            <w:tcW w:w="44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污染源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监测方式</w:t>
            </w:r>
          </w:p>
        </w:tc>
        <w:tc>
          <w:tcPr>
            <w:tcW w:w="34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手动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；自动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；无监测</w:t>
            </w:r>
            <w:r>
              <w:rPr>
                <w:szCs w:val="20"/>
              </w:rPr>
              <w:sym w:font="Wingdings 2" w:char="F052"/>
            </w:r>
          </w:p>
        </w:tc>
        <w:tc>
          <w:tcPr>
            <w:tcW w:w="44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手动</w:t>
            </w:r>
            <w:r>
              <w:rPr>
                <w:szCs w:val="20"/>
              </w:rPr>
              <w:sym w:font="Wingdings 2" w:char="00A3"/>
            </w:r>
            <w:r>
              <w:rPr>
                <w:rFonts w:hint="eastAsia"/>
              </w:rPr>
              <w:t>；自动</w:t>
            </w:r>
            <w:r>
              <w:rPr>
                <w:szCs w:val="20"/>
              </w:rPr>
              <w:sym w:font="Wingdings 2" w:char="F0A3"/>
            </w:r>
            <w:r>
              <w:rPr>
                <w:rFonts w:hint="eastAsia"/>
              </w:rPr>
              <w:t>；无监测</w:t>
            </w:r>
            <w:r>
              <w:rPr>
                <w:szCs w:val="20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监测点位</w:t>
            </w:r>
          </w:p>
        </w:tc>
        <w:tc>
          <w:tcPr>
            <w:tcW w:w="34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场内地表水</w:t>
            </w:r>
            <w:r>
              <w:rPr>
                <w:rFonts w:hint="eastAsia"/>
              </w:rPr>
              <w:t>）</w:t>
            </w:r>
          </w:p>
        </w:tc>
        <w:tc>
          <w:tcPr>
            <w:tcW w:w="44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污水处理设施排口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监测因子</w:t>
            </w:r>
          </w:p>
        </w:tc>
        <w:tc>
          <w:tcPr>
            <w:tcW w:w="348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t>pH</w:t>
            </w:r>
            <w:r>
              <w:rPr>
                <w:rFonts w:hint="eastAsia"/>
                <w:lang w:eastAsia="zh-CN"/>
              </w:rPr>
              <w:t>、</w:t>
            </w:r>
            <w:r>
              <w:t>SS</w:t>
            </w:r>
            <w:r>
              <w:rPr>
                <w:rFonts w:hint="eastAsia"/>
                <w:lang w:eastAsia="zh-CN"/>
              </w:rPr>
              <w:t>、</w:t>
            </w:r>
            <w:r>
              <w:t>COD</w:t>
            </w:r>
            <w:r>
              <w:rPr>
                <w:rFonts w:hint="eastAsia"/>
                <w:lang w:eastAsia="zh-CN"/>
              </w:rPr>
              <w:t>、</w:t>
            </w:r>
            <w:r>
              <w:t>BOD</w:t>
            </w:r>
            <w:r>
              <w:rPr>
                <w:vertAlign w:val="subscript"/>
              </w:rPr>
              <w:t>5</w:t>
            </w:r>
            <w:r>
              <w:rPr>
                <w:rFonts w:hint="eastAsia"/>
                <w:lang w:eastAsia="zh-CN"/>
              </w:rPr>
              <w:t>、</w:t>
            </w:r>
            <w:r>
              <w:t>NH</w:t>
            </w:r>
            <w:r>
              <w:rPr>
                <w:vertAlign w:val="subscript"/>
              </w:rPr>
              <w:t>3</w:t>
            </w:r>
            <w:r>
              <w:t>-N</w:t>
            </w:r>
            <w:r>
              <w:rPr>
                <w:rFonts w:hint="eastAsia"/>
              </w:rPr>
              <w:t>）</w:t>
            </w:r>
          </w:p>
        </w:tc>
        <w:tc>
          <w:tcPr>
            <w:tcW w:w="44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t>pH</w:t>
            </w:r>
            <w:r>
              <w:rPr>
                <w:rFonts w:hint="eastAsia"/>
                <w:lang w:eastAsia="zh-CN"/>
              </w:rPr>
              <w:t>、</w:t>
            </w:r>
            <w:r>
              <w:t>SS</w:t>
            </w:r>
            <w:r>
              <w:rPr>
                <w:rFonts w:hint="eastAsia"/>
                <w:lang w:eastAsia="zh-CN"/>
              </w:rPr>
              <w:t>、</w:t>
            </w:r>
            <w:r>
              <w:t>COD</w:t>
            </w:r>
            <w:r>
              <w:rPr>
                <w:rFonts w:hint="eastAsia"/>
                <w:lang w:eastAsia="zh-CN"/>
              </w:rPr>
              <w:t>、</w:t>
            </w:r>
            <w:r>
              <w:t>BOD</w:t>
            </w:r>
            <w:r>
              <w:rPr>
                <w:vertAlign w:val="subscript"/>
              </w:rPr>
              <w:t>5</w:t>
            </w:r>
            <w:r>
              <w:rPr>
                <w:rFonts w:hint="eastAsia"/>
                <w:lang w:eastAsia="zh-CN"/>
              </w:rPr>
              <w:t>、</w:t>
            </w:r>
            <w:r>
              <w:t>NH</w:t>
            </w:r>
            <w:r>
              <w:rPr>
                <w:vertAlign w:val="subscript"/>
              </w:rPr>
              <w:t>3</w:t>
            </w:r>
            <w:r>
              <w:t>-N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污染物排放清单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评价结论</w:t>
            </w:r>
          </w:p>
        </w:tc>
        <w:tc>
          <w:tcPr>
            <w:tcW w:w="111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可以接受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/>
              </w:rPr>
              <w:t>；不可以接受</w:t>
            </w:r>
            <w:r>
              <w:rPr>
                <w:szCs w:val="20"/>
              </w:rPr>
              <w:sym w:font="Wingdings 2" w:char="F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6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注：“”未勾选项，可√；“（</w:t>
            </w:r>
            <w:r>
              <w:t xml:space="preserve">  </w:t>
            </w:r>
            <w:r>
              <w:rPr>
                <w:rFonts w:hint="eastAsia"/>
              </w:rPr>
              <w:t>）”为内容填写项；“备注”为其他补充内容</w:t>
            </w:r>
          </w:p>
        </w:tc>
      </w:tr>
    </w:tbl>
    <w:p>
      <w:pPr>
        <w:jc w:val="center"/>
        <w:rPr>
          <w:rFonts w:ascii="Times New Roman" w:hAnsi="Times New Roma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/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表</w:t>
      </w:r>
      <w:r>
        <w:rPr>
          <w:rFonts w:hint="eastAsia"/>
          <w:b/>
          <w:sz w:val="24"/>
          <w:szCs w:val="24"/>
          <w:lang w:val="en-US" w:eastAsia="zh-CN"/>
        </w:rPr>
        <w:t xml:space="preserve">3  </w:t>
      </w:r>
      <w:r>
        <w:rPr>
          <w:rFonts w:hint="eastAsia"/>
          <w:b/>
          <w:sz w:val="24"/>
          <w:szCs w:val="24"/>
        </w:rPr>
        <w:t>环境</w:t>
      </w:r>
      <w:r>
        <w:rPr>
          <w:b/>
          <w:sz w:val="24"/>
          <w:szCs w:val="24"/>
        </w:rPr>
        <w:t>风险评价自查表</w:t>
      </w:r>
    </w:p>
    <w:tbl>
      <w:tblPr>
        <w:tblStyle w:val="5"/>
        <w:tblW w:w="97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04"/>
        <w:gridCol w:w="1403"/>
        <w:gridCol w:w="1152"/>
        <w:gridCol w:w="527"/>
        <w:gridCol w:w="509"/>
        <w:gridCol w:w="468"/>
        <w:gridCol w:w="525"/>
        <w:gridCol w:w="851"/>
        <w:gridCol w:w="1005"/>
        <w:gridCol w:w="837"/>
        <w:gridCol w:w="8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工作内容</w:t>
            </w:r>
          </w:p>
        </w:tc>
        <w:tc>
          <w:tcPr>
            <w:tcW w:w="811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风险调查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危险物质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名称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汽油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柴油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存在总量/t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40</w:t>
            </w:r>
            <w:bookmarkStart w:id="2" w:name="_GoBack"/>
            <w:bookmarkEnd w:id="2"/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环境敏感性</w:t>
            </w:r>
          </w:p>
        </w:tc>
        <w:tc>
          <w:tcPr>
            <w:tcW w:w="140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</w:t>
            </w:r>
          </w:p>
        </w:tc>
        <w:tc>
          <w:tcPr>
            <w:tcW w:w="3181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500m范围内人口数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人</w:t>
            </w:r>
          </w:p>
        </w:tc>
        <w:tc>
          <w:tcPr>
            <w:tcW w:w="353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5km范围内人口数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03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每公里管段周边200m范围内人口数（最大）</w:t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地表水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地表水功能敏感性</w:t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F1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F2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F3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环境敏感目标分级</w:t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S1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S2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S3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地下水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地下水功能敏感性</w:t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G1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G2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G3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包气带防污性能</w:t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D1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D2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D3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物质及工艺系统危险性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Q值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Q＜1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1≤Q＜10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10≤Q＜100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Q＞100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M值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M1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M2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M3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M4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P值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P1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P2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P3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P4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环境敏感程度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35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6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地表水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35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6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地下水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E1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35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E2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6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E3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环境风险潜势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IV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+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IV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III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II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I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</w:t>
            </w:r>
          </w:p>
        </w:tc>
        <w:tc>
          <w:tcPr>
            <w:tcW w:w="308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一级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50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二级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三级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16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简单分析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风 险 识 别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物质危险性</w:t>
            </w:r>
          </w:p>
        </w:tc>
        <w:tc>
          <w:tcPr>
            <w:tcW w:w="4059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有毒有害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4057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易燃易爆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环境风险类型</w:t>
            </w:r>
          </w:p>
        </w:tc>
        <w:tc>
          <w:tcPr>
            <w:tcW w:w="308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泄漏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  <w:tc>
          <w:tcPr>
            <w:tcW w:w="50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火灾、爆炸引发伴生/次生污染物排放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影响途径</w:t>
            </w:r>
          </w:p>
        </w:tc>
        <w:tc>
          <w:tcPr>
            <w:tcW w:w="308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大气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52"/>
            </w:r>
          </w:p>
        </w:tc>
        <w:tc>
          <w:tcPr>
            <w:tcW w:w="235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地表水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6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地下水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事故情形分析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源强设定方法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计算法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35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经验估算法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6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其他估算法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风 险 预 测 与 评 价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预测模型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SLAB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35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AFTOX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  <w:tc>
          <w:tcPr>
            <w:tcW w:w="26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其他 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预测结果</w:t>
            </w:r>
          </w:p>
        </w:tc>
        <w:tc>
          <w:tcPr>
            <w:tcW w:w="671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大气毒性终点浓度-1 最大影响范围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71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大气毒性终点浓度-2 最大影响范围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地表水</w:t>
            </w:r>
          </w:p>
        </w:tc>
        <w:tc>
          <w:tcPr>
            <w:tcW w:w="811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最近环境敏感目标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，到达时间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地下水</w:t>
            </w:r>
          </w:p>
        </w:tc>
        <w:tc>
          <w:tcPr>
            <w:tcW w:w="811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下游厂区边界到达时间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1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最近环境敏感目标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，到达时间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重点风险防范措施</w:t>
            </w:r>
          </w:p>
        </w:tc>
        <w:tc>
          <w:tcPr>
            <w:tcW w:w="8116" w:type="dxa"/>
            <w:gridSpan w:val="1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评价结论与建议</w:t>
            </w:r>
          </w:p>
        </w:tc>
        <w:tc>
          <w:tcPr>
            <w:tcW w:w="8116" w:type="dxa"/>
            <w:gridSpan w:val="1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21"/>
                <w:szCs w:val="24"/>
                <w:lang w:val="en-US" w:eastAsia="zh-CN"/>
              </w:rPr>
              <w:t>项目环境风险是可以接受的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4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注：“</w:t>
            </w:r>
            <w:r>
              <w:rPr>
                <w:rFonts w:ascii="Times New Roman" w:hAnsi="Times New Roman" w:eastAsia="宋体" w:cs="Times New Roman"/>
                <w:sz w:val="18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”为勾选项，“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  <w:t xml:space="preserve">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”为填写项</w:t>
            </w:r>
          </w:p>
        </w:tc>
      </w:tr>
    </w:tbl>
    <w:p>
      <w:pPr>
        <w:jc w:val="center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E3C7B98"/>
    <w:rsid w:val="000E47F3"/>
    <w:rsid w:val="00184BEC"/>
    <w:rsid w:val="001C3210"/>
    <w:rsid w:val="00213876"/>
    <w:rsid w:val="00215066"/>
    <w:rsid w:val="003B0792"/>
    <w:rsid w:val="004353A1"/>
    <w:rsid w:val="004E4DAD"/>
    <w:rsid w:val="00A9549D"/>
    <w:rsid w:val="00B50D09"/>
    <w:rsid w:val="00BE0851"/>
    <w:rsid w:val="00D50541"/>
    <w:rsid w:val="00D66792"/>
    <w:rsid w:val="00DD19EE"/>
    <w:rsid w:val="00E543A3"/>
    <w:rsid w:val="00E62936"/>
    <w:rsid w:val="0E3C7B98"/>
    <w:rsid w:val="12557425"/>
    <w:rsid w:val="16340628"/>
    <w:rsid w:val="197669C2"/>
    <w:rsid w:val="1E121F0E"/>
    <w:rsid w:val="30C330A2"/>
    <w:rsid w:val="30D1068D"/>
    <w:rsid w:val="32DD60E8"/>
    <w:rsid w:val="47F91CD0"/>
    <w:rsid w:val="52C32222"/>
    <w:rsid w:val="56EB060E"/>
    <w:rsid w:val="58E87FB2"/>
    <w:rsid w:val="5C546F19"/>
    <w:rsid w:val="5D7D179E"/>
    <w:rsid w:val="7669461E"/>
    <w:rsid w:val="7F27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Calibri" w:eastAsia="楷体" w:cs="楷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1"/>
    <w:pPr>
      <w:spacing w:before="157" w:beforeLines="0" w:afterLines="0"/>
      <w:ind w:left="118"/>
    </w:pPr>
    <w:rPr>
      <w:rFonts w:hint="eastAsia" w:ascii="宋体" w:hAnsi="宋体" w:eastAsia="宋体"/>
      <w:sz w:val="21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内容"/>
    <w:basedOn w:val="1"/>
    <w:qFormat/>
    <w:uiPriority w:val="99"/>
    <w:pPr>
      <w:spacing w:line="360" w:lineRule="auto"/>
      <w:ind w:firstLine="200" w:firstLineChars="200"/>
    </w:pPr>
    <w:rPr>
      <w:kern w:val="0"/>
      <w:sz w:val="24"/>
      <w:szCs w:val="21"/>
    </w:rPr>
  </w:style>
  <w:style w:type="paragraph" w:customStyle="1" w:styleId="8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paragraph" w:customStyle="1" w:styleId="9">
    <w:name w:val="环评正文"/>
    <w:basedOn w:val="1"/>
    <w:qFormat/>
    <w:uiPriority w:val="0"/>
    <w:pPr>
      <w:spacing w:beforeLines="30" w:after="100" w:afterAutospacing="1"/>
      <w:ind w:firstLine="480" w:firstLineChars="200"/>
    </w:pPr>
    <w:rPr>
      <w:rFonts w:ascii="Tahoma" w:hAnsi="Tahoma" w:cs="Tahoma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662</Words>
  <Characters>3780</Characters>
  <Lines>0</Lines>
  <Paragraphs>0</Paragraphs>
  <TotalTime>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2018-11-06T07:26:00Z</dcterms:created>
  <dc:creator>Administrator</dc:creator>
  <cp:lastModifiedBy>FY</cp:lastModifiedBy>
  <dcterms:modified xsi:type="dcterms:W3CDTF">2020-03-13T12:48:20Z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