
<file path=[Content_Types].xml><?xml version="1.0" encoding="utf-8"?>
<Types xmlns="http://schemas.openxmlformats.org/package/2006/content-types">
  <Default Extension="xml" ContentType="application/xml"/>
  <Default Extension="bin" ContentType="application/vnd.openxmlformats-officedocument.oleObject"/>
  <Default Extension="jpeg" ContentType="image/jpeg"/>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10.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header1.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pStyle w:val="32"/>
        <w:spacing w:before="0" w:beforeAutospacing="0" w:after="120" w:afterAutospacing="0"/>
        <w:rPr>
          <w:rFonts w:ascii="Times New Roman" w:hAnsi="Times New Roman" w:cs="Times New Roman"/>
          <w:color w:val="FF0000"/>
        </w:rPr>
      </w:pPr>
    </w:p>
    <w:p>
      <w:pPr>
        <w:pStyle w:val="32"/>
        <w:spacing w:before="0" w:beforeAutospacing="0" w:after="120" w:afterAutospacing="0"/>
        <w:rPr>
          <w:rFonts w:ascii="Times New Roman" w:hAnsi="Times New Roman" w:cs="Times New Roman"/>
        </w:rPr>
      </w:pPr>
    </w:p>
    <w:p>
      <w:pPr>
        <w:pStyle w:val="32"/>
        <w:spacing w:before="0" w:beforeAutospacing="0" w:after="120" w:afterAutospacing="0"/>
        <w:rPr>
          <w:rFonts w:ascii="Times New Roman" w:hAnsi="Times New Roman" w:cs="Times New Roman"/>
          <w:color w:val="FF0000"/>
        </w:rPr>
      </w:pPr>
    </w:p>
    <w:p>
      <w:pPr>
        <w:pStyle w:val="32"/>
        <w:spacing w:before="0" w:beforeAutospacing="0" w:after="120" w:afterAutospacing="0"/>
        <w:rPr>
          <w:rFonts w:ascii="Times New Roman" w:hAnsi="Times New Roman" w:cs="Times New Roman"/>
          <w:color w:val="FF0000"/>
        </w:rPr>
      </w:pPr>
    </w:p>
    <w:p>
      <w:pPr>
        <w:pStyle w:val="32"/>
        <w:spacing w:before="0" w:beforeAutospacing="0" w:after="120" w:afterAutospacing="0"/>
        <w:rPr>
          <w:rFonts w:ascii="Times New Roman" w:hAnsi="Times New Roman" w:cs="Times New Roman"/>
          <w:color w:val="FF0000"/>
        </w:rPr>
      </w:pPr>
    </w:p>
    <w:p>
      <w:pPr>
        <w:pStyle w:val="32"/>
        <w:spacing w:before="0" w:beforeAutospacing="0" w:after="120" w:afterAutospacing="0"/>
        <w:rPr>
          <w:rFonts w:ascii="Times New Roman" w:hAnsi="Times New Roman" w:cs="Times New Roman"/>
          <w:color w:val="FF0000"/>
        </w:rPr>
      </w:pPr>
    </w:p>
    <w:p>
      <w:pPr>
        <w:pStyle w:val="32"/>
        <w:spacing w:before="0" w:beforeAutospacing="0" w:after="120" w:afterAutospacing="0"/>
        <w:rPr>
          <w:rFonts w:ascii="Times New Roman" w:hAnsi="Times New Roman" w:cs="Times New Roman"/>
          <w:color w:val="FF0000"/>
          <w:sz w:val="30"/>
          <w:szCs w:val="30"/>
        </w:rPr>
      </w:pPr>
    </w:p>
    <w:p>
      <w:pPr>
        <w:pStyle w:val="32"/>
        <w:spacing w:before="0" w:beforeAutospacing="0" w:after="0" w:afterAutospacing="0" w:line="720" w:lineRule="auto"/>
        <w:jc w:val="distribute"/>
        <w:rPr>
          <w:rFonts w:ascii="Times New Roman" w:hAnsi="Times New Roman" w:cs="Times New Roman"/>
          <w:b/>
          <w:bCs/>
          <w:kern w:val="2"/>
          <w:sz w:val="32"/>
          <w:szCs w:val="32"/>
        </w:rPr>
      </w:pPr>
      <w:r>
        <w:rPr>
          <w:rFonts w:hint="eastAsia" w:ascii="Times New Roman" w:hAnsi="Times New Roman" w:cs="Times New Roman"/>
          <w:b/>
          <w:bCs/>
          <w:kern w:val="2"/>
          <w:sz w:val="32"/>
          <w:szCs w:val="32"/>
        </w:rPr>
        <w:t>岳阳市饮用水源保护区（铁山水库-北干渠-金凤水库）</w:t>
      </w:r>
    </w:p>
    <w:p>
      <w:pPr>
        <w:pStyle w:val="32"/>
        <w:spacing w:before="0" w:beforeAutospacing="0" w:after="0" w:afterAutospacing="0" w:line="720" w:lineRule="auto"/>
        <w:jc w:val="distribute"/>
        <w:rPr>
          <w:rFonts w:ascii="Times New Roman" w:hAnsi="Times New Roman" w:cs="Times New Roman"/>
          <w:b/>
          <w:bCs/>
          <w:kern w:val="2"/>
          <w:sz w:val="72"/>
          <w:szCs w:val="72"/>
        </w:rPr>
      </w:pPr>
      <w:r>
        <w:rPr>
          <w:rFonts w:hint="eastAsia" w:ascii="Times New Roman" w:hAnsi="Times New Roman" w:cs="Times New Roman"/>
          <w:b/>
          <w:bCs/>
          <w:kern w:val="2"/>
          <w:sz w:val="72"/>
          <w:szCs w:val="72"/>
        </w:rPr>
        <w:t>突发环境事件应急预案</w:t>
      </w:r>
    </w:p>
    <w:p>
      <w:pPr>
        <w:pStyle w:val="32"/>
        <w:spacing w:before="0" w:beforeAutospacing="0" w:after="120" w:afterAutospacing="0" w:line="720" w:lineRule="auto"/>
        <w:jc w:val="right"/>
        <w:rPr>
          <w:rFonts w:ascii="Times New Roman" w:hAnsi="Times New Roman" w:cs="Times New Roman"/>
          <w:b/>
          <w:bCs/>
          <w:kern w:val="2"/>
          <w:sz w:val="28"/>
          <w:szCs w:val="28"/>
        </w:rPr>
      </w:pPr>
    </w:p>
    <w:p>
      <w:pPr>
        <w:pStyle w:val="32"/>
        <w:spacing w:before="0" w:beforeAutospacing="0" w:after="120" w:afterAutospacing="0" w:line="720" w:lineRule="auto"/>
        <w:jc w:val="right"/>
        <w:rPr>
          <w:rFonts w:ascii="Times New Roman" w:hAnsi="Times New Roman" w:cs="Times New Roman"/>
          <w:b/>
          <w:bCs/>
          <w:kern w:val="2"/>
          <w:sz w:val="28"/>
          <w:szCs w:val="28"/>
        </w:rPr>
      </w:pPr>
    </w:p>
    <w:p>
      <w:pPr>
        <w:pStyle w:val="32"/>
        <w:spacing w:before="0" w:beforeAutospacing="0" w:after="120" w:afterAutospacing="0" w:line="720" w:lineRule="auto"/>
        <w:jc w:val="right"/>
        <w:rPr>
          <w:rFonts w:ascii="Times New Roman" w:hAnsi="Times New Roman" w:cs="Times New Roman"/>
          <w:b/>
          <w:bCs/>
          <w:kern w:val="2"/>
          <w:sz w:val="28"/>
          <w:szCs w:val="28"/>
        </w:rPr>
      </w:pPr>
    </w:p>
    <w:p>
      <w:pPr>
        <w:pStyle w:val="32"/>
        <w:spacing w:before="0" w:beforeAutospacing="0" w:after="120" w:afterAutospacing="0" w:line="720" w:lineRule="auto"/>
        <w:jc w:val="right"/>
        <w:rPr>
          <w:rFonts w:ascii="Times New Roman" w:hAnsi="Times New Roman" w:cs="Times New Roman"/>
          <w:b/>
          <w:bCs/>
          <w:kern w:val="2"/>
          <w:sz w:val="28"/>
          <w:szCs w:val="28"/>
        </w:rPr>
      </w:pPr>
    </w:p>
    <w:p>
      <w:pPr>
        <w:pStyle w:val="32"/>
        <w:spacing w:before="0" w:beforeAutospacing="0" w:after="0" w:afterAutospacing="0"/>
        <w:jc w:val="center"/>
        <w:rPr>
          <w:rFonts w:ascii="Times New Roman" w:hAnsi="Times New Roman" w:cs="Times New Roman"/>
          <w:b/>
          <w:bCs/>
          <w:kern w:val="2"/>
          <w:sz w:val="28"/>
          <w:szCs w:val="28"/>
        </w:rPr>
      </w:pPr>
      <w:r>
        <w:rPr>
          <w:rFonts w:hint="eastAsia" w:ascii="Times New Roman" w:hAnsi="Times New Roman" w:cs="Times New Roman"/>
          <w:b/>
          <w:bCs/>
          <w:kern w:val="2"/>
          <w:sz w:val="28"/>
          <w:szCs w:val="28"/>
        </w:rPr>
        <w:t>岳阳市人民政府</w:t>
      </w:r>
    </w:p>
    <w:p>
      <w:pPr>
        <w:pStyle w:val="32"/>
        <w:spacing w:before="0" w:beforeAutospacing="0" w:after="0" w:afterAutospacing="0"/>
        <w:jc w:val="center"/>
        <w:rPr>
          <w:rFonts w:ascii="Times New Roman" w:hAnsi="Times New Roman" w:cs="Times New Roman"/>
          <w:b/>
          <w:bCs/>
          <w:kern w:val="2"/>
          <w:sz w:val="28"/>
          <w:szCs w:val="28"/>
        </w:rPr>
      </w:pPr>
      <w:r>
        <w:rPr>
          <w:rFonts w:hint="eastAsia" w:ascii="Times New Roman" w:hAnsi="Times New Roman" w:cs="Times New Roman"/>
          <w:b/>
          <w:bCs/>
          <w:kern w:val="2"/>
          <w:sz w:val="28"/>
          <w:szCs w:val="28"/>
        </w:rPr>
        <w:t>2018年12月</w:t>
      </w:r>
    </w:p>
    <w:p>
      <w:pPr>
        <w:widowControl/>
        <w:spacing w:line="240" w:lineRule="auto"/>
        <w:ind w:firstLine="0" w:firstLineChars="0"/>
        <w:jc w:val="left"/>
        <w:rPr>
          <w:b/>
          <w:bCs/>
          <w:sz w:val="28"/>
          <w:szCs w:val="28"/>
        </w:rPr>
      </w:pPr>
      <w:r>
        <w:rPr>
          <w:b/>
          <w:bCs/>
          <w:sz w:val="28"/>
          <w:szCs w:val="28"/>
        </w:rPr>
        <w:br w:type="page"/>
      </w:r>
    </w:p>
    <w:p>
      <w:pPr>
        <w:pStyle w:val="32"/>
        <w:spacing w:before="0" w:beforeAutospacing="0" w:after="0" w:afterAutospacing="0" w:line="720" w:lineRule="auto"/>
        <w:jc w:val="distribute"/>
        <w:rPr>
          <w:rFonts w:ascii="Times New Roman" w:hAnsi="Times New Roman" w:cs="Times New Roman"/>
          <w:b/>
          <w:bCs/>
          <w:kern w:val="2"/>
          <w:sz w:val="32"/>
          <w:szCs w:val="32"/>
        </w:rPr>
      </w:pPr>
    </w:p>
    <w:p>
      <w:pPr>
        <w:pStyle w:val="32"/>
        <w:spacing w:before="0" w:beforeAutospacing="0" w:after="0" w:afterAutospacing="0" w:line="720" w:lineRule="auto"/>
        <w:jc w:val="distribute"/>
        <w:rPr>
          <w:rFonts w:ascii="Times New Roman" w:hAnsi="Times New Roman" w:cs="Times New Roman"/>
          <w:b/>
          <w:bCs/>
          <w:kern w:val="2"/>
          <w:sz w:val="32"/>
          <w:szCs w:val="32"/>
        </w:rPr>
      </w:pPr>
    </w:p>
    <w:p>
      <w:pPr>
        <w:pStyle w:val="32"/>
        <w:spacing w:before="0" w:beforeAutospacing="0" w:after="0" w:afterAutospacing="0" w:line="720" w:lineRule="auto"/>
        <w:jc w:val="distribute"/>
        <w:rPr>
          <w:rFonts w:ascii="Times New Roman" w:hAnsi="Times New Roman" w:cs="Times New Roman"/>
          <w:b/>
          <w:bCs/>
          <w:kern w:val="2"/>
          <w:sz w:val="32"/>
          <w:szCs w:val="32"/>
        </w:rPr>
      </w:pPr>
    </w:p>
    <w:p>
      <w:pPr>
        <w:pStyle w:val="32"/>
        <w:spacing w:before="0" w:beforeAutospacing="0" w:after="0" w:afterAutospacing="0" w:line="720" w:lineRule="auto"/>
        <w:jc w:val="distribute"/>
        <w:rPr>
          <w:rFonts w:ascii="Times New Roman" w:hAnsi="Times New Roman" w:cs="Times New Roman"/>
          <w:b/>
          <w:bCs/>
          <w:kern w:val="2"/>
          <w:sz w:val="32"/>
          <w:szCs w:val="32"/>
        </w:rPr>
      </w:pPr>
      <w:r>
        <w:rPr>
          <w:rFonts w:hint="eastAsia" w:ascii="Times New Roman" w:hAnsi="Times New Roman" w:cs="Times New Roman"/>
          <w:b/>
          <w:bCs/>
          <w:kern w:val="2"/>
          <w:sz w:val="32"/>
          <w:szCs w:val="32"/>
        </w:rPr>
        <w:t>岳阳市饮用水源保护区（铁山水库-北干渠-金凤水库）</w:t>
      </w:r>
    </w:p>
    <w:p>
      <w:pPr>
        <w:pStyle w:val="32"/>
        <w:spacing w:before="0" w:beforeAutospacing="0" w:after="0" w:afterAutospacing="0" w:line="720" w:lineRule="auto"/>
        <w:jc w:val="distribute"/>
        <w:rPr>
          <w:rFonts w:ascii="Times New Roman" w:hAnsi="Times New Roman" w:cs="Times New Roman"/>
          <w:b/>
          <w:bCs/>
          <w:kern w:val="2"/>
          <w:sz w:val="72"/>
          <w:szCs w:val="72"/>
        </w:rPr>
      </w:pPr>
      <w:r>
        <w:rPr>
          <w:rFonts w:hint="eastAsia" w:ascii="Times New Roman" w:hAnsi="Times New Roman" w:cs="Times New Roman"/>
          <w:b/>
          <w:bCs/>
          <w:kern w:val="2"/>
          <w:sz w:val="72"/>
          <w:szCs w:val="72"/>
        </w:rPr>
        <w:t>突发环境事件应急预案</w:t>
      </w:r>
    </w:p>
    <w:p>
      <w:pPr>
        <w:pStyle w:val="32"/>
        <w:spacing w:before="0" w:beforeAutospacing="0" w:after="120" w:afterAutospacing="0" w:line="720" w:lineRule="auto"/>
        <w:jc w:val="right"/>
        <w:rPr>
          <w:rFonts w:ascii="Times New Roman" w:hAnsi="Times New Roman" w:cs="Times New Roman"/>
          <w:b/>
          <w:bCs/>
          <w:kern w:val="2"/>
          <w:sz w:val="28"/>
          <w:szCs w:val="28"/>
        </w:rPr>
      </w:pPr>
    </w:p>
    <w:p>
      <w:pPr>
        <w:pStyle w:val="32"/>
        <w:spacing w:before="0" w:beforeAutospacing="0" w:after="120" w:afterAutospacing="0" w:line="720" w:lineRule="auto"/>
        <w:jc w:val="right"/>
        <w:rPr>
          <w:rFonts w:ascii="Times New Roman" w:hAnsi="Times New Roman" w:cs="Times New Roman"/>
          <w:b/>
          <w:bCs/>
          <w:kern w:val="2"/>
          <w:sz w:val="28"/>
          <w:szCs w:val="28"/>
        </w:rPr>
      </w:pPr>
    </w:p>
    <w:p>
      <w:pPr>
        <w:pStyle w:val="32"/>
        <w:spacing w:before="0" w:beforeAutospacing="0" w:after="120" w:afterAutospacing="0" w:line="720" w:lineRule="auto"/>
        <w:jc w:val="right"/>
        <w:rPr>
          <w:rFonts w:ascii="Times New Roman" w:hAnsi="Times New Roman" w:cs="Times New Roman"/>
          <w:b/>
          <w:bCs/>
          <w:kern w:val="2"/>
          <w:sz w:val="28"/>
          <w:szCs w:val="28"/>
        </w:rPr>
      </w:pPr>
    </w:p>
    <w:p>
      <w:pPr>
        <w:pStyle w:val="32"/>
        <w:spacing w:before="0" w:beforeAutospacing="0" w:after="120" w:afterAutospacing="0" w:line="720" w:lineRule="auto"/>
        <w:jc w:val="right"/>
        <w:rPr>
          <w:rFonts w:ascii="Times New Roman" w:hAnsi="Times New Roman" w:cs="Times New Roman"/>
          <w:b/>
          <w:bCs/>
          <w:kern w:val="2"/>
          <w:sz w:val="28"/>
          <w:szCs w:val="28"/>
        </w:rPr>
      </w:pPr>
    </w:p>
    <w:p>
      <w:pPr>
        <w:pStyle w:val="32"/>
        <w:spacing w:before="0" w:beforeAutospacing="0" w:after="0" w:afterAutospacing="0"/>
        <w:ind w:firstLine="1687" w:firstLineChars="600"/>
        <w:rPr>
          <w:rFonts w:ascii="Times New Roman" w:hAnsi="Times New Roman" w:cs="Times New Roman"/>
          <w:b/>
          <w:bCs/>
          <w:kern w:val="2"/>
          <w:sz w:val="28"/>
          <w:szCs w:val="28"/>
        </w:rPr>
      </w:pPr>
      <w:r>
        <w:rPr>
          <w:rFonts w:hint="eastAsia" w:ascii="Times New Roman" w:hAnsi="Times New Roman" w:cs="Times New Roman"/>
          <w:b/>
          <w:bCs/>
          <w:kern w:val="2"/>
          <w:sz w:val="28"/>
          <w:szCs w:val="28"/>
        </w:rPr>
        <w:t>编制单位：岳阳市人民政府</w:t>
      </w:r>
    </w:p>
    <w:p>
      <w:pPr>
        <w:pStyle w:val="32"/>
        <w:spacing w:before="0" w:beforeAutospacing="0" w:after="0" w:afterAutospacing="0"/>
        <w:jc w:val="center"/>
        <w:rPr>
          <w:rFonts w:ascii="Times New Roman" w:hAnsi="Times New Roman" w:cs="Times New Roman"/>
          <w:b/>
          <w:bCs/>
          <w:kern w:val="2"/>
          <w:sz w:val="28"/>
          <w:szCs w:val="28"/>
        </w:rPr>
      </w:pPr>
      <w:r>
        <w:rPr>
          <w:rFonts w:hint="eastAsia" w:ascii="Times New Roman" w:hAnsi="Times New Roman" w:cs="Times New Roman"/>
          <w:b/>
          <w:bCs/>
          <w:kern w:val="2"/>
          <w:sz w:val="28"/>
          <w:szCs w:val="28"/>
        </w:rPr>
        <w:t>咨询单位：湖南天瑶环境技术有限公司</w:t>
      </w:r>
    </w:p>
    <w:p>
      <w:pPr>
        <w:pStyle w:val="32"/>
        <w:spacing w:before="0" w:beforeAutospacing="0" w:after="0" w:afterAutospacing="0"/>
        <w:jc w:val="center"/>
        <w:rPr>
          <w:rFonts w:ascii="Times New Roman" w:hAnsi="Times New Roman" w:cs="Times New Roman"/>
          <w:b/>
          <w:bCs/>
          <w:kern w:val="2"/>
          <w:sz w:val="28"/>
          <w:szCs w:val="28"/>
        </w:rPr>
      </w:pPr>
      <w:r>
        <w:rPr>
          <w:rFonts w:hint="eastAsia" w:ascii="Times New Roman" w:hAnsi="Times New Roman" w:cs="Times New Roman"/>
          <w:b/>
          <w:bCs/>
          <w:kern w:val="2"/>
          <w:sz w:val="28"/>
          <w:szCs w:val="28"/>
        </w:rPr>
        <w:t>2018年12月</w:t>
      </w:r>
    </w:p>
    <w:p>
      <w:pPr>
        <w:widowControl/>
        <w:spacing w:line="240" w:lineRule="auto"/>
        <w:ind w:firstLine="0" w:firstLineChars="0"/>
        <w:jc w:val="left"/>
        <w:rPr>
          <w:b/>
          <w:bCs/>
          <w:sz w:val="28"/>
          <w:szCs w:val="28"/>
        </w:rPr>
      </w:pPr>
      <w:r>
        <w:rPr>
          <w:b/>
          <w:bCs/>
          <w:sz w:val="28"/>
          <w:szCs w:val="28"/>
        </w:rPr>
        <w:br w:type="page"/>
      </w:r>
      <w:r>
        <w:rPr>
          <w:b/>
          <w:bCs/>
          <w:sz w:val="28"/>
          <w:szCs w:val="28"/>
        </w:rPr>
        <w:drawing>
          <wp:inline distT="0" distB="0" distL="0" distR="0">
            <wp:extent cx="5440045" cy="3819525"/>
            <wp:effectExtent l="19050" t="0" r="8058" b="0"/>
            <wp:docPr id="40" name="图片 1" descr="H:\铁山饮用水原应急预案\资质\环评资质（说明使用）.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1" descr="H:\铁山饮用水原应急预案\资质\环评资质（说明使用）.jpg"/>
                    <pic:cNvPicPr>
                      <a:picLocks noChangeAspect="1" noChangeArrowheads="1"/>
                    </pic:cNvPicPr>
                  </pic:nvPicPr>
                  <pic:blipFill>
                    <a:blip r:embed="rId25"/>
                    <a:srcRect/>
                    <a:stretch>
                      <a:fillRect/>
                    </a:stretch>
                  </pic:blipFill>
                  <pic:spPr>
                    <a:xfrm>
                      <a:off x="0" y="0"/>
                      <a:ext cx="5440242" cy="3819525"/>
                    </a:xfrm>
                    <a:prstGeom prst="rect">
                      <a:avLst/>
                    </a:prstGeom>
                    <a:noFill/>
                    <a:ln w="9525">
                      <a:noFill/>
                      <a:miter lim="800000"/>
                      <a:headEnd/>
                      <a:tailEnd/>
                    </a:ln>
                  </pic:spPr>
                </pic:pic>
              </a:graphicData>
            </a:graphic>
          </wp:inline>
        </w:drawing>
      </w:r>
    </w:p>
    <w:p>
      <w:pPr>
        <w:pStyle w:val="32"/>
        <w:spacing w:before="0" w:beforeAutospacing="0" w:after="0" w:afterAutospacing="0"/>
        <w:jc w:val="center"/>
        <w:rPr>
          <w:rFonts w:ascii="Times New Roman" w:hAnsi="Times New Roman" w:cs="Times New Roman"/>
          <w:b/>
          <w:bCs/>
          <w:kern w:val="2"/>
          <w:sz w:val="28"/>
          <w:szCs w:val="28"/>
        </w:rPr>
      </w:pPr>
    </w:p>
    <w:tbl>
      <w:tblPr>
        <w:tblStyle w:val="47"/>
        <w:tblW w:w="8505" w:type="dxa"/>
        <w:tblInd w:w="0" w:type="dxa"/>
        <w:tblLayout w:type="fixed"/>
        <w:tblCellMar>
          <w:top w:w="0" w:type="dxa"/>
          <w:left w:w="108" w:type="dxa"/>
          <w:bottom w:w="0" w:type="dxa"/>
          <w:right w:w="108" w:type="dxa"/>
        </w:tblCellMar>
      </w:tblPr>
      <w:tblGrid>
        <w:gridCol w:w="2518"/>
        <w:gridCol w:w="5987"/>
      </w:tblGrid>
      <w:tr>
        <w:tblPrEx>
          <w:tblLayout w:type="fixed"/>
          <w:tblCellMar>
            <w:top w:w="0" w:type="dxa"/>
            <w:left w:w="108" w:type="dxa"/>
            <w:bottom w:w="0" w:type="dxa"/>
            <w:right w:w="108" w:type="dxa"/>
          </w:tblCellMar>
        </w:tblPrEx>
        <w:tc>
          <w:tcPr>
            <w:tcW w:w="2518" w:type="dxa"/>
            <w:shd w:val="clear" w:color="auto" w:fill="auto"/>
            <w:vAlign w:val="center"/>
          </w:tcPr>
          <w:p>
            <w:pPr>
              <w:widowControl/>
              <w:spacing w:line="480" w:lineRule="exact"/>
              <w:jc w:val="left"/>
            </w:pPr>
            <w:r>
              <w:rPr>
                <w:rFonts w:hint="eastAsia"/>
                <w:szCs w:val="24"/>
              </w:rPr>
              <w:t>咨</w:t>
            </w:r>
            <w:r>
              <w:rPr>
                <w:szCs w:val="24"/>
              </w:rPr>
              <w:t xml:space="preserve">  </w:t>
            </w:r>
            <w:r>
              <w:rPr>
                <w:rFonts w:hint="eastAsia"/>
                <w:szCs w:val="24"/>
              </w:rPr>
              <w:t>询</w:t>
            </w:r>
            <w:r>
              <w:rPr>
                <w:szCs w:val="24"/>
              </w:rPr>
              <w:t xml:space="preserve">  </w:t>
            </w:r>
            <w:r>
              <w:rPr>
                <w:rFonts w:hint="eastAsia"/>
                <w:szCs w:val="24"/>
              </w:rPr>
              <w:t>单</w:t>
            </w:r>
            <w:r>
              <w:rPr>
                <w:szCs w:val="24"/>
              </w:rPr>
              <w:t xml:space="preserve">  </w:t>
            </w:r>
            <w:r>
              <w:rPr>
                <w:rFonts w:hint="eastAsia"/>
                <w:szCs w:val="24"/>
              </w:rPr>
              <w:t>位：</w:t>
            </w:r>
          </w:p>
        </w:tc>
        <w:tc>
          <w:tcPr>
            <w:tcW w:w="5987" w:type="dxa"/>
            <w:shd w:val="clear" w:color="auto" w:fill="auto"/>
            <w:vAlign w:val="center"/>
          </w:tcPr>
          <w:p>
            <w:pPr>
              <w:widowControl/>
              <w:spacing w:line="480" w:lineRule="exact"/>
              <w:jc w:val="left"/>
            </w:pPr>
            <w:r>
              <w:rPr>
                <w:rFonts w:hint="eastAsia"/>
                <w:szCs w:val="24"/>
              </w:rPr>
              <w:t>湖南天瑶环境技术有限公司</w:t>
            </w:r>
          </w:p>
        </w:tc>
      </w:tr>
      <w:tr>
        <w:tblPrEx>
          <w:tblLayout w:type="fixed"/>
          <w:tblCellMar>
            <w:top w:w="0" w:type="dxa"/>
            <w:left w:w="108" w:type="dxa"/>
            <w:bottom w:w="0" w:type="dxa"/>
            <w:right w:w="108" w:type="dxa"/>
          </w:tblCellMar>
        </w:tblPrEx>
        <w:tc>
          <w:tcPr>
            <w:tcW w:w="2518" w:type="dxa"/>
            <w:shd w:val="clear" w:color="auto" w:fill="auto"/>
            <w:vAlign w:val="center"/>
          </w:tcPr>
          <w:p>
            <w:pPr>
              <w:widowControl/>
              <w:spacing w:line="480" w:lineRule="exact"/>
              <w:jc w:val="left"/>
            </w:pPr>
            <w:r>
              <w:rPr>
                <w:rFonts w:hint="eastAsia"/>
                <w:szCs w:val="24"/>
              </w:rPr>
              <w:t>咨询机构负责人：</w:t>
            </w:r>
          </w:p>
        </w:tc>
        <w:tc>
          <w:tcPr>
            <w:tcW w:w="5987" w:type="dxa"/>
            <w:shd w:val="clear" w:color="auto" w:fill="auto"/>
            <w:vAlign w:val="center"/>
          </w:tcPr>
          <w:p>
            <w:pPr>
              <w:widowControl/>
              <w:spacing w:line="480" w:lineRule="exact"/>
              <w:jc w:val="left"/>
            </w:pPr>
            <w:r>
              <w:rPr>
                <w:rFonts w:hint="eastAsia"/>
                <w:szCs w:val="24"/>
              </w:rPr>
              <w:t>甘</w:t>
            </w:r>
            <w:r>
              <w:rPr>
                <w:szCs w:val="24"/>
              </w:rPr>
              <w:t xml:space="preserve">  </w:t>
            </w:r>
            <w:r>
              <w:rPr>
                <w:rFonts w:hint="eastAsia"/>
                <w:szCs w:val="24"/>
              </w:rPr>
              <w:t>来</w:t>
            </w:r>
          </w:p>
        </w:tc>
      </w:tr>
      <w:tr>
        <w:tblPrEx>
          <w:tblLayout w:type="fixed"/>
          <w:tblCellMar>
            <w:top w:w="0" w:type="dxa"/>
            <w:left w:w="108" w:type="dxa"/>
            <w:bottom w:w="0" w:type="dxa"/>
            <w:right w:w="108" w:type="dxa"/>
          </w:tblCellMar>
        </w:tblPrEx>
        <w:tc>
          <w:tcPr>
            <w:tcW w:w="2518" w:type="dxa"/>
            <w:shd w:val="clear" w:color="auto" w:fill="auto"/>
            <w:vAlign w:val="center"/>
          </w:tcPr>
          <w:p>
            <w:pPr>
              <w:widowControl/>
              <w:spacing w:line="480" w:lineRule="exact"/>
              <w:jc w:val="left"/>
            </w:pPr>
            <w:r>
              <w:rPr>
                <w:rFonts w:hint="eastAsia"/>
                <w:szCs w:val="24"/>
              </w:rPr>
              <w:t>单</w:t>
            </w:r>
            <w:r>
              <w:rPr>
                <w:szCs w:val="24"/>
              </w:rPr>
              <w:t xml:space="preserve">  </w:t>
            </w:r>
            <w:r>
              <w:rPr>
                <w:rFonts w:hint="eastAsia"/>
                <w:szCs w:val="24"/>
              </w:rPr>
              <w:t>位</w:t>
            </w:r>
            <w:r>
              <w:rPr>
                <w:szCs w:val="24"/>
              </w:rPr>
              <w:t xml:space="preserve">  </w:t>
            </w:r>
            <w:r>
              <w:rPr>
                <w:rFonts w:hint="eastAsia"/>
                <w:szCs w:val="24"/>
              </w:rPr>
              <w:t>地</w:t>
            </w:r>
            <w:r>
              <w:rPr>
                <w:szCs w:val="24"/>
              </w:rPr>
              <w:t xml:space="preserve">  </w:t>
            </w:r>
            <w:r>
              <w:rPr>
                <w:rFonts w:hint="eastAsia"/>
                <w:szCs w:val="24"/>
              </w:rPr>
              <w:t>址：</w:t>
            </w:r>
          </w:p>
        </w:tc>
        <w:tc>
          <w:tcPr>
            <w:tcW w:w="5987" w:type="dxa"/>
            <w:shd w:val="clear" w:color="auto" w:fill="auto"/>
            <w:vAlign w:val="center"/>
          </w:tcPr>
          <w:p>
            <w:pPr>
              <w:widowControl/>
              <w:spacing w:line="480" w:lineRule="exact"/>
              <w:jc w:val="left"/>
            </w:pPr>
            <w:r>
              <w:rPr>
                <w:rFonts w:hint="eastAsia"/>
                <w:szCs w:val="24"/>
              </w:rPr>
              <w:t>湖南省长沙市雨花区井湾路</w:t>
            </w:r>
            <w:r>
              <w:rPr>
                <w:szCs w:val="24"/>
              </w:rPr>
              <w:t>889</w:t>
            </w:r>
            <w:r>
              <w:rPr>
                <w:rFonts w:hint="eastAsia"/>
                <w:szCs w:val="24"/>
              </w:rPr>
              <w:t>号监测楼</w:t>
            </w:r>
            <w:r>
              <w:rPr>
                <w:szCs w:val="24"/>
              </w:rPr>
              <w:t>4</w:t>
            </w:r>
            <w:r>
              <w:rPr>
                <w:rFonts w:hint="eastAsia"/>
                <w:szCs w:val="24"/>
              </w:rPr>
              <w:t>楼</w:t>
            </w:r>
          </w:p>
        </w:tc>
      </w:tr>
      <w:tr>
        <w:tblPrEx>
          <w:tblLayout w:type="fixed"/>
          <w:tblCellMar>
            <w:top w:w="0" w:type="dxa"/>
            <w:left w:w="108" w:type="dxa"/>
            <w:bottom w:w="0" w:type="dxa"/>
            <w:right w:w="108" w:type="dxa"/>
          </w:tblCellMar>
        </w:tblPrEx>
        <w:tc>
          <w:tcPr>
            <w:tcW w:w="2518" w:type="dxa"/>
            <w:shd w:val="clear" w:color="auto" w:fill="auto"/>
            <w:vAlign w:val="center"/>
          </w:tcPr>
          <w:p>
            <w:pPr>
              <w:widowControl/>
              <w:spacing w:line="480" w:lineRule="exact"/>
              <w:jc w:val="left"/>
            </w:pPr>
            <w:r>
              <w:rPr>
                <w:rFonts w:hint="eastAsia"/>
                <w:szCs w:val="24"/>
              </w:rPr>
              <w:t>联系电话（传真）：</w:t>
            </w:r>
          </w:p>
        </w:tc>
        <w:tc>
          <w:tcPr>
            <w:tcW w:w="5987" w:type="dxa"/>
            <w:shd w:val="clear" w:color="auto" w:fill="auto"/>
            <w:vAlign w:val="center"/>
          </w:tcPr>
          <w:p>
            <w:pPr>
              <w:widowControl/>
              <w:spacing w:line="480" w:lineRule="exact"/>
              <w:jc w:val="left"/>
            </w:pPr>
            <w:r>
              <w:rPr>
                <w:szCs w:val="24"/>
              </w:rPr>
              <w:t>0731-85622710</w:t>
            </w:r>
          </w:p>
        </w:tc>
      </w:tr>
      <w:tr>
        <w:tblPrEx>
          <w:tblLayout w:type="fixed"/>
          <w:tblCellMar>
            <w:top w:w="0" w:type="dxa"/>
            <w:left w:w="108" w:type="dxa"/>
            <w:bottom w:w="0" w:type="dxa"/>
            <w:right w:w="108" w:type="dxa"/>
          </w:tblCellMar>
        </w:tblPrEx>
        <w:tc>
          <w:tcPr>
            <w:tcW w:w="2518" w:type="dxa"/>
            <w:shd w:val="clear" w:color="auto" w:fill="auto"/>
            <w:vAlign w:val="center"/>
          </w:tcPr>
          <w:p>
            <w:pPr>
              <w:widowControl/>
              <w:spacing w:line="480" w:lineRule="exact"/>
              <w:jc w:val="left"/>
            </w:pPr>
            <w:r>
              <w:rPr>
                <w:rFonts w:hint="eastAsia"/>
                <w:szCs w:val="24"/>
              </w:rPr>
              <w:t>邮</w:t>
            </w:r>
            <w:r>
              <w:rPr>
                <w:szCs w:val="24"/>
              </w:rPr>
              <w:t xml:space="preserve">  </w:t>
            </w:r>
            <w:r>
              <w:rPr>
                <w:rFonts w:hint="eastAsia"/>
                <w:szCs w:val="24"/>
              </w:rPr>
              <w:t>政</w:t>
            </w:r>
            <w:r>
              <w:rPr>
                <w:szCs w:val="24"/>
              </w:rPr>
              <w:t xml:space="preserve">  </w:t>
            </w:r>
            <w:r>
              <w:rPr>
                <w:rFonts w:hint="eastAsia"/>
                <w:szCs w:val="24"/>
              </w:rPr>
              <w:t>编</w:t>
            </w:r>
            <w:r>
              <w:rPr>
                <w:szCs w:val="24"/>
              </w:rPr>
              <w:t xml:space="preserve">  </w:t>
            </w:r>
            <w:r>
              <w:rPr>
                <w:rFonts w:hint="eastAsia"/>
                <w:szCs w:val="24"/>
              </w:rPr>
              <w:t>码：</w:t>
            </w:r>
          </w:p>
        </w:tc>
        <w:tc>
          <w:tcPr>
            <w:tcW w:w="5987" w:type="dxa"/>
            <w:shd w:val="clear" w:color="auto" w:fill="auto"/>
            <w:vAlign w:val="center"/>
          </w:tcPr>
          <w:p>
            <w:pPr>
              <w:widowControl/>
              <w:spacing w:line="480" w:lineRule="exact"/>
              <w:jc w:val="left"/>
            </w:pPr>
            <w:r>
              <w:rPr>
                <w:szCs w:val="24"/>
              </w:rPr>
              <w:t>410004</w:t>
            </w:r>
          </w:p>
        </w:tc>
      </w:tr>
      <w:tr>
        <w:tblPrEx>
          <w:tblLayout w:type="fixed"/>
          <w:tblCellMar>
            <w:top w:w="0" w:type="dxa"/>
            <w:left w:w="108" w:type="dxa"/>
            <w:bottom w:w="0" w:type="dxa"/>
            <w:right w:w="108" w:type="dxa"/>
          </w:tblCellMar>
        </w:tblPrEx>
        <w:tc>
          <w:tcPr>
            <w:tcW w:w="2518" w:type="dxa"/>
            <w:shd w:val="clear" w:color="auto" w:fill="auto"/>
            <w:vAlign w:val="center"/>
          </w:tcPr>
          <w:p>
            <w:pPr>
              <w:widowControl/>
              <w:spacing w:line="480" w:lineRule="exact"/>
              <w:jc w:val="left"/>
            </w:pPr>
            <w:r>
              <w:rPr>
                <w:rFonts w:hint="eastAsia"/>
                <w:szCs w:val="24"/>
              </w:rPr>
              <w:t>项</w:t>
            </w:r>
            <w:r>
              <w:rPr>
                <w:szCs w:val="24"/>
              </w:rPr>
              <w:t xml:space="preserve">  </w:t>
            </w:r>
            <w:r>
              <w:rPr>
                <w:rFonts w:hint="eastAsia"/>
                <w:szCs w:val="24"/>
              </w:rPr>
              <w:t>目</w:t>
            </w:r>
            <w:r>
              <w:rPr>
                <w:szCs w:val="24"/>
              </w:rPr>
              <w:t xml:space="preserve">  </w:t>
            </w:r>
            <w:r>
              <w:rPr>
                <w:rFonts w:hint="eastAsia"/>
                <w:szCs w:val="24"/>
              </w:rPr>
              <w:t>名</w:t>
            </w:r>
            <w:r>
              <w:rPr>
                <w:szCs w:val="24"/>
              </w:rPr>
              <w:t xml:space="preserve">  </w:t>
            </w:r>
            <w:r>
              <w:rPr>
                <w:rFonts w:hint="eastAsia"/>
                <w:szCs w:val="24"/>
              </w:rPr>
              <w:t>称：</w:t>
            </w:r>
          </w:p>
        </w:tc>
        <w:tc>
          <w:tcPr>
            <w:tcW w:w="5987" w:type="dxa"/>
            <w:shd w:val="clear" w:color="auto" w:fill="auto"/>
            <w:vAlign w:val="center"/>
          </w:tcPr>
          <w:p>
            <w:pPr>
              <w:pStyle w:val="24"/>
              <w:tabs>
                <w:tab w:val="right" w:leader="dot" w:pos="8302"/>
              </w:tabs>
              <w:jc w:val="center"/>
              <w:rPr>
                <w:rFonts w:ascii="Times New Roman" w:hAnsi="Times New Roman" w:cs="Times New Roman"/>
              </w:rPr>
            </w:pPr>
            <w:r>
              <w:rPr>
                <w:rFonts w:hint="eastAsia" w:ascii="Times New Roman" w:hAnsi="Times New Roman" w:cs="Times New Roman"/>
                <w:b w:val="0"/>
                <w:bCs w:val="0"/>
                <w:caps w:val="0"/>
                <w:sz w:val="24"/>
                <w:szCs w:val="24"/>
              </w:rPr>
              <w:t>岳阳市饮用水源保护区（铁山水库-北干渠-金凤水库）</w:t>
            </w:r>
            <w:r>
              <w:rPr>
                <w:rFonts w:hint="eastAsia" w:ascii="Times New Roman" w:hAnsi="Times New Roman" w:cs="Times New Roman"/>
                <w:b w:val="0"/>
                <w:bCs w:val="0"/>
                <w:sz w:val="24"/>
                <w:szCs w:val="24"/>
              </w:rPr>
              <w:t>突发环境事件应急预案</w:t>
            </w:r>
          </w:p>
        </w:tc>
      </w:tr>
    </w:tbl>
    <w:p>
      <w:pPr>
        <w:widowControl/>
        <w:spacing w:line="480" w:lineRule="auto"/>
        <w:ind w:firstLine="0" w:firstLineChars="0"/>
        <w:jc w:val="center"/>
        <w:rPr>
          <w:b/>
          <w:kern w:val="0"/>
          <w:sz w:val="28"/>
          <w:szCs w:val="28"/>
        </w:rPr>
        <w:sectPr>
          <w:headerReference r:id="rId5" w:type="first"/>
          <w:footerReference r:id="rId8" w:type="first"/>
          <w:headerReference r:id="rId3" w:type="default"/>
          <w:footerReference r:id="rId6" w:type="default"/>
          <w:headerReference r:id="rId4" w:type="even"/>
          <w:footerReference r:id="rId7" w:type="even"/>
          <w:pgSz w:w="11906" w:h="16838"/>
          <w:pgMar w:top="1440" w:right="1797" w:bottom="1440" w:left="1797" w:header="851" w:footer="992" w:gutter="0"/>
          <w:pgNumType w:fmt="upperRoman" w:start="1"/>
          <w:cols w:space="720" w:num="1"/>
          <w:docGrid w:type="lines" w:linePitch="312" w:charSpace="915"/>
        </w:sectPr>
      </w:pPr>
    </w:p>
    <w:p>
      <w:pPr>
        <w:widowControl/>
        <w:spacing w:line="480" w:lineRule="auto"/>
        <w:ind w:firstLine="0" w:firstLineChars="0"/>
        <w:jc w:val="center"/>
        <w:rPr>
          <w:b/>
          <w:kern w:val="0"/>
          <w:szCs w:val="24"/>
        </w:rPr>
      </w:pPr>
      <w:r>
        <w:rPr>
          <w:rFonts w:hint="eastAsia"/>
          <w:b/>
          <w:kern w:val="0"/>
          <w:szCs w:val="24"/>
        </w:rPr>
        <w:t>岳阳市饮用水源保护区（铁山水库-北干渠-金凤水库）</w:t>
      </w:r>
    </w:p>
    <w:p>
      <w:pPr>
        <w:widowControl/>
        <w:spacing w:line="480" w:lineRule="auto"/>
        <w:ind w:firstLine="0" w:firstLineChars="0"/>
        <w:jc w:val="center"/>
        <w:rPr>
          <w:b/>
          <w:kern w:val="0"/>
          <w:szCs w:val="24"/>
        </w:rPr>
      </w:pPr>
      <w:r>
        <w:rPr>
          <w:rFonts w:hint="eastAsia"/>
          <w:b/>
          <w:kern w:val="0"/>
          <w:szCs w:val="24"/>
        </w:rPr>
        <w:t>突发环境事件应急预案编制人员名单</w:t>
      </w:r>
    </w:p>
    <w:p>
      <w:pPr>
        <w:widowControl/>
        <w:spacing w:line="240" w:lineRule="auto"/>
        <w:ind w:firstLine="0" w:firstLineChars="0"/>
        <w:jc w:val="center"/>
        <w:rPr>
          <w:b/>
          <w:kern w:val="0"/>
          <w:szCs w:val="24"/>
        </w:rPr>
      </w:pPr>
    </w:p>
    <w:tbl>
      <w:tblPr>
        <w:tblStyle w:val="47"/>
        <w:tblpPr w:vertAnchor="text" w:horzAnchor="page" w:tblpXSpec="center" w:tblpY="1"/>
        <w:tblOverlap w:val="never"/>
        <w:tblW w:w="13135" w:type="dxa"/>
        <w:jc w:val="center"/>
        <w:tblInd w:w="35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631"/>
        <w:gridCol w:w="5594"/>
        <w:gridCol w:w="3540"/>
        <w:gridCol w:w="237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1077" w:hRule="atLeast"/>
          <w:jc w:val="center"/>
        </w:trPr>
        <w:tc>
          <w:tcPr>
            <w:tcW w:w="1631" w:type="dxa"/>
            <w:tcBorders>
              <w:top w:val="single" w:color="auto" w:sz="4" w:space="0"/>
              <w:left w:val="single" w:color="auto" w:sz="4" w:space="0"/>
              <w:bottom w:val="single" w:color="auto" w:sz="4" w:space="0"/>
              <w:right w:val="single" w:color="auto" w:sz="4" w:space="0"/>
            </w:tcBorders>
            <w:vAlign w:val="center"/>
          </w:tcPr>
          <w:p>
            <w:pPr>
              <w:widowControl/>
              <w:ind w:firstLine="0" w:firstLineChars="0"/>
              <w:jc w:val="center"/>
              <w:rPr>
                <w:b/>
                <w:szCs w:val="24"/>
              </w:rPr>
            </w:pPr>
            <w:r>
              <w:rPr>
                <w:rFonts w:hint="eastAsia"/>
                <w:b/>
                <w:szCs w:val="24"/>
              </w:rPr>
              <w:t>姓名</w:t>
            </w:r>
          </w:p>
        </w:tc>
        <w:tc>
          <w:tcPr>
            <w:tcW w:w="5594" w:type="dxa"/>
            <w:tcBorders>
              <w:top w:val="single" w:color="auto" w:sz="4" w:space="0"/>
              <w:left w:val="single" w:color="auto" w:sz="4" w:space="0"/>
              <w:bottom w:val="single" w:color="auto" w:sz="4" w:space="0"/>
              <w:right w:val="single" w:color="auto" w:sz="4" w:space="0"/>
            </w:tcBorders>
            <w:vAlign w:val="center"/>
          </w:tcPr>
          <w:p>
            <w:pPr>
              <w:widowControl/>
              <w:ind w:firstLine="0" w:firstLineChars="0"/>
              <w:jc w:val="center"/>
              <w:rPr>
                <w:b/>
                <w:szCs w:val="24"/>
              </w:rPr>
            </w:pPr>
            <w:r>
              <w:rPr>
                <w:rFonts w:hint="eastAsia"/>
                <w:b/>
                <w:szCs w:val="24"/>
              </w:rPr>
              <w:t>工作单位</w:t>
            </w:r>
          </w:p>
        </w:tc>
        <w:tc>
          <w:tcPr>
            <w:tcW w:w="3540" w:type="dxa"/>
            <w:tcBorders>
              <w:top w:val="single" w:color="auto" w:sz="4" w:space="0"/>
              <w:left w:val="single" w:color="auto" w:sz="4" w:space="0"/>
              <w:bottom w:val="single" w:color="auto" w:sz="4" w:space="0"/>
              <w:right w:val="single" w:color="auto" w:sz="4" w:space="0"/>
            </w:tcBorders>
            <w:vAlign w:val="center"/>
          </w:tcPr>
          <w:p>
            <w:pPr>
              <w:widowControl/>
              <w:ind w:firstLine="0" w:firstLineChars="0"/>
              <w:jc w:val="center"/>
              <w:rPr>
                <w:b/>
                <w:szCs w:val="24"/>
              </w:rPr>
            </w:pPr>
            <w:r>
              <w:rPr>
                <w:rFonts w:hint="eastAsia"/>
                <w:b/>
                <w:szCs w:val="24"/>
              </w:rPr>
              <w:t>职务</w:t>
            </w:r>
            <w:r>
              <w:rPr>
                <w:b/>
                <w:szCs w:val="24"/>
              </w:rPr>
              <w:t>/</w:t>
            </w:r>
            <w:r>
              <w:rPr>
                <w:rFonts w:hint="eastAsia"/>
                <w:b/>
                <w:szCs w:val="24"/>
              </w:rPr>
              <w:t>职称</w:t>
            </w:r>
          </w:p>
        </w:tc>
        <w:tc>
          <w:tcPr>
            <w:tcW w:w="2370" w:type="dxa"/>
            <w:tcBorders>
              <w:top w:val="single" w:color="auto" w:sz="4" w:space="0"/>
              <w:left w:val="single" w:color="auto" w:sz="4" w:space="0"/>
              <w:bottom w:val="single" w:color="auto" w:sz="4" w:space="0"/>
              <w:right w:val="single" w:color="auto" w:sz="4" w:space="0"/>
            </w:tcBorders>
            <w:vAlign w:val="center"/>
          </w:tcPr>
          <w:p>
            <w:pPr>
              <w:widowControl/>
              <w:ind w:firstLine="0" w:firstLineChars="0"/>
              <w:jc w:val="center"/>
              <w:rPr>
                <w:b/>
                <w:szCs w:val="24"/>
              </w:rPr>
            </w:pPr>
            <w:r>
              <w:rPr>
                <w:rFonts w:hint="eastAsia"/>
                <w:b/>
                <w:szCs w:val="24"/>
              </w:rPr>
              <w:t>签名</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1077" w:hRule="atLeast"/>
          <w:jc w:val="center"/>
        </w:trPr>
        <w:tc>
          <w:tcPr>
            <w:tcW w:w="1631" w:type="dxa"/>
            <w:tcBorders>
              <w:top w:val="single" w:color="auto" w:sz="4" w:space="0"/>
              <w:left w:val="single" w:color="auto" w:sz="4" w:space="0"/>
              <w:bottom w:val="single" w:color="auto" w:sz="4" w:space="0"/>
              <w:right w:val="single" w:color="auto" w:sz="4" w:space="0"/>
            </w:tcBorders>
            <w:vAlign w:val="center"/>
          </w:tcPr>
          <w:p>
            <w:pPr>
              <w:widowControl/>
              <w:ind w:firstLine="0" w:firstLineChars="0"/>
              <w:jc w:val="center"/>
              <w:textAlignment w:val="center"/>
              <w:rPr>
                <w:szCs w:val="24"/>
              </w:rPr>
            </w:pPr>
            <w:r>
              <w:rPr>
                <w:rFonts w:hint="eastAsia"/>
                <w:szCs w:val="24"/>
              </w:rPr>
              <w:t>郭正茂</w:t>
            </w:r>
          </w:p>
        </w:tc>
        <w:tc>
          <w:tcPr>
            <w:tcW w:w="5594" w:type="dxa"/>
            <w:tcBorders>
              <w:top w:val="single" w:color="auto" w:sz="4" w:space="0"/>
              <w:left w:val="single" w:color="auto" w:sz="4" w:space="0"/>
              <w:bottom w:val="single" w:color="auto" w:sz="4" w:space="0"/>
              <w:right w:val="single" w:color="auto" w:sz="4" w:space="0"/>
            </w:tcBorders>
            <w:vAlign w:val="center"/>
          </w:tcPr>
          <w:p>
            <w:pPr>
              <w:widowControl/>
              <w:ind w:firstLine="0" w:firstLineChars="0"/>
              <w:jc w:val="center"/>
              <w:rPr>
                <w:szCs w:val="24"/>
              </w:rPr>
            </w:pPr>
            <w:r>
              <w:rPr>
                <w:rFonts w:hint="eastAsia"/>
                <w:szCs w:val="24"/>
              </w:rPr>
              <w:t>岳阳市铁山供水工程管理局</w:t>
            </w:r>
          </w:p>
        </w:tc>
        <w:tc>
          <w:tcPr>
            <w:tcW w:w="3540" w:type="dxa"/>
            <w:tcBorders>
              <w:top w:val="single" w:color="auto" w:sz="4" w:space="0"/>
              <w:left w:val="single" w:color="auto" w:sz="4" w:space="0"/>
              <w:bottom w:val="single" w:color="auto" w:sz="4" w:space="0"/>
              <w:right w:val="single" w:color="auto" w:sz="4" w:space="0"/>
            </w:tcBorders>
            <w:vAlign w:val="center"/>
          </w:tcPr>
          <w:p>
            <w:pPr>
              <w:widowControl/>
              <w:snapToGrid w:val="0"/>
              <w:ind w:firstLine="0" w:firstLineChars="0"/>
              <w:jc w:val="center"/>
              <w:rPr>
                <w:szCs w:val="24"/>
              </w:rPr>
            </w:pPr>
            <w:r>
              <w:rPr>
                <w:rFonts w:hint="eastAsia"/>
                <w:szCs w:val="24"/>
              </w:rPr>
              <w:t>法规科科长</w:t>
            </w:r>
          </w:p>
        </w:tc>
        <w:tc>
          <w:tcPr>
            <w:tcW w:w="2370" w:type="dxa"/>
            <w:tcBorders>
              <w:top w:val="single" w:color="auto" w:sz="4" w:space="0"/>
              <w:left w:val="single" w:color="auto" w:sz="4" w:space="0"/>
              <w:bottom w:val="single" w:color="auto" w:sz="4" w:space="0"/>
              <w:right w:val="single" w:color="auto" w:sz="4" w:space="0"/>
            </w:tcBorders>
            <w:vAlign w:val="center"/>
          </w:tcPr>
          <w:p>
            <w:pPr>
              <w:widowControl/>
              <w:spacing w:line="240" w:lineRule="auto"/>
              <w:ind w:firstLine="0" w:firstLineChars="0"/>
              <w:jc w:val="left"/>
              <w:rPr>
                <w:rFonts w:ascii="宋体" w:hAnsi="宋体" w:cs="宋体"/>
                <w:kern w:val="0"/>
                <w:szCs w:val="24"/>
              </w:rPr>
            </w:pPr>
            <w:r>
              <w:rPr>
                <w:rFonts w:ascii="宋体" w:hAnsi="宋体" w:cs="宋体"/>
                <w:kern w:val="0"/>
                <w:szCs w:val="24"/>
              </w:rPr>
              <w:drawing>
                <wp:inline distT="0" distB="0" distL="0" distR="0">
                  <wp:extent cx="1148080" cy="563245"/>
                  <wp:effectExtent l="19050" t="0" r="0" b="0"/>
                  <wp:docPr id="61" name="图片 2" descr="C:\Users\Administrator\AppData\Roaming\Tencent\Users\2682291224\QQ\WinTemp\RichOle\(913`ROM)5LSDZDG0X18IZ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2" descr="C:\Users\Administrator\AppData\Roaming\Tencent\Users\2682291224\QQ\WinTemp\RichOle\(913`ROM)5LSDZDG0X18IZO.png"/>
                          <pic:cNvPicPr>
                            <a:picLocks noChangeAspect="1" noChangeArrowheads="1"/>
                          </pic:cNvPicPr>
                        </pic:nvPicPr>
                        <pic:blipFill>
                          <a:blip r:embed="rId26" cstate="print">
                            <a:lum bright="17000" contrast="4000"/>
                          </a:blip>
                          <a:srcRect/>
                          <a:stretch>
                            <a:fillRect/>
                          </a:stretch>
                        </pic:blipFill>
                        <pic:spPr>
                          <a:xfrm>
                            <a:off x="0" y="0"/>
                            <a:ext cx="1148080" cy="563245"/>
                          </a:xfrm>
                          <a:prstGeom prst="rect">
                            <a:avLst/>
                          </a:prstGeom>
                          <a:noFill/>
                          <a:ln w="9525">
                            <a:noFill/>
                            <a:miter lim="800000"/>
                            <a:headEnd/>
                            <a:tailEnd/>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1022" w:hRule="atLeast"/>
          <w:jc w:val="center"/>
        </w:trPr>
        <w:tc>
          <w:tcPr>
            <w:tcW w:w="1631" w:type="dxa"/>
            <w:tcBorders>
              <w:top w:val="single" w:color="auto" w:sz="4" w:space="0"/>
              <w:left w:val="single" w:color="auto" w:sz="4" w:space="0"/>
              <w:bottom w:val="single" w:color="auto" w:sz="4" w:space="0"/>
              <w:right w:val="single" w:color="auto" w:sz="4" w:space="0"/>
            </w:tcBorders>
            <w:vAlign w:val="center"/>
          </w:tcPr>
          <w:p>
            <w:pPr>
              <w:widowControl/>
              <w:ind w:firstLine="0" w:firstLineChars="0"/>
              <w:jc w:val="center"/>
              <w:textAlignment w:val="center"/>
              <w:rPr>
                <w:szCs w:val="24"/>
              </w:rPr>
            </w:pPr>
            <w:r>
              <w:rPr>
                <w:rFonts w:hint="eastAsia"/>
                <w:szCs w:val="24"/>
              </w:rPr>
              <w:t>毛立建</w:t>
            </w:r>
          </w:p>
        </w:tc>
        <w:tc>
          <w:tcPr>
            <w:tcW w:w="5594" w:type="dxa"/>
            <w:tcBorders>
              <w:top w:val="single" w:color="auto" w:sz="4" w:space="0"/>
              <w:left w:val="single" w:color="auto" w:sz="4" w:space="0"/>
              <w:bottom w:val="single" w:color="auto" w:sz="4" w:space="0"/>
              <w:right w:val="single" w:color="auto" w:sz="4" w:space="0"/>
            </w:tcBorders>
            <w:vAlign w:val="center"/>
          </w:tcPr>
          <w:p>
            <w:pPr>
              <w:widowControl/>
              <w:ind w:firstLine="0" w:firstLineChars="0"/>
              <w:jc w:val="center"/>
              <w:rPr>
                <w:szCs w:val="24"/>
              </w:rPr>
            </w:pPr>
            <w:r>
              <w:rPr>
                <w:rFonts w:hint="eastAsia"/>
                <w:szCs w:val="24"/>
              </w:rPr>
              <w:t>岳阳市铁山供水工程管理局</w:t>
            </w:r>
          </w:p>
        </w:tc>
        <w:tc>
          <w:tcPr>
            <w:tcW w:w="3540" w:type="dxa"/>
            <w:tcBorders>
              <w:top w:val="single" w:color="auto" w:sz="4" w:space="0"/>
              <w:left w:val="single" w:color="auto" w:sz="4" w:space="0"/>
              <w:bottom w:val="single" w:color="auto" w:sz="4" w:space="0"/>
              <w:right w:val="single" w:color="auto" w:sz="4" w:space="0"/>
            </w:tcBorders>
            <w:vAlign w:val="center"/>
          </w:tcPr>
          <w:p>
            <w:pPr>
              <w:widowControl/>
              <w:snapToGrid w:val="0"/>
              <w:ind w:firstLine="0" w:firstLineChars="0"/>
              <w:jc w:val="center"/>
              <w:rPr>
                <w:szCs w:val="24"/>
              </w:rPr>
            </w:pPr>
            <w:r>
              <w:rPr>
                <w:rFonts w:hint="eastAsia"/>
                <w:szCs w:val="24"/>
              </w:rPr>
              <w:t>法规科科员</w:t>
            </w:r>
          </w:p>
        </w:tc>
        <w:tc>
          <w:tcPr>
            <w:tcW w:w="2370" w:type="dxa"/>
            <w:tcBorders>
              <w:top w:val="single" w:color="auto" w:sz="4" w:space="0"/>
              <w:left w:val="single" w:color="auto" w:sz="4" w:space="0"/>
              <w:bottom w:val="single" w:color="auto" w:sz="4" w:space="0"/>
              <w:right w:val="single" w:color="auto" w:sz="4" w:space="0"/>
            </w:tcBorders>
            <w:vAlign w:val="center"/>
          </w:tcPr>
          <w:p>
            <w:pPr>
              <w:widowControl/>
              <w:spacing w:line="240" w:lineRule="auto"/>
              <w:ind w:firstLine="0" w:firstLineChars="0"/>
              <w:jc w:val="left"/>
              <w:rPr>
                <w:rFonts w:ascii="宋体" w:hAnsi="宋体" w:cs="宋体"/>
                <w:kern w:val="0"/>
                <w:szCs w:val="24"/>
              </w:rPr>
            </w:pPr>
            <w:r>
              <w:rPr>
                <w:rFonts w:ascii="宋体" w:hAnsi="宋体" w:cs="宋体"/>
                <w:kern w:val="0"/>
                <w:szCs w:val="24"/>
              </w:rPr>
              <w:drawing>
                <wp:inline distT="0" distB="0" distL="0" distR="0">
                  <wp:extent cx="1447800" cy="520065"/>
                  <wp:effectExtent l="19050" t="0" r="0" b="0"/>
                  <wp:docPr id="62" name="图片 4" descr="C:\Users\Administrator\AppData\Roaming\Tencent\Users\2682291224\QQ\WinTemp\RichOle\QFJ}V]YI]9H_][I5{TVQRB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4" descr="C:\Users\Administrator\AppData\Roaming\Tencent\Users\2682291224\QQ\WinTemp\RichOle\QFJ}V]YI]9H_][I5{TVQRBR.png"/>
                          <pic:cNvPicPr>
                            <a:picLocks noChangeAspect="1" noChangeArrowheads="1"/>
                          </pic:cNvPicPr>
                        </pic:nvPicPr>
                        <pic:blipFill>
                          <a:blip r:embed="rId27" cstate="print">
                            <a:lum bright="20000"/>
                          </a:blip>
                          <a:srcRect/>
                          <a:stretch>
                            <a:fillRect/>
                          </a:stretch>
                        </pic:blipFill>
                        <pic:spPr>
                          <a:xfrm>
                            <a:off x="0" y="0"/>
                            <a:ext cx="1448352" cy="520660"/>
                          </a:xfrm>
                          <a:prstGeom prst="rect">
                            <a:avLst/>
                          </a:prstGeom>
                          <a:noFill/>
                          <a:ln w="9525">
                            <a:noFill/>
                            <a:miter lim="800000"/>
                            <a:headEnd/>
                            <a:tailEnd/>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1077" w:hRule="atLeast"/>
          <w:jc w:val="center"/>
        </w:trPr>
        <w:tc>
          <w:tcPr>
            <w:tcW w:w="1631" w:type="dxa"/>
            <w:tcBorders>
              <w:top w:val="single" w:color="auto" w:sz="4" w:space="0"/>
              <w:left w:val="single" w:color="auto" w:sz="4" w:space="0"/>
              <w:bottom w:val="single" w:color="auto" w:sz="4" w:space="0"/>
              <w:right w:val="single" w:color="auto" w:sz="4" w:space="0"/>
            </w:tcBorders>
            <w:vAlign w:val="center"/>
          </w:tcPr>
          <w:p>
            <w:pPr>
              <w:widowControl/>
              <w:ind w:firstLine="0" w:firstLineChars="0"/>
              <w:jc w:val="center"/>
              <w:textAlignment w:val="center"/>
              <w:rPr>
                <w:szCs w:val="24"/>
              </w:rPr>
            </w:pPr>
            <w:r>
              <w:rPr>
                <w:rFonts w:hint="eastAsia"/>
                <w:szCs w:val="24"/>
              </w:rPr>
              <w:t>曹群</w:t>
            </w:r>
          </w:p>
        </w:tc>
        <w:tc>
          <w:tcPr>
            <w:tcW w:w="5594" w:type="dxa"/>
            <w:tcBorders>
              <w:top w:val="single" w:color="auto" w:sz="4" w:space="0"/>
              <w:left w:val="single" w:color="auto" w:sz="4" w:space="0"/>
              <w:bottom w:val="single" w:color="auto" w:sz="4" w:space="0"/>
              <w:right w:val="single" w:color="auto" w:sz="4" w:space="0"/>
            </w:tcBorders>
            <w:vAlign w:val="center"/>
          </w:tcPr>
          <w:p>
            <w:pPr>
              <w:widowControl/>
              <w:ind w:firstLine="0" w:firstLineChars="0"/>
              <w:jc w:val="center"/>
              <w:rPr>
                <w:szCs w:val="24"/>
              </w:rPr>
            </w:pPr>
            <w:r>
              <w:rPr>
                <w:rFonts w:hint="eastAsia"/>
                <w:szCs w:val="24"/>
              </w:rPr>
              <w:t>湖南天瑶环境技术有限公司</w:t>
            </w:r>
          </w:p>
        </w:tc>
        <w:tc>
          <w:tcPr>
            <w:tcW w:w="3540" w:type="dxa"/>
            <w:tcBorders>
              <w:top w:val="single" w:color="auto" w:sz="4" w:space="0"/>
              <w:left w:val="single" w:color="auto" w:sz="4" w:space="0"/>
              <w:bottom w:val="single" w:color="auto" w:sz="4" w:space="0"/>
              <w:right w:val="single" w:color="auto" w:sz="4" w:space="0"/>
            </w:tcBorders>
            <w:vAlign w:val="center"/>
          </w:tcPr>
          <w:p>
            <w:pPr>
              <w:widowControl/>
              <w:snapToGrid w:val="0"/>
              <w:ind w:firstLine="0" w:firstLineChars="0"/>
              <w:jc w:val="center"/>
              <w:rPr>
                <w:szCs w:val="24"/>
              </w:rPr>
            </w:pPr>
            <w:r>
              <w:rPr>
                <w:rFonts w:hint="eastAsia"/>
                <w:szCs w:val="24"/>
              </w:rPr>
              <w:t>注册环评工程师</w:t>
            </w:r>
          </w:p>
        </w:tc>
        <w:tc>
          <w:tcPr>
            <w:tcW w:w="2370" w:type="dxa"/>
            <w:tcBorders>
              <w:top w:val="single" w:color="auto" w:sz="4" w:space="0"/>
              <w:left w:val="single" w:color="auto" w:sz="4" w:space="0"/>
              <w:bottom w:val="single" w:color="auto" w:sz="4" w:space="0"/>
              <w:right w:val="single" w:color="auto" w:sz="4" w:space="0"/>
            </w:tcBorders>
            <w:vAlign w:val="center"/>
          </w:tcPr>
          <w:p>
            <w:pPr>
              <w:widowControl/>
              <w:snapToGrid w:val="0"/>
              <w:ind w:firstLine="0" w:firstLineChars="0"/>
              <w:jc w:val="center"/>
              <w:rPr>
                <w:color w:val="FF0000"/>
                <w:szCs w:val="24"/>
              </w:rPr>
            </w:pPr>
            <w:r>
              <w:rPr>
                <w:rFonts w:ascii="宋体" w:hAnsi="宋体" w:cs="宋体"/>
                <w:kern w:val="0"/>
              </w:rPr>
              <w:drawing>
                <wp:inline distT="0" distB="0" distL="0" distR="0">
                  <wp:extent cx="797560" cy="669925"/>
                  <wp:effectExtent l="19050" t="0" r="2540" b="0"/>
                  <wp:docPr id="60" name="图片 42" descr="$F~OM4FYAM3YMPW7RS(QJ4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42" descr="$F~OM4FYAM3YMPW7RS(QJ4B"/>
                          <pic:cNvPicPr>
                            <a:picLocks noChangeAspect="1" noChangeArrowheads="1"/>
                          </pic:cNvPicPr>
                        </pic:nvPicPr>
                        <pic:blipFill>
                          <a:blip r:embed="rId28" cstate="print"/>
                          <a:srcRect/>
                          <a:stretch>
                            <a:fillRect/>
                          </a:stretch>
                        </pic:blipFill>
                        <pic:spPr>
                          <a:xfrm>
                            <a:off x="0" y="0"/>
                            <a:ext cx="797560" cy="669925"/>
                          </a:xfrm>
                          <a:prstGeom prst="rect">
                            <a:avLst/>
                          </a:prstGeom>
                          <a:noFill/>
                          <a:ln w="9525" cmpd="sng">
                            <a:noFill/>
                            <a:miter lim="800000"/>
                            <a:headEnd/>
                            <a:tailEnd/>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1077" w:hRule="atLeast"/>
          <w:jc w:val="center"/>
        </w:trPr>
        <w:tc>
          <w:tcPr>
            <w:tcW w:w="1631" w:type="dxa"/>
            <w:tcBorders>
              <w:top w:val="single" w:color="auto" w:sz="4" w:space="0"/>
              <w:left w:val="single" w:color="auto" w:sz="4" w:space="0"/>
              <w:bottom w:val="single" w:color="auto" w:sz="4" w:space="0"/>
              <w:right w:val="single" w:color="auto" w:sz="4" w:space="0"/>
            </w:tcBorders>
            <w:vAlign w:val="center"/>
          </w:tcPr>
          <w:p>
            <w:pPr>
              <w:widowControl/>
              <w:ind w:firstLine="0" w:firstLineChars="0"/>
              <w:jc w:val="center"/>
              <w:textAlignment w:val="center"/>
              <w:rPr>
                <w:szCs w:val="24"/>
              </w:rPr>
            </w:pPr>
            <w:r>
              <w:rPr>
                <w:rFonts w:hint="eastAsia"/>
                <w:szCs w:val="24"/>
              </w:rPr>
              <w:t>徐其祥</w:t>
            </w:r>
          </w:p>
        </w:tc>
        <w:tc>
          <w:tcPr>
            <w:tcW w:w="5594" w:type="dxa"/>
            <w:tcBorders>
              <w:top w:val="single" w:color="auto" w:sz="4" w:space="0"/>
              <w:left w:val="single" w:color="auto" w:sz="4" w:space="0"/>
              <w:bottom w:val="single" w:color="auto" w:sz="4" w:space="0"/>
              <w:right w:val="single" w:color="auto" w:sz="4" w:space="0"/>
            </w:tcBorders>
            <w:vAlign w:val="center"/>
          </w:tcPr>
          <w:p>
            <w:pPr>
              <w:widowControl/>
              <w:ind w:firstLine="0" w:firstLineChars="0"/>
              <w:jc w:val="center"/>
              <w:rPr>
                <w:szCs w:val="24"/>
              </w:rPr>
            </w:pPr>
            <w:r>
              <w:rPr>
                <w:rFonts w:hint="eastAsia"/>
                <w:szCs w:val="24"/>
              </w:rPr>
              <w:t>湖南天瑶环境技术有限公司</w:t>
            </w:r>
          </w:p>
        </w:tc>
        <w:tc>
          <w:tcPr>
            <w:tcW w:w="3540" w:type="dxa"/>
            <w:tcBorders>
              <w:top w:val="single" w:color="auto" w:sz="4" w:space="0"/>
              <w:left w:val="single" w:color="auto" w:sz="4" w:space="0"/>
              <w:bottom w:val="single" w:color="auto" w:sz="4" w:space="0"/>
              <w:right w:val="single" w:color="auto" w:sz="4" w:space="0"/>
            </w:tcBorders>
            <w:vAlign w:val="center"/>
          </w:tcPr>
          <w:p>
            <w:pPr>
              <w:widowControl/>
              <w:snapToGrid w:val="0"/>
              <w:ind w:firstLine="0" w:firstLineChars="0"/>
              <w:jc w:val="center"/>
              <w:rPr>
                <w:szCs w:val="24"/>
              </w:rPr>
            </w:pPr>
            <w:r>
              <w:rPr>
                <w:rFonts w:hint="eastAsia"/>
                <w:szCs w:val="24"/>
              </w:rPr>
              <w:t>注册环评工程师</w:t>
            </w:r>
          </w:p>
        </w:tc>
        <w:tc>
          <w:tcPr>
            <w:tcW w:w="2370" w:type="dxa"/>
            <w:tcBorders>
              <w:top w:val="single" w:color="auto" w:sz="4" w:space="0"/>
              <w:left w:val="single" w:color="auto" w:sz="4" w:space="0"/>
              <w:bottom w:val="single" w:color="auto" w:sz="4" w:space="0"/>
              <w:right w:val="single" w:color="auto" w:sz="4" w:space="0"/>
            </w:tcBorders>
            <w:vAlign w:val="center"/>
          </w:tcPr>
          <w:p>
            <w:pPr>
              <w:widowControl/>
              <w:snapToGrid w:val="0"/>
              <w:ind w:firstLine="0" w:firstLineChars="0"/>
              <w:jc w:val="center"/>
              <w:rPr>
                <w:color w:val="FF0000"/>
                <w:szCs w:val="24"/>
              </w:rPr>
            </w:pPr>
            <w:r>
              <w:rPr>
                <w:rFonts w:ascii="宋体" w:hAnsi="宋体" w:cs="宋体"/>
                <w:kern w:val="0"/>
                <w:szCs w:val="24"/>
              </w:rPr>
              <w:drawing>
                <wp:inline distT="0" distB="0" distL="0" distR="0">
                  <wp:extent cx="999490" cy="595630"/>
                  <wp:effectExtent l="19050" t="0" r="0" b="0"/>
                  <wp:docPr id="59" name="图片 55"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55" descr="IMG_256"/>
                          <pic:cNvPicPr>
                            <a:picLocks noChangeAspect="1" noChangeArrowheads="1"/>
                          </pic:cNvPicPr>
                        </pic:nvPicPr>
                        <pic:blipFill>
                          <a:blip r:embed="rId29" cstate="print"/>
                          <a:srcRect/>
                          <a:stretch>
                            <a:fillRect/>
                          </a:stretch>
                        </pic:blipFill>
                        <pic:spPr>
                          <a:xfrm>
                            <a:off x="0" y="0"/>
                            <a:ext cx="999490" cy="595630"/>
                          </a:xfrm>
                          <a:prstGeom prst="rect">
                            <a:avLst/>
                          </a:prstGeom>
                          <a:noFill/>
                          <a:ln w="9525">
                            <a:noFill/>
                            <a:miter lim="800000"/>
                            <a:headEnd/>
                            <a:tailEnd/>
                          </a:ln>
                        </pic:spPr>
                      </pic:pic>
                    </a:graphicData>
                  </a:graphic>
                </wp:inline>
              </w:drawing>
            </w:r>
          </w:p>
        </w:tc>
      </w:tr>
    </w:tbl>
    <w:p>
      <w:pPr>
        <w:widowControl/>
        <w:spacing w:line="240" w:lineRule="auto"/>
        <w:ind w:firstLine="0" w:firstLineChars="0"/>
        <w:jc w:val="left"/>
        <w:rPr>
          <w:b/>
          <w:kern w:val="0"/>
          <w:sz w:val="28"/>
          <w:szCs w:val="28"/>
        </w:rPr>
        <w:sectPr>
          <w:pgSz w:w="16838" w:h="11906" w:orient="landscape"/>
          <w:pgMar w:top="1797" w:right="1440" w:bottom="1797" w:left="1440" w:header="851" w:footer="992" w:gutter="0"/>
          <w:pgNumType w:fmt="upperRoman" w:start="1"/>
          <w:cols w:space="720" w:num="1"/>
          <w:docGrid w:type="lines" w:linePitch="312" w:charSpace="915"/>
        </w:sectPr>
      </w:pPr>
    </w:p>
    <w:p>
      <w:pPr>
        <w:pStyle w:val="24"/>
        <w:tabs>
          <w:tab w:val="right" w:leader="dot" w:pos="8302"/>
        </w:tabs>
        <w:ind w:firstLine="0" w:firstLineChars="0"/>
        <w:jc w:val="center"/>
        <w:rPr>
          <w:rStyle w:val="41"/>
          <w:rFonts w:ascii="Times New Roman" w:hAnsi="Times New Roman" w:cs="Times New Roman"/>
          <w:color w:val="000000" w:themeColor="text1"/>
          <w:sz w:val="30"/>
          <w:szCs w:val="30"/>
        </w:rPr>
      </w:pPr>
      <w:r>
        <w:rPr>
          <w:rStyle w:val="41"/>
          <w:rFonts w:ascii="Times New Roman" w:cs="Times New Roman"/>
          <w:color w:val="000000" w:themeColor="text1"/>
          <w:sz w:val="30"/>
          <w:szCs w:val="30"/>
        </w:rPr>
        <w:t>目</w:t>
      </w:r>
      <w:r>
        <w:rPr>
          <w:rStyle w:val="41"/>
          <w:rFonts w:hint="eastAsia" w:ascii="Times New Roman" w:cs="Times New Roman"/>
          <w:color w:val="000000" w:themeColor="text1"/>
          <w:sz w:val="30"/>
          <w:szCs w:val="30"/>
        </w:rPr>
        <w:t xml:space="preserve">   </w:t>
      </w:r>
      <w:r>
        <w:rPr>
          <w:rStyle w:val="41"/>
          <w:rFonts w:ascii="Times New Roman" w:cs="Times New Roman"/>
          <w:color w:val="000000" w:themeColor="text1"/>
          <w:sz w:val="30"/>
          <w:szCs w:val="30"/>
        </w:rPr>
        <w:t>录</w:t>
      </w:r>
    </w:p>
    <w:p>
      <w:pPr>
        <w:pStyle w:val="17"/>
        <w:adjustRightInd w:val="0"/>
        <w:snapToGrid w:val="0"/>
        <w:spacing w:line="240" w:lineRule="auto"/>
        <w:ind w:firstLine="0" w:firstLineChars="0"/>
        <w:jc w:val="center"/>
        <w:rPr>
          <w:rFonts w:ascii="Times New Roman" w:hAnsi="宋体" w:cs="Times New Roman"/>
          <w:b/>
          <w:color w:val="000000" w:themeColor="text1"/>
          <w:szCs w:val="24"/>
        </w:rPr>
      </w:pPr>
    </w:p>
    <w:p>
      <w:pPr>
        <w:pStyle w:val="24"/>
        <w:tabs>
          <w:tab w:val="right" w:leader="dot" w:pos="9062"/>
        </w:tabs>
        <w:rPr>
          <w:rFonts w:eastAsiaTheme="minorEastAsia" w:cstheme="minorBidi"/>
          <w:b w:val="0"/>
          <w:bCs w:val="0"/>
          <w:caps w:val="0"/>
          <w:sz w:val="21"/>
          <w:szCs w:val="22"/>
        </w:rPr>
      </w:pPr>
      <w:r>
        <w:rPr>
          <w:b w:val="0"/>
          <w:color w:val="000000" w:themeColor="text1"/>
          <w:sz w:val="24"/>
          <w:szCs w:val="24"/>
        </w:rPr>
        <w:fldChar w:fldCharType="begin"/>
      </w:r>
      <w:r>
        <w:rPr>
          <w:color w:val="000000" w:themeColor="text1"/>
          <w:sz w:val="24"/>
          <w:szCs w:val="24"/>
        </w:rPr>
        <w:instrText xml:space="preserve"> TOC \o "1-2" \h \z \u </w:instrText>
      </w:r>
      <w:r>
        <w:rPr>
          <w:b w:val="0"/>
          <w:color w:val="000000" w:themeColor="text1"/>
          <w:sz w:val="24"/>
          <w:szCs w:val="24"/>
        </w:rPr>
        <w:fldChar w:fldCharType="separate"/>
      </w:r>
      <w:r>
        <w:fldChar w:fldCharType="begin"/>
      </w:r>
      <w:r>
        <w:instrText xml:space="preserve"> HYPERLINK \l "_Toc535851296" </w:instrText>
      </w:r>
      <w:r>
        <w:fldChar w:fldCharType="separate"/>
      </w:r>
      <w:r>
        <w:rPr>
          <w:rStyle w:val="41"/>
          <w:rFonts w:hint="eastAsia"/>
          <w:kern w:val="44"/>
        </w:rPr>
        <w:t>第一部分</w:t>
      </w:r>
      <w:r>
        <w:rPr>
          <w:rStyle w:val="41"/>
          <w:kern w:val="44"/>
        </w:rPr>
        <w:t xml:space="preserve">  </w:t>
      </w:r>
      <w:r>
        <w:rPr>
          <w:rStyle w:val="41"/>
          <w:rFonts w:hint="eastAsia"/>
          <w:kern w:val="44"/>
        </w:rPr>
        <w:t>编制说明</w:t>
      </w:r>
      <w:r>
        <w:tab/>
      </w:r>
      <w:r>
        <w:fldChar w:fldCharType="begin"/>
      </w:r>
      <w:r>
        <w:instrText xml:space="preserve"> PAGEREF _Toc535851296 \h </w:instrText>
      </w:r>
      <w:r>
        <w:fldChar w:fldCharType="separate"/>
      </w:r>
      <w:r>
        <w:t>4</w:t>
      </w:r>
      <w:r>
        <w:fldChar w:fldCharType="end"/>
      </w:r>
      <w:r>
        <w:fldChar w:fldCharType="end"/>
      </w:r>
    </w:p>
    <w:p>
      <w:pPr>
        <w:pStyle w:val="24"/>
        <w:tabs>
          <w:tab w:val="right" w:leader="dot" w:pos="9062"/>
        </w:tabs>
        <w:ind w:firstLine="402"/>
        <w:rPr>
          <w:rFonts w:eastAsiaTheme="minorEastAsia" w:cstheme="minorBidi"/>
          <w:b w:val="0"/>
          <w:bCs w:val="0"/>
          <w:caps w:val="0"/>
          <w:sz w:val="21"/>
          <w:szCs w:val="22"/>
        </w:rPr>
      </w:pPr>
      <w:r>
        <w:fldChar w:fldCharType="begin"/>
      </w:r>
      <w:r>
        <w:instrText xml:space="preserve"> HYPERLINK \l "_Toc535851297" </w:instrText>
      </w:r>
      <w:r>
        <w:fldChar w:fldCharType="separate"/>
      </w:r>
      <w:r>
        <w:rPr>
          <w:rStyle w:val="41"/>
          <w:rFonts w:hint="eastAsia" w:hAnsi="宋体" w:cs="宋体"/>
        </w:rPr>
        <w:t>第二部分</w:t>
      </w:r>
      <w:r>
        <w:rPr>
          <w:rStyle w:val="41"/>
          <w:rFonts w:hAnsi="宋体" w:cs="宋体"/>
        </w:rPr>
        <w:t xml:space="preserve">  </w:t>
      </w:r>
      <w:r>
        <w:rPr>
          <w:rStyle w:val="41"/>
          <w:rFonts w:hint="eastAsia" w:hAnsi="宋体" w:cs="宋体"/>
        </w:rPr>
        <w:t>突发环境事件应急预案</w:t>
      </w:r>
      <w:r>
        <w:tab/>
      </w:r>
      <w:r>
        <w:fldChar w:fldCharType="begin"/>
      </w:r>
      <w:r>
        <w:instrText xml:space="preserve"> PAGEREF _Toc535851297 \h </w:instrText>
      </w:r>
      <w:r>
        <w:fldChar w:fldCharType="separate"/>
      </w:r>
      <w:r>
        <w:t>6</w:t>
      </w:r>
      <w:r>
        <w:fldChar w:fldCharType="end"/>
      </w:r>
      <w:r>
        <w:fldChar w:fldCharType="end"/>
      </w:r>
    </w:p>
    <w:p>
      <w:pPr>
        <w:pStyle w:val="24"/>
        <w:tabs>
          <w:tab w:val="right" w:leader="dot" w:pos="9062"/>
        </w:tabs>
        <w:ind w:firstLine="402"/>
        <w:rPr>
          <w:rFonts w:eastAsiaTheme="minorEastAsia" w:cstheme="minorBidi"/>
          <w:b w:val="0"/>
          <w:bCs w:val="0"/>
          <w:caps w:val="0"/>
          <w:sz w:val="21"/>
          <w:szCs w:val="22"/>
        </w:rPr>
      </w:pPr>
      <w:r>
        <w:fldChar w:fldCharType="begin"/>
      </w:r>
      <w:r>
        <w:instrText xml:space="preserve"> HYPERLINK \l "_Toc535851298" </w:instrText>
      </w:r>
      <w:r>
        <w:fldChar w:fldCharType="separate"/>
      </w:r>
      <w:r>
        <w:rPr>
          <w:rStyle w:val="41"/>
        </w:rPr>
        <w:t>1</w:t>
      </w:r>
      <w:r>
        <w:rPr>
          <w:rStyle w:val="41"/>
          <w:rFonts w:hint="eastAsia"/>
        </w:rPr>
        <w:t>总则</w:t>
      </w:r>
      <w:r>
        <w:tab/>
      </w:r>
      <w:r>
        <w:fldChar w:fldCharType="begin"/>
      </w:r>
      <w:r>
        <w:instrText xml:space="preserve"> PAGEREF _Toc535851298 \h </w:instrText>
      </w:r>
      <w:r>
        <w:fldChar w:fldCharType="separate"/>
      </w:r>
      <w:r>
        <w:t>7</w:t>
      </w:r>
      <w:r>
        <w:fldChar w:fldCharType="end"/>
      </w:r>
      <w:r>
        <w:fldChar w:fldCharType="end"/>
      </w:r>
    </w:p>
    <w:p>
      <w:pPr>
        <w:pStyle w:val="28"/>
        <w:tabs>
          <w:tab w:val="right" w:leader="dot" w:pos="9062"/>
        </w:tabs>
        <w:ind w:firstLine="400"/>
        <w:rPr>
          <w:rFonts w:asciiTheme="minorHAnsi" w:hAnsiTheme="minorHAnsi" w:eastAsiaTheme="minorEastAsia" w:cstheme="minorBidi"/>
          <w:smallCaps w:val="0"/>
          <w:sz w:val="21"/>
          <w:szCs w:val="22"/>
        </w:rPr>
      </w:pPr>
      <w:r>
        <w:fldChar w:fldCharType="begin"/>
      </w:r>
      <w:r>
        <w:instrText xml:space="preserve"> HYPERLINK \l "_Toc535851299" </w:instrText>
      </w:r>
      <w:r>
        <w:fldChar w:fldCharType="separate"/>
      </w:r>
      <w:r>
        <w:rPr>
          <w:rStyle w:val="41"/>
        </w:rPr>
        <w:t xml:space="preserve">1.1 </w:t>
      </w:r>
      <w:r>
        <w:rPr>
          <w:rStyle w:val="41"/>
          <w:rFonts w:hint="eastAsia"/>
        </w:rPr>
        <w:t>编制目的</w:t>
      </w:r>
      <w:r>
        <w:tab/>
      </w:r>
      <w:r>
        <w:fldChar w:fldCharType="begin"/>
      </w:r>
      <w:r>
        <w:instrText xml:space="preserve"> PAGEREF _Toc535851299 \h </w:instrText>
      </w:r>
      <w:r>
        <w:fldChar w:fldCharType="separate"/>
      </w:r>
      <w:r>
        <w:t>7</w:t>
      </w:r>
      <w:r>
        <w:fldChar w:fldCharType="end"/>
      </w:r>
      <w:r>
        <w:fldChar w:fldCharType="end"/>
      </w:r>
    </w:p>
    <w:p>
      <w:pPr>
        <w:pStyle w:val="28"/>
        <w:tabs>
          <w:tab w:val="left" w:pos="1200"/>
          <w:tab w:val="right" w:leader="dot" w:pos="9062"/>
        </w:tabs>
        <w:ind w:firstLine="400"/>
        <w:rPr>
          <w:rFonts w:asciiTheme="minorHAnsi" w:hAnsiTheme="minorHAnsi" w:eastAsiaTheme="minorEastAsia" w:cstheme="minorBidi"/>
          <w:smallCaps w:val="0"/>
          <w:sz w:val="21"/>
          <w:szCs w:val="22"/>
        </w:rPr>
      </w:pPr>
      <w:r>
        <w:fldChar w:fldCharType="begin"/>
      </w:r>
      <w:r>
        <w:instrText xml:space="preserve"> HYPERLINK \l "_Toc535851300" </w:instrText>
      </w:r>
      <w:r>
        <w:fldChar w:fldCharType="separate"/>
      </w:r>
      <w:r>
        <w:rPr>
          <w:rStyle w:val="41"/>
        </w:rPr>
        <w:t>1.2</w:t>
      </w:r>
      <w:r>
        <w:rPr>
          <w:rFonts w:asciiTheme="minorHAnsi" w:hAnsiTheme="minorHAnsi" w:eastAsiaTheme="minorEastAsia" w:cstheme="minorBidi"/>
          <w:smallCaps w:val="0"/>
          <w:sz w:val="21"/>
          <w:szCs w:val="22"/>
        </w:rPr>
        <w:tab/>
      </w:r>
      <w:r>
        <w:rPr>
          <w:rStyle w:val="41"/>
          <w:rFonts w:hint="eastAsia"/>
        </w:rPr>
        <w:t>编制依据</w:t>
      </w:r>
      <w:r>
        <w:tab/>
      </w:r>
      <w:r>
        <w:fldChar w:fldCharType="begin"/>
      </w:r>
      <w:r>
        <w:instrText xml:space="preserve"> PAGEREF _Toc535851300 \h </w:instrText>
      </w:r>
      <w:r>
        <w:fldChar w:fldCharType="separate"/>
      </w:r>
      <w:r>
        <w:t>7</w:t>
      </w:r>
      <w:r>
        <w:fldChar w:fldCharType="end"/>
      </w:r>
      <w:r>
        <w:fldChar w:fldCharType="end"/>
      </w:r>
    </w:p>
    <w:p>
      <w:pPr>
        <w:pStyle w:val="28"/>
        <w:tabs>
          <w:tab w:val="right" w:leader="dot" w:pos="9062"/>
        </w:tabs>
        <w:ind w:firstLine="400"/>
        <w:rPr>
          <w:rFonts w:asciiTheme="minorHAnsi" w:hAnsiTheme="minorHAnsi" w:eastAsiaTheme="minorEastAsia" w:cstheme="minorBidi"/>
          <w:smallCaps w:val="0"/>
          <w:sz w:val="21"/>
          <w:szCs w:val="22"/>
        </w:rPr>
      </w:pPr>
      <w:r>
        <w:fldChar w:fldCharType="begin"/>
      </w:r>
      <w:r>
        <w:instrText xml:space="preserve"> HYPERLINK \l "_Toc535851301" </w:instrText>
      </w:r>
      <w:r>
        <w:fldChar w:fldCharType="separate"/>
      </w:r>
      <w:r>
        <w:rPr>
          <w:rStyle w:val="41"/>
        </w:rPr>
        <w:t xml:space="preserve">1.3 </w:t>
      </w:r>
      <w:r>
        <w:rPr>
          <w:rStyle w:val="41"/>
          <w:rFonts w:hint="eastAsia"/>
        </w:rPr>
        <w:t>适用范围</w:t>
      </w:r>
      <w:r>
        <w:tab/>
      </w:r>
      <w:r>
        <w:fldChar w:fldCharType="begin"/>
      </w:r>
      <w:r>
        <w:instrText xml:space="preserve"> PAGEREF _Toc535851301 \h </w:instrText>
      </w:r>
      <w:r>
        <w:fldChar w:fldCharType="separate"/>
      </w:r>
      <w:r>
        <w:t>8</w:t>
      </w:r>
      <w:r>
        <w:fldChar w:fldCharType="end"/>
      </w:r>
      <w:r>
        <w:fldChar w:fldCharType="end"/>
      </w:r>
    </w:p>
    <w:p>
      <w:pPr>
        <w:pStyle w:val="28"/>
        <w:tabs>
          <w:tab w:val="right" w:leader="dot" w:pos="9062"/>
        </w:tabs>
        <w:ind w:firstLine="400"/>
        <w:rPr>
          <w:rFonts w:asciiTheme="minorHAnsi" w:hAnsiTheme="minorHAnsi" w:eastAsiaTheme="minorEastAsia" w:cstheme="minorBidi"/>
          <w:smallCaps w:val="0"/>
          <w:sz w:val="21"/>
          <w:szCs w:val="22"/>
        </w:rPr>
      </w:pPr>
      <w:r>
        <w:fldChar w:fldCharType="begin"/>
      </w:r>
      <w:r>
        <w:instrText xml:space="preserve"> HYPERLINK \l "_Toc535851302" </w:instrText>
      </w:r>
      <w:r>
        <w:fldChar w:fldCharType="separate"/>
      </w:r>
      <w:r>
        <w:rPr>
          <w:rStyle w:val="41"/>
        </w:rPr>
        <w:t xml:space="preserve">1.4 </w:t>
      </w:r>
      <w:r>
        <w:rPr>
          <w:rStyle w:val="41"/>
          <w:rFonts w:hint="eastAsia"/>
        </w:rPr>
        <w:t>预案衔接</w:t>
      </w:r>
      <w:r>
        <w:tab/>
      </w:r>
      <w:r>
        <w:fldChar w:fldCharType="begin"/>
      </w:r>
      <w:r>
        <w:instrText xml:space="preserve"> PAGEREF _Toc535851302 \h </w:instrText>
      </w:r>
      <w:r>
        <w:fldChar w:fldCharType="separate"/>
      </w:r>
      <w:r>
        <w:t>9</w:t>
      </w:r>
      <w:r>
        <w:fldChar w:fldCharType="end"/>
      </w:r>
      <w:r>
        <w:fldChar w:fldCharType="end"/>
      </w:r>
    </w:p>
    <w:p>
      <w:pPr>
        <w:pStyle w:val="28"/>
        <w:tabs>
          <w:tab w:val="right" w:leader="dot" w:pos="9062"/>
        </w:tabs>
        <w:ind w:firstLine="400"/>
        <w:rPr>
          <w:rFonts w:asciiTheme="minorHAnsi" w:hAnsiTheme="minorHAnsi" w:eastAsiaTheme="minorEastAsia" w:cstheme="minorBidi"/>
          <w:smallCaps w:val="0"/>
          <w:sz w:val="21"/>
          <w:szCs w:val="22"/>
        </w:rPr>
      </w:pPr>
      <w:r>
        <w:fldChar w:fldCharType="begin"/>
      </w:r>
      <w:r>
        <w:instrText xml:space="preserve"> HYPERLINK \l "_Toc535851303" </w:instrText>
      </w:r>
      <w:r>
        <w:fldChar w:fldCharType="separate"/>
      </w:r>
      <w:r>
        <w:rPr>
          <w:rStyle w:val="41"/>
        </w:rPr>
        <w:t xml:space="preserve">1.6 </w:t>
      </w:r>
      <w:r>
        <w:rPr>
          <w:rStyle w:val="41"/>
          <w:rFonts w:hint="eastAsia"/>
        </w:rPr>
        <w:t>工作原则</w:t>
      </w:r>
      <w:r>
        <w:tab/>
      </w:r>
      <w:r>
        <w:fldChar w:fldCharType="begin"/>
      </w:r>
      <w:r>
        <w:instrText xml:space="preserve"> PAGEREF _Toc535851303 \h </w:instrText>
      </w:r>
      <w:r>
        <w:fldChar w:fldCharType="separate"/>
      </w:r>
      <w:r>
        <w:t>10</w:t>
      </w:r>
      <w:r>
        <w:fldChar w:fldCharType="end"/>
      </w:r>
      <w:r>
        <w:fldChar w:fldCharType="end"/>
      </w:r>
    </w:p>
    <w:p>
      <w:pPr>
        <w:pStyle w:val="24"/>
        <w:tabs>
          <w:tab w:val="right" w:leader="dot" w:pos="9062"/>
        </w:tabs>
        <w:ind w:firstLine="402"/>
        <w:rPr>
          <w:rFonts w:eastAsiaTheme="minorEastAsia" w:cstheme="minorBidi"/>
          <w:b w:val="0"/>
          <w:bCs w:val="0"/>
          <w:caps w:val="0"/>
          <w:sz w:val="21"/>
          <w:szCs w:val="22"/>
        </w:rPr>
      </w:pPr>
      <w:r>
        <w:fldChar w:fldCharType="begin"/>
      </w:r>
      <w:r>
        <w:instrText xml:space="preserve"> HYPERLINK \l "_Toc535851304" </w:instrText>
      </w:r>
      <w:r>
        <w:fldChar w:fldCharType="separate"/>
      </w:r>
      <w:r>
        <w:rPr>
          <w:rStyle w:val="41"/>
        </w:rPr>
        <w:t>2</w:t>
      </w:r>
      <w:r>
        <w:rPr>
          <w:rStyle w:val="41"/>
          <w:rFonts w:hint="eastAsia"/>
        </w:rPr>
        <w:t>应急组织指挥体系</w:t>
      </w:r>
      <w:r>
        <w:tab/>
      </w:r>
      <w:r>
        <w:fldChar w:fldCharType="begin"/>
      </w:r>
      <w:r>
        <w:instrText xml:space="preserve"> PAGEREF _Toc535851304 \h </w:instrText>
      </w:r>
      <w:r>
        <w:fldChar w:fldCharType="separate"/>
      </w:r>
      <w:r>
        <w:t>11</w:t>
      </w:r>
      <w:r>
        <w:fldChar w:fldCharType="end"/>
      </w:r>
      <w:r>
        <w:fldChar w:fldCharType="end"/>
      </w:r>
    </w:p>
    <w:p>
      <w:pPr>
        <w:pStyle w:val="28"/>
        <w:tabs>
          <w:tab w:val="right" w:leader="dot" w:pos="9062"/>
        </w:tabs>
        <w:ind w:firstLine="400"/>
        <w:rPr>
          <w:rFonts w:asciiTheme="minorHAnsi" w:hAnsiTheme="minorHAnsi" w:eastAsiaTheme="minorEastAsia" w:cstheme="minorBidi"/>
          <w:smallCaps w:val="0"/>
          <w:sz w:val="21"/>
          <w:szCs w:val="22"/>
        </w:rPr>
      </w:pPr>
      <w:r>
        <w:fldChar w:fldCharType="begin"/>
      </w:r>
      <w:r>
        <w:instrText xml:space="preserve"> HYPERLINK \l "_Toc535851305" </w:instrText>
      </w:r>
      <w:r>
        <w:fldChar w:fldCharType="separate"/>
      </w:r>
      <w:r>
        <w:rPr>
          <w:rStyle w:val="41"/>
        </w:rPr>
        <w:t>2.1</w:t>
      </w:r>
      <w:r>
        <w:rPr>
          <w:rStyle w:val="41"/>
          <w:rFonts w:hint="eastAsia"/>
        </w:rPr>
        <w:t>应急组织指挥机构</w:t>
      </w:r>
      <w:r>
        <w:tab/>
      </w:r>
      <w:r>
        <w:fldChar w:fldCharType="begin"/>
      </w:r>
      <w:r>
        <w:instrText xml:space="preserve"> PAGEREF _Toc535851305 \h </w:instrText>
      </w:r>
      <w:r>
        <w:fldChar w:fldCharType="separate"/>
      </w:r>
      <w:r>
        <w:t>11</w:t>
      </w:r>
      <w:r>
        <w:fldChar w:fldCharType="end"/>
      </w:r>
      <w:r>
        <w:fldChar w:fldCharType="end"/>
      </w:r>
    </w:p>
    <w:p>
      <w:pPr>
        <w:pStyle w:val="28"/>
        <w:tabs>
          <w:tab w:val="right" w:leader="dot" w:pos="9062"/>
        </w:tabs>
        <w:ind w:firstLine="400"/>
        <w:rPr>
          <w:rFonts w:asciiTheme="minorHAnsi" w:hAnsiTheme="minorHAnsi" w:eastAsiaTheme="minorEastAsia" w:cstheme="minorBidi"/>
          <w:smallCaps w:val="0"/>
          <w:sz w:val="21"/>
          <w:szCs w:val="22"/>
        </w:rPr>
      </w:pPr>
      <w:r>
        <w:fldChar w:fldCharType="begin"/>
      </w:r>
      <w:r>
        <w:instrText xml:space="preserve"> HYPERLINK \l "_Toc535851306" </w:instrText>
      </w:r>
      <w:r>
        <w:fldChar w:fldCharType="separate"/>
      </w:r>
      <w:r>
        <w:rPr>
          <w:rStyle w:val="41"/>
        </w:rPr>
        <w:t>2.2</w:t>
      </w:r>
      <w:r>
        <w:rPr>
          <w:rStyle w:val="41"/>
          <w:rFonts w:hint="eastAsia"/>
        </w:rPr>
        <w:t>现场应急指挥部</w:t>
      </w:r>
      <w:r>
        <w:tab/>
      </w:r>
      <w:r>
        <w:fldChar w:fldCharType="begin"/>
      </w:r>
      <w:r>
        <w:instrText xml:space="preserve"> PAGEREF _Toc535851306 \h </w:instrText>
      </w:r>
      <w:r>
        <w:fldChar w:fldCharType="separate"/>
      </w:r>
      <w:r>
        <w:t>11</w:t>
      </w:r>
      <w:r>
        <w:fldChar w:fldCharType="end"/>
      </w:r>
      <w:r>
        <w:fldChar w:fldCharType="end"/>
      </w:r>
    </w:p>
    <w:p>
      <w:pPr>
        <w:pStyle w:val="28"/>
        <w:tabs>
          <w:tab w:val="right" w:leader="dot" w:pos="9062"/>
        </w:tabs>
        <w:ind w:firstLine="400"/>
        <w:rPr>
          <w:rFonts w:asciiTheme="minorHAnsi" w:hAnsiTheme="minorHAnsi" w:eastAsiaTheme="minorEastAsia" w:cstheme="minorBidi"/>
          <w:smallCaps w:val="0"/>
          <w:sz w:val="21"/>
          <w:szCs w:val="22"/>
        </w:rPr>
      </w:pPr>
      <w:r>
        <w:fldChar w:fldCharType="begin"/>
      </w:r>
      <w:r>
        <w:instrText xml:space="preserve"> HYPERLINK \l "_Toc535851307" </w:instrText>
      </w:r>
      <w:r>
        <w:fldChar w:fldCharType="separate"/>
      </w:r>
      <w:r>
        <w:rPr>
          <w:rStyle w:val="41"/>
        </w:rPr>
        <w:t>2.3</w:t>
      </w:r>
      <w:r>
        <w:rPr>
          <w:rStyle w:val="41"/>
          <w:rFonts w:hint="eastAsia"/>
        </w:rPr>
        <w:t>现场应急工作组</w:t>
      </w:r>
      <w:r>
        <w:tab/>
      </w:r>
      <w:r>
        <w:fldChar w:fldCharType="begin"/>
      </w:r>
      <w:r>
        <w:instrText xml:space="preserve"> PAGEREF _Toc535851307 \h </w:instrText>
      </w:r>
      <w:r>
        <w:fldChar w:fldCharType="separate"/>
      </w:r>
      <w:r>
        <w:t>13</w:t>
      </w:r>
      <w:r>
        <w:fldChar w:fldCharType="end"/>
      </w:r>
      <w:r>
        <w:fldChar w:fldCharType="end"/>
      </w:r>
    </w:p>
    <w:p>
      <w:pPr>
        <w:pStyle w:val="24"/>
        <w:tabs>
          <w:tab w:val="right" w:leader="dot" w:pos="9062"/>
        </w:tabs>
        <w:ind w:firstLine="402"/>
        <w:rPr>
          <w:rFonts w:eastAsiaTheme="minorEastAsia" w:cstheme="minorBidi"/>
          <w:b w:val="0"/>
          <w:bCs w:val="0"/>
          <w:caps w:val="0"/>
          <w:sz w:val="21"/>
          <w:szCs w:val="22"/>
        </w:rPr>
      </w:pPr>
      <w:r>
        <w:fldChar w:fldCharType="begin"/>
      </w:r>
      <w:r>
        <w:instrText xml:space="preserve"> HYPERLINK \l "_Toc535851308" </w:instrText>
      </w:r>
      <w:r>
        <w:fldChar w:fldCharType="separate"/>
      </w:r>
      <w:r>
        <w:rPr>
          <w:rStyle w:val="41"/>
        </w:rPr>
        <w:t xml:space="preserve">3 </w:t>
      </w:r>
      <w:r>
        <w:rPr>
          <w:rStyle w:val="41"/>
          <w:rFonts w:hint="eastAsia"/>
        </w:rPr>
        <w:t>应急响应</w:t>
      </w:r>
      <w:r>
        <w:tab/>
      </w:r>
      <w:r>
        <w:fldChar w:fldCharType="begin"/>
      </w:r>
      <w:r>
        <w:instrText xml:space="preserve"> PAGEREF _Toc535851308 \h </w:instrText>
      </w:r>
      <w:r>
        <w:fldChar w:fldCharType="separate"/>
      </w:r>
      <w:r>
        <w:t>16</w:t>
      </w:r>
      <w:r>
        <w:fldChar w:fldCharType="end"/>
      </w:r>
      <w:r>
        <w:fldChar w:fldCharType="end"/>
      </w:r>
    </w:p>
    <w:p>
      <w:pPr>
        <w:pStyle w:val="28"/>
        <w:tabs>
          <w:tab w:val="right" w:leader="dot" w:pos="9062"/>
        </w:tabs>
        <w:ind w:firstLine="400"/>
        <w:rPr>
          <w:rFonts w:asciiTheme="minorHAnsi" w:hAnsiTheme="minorHAnsi" w:eastAsiaTheme="minorEastAsia" w:cstheme="minorBidi"/>
          <w:smallCaps w:val="0"/>
          <w:sz w:val="21"/>
          <w:szCs w:val="22"/>
        </w:rPr>
      </w:pPr>
      <w:r>
        <w:fldChar w:fldCharType="begin"/>
      </w:r>
      <w:r>
        <w:instrText xml:space="preserve"> HYPERLINK \l "_Toc535851309" </w:instrText>
      </w:r>
      <w:r>
        <w:fldChar w:fldCharType="separate"/>
      </w:r>
      <w:r>
        <w:rPr>
          <w:rStyle w:val="41"/>
        </w:rPr>
        <w:t>3.1</w:t>
      </w:r>
      <w:r>
        <w:rPr>
          <w:rStyle w:val="41"/>
          <w:rFonts w:hint="eastAsia"/>
        </w:rPr>
        <w:t>预警</w:t>
      </w:r>
      <w:r>
        <w:tab/>
      </w:r>
      <w:r>
        <w:fldChar w:fldCharType="begin"/>
      </w:r>
      <w:r>
        <w:instrText xml:space="preserve"> PAGEREF _Toc535851309 \h </w:instrText>
      </w:r>
      <w:r>
        <w:fldChar w:fldCharType="separate"/>
      </w:r>
      <w:r>
        <w:t>16</w:t>
      </w:r>
      <w:r>
        <w:fldChar w:fldCharType="end"/>
      </w:r>
      <w:r>
        <w:fldChar w:fldCharType="end"/>
      </w:r>
    </w:p>
    <w:p>
      <w:pPr>
        <w:pStyle w:val="28"/>
        <w:tabs>
          <w:tab w:val="right" w:leader="dot" w:pos="9062"/>
        </w:tabs>
        <w:ind w:firstLine="400"/>
        <w:rPr>
          <w:rFonts w:asciiTheme="minorHAnsi" w:hAnsiTheme="minorHAnsi" w:eastAsiaTheme="minorEastAsia" w:cstheme="minorBidi"/>
          <w:smallCaps w:val="0"/>
          <w:sz w:val="21"/>
          <w:szCs w:val="22"/>
        </w:rPr>
      </w:pPr>
      <w:r>
        <w:fldChar w:fldCharType="begin"/>
      </w:r>
      <w:r>
        <w:instrText xml:space="preserve"> HYPERLINK \l "_Toc535851310" </w:instrText>
      </w:r>
      <w:r>
        <w:fldChar w:fldCharType="separate"/>
      </w:r>
      <w:r>
        <w:rPr>
          <w:rStyle w:val="41"/>
        </w:rPr>
        <w:t>3.2</w:t>
      </w:r>
      <w:r>
        <w:rPr>
          <w:rStyle w:val="41"/>
          <w:rFonts w:hint="eastAsia"/>
        </w:rPr>
        <w:t>信息报告与通报</w:t>
      </w:r>
      <w:r>
        <w:tab/>
      </w:r>
      <w:r>
        <w:fldChar w:fldCharType="begin"/>
      </w:r>
      <w:r>
        <w:instrText xml:space="preserve"> PAGEREF _Toc535851310 \h </w:instrText>
      </w:r>
      <w:r>
        <w:fldChar w:fldCharType="separate"/>
      </w:r>
      <w:r>
        <w:t>18</w:t>
      </w:r>
      <w:r>
        <w:fldChar w:fldCharType="end"/>
      </w:r>
      <w:r>
        <w:fldChar w:fldCharType="end"/>
      </w:r>
    </w:p>
    <w:p>
      <w:pPr>
        <w:pStyle w:val="28"/>
        <w:tabs>
          <w:tab w:val="right" w:leader="dot" w:pos="9062"/>
        </w:tabs>
        <w:ind w:firstLine="400"/>
        <w:rPr>
          <w:rFonts w:asciiTheme="minorHAnsi" w:hAnsiTheme="minorHAnsi" w:eastAsiaTheme="minorEastAsia" w:cstheme="minorBidi"/>
          <w:smallCaps w:val="0"/>
          <w:sz w:val="21"/>
          <w:szCs w:val="22"/>
        </w:rPr>
      </w:pPr>
      <w:r>
        <w:fldChar w:fldCharType="begin"/>
      </w:r>
      <w:r>
        <w:instrText xml:space="preserve"> HYPERLINK \l "_Toc535851311" </w:instrText>
      </w:r>
      <w:r>
        <w:fldChar w:fldCharType="separate"/>
      </w:r>
      <w:r>
        <w:rPr>
          <w:rStyle w:val="41"/>
        </w:rPr>
        <w:t>3.3</w:t>
      </w:r>
      <w:r>
        <w:rPr>
          <w:rStyle w:val="41"/>
          <w:rFonts w:hint="eastAsia"/>
        </w:rPr>
        <w:t>事态研判</w:t>
      </w:r>
      <w:r>
        <w:tab/>
      </w:r>
      <w:r>
        <w:fldChar w:fldCharType="begin"/>
      </w:r>
      <w:r>
        <w:instrText xml:space="preserve"> PAGEREF _Toc535851311 \h </w:instrText>
      </w:r>
      <w:r>
        <w:fldChar w:fldCharType="separate"/>
      </w:r>
      <w:r>
        <w:t>19</w:t>
      </w:r>
      <w:r>
        <w:fldChar w:fldCharType="end"/>
      </w:r>
      <w:r>
        <w:fldChar w:fldCharType="end"/>
      </w:r>
    </w:p>
    <w:p>
      <w:pPr>
        <w:pStyle w:val="28"/>
        <w:tabs>
          <w:tab w:val="right" w:leader="dot" w:pos="9062"/>
        </w:tabs>
        <w:ind w:firstLine="400"/>
        <w:rPr>
          <w:rFonts w:asciiTheme="minorHAnsi" w:hAnsiTheme="minorHAnsi" w:eastAsiaTheme="minorEastAsia" w:cstheme="minorBidi"/>
          <w:smallCaps w:val="0"/>
          <w:sz w:val="21"/>
          <w:szCs w:val="22"/>
        </w:rPr>
      </w:pPr>
      <w:r>
        <w:fldChar w:fldCharType="begin"/>
      </w:r>
      <w:r>
        <w:instrText xml:space="preserve"> HYPERLINK \l "_Toc535851312" </w:instrText>
      </w:r>
      <w:r>
        <w:fldChar w:fldCharType="separate"/>
      </w:r>
      <w:r>
        <w:rPr>
          <w:rStyle w:val="41"/>
        </w:rPr>
        <w:t>3.4</w:t>
      </w:r>
      <w:r>
        <w:rPr>
          <w:rStyle w:val="41"/>
          <w:rFonts w:hint="eastAsia"/>
        </w:rPr>
        <w:t>应急监测</w:t>
      </w:r>
      <w:r>
        <w:tab/>
      </w:r>
      <w:r>
        <w:fldChar w:fldCharType="begin"/>
      </w:r>
      <w:r>
        <w:instrText xml:space="preserve"> PAGEREF _Toc535851312 \h </w:instrText>
      </w:r>
      <w:r>
        <w:fldChar w:fldCharType="separate"/>
      </w:r>
      <w:r>
        <w:t>19</w:t>
      </w:r>
      <w:r>
        <w:fldChar w:fldCharType="end"/>
      </w:r>
      <w:r>
        <w:fldChar w:fldCharType="end"/>
      </w:r>
    </w:p>
    <w:p>
      <w:pPr>
        <w:pStyle w:val="28"/>
        <w:tabs>
          <w:tab w:val="right" w:leader="dot" w:pos="9062"/>
        </w:tabs>
        <w:ind w:firstLine="400"/>
        <w:rPr>
          <w:rFonts w:asciiTheme="minorHAnsi" w:hAnsiTheme="minorHAnsi" w:eastAsiaTheme="minorEastAsia" w:cstheme="minorBidi"/>
          <w:smallCaps w:val="0"/>
          <w:sz w:val="21"/>
          <w:szCs w:val="22"/>
        </w:rPr>
      </w:pPr>
      <w:r>
        <w:fldChar w:fldCharType="begin"/>
      </w:r>
      <w:r>
        <w:instrText xml:space="preserve"> HYPERLINK \l "_Toc535851313" </w:instrText>
      </w:r>
      <w:r>
        <w:fldChar w:fldCharType="separate"/>
      </w:r>
      <w:r>
        <w:rPr>
          <w:rStyle w:val="41"/>
        </w:rPr>
        <w:t>3.5</w:t>
      </w:r>
      <w:r>
        <w:rPr>
          <w:rStyle w:val="41"/>
          <w:rFonts w:hint="eastAsia"/>
        </w:rPr>
        <w:t>污染源排查与处置</w:t>
      </w:r>
      <w:r>
        <w:tab/>
      </w:r>
      <w:r>
        <w:fldChar w:fldCharType="begin"/>
      </w:r>
      <w:r>
        <w:instrText xml:space="preserve"> PAGEREF _Toc535851313 \h </w:instrText>
      </w:r>
      <w:r>
        <w:fldChar w:fldCharType="separate"/>
      </w:r>
      <w:r>
        <w:t>21</w:t>
      </w:r>
      <w:r>
        <w:fldChar w:fldCharType="end"/>
      </w:r>
      <w:r>
        <w:fldChar w:fldCharType="end"/>
      </w:r>
    </w:p>
    <w:p>
      <w:pPr>
        <w:pStyle w:val="28"/>
        <w:tabs>
          <w:tab w:val="right" w:leader="dot" w:pos="9062"/>
        </w:tabs>
        <w:ind w:firstLine="400"/>
        <w:rPr>
          <w:rFonts w:asciiTheme="minorHAnsi" w:hAnsiTheme="minorHAnsi" w:eastAsiaTheme="minorEastAsia" w:cstheme="minorBidi"/>
          <w:smallCaps w:val="0"/>
          <w:sz w:val="21"/>
          <w:szCs w:val="22"/>
        </w:rPr>
      </w:pPr>
      <w:r>
        <w:fldChar w:fldCharType="begin"/>
      </w:r>
      <w:r>
        <w:instrText xml:space="preserve"> HYPERLINK \l "_Toc535851314" </w:instrText>
      </w:r>
      <w:r>
        <w:fldChar w:fldCharType="separate"/>
      </w:r>
      <w:r>
        <w:rPr>
          <w:rStyle w:val="41"/>
        </w:rPr>
        <w:t>3.6</w:t>
      </w:r>
      <w:r>
        <w:rPr>
          <w:rStyle w:val="41"/>
          <w:rFonts w:hint="eastAsia"/>
        </w:rPr>
        <w:t>应急处置</w:t>
      </w:r>
      <w:r>
        <w:tab/>
      </w:r>
      <w:r>
        <w:fldChar w:fldCharType="begin"/>
      </w:r>
      <w:r>
        <w:instrText xml:space="preserve"> PAGEREF _Toc535851314 \h </w:instrText>
      </w:r>
      <w:r>
        <w:fldChar w:fldCharType="separate"/>
      </w:r>
      <w:r>
        <w:t>22</w:t>
      </w:r>
      <w:r>
        <w:fldChar w:fldCharType="end"/>
      </w:r>
      <w:r>
        <w:fldChar w:fldCharType="end"/>
      </w:r>
    </w:p>
    <w:p>
      <w:pPr>
        <w:pStyle w:val="28"/>
        <w:tabs>
          <w:tab w:val="right" w:leader="dot" w:pos="9062"/>
        </w:tabs>
        <w:ind w:firstLine="400"/>
        <w:rPr>
          <w:rFonts w:asciiTheme="minorHAnsi" w:hAnsiTheme="minorHAnsi" w:eastAsiaTheme="minorEastAsia" w:cstheme="minorBidi"/>
          <w:smallCaps w:val="0"/>
          <w:sz w:val="21"/>
          <w:szCs w:val="22"/>
        </w:rPr>
      </w:pPr>
      <w:r>
        <w:fldChar w:fldCharType="begin"/>
      </w:r>
      <w:r>
        <w:instrText xml:space="preserve"> HYPERLINK \l "_Toc535851315" </w:instrText>
      </w:r>
      <w:r>
        <w:fldChar w:fldCharType="separate"/>
      </w:r>
      <w:r>
        <w:rPr>
          <w:rStyle w:val="41"/>
        </w:rPr>
        <w:t>3.7</w:t>
      </w:r>
      <w:r>
        <w:rPr>
          <w:rStyle w:val="41"/>
          <w:rFonts w:hint="eastAsia"/>
        </w:rPr>
        <w:t>物资调集及应急设施启用</w:t>
      </w:r>
      <w:r>
        <w:tab/>
      </w:r>
      <w:r>
        <w:fldChar w:fldCharType="begin"/>
      </w:r>
      <w:r>
        <w:instrText xml:space="preserve"> PAGEREF _Toc535851315 \h </w:instrText>
      </w:r>
      <w:r>
        <w:fldChar w:fldCharType="separate"/>
      </w:r>
      <w:r>
        <w:t>24</w:t>
      </w:r>
      <w:r>
        <w:fldChar w:fldCharType="end"/>
      </w:r>
      <w:r>
        <w:fldChar w:fldCharType="end"/>
      </w:r>
    </w:p>
    <w:p>
      <w:pPr>
        <w:pStyle w:val="28"/>
        <w:tabs>
          <w:tab w:val="right" w:leader="dot" w:pos="9062"/>
        </w:tabs>
        <w:ind w:firstLine="400"/>
        <w:rPr>
          <w:rFonts w:asciiTheme="minorHAnsi" w:hAnsiTheme="minorHAnsi" w:eastAsiaTheme="minorEastAsia" w:cstheme="minorBidi"/>
          <w:smallCaps w:val="0"/>
          <w:sz w:val="21"/>
          <w:szCs w:val="22"/>
        </w:rPr>
      </w:pPr>
      <w:r>
        <w:fldChar w:fldCharType="begin"/>
      </w:r>
      <w:r>
        <w:instrText xml:space="preserve"> HYPERLINK \l "_Toc535851316" </w:instrText>
      </w:r>
      <w:r>
        <w:fldChar w:fldCharType="separate"/>
      </w:r>
      <w:r>
        <w:rPr>
          <w:rStyle w:val="41"/>
        </w:rPr>
        <w:t>3.8</w:t>
      </w:r>
      <w:r>
        <w:rPr>
          <w:rStyle w:val="41"/>
          <w:rFonts w:hint="eastAsia"/>
        </w:rPr>
        <w:t>舆情监测与信息发布</w:t>
      </w:r>
      <w:r>
        <w:tab/>
      </w:r>
      <w:r>
        <w:fldChar w:fldCharType="begin"/>
      </w:r>
      <w:r>
        <w:instrText xml:space="preserve"> PAGEREF _Toc535851316 \h </w:instrText>
      </w:r>
      <w:r>
        <w:fldChar w:fldCharType="separate"/>
      </w:r>
      <w:r>
        <w:t>24</w:t>
      </w:r>
      <w:r>
        <w:fldChar w:fldCharType="end"/>
      </w:r>
      <w:r>
        <w:fldChar w:fldCharType="end"/>
      </w:r>
    </w:p>
    <w:p>
      <w:pPr>
        <w:pStyle w:val="28"/>
        <w:tabs>
          <w:tab w:val="right" w:leader="dot" w:pos="9062"/>
        </w:tabs>
        <w:ind w:firstLine="400"/>
        <w:rPr>
          <w:rFonts w:asciiTheme="minorHAnsi" w:hAnsiTheme="minorHAnsi" w:eastAsiaTheme="minorEastAsia" w:cstheme="minorBidi"/>
          <w:smallCaps w:val="0"/>
          <w:sz w:val="21"/>
          <w:szCs w:val="22"/>
        </w:rPr>
      </w:pPr>
      <w:r>
        <w:fldChar w:fldCharType="begin"/>
      </w:r>
      <w:r>
        <w:instrText xml:space="preserve"> HYPERLINK \l "_Toc535851317" </w:instrText>
      </w:r>
      <w:r>
        <w:fldChar w:fldCharType="separate"/>
      </w:r>
      <w:r>
        <w:rPr>
          <w:rStyle w:val="41"/>
        </w:rPr>
        <w:t>3.9</w:t>
      </w:r>
      <w:r>
        <w:rPr>
          <w:rStyle w:val="41"/>
          <w:rFonts w:hint="eastAsia"/>
        </w:rPr>
        <w:t>响应终止</w:t>
      </w:r>
      <w:r>
        <w:tab/>
      </w:r>
      <w:r>
        <w:fldChar w:fldCharType="begin"/>
      </w:r>
      <w:r>
        <w:instrText xml:space="preserve"> PAGEREF _Toc535851317 \h </w:instrText>
      </w:r>
      <w:r>
        <w:fldChar w:fldCharType="separate"/>
      </w:r>
      <w:r>
        <w:t>25</w:t>
      </w:r>
      <w:r>
        <w:fldChar w:fldCharType="end"/>
      </w:r>
      <w:r>
        <w:fldChar w:fldCharType="end"/>
      </w:r>
    </w:p>
    <w:p>
      <w:pPr>
        <w:pStyle w:val="24"/>
        <w:tabs>
          <w:tab w:val="right" w:leader="dot" w:pos="9062"/>
        </w:tabs>
        <w:ind w:firstLine="402"/>
        <w:rPr>
          <w:rFonts w:eastAsiaTheme="minorEastAsia" w:cstheme="minorBidi"/>
          <w:b w:val="0"/>
          <w:bCs w:val="0"/>
          <w:caps w:val="0"/>
          <w:sz w:val="21"/>
          <w:szCs w:val="22"/>
        </w:rPr>
      </w:pPr>
      <w:r>
        <w:fldChar w:fldCharType="begin"/>
      </w:r>
      <w:r>
        <w:instrText xml:space="preserve"> HYPERLINK \l "_Toc535851318" </w:instrText>
      </w:r>
      <w:r>
        <w:fldChar w:fldCharType="separate"/>
      </w:r>
      <w:r>
        <w:rPr>
          <w:rStyle w:val="41"/>
        </w:rPr>
        <w:t>4</w:t>
      </w:r>
      <w:r>
        <w:rPr>
          <w:rStyle w:val="41"/>
          <w:rFonts w:hint="eastAsia"/>
        </w:rPr>
        <w:t>后期工作</w:t>
      </w:r>
      <w:r>
        <w:tab/>
      </w:r>
      <w:r>
        <w:fldChar w:fldCharType="begin"/>
      </w:r>
      <w:r>
        <w:instrText xml:space="preserve"> PAGEREF _Toc535851318 \h </w:instrText>
      </w:r>
      <w:r>
        <w:fldChar w:fldCharType="separate"/>
      </w:r>
      <w:r>
        <w:t>26</w:t>
      </w:r>
      <w:r>
        <w:fldChar w:fldCharType="end"/>
      </w:r>
      <w:r>
        <w:fldChar w:fldCharType="end"/>
      </w:r>
    </w:p>
    <w:p>
      <w:pPr>
        <w:pStyle w:val="28"/>
        <w:tabs>
          <w:tab w:val="right" w:leader="dot" w:pos="9062"/>
        </w:tabs>
        <w:ind w:firstLine="400"/>
        <w:rPr>
          <w:rFonts w:asciiTheme="minorHAnsi" w:hAnsiTheme="minorHAnsi" w:eastAsiaTheme="minorEastAsia" w:cstheme="minorBidi"/>
          <w:smallCaps w:val="0"/>
          <w:sz w:val="21"/>
          <w:szCs w:val="22"/>
        </w:rPr>
      </w:pPr>
      <w:r>
        <w:fldChar w:fldCharType="begin"/>
      </w:r>
      <w:r>
        <w:instrText xml:space="preserve"> HYPERLINK \l "_Toc535851319" </w:instrText>
      </w:r>
      <w:r>
        <w:fldChar w:fldCharType="separate"/>
      </w:r>
      <w:r>
        <w:rPr>
          <w:rStyle w:val="41"/>
        </w:rPr>
        <w:t>4.1</w:t>
      </w:r>
      <w:r>
        <w:rPr>
          <w:rStyle w:val="41"/>
          <w:rFonts w:hint="eastAsia"/>
        </w:rPr>
        <w:t>后期防控</w:t>
      </w:r>
      <w:r>
        <w:tab/>
      </w:r>
      <w:r>
        <w:fldChar w:fldCharType="begin"/>
      </w:r>
      <w:r>
        <w:instrText xml:space="preserve"> PAGEREF _Toc535851319 \h </w:instrText>
      </w:r>
      <w:r>
        <w:fldChar w:fldCharType="separate"/>
      </w:r>
      <w:r>
        <w:t>26</w:t>
      </w:r>
      <w:r>
        <w:fldChar w:fldCharType="end"/>
      </w:r>
      <w:r>
        <w:fldChar w:fldCharType="end"/>
      </w:r>
    </w:p>
    <w:p>
      <w:pPr>
        <w:pStyle w:val="28"/>
        <w:tabs>
          <w:tab w:val="right" w:leader="dot" w:pos="9062"/>
        </w:tabs>
        <w:ind w:firstLine="400"/>
        <w:rPr>
          <w:rFonts w:asciiTheme="minorHAnsi" w:hAnsiTheme="minorHAnsi" w:eastAsiaTheme="minorEastAsia" w:cstheme="minorBidi"/>
          <w:smallCaps w:val="0"/>
          <w:sz w:val="21"/>
          <w:szCs w:val="22"/>
        </w:rPr>
      </w:pPr>
      <w:r>
        <w:fldChar w:fldCharType="begin"/>
      </w:r>
      <w:r>
        <w:instrText xml:space="preserve"> HYPERLINK \l "_Toc535851320" </w:instrText>
      </w:r>
      <w:r>
        <w:fldChar w:fldCharType="separate"/>
      </w:r>
      <w:r>
        <w:rPr>
          <w:rStyle w:val="41"/>
        </w:rPr>
        <w:t>4.2</w:t>
      </w:r>
      <w:r>
        <w:rPr>
          <w:rStyle w:val="41"/>
          <w:rFonts w:hint="eastAsia"/>
        </w:rPr>
        <w:t>事件调查</w:t>
      </w:r>
      <w:r>
        <w:tab/>
      </w:r>
      <w:r>
        <w:fldChar w:fldCharType="begin"/>
      </w:r>
      <w:r>
        <w:instrText xml:space="preserve"> PAGEREF _Toc535851320 \h </w:instrText>
      </w:r>
      <w:r>
        <w:fldChar w:fldCharType="separate"/>
      </w:r>
      <w:r>
        <w:t>26</w:t>
      </w:r>
      <w:r>
        <w:fldChar w:fldCharType="end"/>
      </w:r>
      <w:r>
        <w:fldChar w:fldCharType="end"/>
      </w:r>
    </w:p>
    <w:p>
      <w:pPr>
        <w:pStyle w:val="28"/>
        <w:tabs>
          <w:tab w:val="right" w:leader="dot" w:pos="9062"/>
        </w:tabs>
        <w:ind w:firstLine="400"/>
        <w:rPr>
          <w:rFonts w:asciiTheme="minorHAnsi" w:hAnsiTheme="minorHAnsi" w:eastAsiaTheme="minorEastAsia" w:cstheme="minorBidi"/>
          <w:smallCaps w:val="0"/>
          <w:sz w:val="21"/>
          <w:szCs w:val="22"/>
        </w:rPr>
      </w:pPr>
      <w:r>
        <w:fldChar w:fldCharType="begin"/>
      </w:r>
      <w:r>
        <w:instrText xml:space="preserve"> HYPERLINK \l "_Toc535851321" </w:instrText>
      </w:r>
      <w:r>
        <w:fldChar w:fldCharType="separate"/>
      </w:r>
      <w:r>
        <w:rPr>
          <w:rStyle w:val="41"/>
        </w:rPr>
        <w:t>4.3</w:t>
      </w:r>
      <w:r>
        <w:rPr>
          <w:rStyle w:val="41"/>
          <w:rFonts w:hint="eastAsia"/>
        </w:rPr>
        <w:t>损害评估</w:t>
      </w:r>
      <w:r>
        <w:tab/>
      </w:r>
      <w:r>
        <w:fldChar w:fldCharType="begin"/>
      </w:r>
      <w:r>
        <w:instrText xml:space="preserve"> PAGEREF _Toc535851321 \h </w:instrText>
      </w:r>
      <w:r>
        <w:fldChar w:fldCharType="separate"/>
      </w:r>
      <w:r>
        <w:t>26</w:t>
      </w:r>
      <w:r>
        <w:fldChar w:fldCharType="end"/>
      </w:r>
      <w:r>
        <w:fldChar w:fldCharType="end"/>
      </w:r>
    </w:p>
    <w:p>
      <w:pPr>
        <w:pStyle w:val="28"/>
        <w:tabs>
          <w:tab w:val="right" w:leader="dot" w:pos="9062"/>
        </w:tabs>
        <w:ind w:firstLine="400"/>
        <w:rPr>
          <w:rFonts w:asciiTheme="minorHAnsi" w:hAnsiTheme="minorHAnsi" w:eastAsiaTheme="minorEastAsia" w:cstheme="minorBidi"/>
          <w:smallCaps w:val="0"/>
          <w:sz w:val="21"/>
          <w:szCs w:val="22"/>
        </w:rPr>
      </w:pPr>
      <w:r>
        <w:fldChar w:fldCharType="begin"/>
      </w:r>
      <w:r>
        <w:instrText xml:space="preserve"> HYPERLINK \l "_Toc535851322" </w:instrText>
      </w:r>
      <w:r>
        <w:fldChar w:fldCharType="separate"/>
      </w:r>
      <w:r>
        <w:rPr>
          <w:rStyle w:val="41"/>
        </w:rPr>
        <w:t>4.4</w:t>
      </w:r>
      <w:r>
        <w:rPr>
          <w:rStyle w:val="41"/>
          <w:rFonts w:hint="eastAsia"/>
        </w:rPr>
        <w:t>善后处置</w:t>
      </w:r>
      <w:r>
        <w:tab/>
      </w:r>
      <w:r>
        <w:fldChar w:fldCharType="begin"/>
      </w:r>
      <w:r>
        <w:instrText xml:space="preserve"> PAGEREF _Toc535851322 \h </w:instrText>
      </w:r>
      <w:r>
        <w:fldChar w:fldCharType="separate"/>
      </w:r>
      <w:r>
        <w:t>27</w:t>
      </w:r>
      <w:r>
        <w:fldChar w:fldCharType="end"/>
      </w:r>
      <w:r>
        <w:fldChar w:fldCharType="end"/>
      </w:r>
    </w:p>
    <w:p>
      <w:pPr>
        <w:pStyle w:val="24"/>
        <w:tabs>
          <w:tab w:val="right" w:leader="dot" w:pos="9062"/>
        </w:tabs>
        <w:ind w:firstLine="402"/>
        <w:rPr>
          <w:rFonts w:eastAsiaTheme="minorEastAsia" w:cstheme="minorBidi"/>
          <w:b w:val="0"/>
          <w:bCs w:val="0"/>
          <w:caps w:val="0"/>
          <w:sz w:val="21"/>
          <w:szCs w:val="22"/>
        </w:rPr>
      </w:pPr>
      <w:r>
        <w:fldChar w:fldCharType="begin"/>
      </w:r>
      <w:r>
        <w:instrText xml:space="preserve"> HYPERLINK \l "_Toc535851323" </w:instrText>
      </w:r>
      <w:r>
        <w:fldChar w:fldCharType="separate"/>
      </w:r>
      <w:r>
        <w:rPr>
          <w:rStyle w:val="41"/>
        </w:rPr>
        <w:t xml:space="preserve">5 </w:t>
      </w:r>
      <w:r>
        <w:rPr>
          <w:rStyle w:val="41"/>
          <w:rFonts w:hint="eastAsia"/>
        </w:rPr>
        <w:t>应急保障</w:t>
      </w:r>
      <w:r>
        <w:tab/>
      </w:r>
      <w:r>
        <w:fldChar w:fldCharType="begin"/>
      </w:r>
      <w:r>
        <w:instrText xml:space="preserve"> PAGEREF _Toc535851323 \h </w:instrText>
      </w:r>
      <w:r>
        <w:fldChar w:fldCharType="separate"/>
      </w:r>
      <w:r>
        <w:t>28</w:t>
      </w:r>
      <w:r>
        <w:fldChar w:fldCharType="end"/>
      </w:r>
      <w:r>
        <w:fldChar w:fldCharType="end"/>
      </w:r>
    </w:p>
    <w:p>
      <w:pPr>
        <w:pStyle w:val="28"/>
        <w:tabs>
          <w:tab w:val="right" w:leader="dot" w:pos="9062"/>
        </w:tabs>
        <w:ind w:firstLine="400"/>
        <w:rPr>
          <w:rFonts w:asciiTheme="minorHAnsi" w:hAnsiTheme="minorHAnsi" w:eastAsiaTheme="minorEastAsia" w:cstheme="minorBidi"/>
          <w:smallCaps w:val="0"/>
          <w:sz w:val="21"/>
          <w:szCs w:val="22"/>
        </w:rPr>
      </w:pPr>
      <w:r>
        <w:fldChar w:fldCharType="begin"/>
      </w:r>
      <w:r>
        <w:instrText xml:space="preserve"> HYPERLINK \l "_Toc535851324" </w:instrText>
      </w:r>
      <w:r>
        <w:fldChar w:fldCharType="separate"/>
      </w:r>
      <w:r>
        <w:rPr>
          <w:rStyle w:val="41"/>
        </w:rPr>
        <w:t>5.1</w:t>
      </w:r>
      <w:r>
        <w:rPr>
          <w:rStyle w:val="41"/>
          <w:rFonts w:hint="eastAsia"/>
        </w:rPr>
        <w:t>通讯与信息保障</w:t>
      </w:r>
      <w:r>
        <w:tab/>
      </w:r>
      <w:r>
        <w:fldChar w:fldCharType="begin"/>
      </w:r>
      <w:r>
        <w:instrText xml:space="preserve"> PAGEREF _Toc535851324 \h </w:instrText>
      </w:r>
      <w:r>
        <w:fldChar w:fldCharType="separate"/>
      </w:r>
      <w:r>
        <w:t>28</w:t>
      </w:r>
      <w:r>
        <w:fldChar w:fldCharType="end"/>
      </w:r>
      <w:r>
        <w:fldChar w:fldCharType="end"/>
      </w:r>
    </w:p>
    <w:p>
      <w:pPr>
        <w:pStyle w:val="28"/>
        <w:tabs>
          <w:tab w:val="right" w:leader="dot" w:pos="9062"/>
        </w:tabs>
        <w:ind w:firstLine="400"/>
        <w:rPr>
          <w:rFonts w:asciiTheme="minorHAnsi" w:hAnsiTheme="minorHAnsi" w:eastAsiaTheme="minorEastAsia" w:cstheme="minorBidi"/>
          <w:smallCaps w:val="0"/>
          <w:sz w:val="21"/>
          <w:szCs w:val="22"/>
        </w:rPr>
      </w:pPr>
      <w:r>
        <w:fldChar w:fldCharType="begin"/>
      </w:r>
      <w:r>
        <w:instrText xml:space="preserve"> HYPERLINK \l "_Toc535851325" </w:instrText>
      </w:r>
      <w:r>
        <w:fldChar w:fldCharType="separate"/>
      </w:r>
      <w:r>
        <w:rPr>
          <w:rStyle w:val="41"/>
        </w:rPr>
        <w:t>5.2</w:t>
      </w:r>
      <w:r>
        <w:rPr>
          <w:rStyle w:val="41"/>
          <w:rFonts w:hint="eastAsia"/>
        </w:rPr>
        <w:t>应急队伍保障</w:t>
      </w:r>
      <w:r>
        <w:tab/>
      </w:r>
      <w:r>
        <w:fldChar w:fldCharType="begin"/>
      </w:r>
      <w:r>
        <w:instrText xml:space="preserve"> PAGEREF _Toc535851325 \h </w:instrText>
      </w:r>
      <w:r>
        <w:fldChar w:fldCharType="separate"/>
      </w:r>
      <w:r>
        <w:t>28</w:t>
      </w:r>
      <w:r>
        <w:fldChar w:fldCharType="end"/>
      </w:r>
      <w:r>
        <w:fldChar w:fldCharType="end"/>
      </w:r>
    </w:p>
    <w:p>
      <w:pPr>
        <w:pStyle w:val="28"/>
        <w:tabs>
          <w:tab w:val="right" w:leader="dot" w:pos="9062"/>
        </w:tabs>
        <w:ind w:firstLine="400"/>
        <w:rPr>
          <w:rFonts w:asciiTheme="minorHAnsi" w:hAnsiTheme="minorHAnsi" w:eastAsiaTheme="minorEastAsia" w:cstheme="minorBidi"/>
          <w:smallCaps w:val="0"/>
          <w:sz w:val="21"/>
          <w:szCs w:val="22"/>
        </w:rPr>
      </w:pPr>
      <w:r>
        <w:fldChar w:fldCharType="begin"/>
      </w:r>
      <w:r>
        <w:instrText xml:space="preserve"> HYPERLINK \l "_Toc535851326" </w:instrText>
      </w:r>
      <w:r>
        <w:fldChar w:fldCharType="separate"/>
      </w:r>
      <w:r>
        <w:rPr>
          <w:rStyle w:val="41"/>
        </w:rPr>
        <w:t>5.3</w:t>
      </w:r>
      <w:r>
        <w:rPr>
          <w:rStyle w:val="41"/>
          <w:rFonts w:hint="eastAsia"/>
        </w:rPr>
        <w:t>应急资源保障</w:t>
      </w:r>
      <w:r>
        <w:tab/>
      </w:r>
      <w:r>
        <w:fldChar w:fldCharType="begin"/>
      </w:r>
      <w:r>
        <w:instrText xml:space="preserve"> PAGEREF _Toc535851326 \h </w:instrText>
      </w:r>
      <w:r>
        <w:fldChar w:fldCharType="separate"/>
      </w:r>
      <w:r>
        <w:t>28</w:t>
      </w:r>
      <w:r>
        <w:fldChar w:fldCharType="end"/>
      </w:r>
      <w:r>
        <w:fldChar w:fldCharType="end"/>
      </w:r>
    </w:p>
    <w:p>
      <w:pPr>
        <w:pStyle w:val="28"/>
        <w:tabs>
          <w:tab w:val="right" w:leader="dot" w:pos="9062"/>
        </w:tabs>
        <w:ind w:firstLine="400"/>
        <w:rPr>
          <w:rFonts w:asciiTheme="minorHAnsi" w:hAnsiTheme="minorHAnsi" w:eastAsiaTheme="minorEastAsia" w:cstheme="minorBidi"/>
          <w:smallCaps w:val="0"/>
          <w:sz w:val="21"/>
          <w:szCs w:val="22"/>
        </w:rPr>
      </w:pPr>
      <w:r>
        <w:fldChar w:fldCharType="begin"/>
      </w:r>
      <w:r>
        <w:instrText xml:space="preserve"> HYPERLINK \l "_Toc535851327" </w:instrText>
      </w:r>
      <w:r>
        <w:fldChar w:fldCharType="separate"/>
      </w:r>
      <w:r>
        <w:rPr>
          <w:rStyle w:val="41"/>
        </w:rPr>
        <w:t>5.4</w:t>
      </w:r>
      <w:r>
        <w:rPr>
          <w:rStyle w:val="41"/>
          <w:rFonts w:hint="eastAsia"/>
        </w:rPr>
        <w:t>经费保障</w:t>
      </w:r>
      <w:r>
        <w:tab/>
      </w:r>
      <w:r>
        <w:fldChar w:fldCharType="begin"/>
      </w:r>
      <w:r>
        <w:instrText xml:space="preserve"> PAGEREF _Toc535851327 \h </w:instrText>
      </w:r>
      <w:r>
        <w:fldChar w:fldCharType="separate"/>
      </w:r>
      <w:r>
        <w:t>28</w:t>
      </w:r>
      <w:r>
        <w:fldChar w:fldCharType="end"/>
      </w:r>
      <w:r>
        <w:fldChar w:fldCharType="end"/>
      </w:r>
    </w:p>
    <w:p>
      <w:pPr>
        <w:pStyle w:val="28"/>
        <w:tabs>
          <w:tab w:val="right" w:leader="dot" w:pos="9062"/>
        </w:tabs>
        <w:ind w:firstLine="400"/>
        <w:rPr>
          <w:rFonts w:asciiTheme="minorHAnsi" w:hAnsiTheme="minorHAnsi" w:eastAsiaTheme="minorEastAsia" w:cstheme="minorBidi"/>
          <w:smallCaps w:val="0"/>
          <w:sz w:val="21"/>
          <w:szCs w:val="22"/>
        </w:rPr>
      </w:pPr>
      <w:r>
        <w:fldChar w:fldCharType="begin"/>
      </w:r>
      <w:r>
        <w:instrText xml:space="preserve"> HYPERLINK \l "_Toc535851328" </w:instrText>
      </w:r>
      <w:r>
        <w:fldChar w:fldCharType="separate"/>
      </w:r>
      <w:r>
        <w:rPr>
          <w:rStyle w:val="41"/>
        </w:rPr>
        <w:t>5.5</w:t>
      </w:r>
      <w:r>
        <w:rPr>
          <w:rStyle w:val="41"/>
          <w:rFonts w:hint="eastAsia"/>
        </w:rPr>
        <w:t>其他保障</w:t>
      </w:r>
      <w:r>
        <w:tab/>
      </w:r>
      <w:r>
        <w:fldChar w:fldCharType="begin"/>
      </w:r>
      <w:r>
        <w:instrText xml:space="preserve"> PAGEREF _Toc535851328 \h </w:instrText>
      </w:r>
      <w:r>
        <w:fldChar w:fldCharType="separate"/>
      </w:r>
      <w:r>
        <w:t>28</w:t>
      </w:r>
      <w:r>
        <w:fldChar w:fldCharType="end"/>
      </w:r>
      <w:r>
        <w:fldChar w:fldCharType="end"/>
      </w:r>
    </w:p>
    <w:p>
      <w:pPr>
        <w:pStyle w:val="24"/>
        <w:tabs>
          <w:tab w:val="right" w:leader="dot" w:pos="9062"/>
        </w:tabs>
        <w:ind w:firstLine="402"/>
        <w:rPr>
          <w:rFonts w:eastAsiaTheme="minorEastAsia" w:cstheme="minorBidi"/>
          <w:b w:val="0"/>
          <w:bCs w:val="0"/>
          <w:caps w:val="0"/>
          <w:sz w:val="21"/>
          <w:szCs w:val="22"/>
        </w:rPr>
      </w:pPr>
      <w:r>
        <w:fldChar w:fldCharType="begin"/>
      </w:r>
      <w:r>
        <w:instrText xml:space="preserve"> HYPERLINK \l "_Toc535851329" </w:instrText>
      </w:r>
      <w:r>
        <w:fldChar w:fldCharType="separate"/>
      </w:r>
      <w:r>
        <w:rPr>
          <w:rStyle w:val="41"/>
        </w:rPr>
        <w:t xml:space="preserve">6 </w:t>
      </w:r>
      <w:r>
        <w:rPr>
          <w:rStyle w:val="41"/>
          <w:rFonts w:hint="eastAsia"/>
        </w:rPr>
        <w:t>附则</w:t>
      </w:r>
      <w:r>
        <w:tab/>
      </w:r>
      <w:r>
        <w:fldChar w:fldCharType="begin"/>
      </w:r>
      <w:r>
        <w:instrText xml:space="preserve"> PAGEREF _Toc535851329 \h </w:instrText>
      </w:r>
      <w:r>
        <w:fldChar w:fldCharType="separate"/>
      </w:r>
      <w:r>
        <w:t>30</w:t>
      </w:r>
      <w:r>
        <w:fldChar w:fldCharType="end"/>
      </w:r>
      <w:r>
        <w:fldChar w:fldCharType="end"/>
      </w:r>
    </w:p>
    <w:p>
      <w:pPr>
        <w:pStyle w:val="28"/>
        <w:tabs>
          <w:tab w:val="right" w:leader="dot" w:pos="9062"/>
        </w:tabs>
        <w:ind w:firstLine="400"/>
        <w:rPr>
          <w:rFonts w:asciiTheme="minorHAnsi" w:hAnsiTheme="minorHAnsi" w:eastAsiaTheme="minorEastAsia" w:cstheme="minorBidi"/>
          <w:smallCaps w:val="0"/>
          <w:sz w:val="21"/>
          <w:szCs w:val="22"/>
        </w:rPr>
      </w:pPr>
      <w:r>
        <w:fldChar w:fldCharType="begin"/>
      </w:r>
      <w:r>
        <w:instrText xml:space="preserve"> HYPERLINK \l "_Toc535851330" </w:instrText>
      </w:r>
      <w:r>
        <w:fldChar w:fldCharType="separate"/>
      </w:r>
      <w:r>
        <w:rPr>
          <w:rStyle w:val="41"/>
        </w:rPr>
        <w:t xml:space="preserve">6.1 </w:t>
      </w:r>
      <w:r>
        <w:rPr>
          <w:rStyle w:val="41"/>
          <w:rFonts w:hint="eastAsia"/>
        </w:rPr>
        <w:t>名词术语</w:t>
      </w:r>
      <w:r>
        <w:tab/>
      </w:r>
      <w:r>
        <w:fldChar w:fldCharType="begin"/>
      </w:r>
      <w:r>
        <w:instrText xml:space="preserve"> PAGEREF _Toc535851330 \h </w:instrText>
      </w:r>
      <w:r>
        <w:fldChar w:fldCharType="separate"/>
      </w:r>
      <w:r>
        <w:t>30</w:t>
      </w:r>
      <w:r>
        <w:fldChar w:fldCharType="end"/>
      </w:r>
      <w:r>
        <w:fldChar w:fldCharType="end"/>
      </w:r>
    </w:p>
    <w:p>
      <w:pPr>
        <w:pStyle w:val="28"/>
        <w:tabs>
          <w:tab w:val="right" w:leader="dot" w:pos="9062"/>
        </w:tabs>
        <w:ind w:firstLine="400"/>
        <w:rPr>
          <w:rFonts w:asciiTheme="minorHAnsi" w:hAnsiTheme="minorHAnsi" w:eastAsiaTheme="minorEastAsia" w:cstheme="minorBidi"/>
          <w:smallCaps w:val="0"/>
          <w:sz w:val="21"/>
          <w:szCs w:val="22"/>
        </w:rPr>
      </w:pPr>
      <w:r>
        <w:fldChar w:fldCharType="begin"/>
      </w:r>
      <w:r>
        <w:instrText xml:space="preserve"> HYPERLINK \l "_Toc535851331" </w:instrText>
      </w:r>
      <w:r>
        <w:fldChar w:fldCharType="separate"/>
      </w:r>
      <w:r>
        <w:rPr>
          <w:rStyle w:val="41"/>
        </w:rPr>
        <w:t xml:space="preserve">6.2 </w:t>
      </w:r>
      <w:r>
        <w:rPr>
          <w:rStyle w:val="41"/>
          <w:rFonts w:hint="eastAsia"/>
        </w:rPr>
        <w:t>预案解释权属</w:t>
      </w:r>
      <w:r>
        <w:tab/>
      </w:r>
      <w:r>
        <w:fldChar w:fldCharType="begin"/>
      </w:r>
      <w:r>
        <w:instrText xml:space="preserve"> PAGEREF _Toc535851331 \h </w:instrText>
      </w:r>
      <w:r>
        <w:fldChar w:fldCharType="separate"/>
      </w:r>
      <w:r>
        <w:t>30</w:t>
      </w:r>
      <w:r>
        <w:fldChar w:fldCharType="end"/>
      </w:r>
      <w:r>
        <w:fldChar w:fldCharType="end"/>
      </w:r>
    </w:p>
    <w:p>
      <w:pPr>
        <w:pStyle w:val="28"/>
        <w:tabs>
          <w:tab w:val="right" w:leader="dot" w:pos="9062"/>
        </w:tabs>
        <w:ind w:firstLine="400"/>
        <w:rPr>
          <w:rFonts w:asciiTheme="minorHAnsi" w:hAnsiTheme="minorHAnsi" w:eastAsiaTheme="minorEastAsia" w:cstheme="minorBidi"/>
          <w:smallCaps w:val="0"/>
          <w:sz w:val="21"/>
          <w:szCs w:val="22"/>
        </w:rPr>
      </w:pPr>
      <w:r>
        <w:fldChar w:fldCharType="begin"/>
      </w:r>
      <w:r>
        <w:instrText xml:space="preserve"> HYPERLINK \l "_Toc535851332" </w:instrText>
      </w:r>
      <w:r>
        <w:fldChar w:fldCharType="separate"/>
      </w:r>
      <w:r>
        <w:rPr>
          <w:rStyle w:val="41"/>
        </w:rPr>
        <w:t>6.3</w:t>
      </w:r>
      <w:r>
        <w:rPr>
          <w:rStyle w:val="41"/>
          <w:rFonts w:hint="eastAsia"/>
        </w:rPr>
        <w:t>预案演练和修订</w:t>
      </w:r>
      <w:r>
        <w:tab/>
      </w:r>
      <w:r>
        <w:fldChar w:fldCharType="begin"/>
      </w:r>
      <w:r>
        <w:instrText xml:space="preserve"> PAGEREF _Toc535851332 \h </w:instrText>
      </w:r>
      <w:r>
        <w:fldChar w:fldCharType="separate"/>
      </w:r>
      <w:r>
        <w:t>31</w:t>
      </w:r>
      <w:r>
        <w:fldChar w:fldCharType="end"/>
      </w:r>
      <w:r>
        <w:fldChar w:fldCharType="end"/>
      </w:r>
    </w:p>
    <w:p>
      <w:pPr>
        <w:pStyle w:val="28"/>
        <w:tabs>
          <w:tab w:val="right" w:leader="dot" w:pos="9062"/>
        </w:tabs>
        <w:ind w:firstLine="400"/>
        <w:rPr>
          <w:rFonts w:asciiTheme="minorHAnsi" w:hAnsiTheme="minorHAnsi" w:eastAsiaTheme="minorEastAsia" w:cstheme="minorBidi"/>
          <w:smallCaps w:val="0"/>
          <w:sz w:val="21"/>
          <w:szCs w:val="22"/>
        </w:rPr>
      </w:pPr>
      <w:r>
        <w:fldChar w:fldCharType="begin"/>
      </w:r>
      <w:r>
        <w:instrText xml:space="preserve"> HYPERLINK \l "_Toc535851333" </w:instrText>
      </w:r>
      <w:r>
        <w:fldChar w:fldCharType="separate"/>
      </w:r>
      <w:r>
        <w:rPr>
          <w:rStyle w:val="41"/>
        </w:rPr>
        <w:t xml:space="preserve">6.4 </w:t>
      </w:r>
      <w:r>
        <w:rPr>
          <w:rStyle w:val="41"/>
          <w:rFonts w:hint="eastAsia"/>
        </w:rPr>
        <w:t>实施日期</w:t>
      </w:r>
      <w:r>
        <w:tab/>
      </w:r>
      <w:r>
        <w:fldChar w:fldCharType="begin"/>
      </w:r>
      <w:r>
        <w:instrText xml:space="preserve"> PAGEREF _Toc535851333 \h </w:instrText>
      </w:r>
      <w:r>
        <w:fldChar w:fldCharType="separate"/>
      </w:r>
      <w:r>
        <w:t>33</w:t>
      </w:r>
      <w:r>
        <w:fldChar w:fldCharType="end"/>
      </w:r>
      <w:r>
        <w:fldChar w:fldCharType="end"/>
      </w:r>
    </w:p>
    <w:p>
      <w:pPr>
        <w:pStyle w:val="24"/>
        <w:tabs>
          <w:tab w:val="right" w:leader="dot" w:pos="9062"/>
        </w:tabs>
        <w:ind w:firstLine="402"/>
        <w:rPr>
          <w:rFonts w:eastAsiaTheme="minorEastAsia" w:cstheme="minorBidi"/>
          <w:b w:val="0"/>
          <w:bCs w:val="0"/>
          <w:caps w:val="0"/>
          <w:sz w:val="21"/>
          <w:szCs w:val="22"/>
        </w:rPr>
      </w:pPr>
      <w:r>
        <w:fldChar w:fldCharType="begin"/>
      </w:r>
      <w:r>
        <w:instrText xml:space="preserve"> HYPERLINK \l "_Toc535851334" </w:instrText>
      </w:r>
      <w:r>
        <w:fldChar w:fldCharType="separate"/>
      </w:r>
      <w:r>
        <w:rPr>
          <w:rStyle w:val="41"/>
          <w:rFonts w:hint="eastAsia"/>
        </w:rPr>
        <w:t>第三部分</w:t>
      </w:r>
      <w:r>
        <w:rPr>
          <w:rStyle w:val="41"/>
        </w:rPr>
        <w:t xml:space="preserve"> </w:t>
      </w:r>
      <w:r>
        <w:rPr>
          <w:rStyle w:val="41"/>
          <w:rFonts w:hint="eastAsia"/>
        </w:rPr>
        <w:t>水源地基础状况调查和风险评估</w:t>
      </w:r>
      <w:r>
        <w:tab/>
      </w:r>
      <w:r>
        <w:fldChar w:fldCharType="begin"/>
      </w:r>
      <w:r>
        <w:instrText xml:space="preserve"> PAGEREF _Toc535851334 \h </w:instrText>
      </w:r>
      <w:r>
        <w:fldChar w:fldCharType="separate"/>
      </w:r>
      <w:r>
        <w:t>34</w:t>
      </w:r>
      <w:r>
        <w:fldChar w:fldCharType="end"/>
      </w:r>
      <w:r>
        <w:fldChar w:fldCharType="end"/>
      </w:r>
    </w:p>
    <w:p>
      <w:pPr>
        <w:pStyle w:val="24"/>
        <w:tabs>
          <w:tab w:val="right" w:leader="dot" w:pos="9062"/>
        </w:tabs>
        <w:ind w:firstLine="402"/>
        <w:rPr>
          <w:rFonts w:eastAsiaTheme="minorEastAsia" w:cstheme="minorBidi"/>
          <w:b w:val="0"/>
          <w:bCs w:val="0"/>
          <w:caps w:val="0"/>
          <w:sz w:val="21"/>
          <w:szCs w:val="22"/>
        </w:rPr>
      </w:pPr>
      <w:r>
        <w:fldChar w:fldCharType="begin"/>
      </w:r>
      <w:r>
        <w:instrText xml:space="preserve"> HYPERLINK \l "_Toc535851335" </w:instrText>
      </w:r>
      <w:r>
        <w:fldChar w:fldCharType="separate"/>
      </w:r>
      <w:r>
        <w:rPr>
          <w:rStyle w:val="41"/>
        </w:rPr>
        <w:t>1</w:t>
      </w:r>
      <w:r>
        <w:rPr>
          <w:rStyle w:val="41"/>
          <w:rFonts w:hint="eastAsia"/>
        </w:rPr>
        <w:t>调查范围</w:t>
      </w:r>
      <w:r>
        <w:tab/>
      </w:r>
      <w:r>
        <w:fldChar w:fldCharType="begin"/>
      </w:r>
      <w:r>
        <w:instrText xml:space="preserve"> PAGEREF _Toc535851335 \h </w:instrText>
      </w:r>
      <w:r>
        <w:fldChar w:fldCharType="separate"/>
      </w:r>
      <w:r>
        <w:t>35</w:t>
      </w:r>
      <w:r>
        <w:fldChar w:fldCharType="end"/>
      </w:r>
      <w:r>
        <w:fldChar w:fldCharType="end"/>
      </w:r>
    </w:p>
    <w:p>
      <w:pPr>
        <w:pStyle w:val="24"/>
        <w:tabs>
          <w:tab w:val="right" w:leader="dot" w:pos="9062"/>
        </w:tabs>
        <w:ind w:firstLine="402"/>
        <w:rPr>
          <w:rFonts w:eastAsiaTheme="minorEastAsia" w:cstheme="minorBidi"/>
          <w:b w:val="0"/>
          <w:bCs w:val="0"/>
          <w:caps w:val="0"/>
          <w:sz w:val="21"/>
          <w:szCs w:val="22"/>
        </w:rPr>
      </w:pPr>
      <w:r>
        <w:fldChar w:fldCharType="begin"/>
      </w:r>
      <w:r>
        <w:instrText xml:space="preserve"> HYPERLINK \l "_Toc535851336" </w:instrText>
      </w:r>
      <w:r>
        <w:fldChar w:fldCharType="separate"/>
      </w:r>
      <w:r>
        <w:rPr>
          <w:rStyle w:val="41"/>
        </w:rPr>
        <w:t>2</w:t>
      </w:r>
      <w:r>
        <w:rPr>
          <w:rStyle w:val="41"/>
          <w:rFonts w:hint="eastAsia"/>
        </w:rPr>
        <w:t>调查内容与方式</w:t>
      </w:r>
      <w:r>
        <w:tab/>
      </w:r>
      <w:r>
        <w:fldChar w:fldCharType="begin"/>
      </w:r>
      <w:r>
        <w:instrText xml:space="preserve"> PAGEREF _Toc535851336 \h </w:instrText>
      </w:r>
      <w:r>
        <w:fldChar w:fldCharType="separate"/>
      </w:r>
      <w:r>
        <w:t>35</w:t>
      </w:r>
      <w:r>
        <w:fldChar w:fldCharType="end"/>
      </w:r>
      <w:r>
        <w:fldChar w:fldCharType="end"/>
      </w:r>
    </w:p>
    <w:p>
      <w:pPr>
        <w:pStyle w:val="24"/>
        <w:tabs>
          <w:tab w:val="right" w:leader="dot" w:pos="9062"/>
        </w:tabs>
        <w:ind w:firstLine="402"/>
        <w:rPr>
          <w:rFonts w:eastAsiaTheme="minorEastAsia" w:cstheme="minorBidi"/>
          <w:b w:val="0"/>
          <w:bCs w:val="0"/>
          <w:caps w:val="0"/>
          <w:sz w:val="21"/>
          <w:szCs w:val="22"/>
        </w:rPr>
      </w:pPr>
      <w:r>
        <w:fldChar w:fldCharType="begin"/>
      </w:r>
      <w:r>
        <w:instrText xml:space="preserve"> HYPERLINK \l "_Toc535851337" </w:instrText>
      </w:r>
      <w:r>
        <w:fldChar w:fldCharType="separate"/>
      </w:r>
      <w:r>
        <w:rPr>
          <w:rStyle w:val="41"/>
        </w:rPr>
        <w:t>3</w:t>
      </w:r>
      <w:r>
        <w:rPr>
          <w:rStyle w:val="41"/>
          <w:rFonts w:hint="eastAsia"/>
        </w:rPr>
        <w:t>基础环境特征调查</w:t>
      </w:r>
      <w:r>
        <w:tab/>
      </w:r>
      <w:r>
        <w:fldChar w:fldCharType="begin"/>
      </w:r>
      <w:r>
        <w:instrText xml:space="preserve"> PAGEREF _Toc535851337 \h </w:instrText>
      </w:r>
      <w:r>
        <w:fldChar w:fldCharType="separate"/>
      </w:r>
      <w:r>
        <w:t>36</w:t>
      </w:r>
      <w:r>
        <w:fldChar w:fldCharType="end"/>
      </w:r>
      <w:r>
        <w:fldChar w:fldCharType="end"/>
      </w:r>
    </w:p>
    <w:p>
      <w:pPr>
        <w:pStyle w:val="28"/>
        <w:tabs>
          <w:tab w:val="right" w:leader="dot" w:pos="9062"/>
        </w:tabs>
        <w:ind w:firstLine="400"/>
        <w:rPr>
          <w:rFonts w:asciiTheme="minorHAnsi" w:hAnsiTheme="minorHAnsi" w:eastAsiaTheme="minorEastAsia" w:cstheme="minorBidi"/>
          <w:smallCaps w:val="0"/>
          <w:sz w:val="21"/>
          <w:szCs w:val="22"/>
        </w:rPr>
      </w:pPr>
      <w:r>
        <w:fldChar w:fldCharType="begin"/>
      </w:r>
      <w:r>
        <w:instrText xml:space="preserve"> HYPERLINK \l "_Toc535851338" </w:instrText>
      </w:r>
      <w:r>
        <w:fldChar w:fldCharType="separate"/>
      </w:r>
      <w:r>
        <w:rPr>
          <w:rStyle w:val="41"/>
        </w:rPr>
        <w:t>3.1</w:t>
      </w:r>
      <w:r>
        <w:rPr>
          <w:rStyle w:val="41"/>
          <w:rFonts w:hint="eastAsia"/>
        </w:rPr>
        <w:t>饮用水源地所在区域环境概况</w:t>
      </w:r>
      <w:r>
        <w:tab/>
      </w:r>
      <w:r>
        <w:fldChar w:fldCharType="begin"/>
      </w:r>
      <w:r>
        <w:instrText xml:space="preserve"> PAGEREF _Toc535851338 \h </w:instrText>
      </w:r>
      <w:r>
        <w:fldChar w:fldCharType="separate"/>
      </w:r>
      <w:r>
        <w:t>36</w:t>
      </w:r>
      <w:r>
        <w:fldChar w:fldCharType="end"/>
      </w:r>
      <w:r>
        <w:fldChar w:fldCharType="end"/>
      </w:r>
    </w:p>
    <w:p>
      <w:pPr>
        <w:pStyle w:val="28"/>
        <w:tabs>
          <w:tab w:val="right" w:leader="dot" w:pos="9062"/>
        </w:tabs>
        <w:ind w:firstLine="400"/>
        <w:rPr>
          <w:rFonts w:asciiTheme="minorHAnsi" w:hAnsiTheme="minorHAnsi" w:eastAsiaTheme="minorEastAsia" w:cstheme="minorBidi"/>
          <w:smallCaps w:val="0"/>
          <w:sz w:val="21"/>
          <w:szCs w:val="22"/>
        </w:rPr>
      </w:pPr>
      <w:r>
        <w:fldChar w:fldCharType="begin"/>
      </w:r>
      <w:r>
        <w:instrText xml:space="preserve"> HYPERLINK \l "_Toc535851339" </w:instrText>
      </w:r>
      <w:r>
        <w:fldChar w:fldCharType="separate"/>
      </w:r>
      <w:r>
        <w:rPr>
          <w:rStyle w:val="41"/>
        </w:rPr>
        <w:t>3.2</w:t>
      </w:r>
      <w:r>
        <w:rPr>
          <w:rStyle w:val="41"/>
          <w:rFonts w:hint="eastAsia"/>
        </w:rPr>
        <w:t>社会经济条件</w:t>
      </w:r>
      <w:r>
        <w:tab/>
      </w:r>
      <w:r>
        <w:fldChar w:fldCharType="begin"/>
      </w:r>
      <w:r>
        <w:instrText xml:space="preserve"> PAGEREF _Toc535851339 \h </w:instrText>
      </w:r>
      <w:r>
        <w:fldChar w:fldCharType="separate"/>
      </w:r>
      <w:r>
        <w:t>38</w:t>
      </w:r>
      <w:r>
        <w:fldChar w:fldCharType="end"/>
      </w:r>
      <w:r>
        <w:fldChar w:fldCharType="end"/>
      </w:r>
    </w:p>
    <w:p>
      <w:pPr>
        <w:pStyle w:val="28"/>
        <w:tabs>
          <w:tab w:val="right" w:leader="dot" w:pos="9062"/>
        </w:tabs>
        <w:ind w:firstLine="400"/>
        <w:rPr>
          <w:rFonts w:asciiTheme="minorHAnsi" w:hAnsiTheme="minorHAnsi" w:eastAsiaTheme="minorEastAsia" w:cstheme="minorBidi"/>
          <w:smallCaps w:val="0"/>
          <w:sz w:val="21"/>
          <w:szCs w:val="22"/>
        </w:rPr>
      </w:pPr>
      <w:r>
        <w:fldChar w:fldCharType="begin"/>
      </w:r>
      <w:r>
        <w:instrText xml:space="preserve"> HYPERLINK \l "_Toc535851340" </w:instrText>
      </w:r>
      <w:r>
        <w:fldChar w:fldCharType="separate"/>
      </w:r>
      <w:r>
        <w:rPr>
          <w:rStyle w:val="41"/>
          <w:spacing w:val="-17"/>
        </w:rPr>
        <w:t>3.3</w:t>
      </w:r>
      <w:r>
        <w:rPr>
          <w:rStyle w:val="41"/>
          <w:rFonts w:hint="eastAsia"/>
          <w:spacing w:val="-17"/>
        </w:rPr>
        <w:t>岳阳市饮用水源保护区（铁山水库</w:t>
      </w:r>
      <w:r>
        <w:rPr>
          <w:rStyle w:val="41"/>
          <w:spacing w:val="-17"/>
        </w:rPr>
        <w:t>-</w:t>
      </w:r>
      <w:r>
        <w:rPr>
          <w:rStyle w:val="41"/>
          <w:rFonts w:hint="eastAsia"/>
          <w:spacing w:val="-17"/>
        </w:rPr>
        <w:t>北干渠</w:t>
      </w:r>
      <w:r>
        <w:rPr>
          <w:rStyle w:val="41"/>
          <w:spacing w:val="-17"/>
        </w:rPr>
        <w:t>-</w:t>
      </w:r>
      <w:r>
        <w:rPr>
          <w:rStyle w:val="41"/>
          <w:rFonts w:hint="eastAsia"/>
          <w:spacing w:val="-17"/>
        </w:rPr>
        <w:t>金凤水库）划定相关情况</w:t>
      </w:r>
      <w:r>
        <w:tab/>
      </w:r>
      <w:r>
        <w:fldChar w:fldCharType="begin"/>
      </w:r>
      <w:r>
        <w:instrText xml:space="preserve"> PAGEREF _Toc535851340 \h </w:instrText>
      </w:r>
      <w:r>
        <w:fldChar w:fldCharType="separate"/>
      </w:r>
      <w:r>
        <w:t>39</w:t>
      </w:r>
      <w:r>
        <w:fldChar w:fldCharType="end"/>
      </w:r>
      <w:r>
        <w:fldChar w:fldCharType="end"/>
      </w:r>
    </w:p>
    <w:p>
      <w:pPr>
        <w:pStyle w:val="28"/>
        <w:tabs>
          <w:tab w:val="right" w:leader="dot" w:pos="9062"/>
        </w:tabs>
        <w:ind w:firstLine="400"/>
        <w:rPr>
          <w:rFonts w:asciiTheme="minorHAnsi" w:hAnsiTheme="minorHAnsi" w:eastAsiaTheme="minorEastAsia" w:cstheme="minorBidi"/>
          <w:smallCaps w:val="0"/>
          <w:sz w:val="21"/>
          <w:szCs w:val="22"/>
        </w:rPr>
      </w:pPr>
      <w:r>
        <w:fldChar w:fldCharType="begin"/>
      </w:r>
      <w:r>
        <w:instrText xml:space="preserve"> HYPERLINK \l "_Toc535851341" </w:instrText>
      </w:r>
      <w:r>
        <w:fldChar w:fldCharType="separate"/>
      </w:r>
      <w:r>
        <w:rPr>
          <w:rStyle w:val="41"/>
          <w:spacing w:val="-6"/>
        </w:rPr>
        <w:t>3.4</w:t>
      </w:r>
      <w:r>
        <w:rPr>
          <w:rStyle w:val="41"/>
          <w:rFonts w:hint="eastAsia"/>
          <w:spacing w:val="-6"/>
        </w:rPr>
        <w:t>岳阳市饮用水源保护区（铁山水库</w:t>
      </w:r>
      <w:r>
        <w:rPr>
          <w:rStyle w:val="41"/>
          <w:spacing w:val="-6"/>
        </w:rPr>
        <w:t>-</w:t>
      </w:r>
      <w:r>
        <w:rPr>
          <w:rStyle w:val="41"/>
          <w:rFonts w:hint="eastAsia"/>
          <w:spacing w:val="-6"/>
        </w:rPr>
        <w:t>北干渠</w:t>
      </w:r>
      <w:r>
        <w:rPr>
          <w:rStyle w:val="41"/>
          <w:spacing w:val="-6"/>
        </w:rPr>
        <w:t>-</w:t>
      </w:r>
      <w:r>
        <w:rPr>
          <w:rStyle w:val="41"/>
          <w:rFonts w:hint="eastAsia"/>
          <w:spacing w:val="-6"/>
        </w:rPr>
        <w:t>金凤水库）基本情况</w:t>
      </w:r>
      <w:r>
        <w:tab/>
      </w:r>
      <w:r>
        <w:fldChar w:fldCharType="begin"/>
      </w:r>
      <w:r>
        <w:instrText xml:space="preserve"> PAGEREF _Toc535851341 \h </w:instrText>
      </w:r>
      <w:r>
        <w:fldChar w:fldCharType="separate"/>
      </w:r>
      <w:r>
        <w:t>39</w:t>
      </w:r>
      <w:r>
        <w:fldChar w:fldCharType="end"/>
      </w:r>
      <w:r>
        <w:fldChar w:fldCharType="end"/>
      </w:r>
    </w:p>
    <w:p>
      <w:pPr>
        <w:pStyle w:val="28"/>
        <w:tabs>
          <w:tab w:val="right" w:leader="dot" w:pos="9062"/>
        </w:tabs>
        <w:ind w:firstLine="400"/>
        <w:rPr>
          <w:rFonts w:asciiTheme="minorHAnsi" w:hAnsiTheme="minorHAnsi" w:eastAsiaTheme="minorEastAsia" w:cstheme="minorBidi"/>
          <w:smallCaps w:val="0"/>
          <w:sz w:val="21"/>
          <w:szCs w:val="22"/>
        </w:rPr>
      </w:pPr>
      <w:r>
        <w:fldChar w:fldCharType="begin"/>
      </w:r>
      <w:r>
        <w:instrText xml:space="preserve"> HYPERLINK \l "_Toc535851342" </w:instrText>
      </w:r>
      <w:r>
        <w:fldChar w:fldCharType="separate"/>
      </w:r>
      <w:r>
        <w:rPr>
          <w:rStyle w:val="41"/>
        </w:rPr>
        <w:t xml:space="preserve">3.5 </w:t>
      </w:r>
      <w:r>
        <w:rPr>
          <w:rStyle w:val="41"/>
          <w:rFonts w:hint="eastAsia"/>
        </w:rPr>
        <w:t>饮用水水源地水质情况</w:t>
      </w:r>
      <w:r>
        <w:tab/>
      </w:r>
      <w:r>
        <w:fldChar w:fldCharType="begin"/>
      </w:r>
      <w:r>
        <w:instrText xml:space="preserve"> PAGEREF _Toc535851342 \h </w:instrText>
      </w:r>
      <w:r>
        <w:fldChar w:fldCharType="separate"/>
      </w:r>
      <w:r>
        <w:t>42</w:t>
      </w:r>
      <w:r>
        <w:fldChar w:fldCharType="end"/>
      </w:r>
      <w:r>
        <w:fldChar w:fldCharType="end"/>
      </w:r>
    </w:p>
    <w:p>
      <w:pPr>
        <w:pStyle w:val="24"/>
        <w:tabs>
          <w:tab w:val="right" w:leader="dot" w:pos="9062"/>
        </w:tabs>
        <w:ind w:firstLine="402"/>
        <w:rPr>
          <w:rFonts w:eastAsiaTheme="minorEastAsia" w:cstheme="minorBidi"/>
          <w:b w:val="0"/>
          <w:bCs w:val="0"/>
          <w:caps w:val="0"/>
          <w:sz w:val="21"/>
          <w:szCs w:val="22"/>
        </w:rPr>
      </w:pPr>
      <w:r>
        <w:fldChar w:fldCharType="begin"/>
      </w:r>
      <w:r>
        <w:instrText xml:space="preserve"> HYPERLINK \l "_Toc535851343" </w:instrText>
      </w:r>
      <w:r>
        <w:fldChar w:fldCharType="separate"/>
      </w:r>
      <w:r>
        <w:rPr>
          <w:rStyle w:val="41"/>
        </w:rPr>
        <w:t>4</w:t>
      </w:r>
      <w:r>
        <w:rPr>
          <w:rStyle w:val="41"/>
          <w:rFonts w:hint="eastAsia"/>
        </w:rPr>
        <w:t>环境风险源调查与风险评估</w:t>
      </w:r>
      <w:r>
        <w:tab/>
      </w:r>
      <w:r>
        <w:fldChar w:fldCharType="begin"/>
      </w:r>
      <w:r>
        <w:instrText xml:space="preserve"> PAGEREF _Toc535851343 \h </w:instrText>
      </w:r>
      <w:r>
        <w:fldChar w:fldCharType="separate"/>
      </w:r>
      <w:r>
        <w:t>56</w:t>
      </w:r>
      <w:r>
        <w:fldChar w:fldCharType="end"/>
      </w:r>
      <w:r>
        <w:fldChar w:fldCharType="end"/>
      </w:r>
    </w:p>
    <w:p>
      <w:pPr>
        <w:pStyle w:val="28"/>
        <w:tabs>
          <w:tab w:val="right" w:leader="dot" w:pos="9062"/>
        </w:tabs>
        <w:ind w:firstLine="400"/>
        <w:rPr>
          <w:rFonts w:asciiTheme="minorHAnsi" w:hAnsiTheme="minorHAnsi" w:eastAsiaTheme="minorEastAsia" w:cstheme="minorBidi"/>
          <w:smallCaps w:val="0"/>
          <w:sz w:val="21"/>
          <w:szCs w:val="22"/>
        </w:rPr>
      </w:pPr>
      <w:r>
        <w:fldChar w:fldCharType="begin"/>
      </w:r>
      <w:r>
        <w:instrText xml:space="preserve"> HYPERLINK \l "_Toc535851344" </w:instrText>
      </w:r>
      <w:r>
        <w:fldChar w:fldCharType="separate"/>
      </w:r>
      <w:r>
        <w:rPr>
          <w:rStyle w:val="41"/>
          <w:bCs/>
        </w:rPr>
        <w:t>4.1</w:t>
      </w:r>
      <w:r>
        <w:rPr>
          <w:rStyle w:val="41"/>
          <w:rFonts w:hint="eastAsia"/>
          <w:bCs/>
        </w:rPr>
        <w:t>环境风险源辨识</w:t>
      </w:r>
      <w:r>
        <w:tab/>
      </w:r>
      <w:r>
        <w:fldChar w:fldCharType="begin"/>
      </w:r>
      <w:r>
        <w:instrText xml:space="preserve"> PAGEREF _Toc535851344 \h </w:instrText>
      </w:r>
      <w:r>
        <w:fldChar w:fldCharType="separate"/>
      </w:r>
      <w:r>
        <w:t>56</w:t>
      </w:r>
      <w:r>
        <w:fldChar w:fldCharType="end"/>
      </w:r>
      <w:r>
        <w:fldChar w:fldCharType="end"/>
      </w:r>
    </w:p>
    <w:p>
      <w:pPr>
        <w:pStyle w:val="28"/>
        <w:tabs>
          <w:tab w:val="right" w:leader="dot" w:pos="9062"/>
        </w:tabs>
        <w:ind w:firstLine="400"/>
        <w:rPr>
          <w:rFonts w:asciiTheme="minorHAnsi" w:hAnsiTheme="minorHAnsi" w:eastAsiaTheme="minorEastAsia" w:cstheme="minorBidi"/>
          <w:smallCaps w:val="0"/>
          <w:sz w:val="21"/>
          <w:szCs w:val="22"/>
        </w:rPr>
      </w:pPr>
      <w:r>
        <w:fldChar w:fldCharType="begin"/>
      </w:r>
      <w:r>
        <w:instrText xml:space="preserve"> HYPERLINK \l "_Toc535851345" </w:instrText>
      </w:r>
      <w:r>
        <w:fldChar w:fldCharType="separate"/>
      </w:r>
      <w:r>
        <w:rPr>
          <w:rStyle w:val="41"/>
          <w:bCs/>
        </w:rPr>
        <w:t>4.2</w:t>
      </w:r>
      <w:r>
        <w:rPr>
          <w:rStyle w:val="41"/>
          <w:rFonts w:hint="eastAsia"/>
          <w:bCs/>
        </w:rPr>
        <w:t>环境风险源项分析</w:t>
      </w:r>
      <w:r>
        <w:tab/>
      </w:r>
      <w:r>
        <w:fldChar w:fldCharType="begin"/>
      </w:r>
      <w:r>
        <w:instrText xml:space="preserve"> PAGEREF _Toc535851345 \h </w:instrText>
      </w:r>
      <w:r>
        <w:fldChar w:fldCharType="separate"/>
      </w:r>
      <w:r>
        <w:t>56</w:t>
      </w:r>
      <w:r>
        <w:fldChar w:fldCharType="end"/>
      </w:r>
      <w:r>
        <w:fldChar w:fldCharType="end"/>
      </w:r>
    </w:p>
    <w:p>
      <w:pPr>
        <w:pStyle w:val="28"/>
        <w:tabs>
          <w:tab w:val="right" w:leader="dot" w:pos="9062"/>
        </w:tabs>
        <w:ind w:firstLine="400"/>
        <w:rPr>
          <w:rFonts w:asciiTheme="minorHAnsi" w:hAnsiTheme="minorHAnsi" w:eastAsiaTheme="minorEastAsia" w:cstheme="minorBidi"/>
          <w:smallCaps w:val="0"/>
          <w:sz w:val="21"/>
          <w:szCs w:val="22"/>
        </w:rPr>
      </w:pPr>
      <w:r>
        <w:fldChar w:fldCharType="begin"/>
      </w:r>
      <w:r>
        <w:instrText xml:space="preserve"> HYPERLINK \l "_Toc535851346" </w:instrText>
      </w:r>
      <w:r>
        <w:fldChar w:fldCharType="separate"/>
      </w:r>
      <w:r>
        <w:rPr>
          <w:rStyle w:val="41"/>
          <w:bCs/>
        </w:rPr>
        <w:t>4.3</w:t>
      </w:r>
      <w:r>
        <w:rPr>
          <w:rStyle w:val="41"/>
          <w:rFonts w:hint="eastAsia"/>
          <w:bCs/>
        </w:rPr>
        <w:t>环境风险事件分析</w:t>
      </w:r>
      <w:r>
        <w:tab/>
      </w:r>
      <w:r>
        <w:fldChar w:fldCharType="begin"/>
      </w:r>
      <w:r>
        <w:instrText xml:space="preserve"> PAGEREF _Toc535851346 \h </w:instrText>
      </w:r>
      <w:r>
        <w:fldChar w:fldCharType="separate"/>
      </w:r>
      <w:r>
        <w:t>67</w:t>
      </w:r>
      <w:r>
        <w:fldChar w:fldCharType="end"/>
      </w:r>
      <w:r>
        <w:fldChar w:fldCharType="end"/>
      </w:r>
    </w:p>
    <w:p>
      <w:pPr>
        <w:pStyle w:val="24"/>
        <w:tabs>
          <w:tab w:val="right" w:leader="dot" w:pos="9062"/>
        </w:tabs>
        <w:ind w:firstLine="402"/>
        <w:rPr>
          <w:rFonts w:eastAsiaTheme="minorEastAsia" w:cstheme="minorBidi"/>
          <w:b w:val="0"/>
          <w:bCs w:val="0"/>
          <w:caps w:val="0"/>
          <w:sz w:val="21"/>
          <w:szCs w:val="22"/>
        </w:rPr>
      </w:pPr>
      <w:r>
        <w:fldChar w:fldCharType="begin"/>
      </w:r>
      <w:r>
        <w:instrText xml:space="preserve"> HYPERLINK \l "_Toc535851347" </w:instrText>
      </w:r>
      <w:r>
        <w:fldChar w:fldCharType="separate"/>
      </w:r>
      <w:r>
        <w:rPr>
          <w:rStyle w:val="41"/>
        </w:rPr>
        <w:t>5</w:t>
      </w:r>
      <w:r>
        <w:rPr>
          <w:rStyle w:val="41"/>
          <w:rFonts w:hint="eastAsia"/>
        </w:rPr>
        <w:t>应急资源调查</w:t>
      </w:r>
      <w:r>
        <w:tab/>
      </w:r>
      <w:r>
        <w:fldChar w:fldCharType="begin"/>
      </w:r>
      <w:r>
        <w:instrText xml:space="preserve"> PAGEREF _Toc535851347 \h </w:instrText>
      </w:r>
      <w:r>
        <w:fldChar w:fldCharType="separate"/>
      </w:r>
      <w:r>
        <w:t>73</w:t>
      </w:r>
      <w:r>
        <w:fldChar w:fldCharType="end"/>
      </w:r>
      <w:r>
        <w:fldChar w:fldCharType="end"/>
      </w:r>
    </w:p>
    <w:p>
      <w:pPr>
        <w:pStyle w:val="28"/>
        <w:tabs>
          <w:tab w:val="right" w:leader="dot" w:pos="9062"/>
        </w:tabs>
        <w:ind w:firstLine="400"/>
        <w:rPr>
          <w:rFonts w:asciiTheme="minorHAnsi" w:hAnsiTheme="minorHAnsi" w:eastAsiaTheme="minorEastAsia" w:cstheme="minorBidi"/>
          <w:smallCaps w:val="0"/>
          <w:sz w:val="21"/>
          <w:szCs w:val="22"/>
        </w:rPr>
      </w:pPr>
      <w:r>
        <w:fldChar w:fldCharType="begin"/>
      </w:r>
      <w:r>
        <w:instrText xml:space="preserve"> HYPERLINK \l "_Toc535851348" </w:instrText>
      </w:r>
      <w:r>
        <w:fldChar w:fldCharType="separate"/>
      </w:r>
      <w:r>
        <w:rPr>
          <w:rStyle w:val="41"/>
        </w:rPr>
        <w:t>5.1</w:t>
      </w:r>
      <w:r>
        <w:rPr>
          <w:rStyle w:val="41"/>
          <w:rFonts w:hint="eastAsia"/>
        </w:rPr>
        <w:t>应急队伍救援</w:t>
      </w:r>
      <w:r>
        <w:tab/>
      </w:r>
      <w:r>
        <w:fldChar w:fldCharType="begin"/>
      </w:r>
      <w:r>
        <w:instrText xml:space="preserve"> PAGEREF _Toc535851348 \h </w:instrText>
      </w:r>
      <w:r>
        <w:fldChar w:fldCharType="separate"/>
      </w:r>
      <w:r>
        <w:t>73</w:t>
      </w:r>
      <w:r>
        <w:fldChar w:fldCharType="end"/>
      </w:r>
      <w:r>
        <w:fldChar w:fldCharType="end"/>
      </w:r>
    </w:p>
    <w:p>
      <w:pPr>
        <w:pStyle w:val="28"/>
        <w:tabs>
          <w:tab w:val="right" w:leader="dot" w:pos="9062"/>
        </w:tabs>
        <w:ind w:firstLine="400"/>
        <w:rPr>
          <w:rFonts w:asciiTheme="minorHAnsi" w:hAnsiTheme="minorHAnsi" w:eastAsiaTheme="minorEastAsia" w:cstheme="minorBidi"/>
          <w:smallCaps w:val="0"/>
          <w:sz w:val="21"/>
          <w:szCs w:val="22"/>
        </w:rPr>
      </w:pPr>
      <w:r>
        <w:fldChar w:fldCharType="begin"/>
      </w:r>
      <w:r>
        <w:instrText xml:space="preserve"> HYPERLINK \l "_Toc535851349" </w:instrText>
      </w:r>
      <w:r>
        <w:fldChar w:fldCharType="separate"/>
      </w:r>
      <w:r>
        <w:rPr>
          <w:rStyle w:val="41"/>
        </w:rPr>
        <w:t>5.2</w:t>
      </w:r>
      <w:r>
        <w:rPr>
          <w:rStyle w:val="41"/>
          <w:rFonts w:hint="eastAsia"/>
        </w:rPr>
        <w:t>环境应急装备及物资调查</w:t>
      </w:r>
      <w:r>
        <w:tab/>
      </w:r>
      <w:r>
        <w:fldChar w:fldCharType="begin"/>
      </w:r>
      <w:r>
        <w:instrText xml:space="preserve"> PAGEREF _Toc535851349 \h </w:instrText>
      </w:r>
      <w:r>
        <w:fldChar w:fldCharType="separate"/>
      </w:r>
      <w:r>
        <w:t>74</w:t>
      </w:r>
      <w:r>
        <w:fldChar w:fldCharType="end"/>
      </w:r>
      <w:r>
        <w:fldChar w:fldCharType="end"/>
      </w:r>
    </w:p>
    <w:p>
      <w:pPr>
        <w:pStyle w:val="28"/>
        <w:tabs>
          <w:tab w:val="right" w:leader="dot" w:pos="9062"/>
        </w:tabs>
        <w:ind w:firstLine="400"/>
        <w:rPr>
          <w:rFonts w:asciiTheme="minorHAnsi" w:hAnsiTheme="minorHAnsi" w:eastAsiaTheme="minorEastAsia" w:cstheme="minorBidi"/>
          <w:smallCaps w:val="0"/>
          <w:sz w:val="21"/>
          <w:szCs w:val="22"/>
        </w:rPr>
      </w:pPr>
      <w:r>
        <w:fldChar w:fldCharType="begin"/>
      </w:r>
      <w:r>
        <w:instrText xml:space="preserve"> HYPERLINK \l "_Toc535851350" </w:instrText>
      </w:r>
      <w:r>
        <w:fldChar w:fldCharType="separate"/>
      </w:r>
      <w:r>
        <w:rPr>
          <w:rStyle w:val="41"/>
        </w:rPr>
        <w:t>5.3</w:t>
      </w:r>
      <w:r>
        <w:rPr>
          <w:rStyle w:val="41"/>
          <w:rFonts w:hint="eastAsia"/>
        </w:rPr>
        <w:t>应急工程设施调查</w:t>
      </w:r>
      <w:r>
        <w:tab/>
      </w:r>
      <w:r>
        <w:fldChar w:fldCharType="begin"/>
      </w:r>
      <w:r>
        <w:instrText xml:space="preserve"> PAGEREF _Toc535851350 \h </w:instrText>
      </w:r>
      <w:r>
        <w:fldChar w:fldCharType="separate"/>
      </w:r>
      <w:r>
        <w:t>74</w:t>
      </w:r>
      <w:r>
        <w:fldChar w:fldCharType="end"/>
      </w:r>
      <w:r>
        <w:fldChar w:fldCharType="end"/>
      </w:r>
    </w:p>
    <w:p>
      <w:pPr>
        <w:pStyle w:val="28"/>
        <w:tabs>
          <w:tab w:val="right" w:leader="dot" w:pos="9062"/>
        </w:tabs>
        <w:ind w:firstLine="400"/>
        <w:rPr>
          <w:rFonts w:asciiTheme="minorHAnsi" w:hAnsiTheme="minorHAnsi" w:eastAsiaTheme="minorEastAsia" w:cstheme="minorBidi"/>
          <w:smallCaps w:val="0"/>
          <w:sz w:val="21"/>
          <w:szCs w:val="22"/>
        </w:rPr>
      </w:pPr>
      <w:r>
        <w:fldChar w:fldCharType="begin"/>
      </w:r>
      <w:r>
        <w:instrText xml:space="preserve"> HYPERLINK \l "_Toc535851351" </w:instrText>
      </w:r>
      <w:r>
        <w:fldChar w:fldCharType="separate"/>
      </w:r>
      <w:r>
        <w:rPr>
          <w:rStyle w:val="41"/>
        </w:rPr>
        <w:t>5.4</w:t>
      </w:r>
      <w:r>
        <w:rPr>
          <w:rStyle w:val="41"/>
          <w:rFonts w:hint="eastAsia"/>
        </w:rPr>
        <w:t>应急预案调查</w:t>
      </w:r>
      <w:r>
        <w:tab/>
      </w:r>
      <w:r>
        <w:fldChar w:fldCharType="begin"/>
      </w:r>
      <w:r>
        <w:instrText xml:space="preserve"> PAGEREF _Toc535851351 \h </w:instrText>
      </w:r>
      <w:r>
        <w:fldChar w:fldCharType="separate"/>
      </w:r>
      <w:r>
        <w:t>75</w:t>
      </w:r>
      <w:r>
        <w:fldChar w:fldCharType="end"/>
      </w:r>
      <w:r>
        <w:fldChar w:fldCharType="end"/>
      </w:r>
    </w:p>
    <w:p>
      <w:pPr>
        <w:pStyle w:val="24"/>
        <w:tabs>
          <w:tab w:val="right" w:leader="dot" w:pos="9062"/>
        </w:tabs>
        <w:ind w:firstLine="402"/>
        <w:rPr>
          <w:rFonts w:eastAsiaTheme="minorEastAsia" w:cstheme="minorBidi"/>
          <w:b w:val="0"/>
          <w:bCs w:val="0"/>
          <w:caps w:val="0"/>
          <w:sz w:val="21"/>
          <w:szCs w:val="22"/>
        </w:rPr>
      </w:pPr>
      <w:r>
        <w:fldChar w:fldCharType="begin"/>
      </w:r>
      <w:r>
        <w:instrText xml:space="preserve"> HYPERLINK \l "_Toc535851352" </w:instrText>
      </w:r>
      <w:r>
        <w:fldChar w:fldCharType="separate"/>
      </w:r>
      <w:r>
        <w:rPr>
          <w:rStyle w:val="41"/>
          <w:rFonts w:hint="eastAsia"/>
        </w:rPr>
        <w:t>第四部分</w:t>
      </w:r>
      <w:r>
        <w:rPr>
          <w:rStyle w:val="41"/>
        </w:rPr>
        <w:t xml:space="preserve">  </w:t>
      </w:r>
      <w:r>
        <w:rPr>
          <w:rStyle w:val="41"/>
          <w:rFonts w:hint="eastAsia"/>
        </w:rPr>
        <w:t>应急防控体系建设</w:t>
      </w:r>
      <w:r>
        <w:tab/>
      </w:r>
      <w:r>
        <w:fldChar w:fldCharType="begin"/>
      </w:r>
      <w:r>
        <w:instrText xml:space="preserve"> PAGEREF _Toc535851352 \h </w:instrText>
      </w:r>
      <w:r>
        <w:fldChar w:fldCharType="separate"/>
      </w:r>
      <w:r>
        <w:t>76</w:t>
      </w:r>
      <w:r>
        <w:fldChar w:fldCharType="end"/>
      </w:r>
      <w:r>
        <w:fldChar w:fldCharType="end"/>
      </w:r>
    </w:p>
    <w:p>
      <w:pPr>
        <w:pStyle w:val="28"/>
        <w:tabs>
          <w:tab w:val="right" w:leader="dot" w:pos="9062"/>
        </w:tabs>
        <w:ind w:firstLine="400"/>
        <w:rPr>
          <w:rFonts w:asciiTheme="minorHAnsi" w:hAnsiTheme="minorHAnsi" w:eastAsiaTheme="minorEastAsia" w:cstheme="minorBidi"/>
          <w:smallCaps w:val="0"/>
          <w:sz w:val="21"/>
          <w:szCs w:val="22"/>
        </w:rPr>
      </w:pPr>
      <w:r>
        <w:fldChar w:fldCharType="begin"/>
      </w:r>
      <w:r>
        <w:instrText xml:space="preserve"> HYPERLINK \l "_Toc535851353" </w:instrText>
      </w:r>
      <w:r>
        <w:fldChar w:fldCharType="separate"/>
      </w:r>
      <w:r>
        <w:rPr>
          <w:rStyle w:val="41"/>
        </w:rPr>
        <w:t>1</w:t>
      </w:r>
      <w:r>
        <w:rPr>
          <w:rStyle w:val="41"/>
          <w:rFonts w:hint="eastAsia"/>
        </w:rPr>
        <w:t>、现有应急能力情况说明</w:t>
      </w:r>
      <w:r>
        <w:tab/>
      </w:r>
      <w:r>
        <w:fldChar w:fldCharType="begin"/>
      </w:r>
      <w:r>
        <w:instrText xml:space="preserve"> PAGEREF _Toc535851353 \h </w:instrText>
      </w:r>
      <w:r>
        <w:fldChar w:fldCharType="separate"/>
      </w:r>
      <w:r>
        <w:t>77</w:t>
      </w:r>
      <w:r>
        <w:fldChar w:fldCharType="end"/>
      </w:r>
      <w:r>
        <w:fldChar w:fldCharType="end"/>
      </w:r>
    </w:p>
    <w:p>
      <w:pPr>
        <w:pStyle w:val="28"/>
        <w:tabs>
          <w:tab w:val="right" w:leader="dot" w:pos="9062"/>
        </w:tabs>
        <w:ind w:firstLine="400"/>
        <w:rPr>
          <w:rFonts w:asciiTheme="minorHAnsi" w:hAnsiTheme="minorHAnsi" w:eastAsiaTheme="minorEastAsia" w:cstheme="minorBidi"/>
          <w:smallCaps w:val="0"/>
          <w:sz w:val="21"/>
          <w:szCs w:val="22"/>
        </w:rPr>
      </w:pPr>
      <w:r>
        <w:fldChar w:fldCharType="begin"/>
      </w:r>
      <w:r>
        <w:instrText xml:space="preserve"> HYPERLINK \l "_Toc535851354" </w:instrText>
      </w:r>
      <w:r>
        <w:fldChar w:fldCharType="separate"/>
      </w:r>
      <w:r>
        <w:rPr>
          <w:rStyle w:val="41"/>
        </w:rPr>
        <w:t>2</w:t>
      </w:r>
      <w:r>
        <w:rPr>
          <w:rStyle w:val="41"/>
          <w:rFonts w:hint="eastAsia"/>
        </w:rPr>
        <w:t>、风险源应急防控</w:t>
      </w:r>
      <w:r>
        <w:tab/>
      </w:r>
      <w:r>
        <w:fldChar w:fldCharType="begin"/>
      </w:r>
      <w:r>
        <w:instrText xml:space="preserve"> PAGEREF _Toc535851354 \h </w:instrText>
      </w:r>
      <w:r>
        <w:fldChar w:fldCharType="separate"/>
      </w:r>
      <w:r>
        <w:t>78</w:t>
      </w:r>
      <w:r>
        <w:fldChar w:fldCharType="end"/>
      </w:r>
      <w:r>
        <w:fldChar w:fldCharType="end"/>
      </w:r>
    </w:p>
    <w:p>
      <w:pPr>
        <w:pStyle w:val="28"/>
        <w:tabs>
          <w:tab w:val="right" w:leader="dot" w:pos="9062"/>
        </w:tabs>
        <w:ind w:firstLine="400"/>
        <w:rPr>
          <w:rFonts w:asciiTheme="minorHAnsi" w:hAnsiTheme="minorHAnsi" w:eastAsiaTheme="minorEastAsia" w:cstheme="minorBidi"/>
          <w:smallCaps w:val="0"/>
          <w:sz w:val="21"/>
          <w:szCs w:val="22"/>
        </w:rPr>
      </w:pPr>
      <w:r>
        <w:fldChar w:fldCharType="begin"/>
      </w:r>
      <w:r>
        <w:instrText xml:space="preserve"> HYPERLINK \l "_Toc535851355" </w:instrText>
      </w:r>
      <w:r>
        <w:fldChar w:fldCharType="separate"/>
      </w:r>
      <w:r>
        <w:rPr>
          <w:rStyle w:val="41"/>
        </w:rPr>
        <w:t>3</w:t>
      </w:r>
      <w:r>
        <w:rPr>
          <w:rStyle w:val="41"/>
          <w:rFonts w:hint="eastAsia"/>
        </w:rPr>
        <w:t>、连接水体的应急防控</w:t>
      </w:r>
      <w:r>
        <w:tab/>
      </w:r>
      <w:r>
        <w:fldChar w:fldCharType="begin"/>
      </w:r>
      <w:r>
        <w:instrText xml:space="preserve"> PAGEREF _Toc535851355 \h </w:instrText>
      </w:r>
      <w:r>
        <w:fldChar w:fldCharType="separate"/>
      </w:r>
      <w:r>
        <w:t>80</w:t>
      </w:r>
      <w:r>
        <w:fldChar w:fldCharType="end"/>
      </w:r>
      <w:r>
        <w:fldChar w:fldCharType="end"/>
      </w:r>
    </w:p>
    <w:p>
      <w:pPr>
        <w:pStyle w:val="28"/>
        <w:tabs>
          <w:tab w:val="right" w:leader="dot" w:pos="9062"/>
        </w:tabs>
        <w:ind w:firstLine="400"/>
        <w:rPr>
          <w:rFonts w:asciiTheme="minorHAnsi" w:hAnsiTheme="minorHAnsi" w:eastAsiaTheme="minorEastAsia" w:cstheme="minorBidi"/>
          <w:smallCaps w:val="0"/>
          <w:sz w:val="21"/>
          <w:szCs w:val="22"/>
        </w:rPr>
      </w:pPr>
      <w:r>
        <w:fldChar w:fldCharType="begin"/>
      </w:r>
      <w:r>
        <w:instrText xml:space="preserve"> HYPERLINK \l "_Toc535851356" </w:instrText>
      </w:r>
      <w:r>
        <w:fldChar w:fldCharType="separate"/>
      </w:r>
      <w:r>
        <w:rPr>
          <w:rStyle w:val="41"/>
        </w:rPr>
        <w:t>4</w:t>
      </w:r>
      <w:r>
        <w:rPr>
          <w:rStyle w:val="41"/>
          <w:rFonts w:hint="eastAsia"/>
        </w:rPr>
        <w:t>、取水口的应急防控</w:t>
      </w:r>
      <w:r>
        <w:tab/>
      </w:r>
      <w:r>
        <w:fldChar w:fldCharType="begin"/>
      </w:r>
      <w:r>
        <w:instrText xml:space="preserve"> PAGEREF _Toc535851356 \h </w:instrText>
      </w:r>
      <w:r>
        <w:fldChar w:fldCharType="separate"/>
      </w:r>
      <w:r>
        <w:t>80</w:t>
      </w:r>
      <w:r>
        <w:fldChar w:fldCharType="end"/>
      </w:r>
      <w:r>
        <w:fldChar w:fldCharType="end"/>
      </w:r>
    </w:p>
    <w:p>
      <w:pPr>
        <w:pStyle w:val="28"/>
        <w:tabs>
          <w:tab w:val="right" w:leader="dot" w:pos="9062"/>
        </w:tabs>
        <w:ind w:firstLine="400"/>
        <w:rPr>
          <w:rFonts w:asciiTheme="minorHAnsi" w:hAnsiTheme="minorHAnsi" w:eastAsiaTheme="minorEastAsia" w:cstheme="minorBidi"/>
          <w:smallCaps w:val="0"/>
          <w:sz w:val="21"/>
          <w:szCs w:val="22"/>
        </w:rPr>
      </w:pPr>
      <w:r>
        <w:fldChar w:fldCharType="begin"/>
      </w:r>
      <w:r>
        <w:instrText xml:space="preserve"> HYPERLINK \l "_Toc535851357" </w:instrText>
      </w:r>
      <w:r>
        <w:fldChar w:fldCharType="separate"/>
      </w:r>
      <w:r>
        <w:rPr>
          <w:rStyle w:val="41"/>
        </w:rPr>
        <w:t>5</w:t>
      </w:r>
      <w:r>
        <w:rPr>
          <w:rStyle w:val="41"/>
          <w:rFonts w:hint="eastAsia"/>
        </w:rPr>
        <w:t>、特殊时期污染风险防控能力分析</w:t>
      </w:r>
      <w:r>
        <w:tab/>
      </w:r>
      <w:r>
        <w:fldChar w:fldCharType="begin"/>
      </w:r>
      <w:r>
        <w:instrText xml:space="preserve"> PAGEREF _Toc535851357 \h </w:instrText>
      </w:r>
      <w:r>
        <w:fldChar w:fldCharType="separate"/>
      </w:r>
      <w:r>
        <w:t>80</w:t>
      </w:r>
      <w:r>
        <w:fldChar w:fldCharType="end"/>
      </w:r>
      <w:r>
        <w:fldChar w:fldCharType="end"/>
      </w:r>
    </w:p>
    <w:p>
      <w:pPr>
        <w:pStyle w:val="24"/>
        <w:tabs>
          <w:tab w:val="right" w:leader="dot" w:pos="9062"/>
        </w:tabs>
        <w:ind w:firstLine="402"/>
        <w:rPr>
          <w:rFonts w:eastAsiaTheme="minorEastAsia" w:cstheme="minorBidi"/>
          <w:b w:val="0"/>
          <w:bCs w:val="0"/>
          <w:caps w:val="0"/>
          <w:sz w:val="21"/>
          <w:szCs w:val="22"/>
        </w:rPr>
      </w:pPr>
      <w:r>
        <w:fldChar w:fldCharType="begin"/>
      </w:r>
      <w:r>
        <w:instrText xml:space="preserve"> HYPERLINK \l "_Toc535851358" </w:instrText>
      </w:r>
      <w:r>
        <w:fldChar w:fldCharType="separate"/>
      </w:r>
      <w:r>
        <w:rPr>
          <w:rStyle w:val="41"/>
          <w:rFonts w:hint="eastAsia"/>
        </w:rPr>
        <w:t>第五部分</w:t>
      </w:r>
      <w:r>
        <w:rPr>
          <w:rStyle w:val="41"/>
        </w:rPr>
        <w:t xml:space="preserve">  </w:t>
      </w:r>
      <w:r>
        <w:rPr>
          <w:rStyle w:val="41"/>
          <w:rFonts w:hint="eastAsia"/>
        </w:rPr>
        <w:t>附图附件</w:t>
      </w:r>
      <w:r>
        <w:tab/>
      </w:r>
      <w:r>
        <w:fldChar w:fldCharType="begin"/>
      </w:r>
      <w:r>
        <w:instrText xml:space="preserve"> PAGEREF _Toc535851358 \h </w:instrText>
      </w:r>
      <w:r>
        <w:fldChar w:fldCharType="separate"/>
      </w:r>
      <w:r>
        <w:t>82</w:t>
      </w:r>
      <w:r>
        <w:fldChar w:fldCharType="end"/>
      </w:r>
      <w:r>
        <w:fldChar w:fldCharType="end"/>
      </w:r>
    </w:p>
    <w:p>
      <w:pPr>
        <w:pStyle w:val="24"/>
        <w:tabs>
          <w:tab w:val="right" w:leader="dot" w:pos="9062"/>
        </w:tabs>
        <w:ind w:firstLine="402"/>
        <w:rPr>
          <w:rFonts w:eastAsiaTheme="minorEastAsia" w:cstheme="minorBidi"/>
          <w:b w:val="0"/>
          <w:bCs w:val="0"/>
          <w:caps w:val="0"/>
          <w:sz w:val="21"/>
          <w:szCs w:val="22"/>
        </w:rPr>
      </w:pPr>
      <w:r>
        <w:fldChar w:fldCharType="begin"/>
      </w:r>
      <w:r>
        <w:instrText xml:space="preserve"> HYPERLINK \l "_Toc535851359" </w:instrText>
      </w:r>
      <w:r>
        <w:fldChar w:fldCharType="separate"/>
      </w:r>
      <w:r>
        <w:rPr>
          <w:rStyle w:val="41"/>
          <w:rFonts w:hint="eastAsia"/>
        </w:rPr>
        <w:t>附图</w:t>
      </w:r>
      <w:r>
        <w:tab/>
      </w:r>
      <w:r>
        <w:fldChar w:fldCharType="begin"/>
      </w:r>
      <w:r>
        <w:instrText xml:space="preserve"> PAGEREF _Toc535851359 \h </w:instrText>
      </w:r>
      <w:r>
        <w:fldChar w:fldCharType="separate"/>
      </w:r>
      <w:r>
        <w:t>83</w:t>
      </w:r>
      <w:r>
        <w:fldChar w:fldCharType="end"/>
      </w:r>
      <w:r>
        <w:fldChar w:fldCharType="end"/>
      </w:r>
    </w:p>
    <w:p>
      <w:pPr>
        <w:pStyle w:val="28"/>
        <w:tabs>
          <w:tab w:val="right" w:leader="dot" w:pos="9062"/>
        </w:tabs>
        <w:ind w:firstLine="400"/>
        <w:rPr>
          <w:rFonts w:asciiTheme="minorHAnsi" w:hAnsiTheme="minorHAnsi" w:eastAsiaTheme="minorEastAsia" w:cstheme="minorBidi"/>
          <w:smallCaps w:val="0"/>
          <w:sz w:val="21"/>
          <w:szCs w:val="22"/>
        </w:rPr>
      </w:pPr>
      <w:r>
        <w:fldChar w:fldCharType="begin"/>
      </w:r>
      <w:r>
        <w:instrText xml:space="preserve"> HYPERLINK \l "_Toc535851360" </w:instrText>
      </w:r>
      <w:r>
        <w:fldChar w:fldCharType="separate"/>
      </w:r>
      <w:r>
        <w:rPr>
          <w:rStyle w:val="41"/>
          <w:rFonts w:hint="eastAsia"/>
        </w:rPr>
        <w:t>附图</w:t>
      </w:r>
      <w:r>
        <w:rPr>
          <w:rStyle w:val="41"/>
        </w:rPr>
        <w:t xml:space="preserve">1  </w:t>
      </w:r>
      <w:r>
        <w:rPr>
          <w:rStyle w:val="41"/>
          <w:rFonts w:hint="eastAsia"/>
        </w:rPr>
        <w:t>现场调查照片</w:t>
      </w:r>
      <w:r>
        <w:tab/>
      </w:r>
      <w:r>
        <w:fldChar w:fldCharType="begin"/>
      </w:r>
      <w:r>
        <w:instrText xml:space="preserve"> PAGEREF _Toc535851360 \h </w:instrText>
      </w:r>
      <w:r>
        <w:fldChar w:fldCharType="separate"/>
      </w:r>
      <w:r>
        <w:t>83</w:t>
      </w:r>
      <w:r>
        <w:fldChar w:fldCharType="end"/>
      </w:r>
      <w:r>
        <w:fldChar w:fldCharType="end"/>
      </w:r>
    </w:p>
    <w:p>
      <w:pPr>
        <w:pStyle w:val="28"/>
        <w:tabs>
          <w:tab w:val="right" w:leader="dot" w:pos="9062"/>
        </w:tabs>
        <w:ind w:firstLine="400"/>
        <w:rPr>
          <w:rFonts w:asciiTheme="minorHAnsi" w:hAnsiTheme="minorHAnsi" w:eastAsiaTheme="minorEastAsia" w:cstheme="minorBidi"/>
          <w:smallCaps w:val="0"/>
          <w:sz w:val="21"/>
          <w:szCs w:val="22"/>
        </w:rPr>
      </w:pPr>
      <w:r>
        <w:fldChar w:fldCharType="begin"/>
      </w:r>
      <w:r>
        <w:instrText xml:space="preserve"> HYPERLINK \l "_Toc535851361" </w:instrText>
      </w:r>
      <w:r>
        <w:fldChar w:fldCharType="separate"/>
      </w:r>
      <w:r>
        <w:rPr>
          <w:rStyle w:val="41"/>
          <w:rFonts w:hint="eastAsia"/>
        </w:rPr>
        <w:t>附图</w:t>
      </w:r>
      <w:r>
        <w:rPr>
          <w:rStyle w:val="41"/>
        </w:rPr>
        <w:t xml:space="preserve">2  </w:t>
      </w:r>
      <w:r>
        <w:rPr>
          <w:rStyle w:val="41"/>
          <w:rFonts w:hint="eastAsia"/>
        </w:rPr>
        <w:t>金凤水库地理位置图</w:t>
      </w:r>
      <w:r>
        <w:tab/>
      </w:r>
      <w:r>
        <w:fldChar w:fldCharType="begin"/>
      </w:r>
      <w:r>
        <w:instrText xml:space="preserve"> PAGEREF _Toc535851361 \h </w:instrText>
      </w:r>
      <w:r>
        <w:fldChar w:fldCharType="separate"/>
      </w:r>
      <w:r>
        <w:t>88</w:t>
      </w:r>
      <w:r>
        <w:fldChar w:fldCharType="end"/>
      </w:r>
      <w:r>
        <w:fldChar w:fldCharType="end"/>
      </w:r>
    </w:p>
    <w:p>
      <w:pPr>
        <w:pStyle w:val="28"/>
        <w:tabs>
          <w:tab w:val="right" w:leader="dot" w:pos="9062"/>
        </w:tabs>
        <w:ind w:firstLine="400"/>
        <w:rPr>
          <w:rFonts w:asciiTheme="minorHAnsi" w:hAnsiTheme="minorHAnsi" w:eastAsiaTheme="minorEastAsia" w:cstheme="minorBidi"/>
          <w:smallCaps w:val="0"/>
          <w:sz w:val="21"/>
          <w:szCs w:val="22"/>
        </w:rPr>
      </w:pPr>
      <w:r>
        <w:fldChar w:fldCharType="begin"/>
      </w:r>
      <w:r>
        <w:instrText xml:space="preserve"> HYPERLINK \l "_Toc535851362" </w:instrText>
      </w:r>
      <w:r>
        <w:fldChar w:fldCharType="separate"/>
      </w:r>
      <w:r>
        <w:rPr>
          <w:rStyle w:val="41"/>
          <w:rFonts w:hint="eastAsia"/>
        </w:rPr>
        <w:t>附图</w:t>
      </w:r>
      <w:r>
        <w:rPr>
          <w:rStyle w:val="41"/>
        </w:rPr>
        <w:t xml:space="preserve">3  </w:t>
      </w:r>
      <w:r>
        <w:rPr>
          <w:rStyle w:val="41"/>
          <w:rFonts w:hint="eastAsia"/>
        </w:rPr>
        <w:t>铁山水库地理位置图</w:t>
      </w:r>
      <w:r>
        <w:tab/>
      </w:r>
      <w:r>
        <w:fldChar w:fldCharType="begin"/>
      </w:r>
      <w:r>
        <w:instrText xml:space="preserve"> PAGEREF _Toc535851362 \h </w:instrText>
      </w:r>
      <w:r>
        <w:fldChar w:fldCharType="separate"/>
      </w:r>
      <w:r>
        <w:t>89</w:t>
      </w:r>
      <w:r>
        <w:fldChar w:fldCharType="end"/>
      </w:r>
      <w:r>
        <w:fldChar w:fldCharType="end"/>
      </w:r>
    </w:p>
    <w:p>
      <w:pPr>
        <w:pStyle w:val="28"/>
        <w:tabs>
          <w:tab w:val="right" w:leader="dot" w:pos="9062"/>
        </w:tabs>
        <w:ind w:firstLine="400"/>
        <w:rPr>
          <w:rFonts w:asciiTheme="minorHAnsi" w:hAnsiTheme="minorHAnsi" w:eastAsiaTheme="minorEastAsia" w:cstheme="minorBidi"/>
          <w:smallCaps w:val="0"/>
          <w:sz w:val="21"/>
          <w:szCs w:val="22"/>
        </w:rPr>
      </w:pPr>
      <w:r>
        <w:fldChar w:fldCharType="begin"/>
      </w:r>
      <w:r>
        <w:instrText xml:space="preserve"> HYPERLINK \l "_Toc535851363" </w:instrText>
      </w:r>
      <w:r>
        <w:fldChar w:fldCharType="separate"/>
      </w:r>
      <w:r>
        <w:rPr>
          <w:rStyle w:val="41"/>
          <w:rFonts w:hint="eastAsia"/>
        </w:rPr>
        <w:t>附图</w:t>
      </w:r>
      <w:r>
        <w:rPr>
          <w:rStyle w:val="41"/>
        </w:rPr>
        <w:t xml:space="preserve">4  </w:t>
      </w:r>
      <w:r>
        <w:rPr>
          <w:rStyle w:val="41"/>
          <w:rFonts w:hint="eastAsia"/>
        </w:rPr>
        <w:t>北干渠与铁山水库、金凤水库位置关系图</w:t>
      </w:r>
      <w:r>
        <w:tab/>
      </w:r>
      <w:r>
        <w:fldChar w:fldCharType="begin"/>
      </w:r>
      <w:r>
        <w:instrText xml:space="preserve"> PAGEREF _Toc535851363 \h </w:instrText>
      </w:r>
      <w:r>
        <w:fldChar w:fldCharType="separate"/>
      </w:r>
      <w:r>
        <w:t>90</w:t>
      </w:r>
      <w:r>
        <w:fldChar w:fldCharType="end"/>
      </w:r>
      <w:r>
        <w:fldChar w:fldCharType="end"/>
      </w:r>
    </w:p>
    <w:p>
      <w:pPr>
        <w:pStyle w:val="28"/>
        <w:tabs>
          <w:tab w:val="right" w:leader="dot" w:pos="9062"/>
        </w:tabs>
        <w:ind w:firstLine="400"/>
        <w:rPr>
          <w:rFonts w:asciiTheme="minorHAnsi" w:hAnsiTheme="minorHAnsi" w:eastAsiaTheme="minorEastAsia" w:cstheme="minorBidi"/>
          <w:smallCaps w:val="0"/>
          <w:sz w:val="21"/>
          <w:szCs w:val="22"/>
        </w:rPr>
      </w:pPr>
      <w:r>
        <w:fldChar w:fldCharType="begin"/>
      </w:r>
      <w:r>
        <w:instrText xml:space="preserve"> HYPERLINK \l "_Toc535851364" </w:instrText>
      </w:r>
      <w:r>
        <w:fldChar w:fldCharType="separate"/>
      </w:r>
      <w:r>
        <w:rPr>
          <w:rStyle w:val="41"/>
          <w:rFonts w:hint="eastAsia"/>
        </w:rPr>
        <w:t>附图</w:t>
      </w:r>
      <w:r>
        <w:rPr>
          <w:rStyle w:val="41"/>
        </w:rPr>
        <w:t xml:space="preserve">5  </w:t>
      </w:r>
      <w:r>
        <w:rPr>
          <w:rStyle w:val="41"/>
          <w:rFonts w:hint="eastAsia"/>
        </w:rPr>
        <w:t>铁山水库饮用水源保护区划分结果</w:t>
      </w:r>
      <w:r>
        <w:rPr>
          <w:rStyle w:val="41"/>
        </w:rPr>
        <w:t>shp</w:t>
      </w:r>
      <w:r>
        <w:rPr>
          <w:rStyle w:val="41"/>
          <w:rFonts w:hint="eastAsia"/>
        </w:rPr>
        <w:t>图</w:t>
      </w:r>
      <w:r>
        <w:tab/>
      </w:r>
      <w:r>
        <w:fldChar w:fldCharType="begin"/>
      </w:r>
      <w:r>
        <w:instrText xml:space="preserve"> PAGEREF _Toc535851364 \h </w:instrText>
      </w:r>
      <w:r>
        <w:fldChar w:fldCharType="separate"/>
      </w:r>
      <w:r>
        <w:t>91</w:t>
      </w:r>
      <w:r>
        <w:fldChar w:fldCharType="end"/>
      </w:r>
      <w:r>
        <w:fldChar w:fldCharType="end"/>
      </w:r>
    </w:p>
    <w:p>
      <w:pPr>
        <w:pStyle w:val="28"/>
        <w:tabs>
          <w:tab w:val="right" w:leader="dot" w:pos="9062"/>
        </w:tabs>
        <w:ind w:firstLine="400"/>
        <w:rPr>
          <w:rFonts w:asciiTheme="minorHAnsi" w:hAnsiTheme="minorHAnsi" w:eastAsiaTheme="minorEastAsia" w:cstheme="minorBidi"/>
          <w:smallCaps w:val="0"/>
          <w:sz w:val="21"/>
          <w:szCs w:val="22"/>
        </w:rPr>
      </w:pPr>
      <w:r>
        <w:fldChar w:fldCharType="begin"/>
      </w:r>
      <w:r>
        <w:instrText xml:space="preserve"> HYPERLINK \l "_Toc535851365" </w:instrText>
      </w:r>
      <w:r>
        <w:fldChar w:fldCharType="separate"/>
      </w:r>
      <w:r>
        <w:rPr>
          <w:rStyle w:val="41"/>
          <w:rFonts w:hint="eastAsia"/>
        </w:rPr>
        <w:t>附图</w:t>
      </w:r>
      <w:r>
        <w:rPr>
          <w:rStyle w:val="41"/>
        </w:rPr>
        <w:t xml:space="preserve">6  </w:t>
      </w:r>
      <w:r>
        <w:rPr>
          <w:rStyle w:val="41"/>
          <w:rFonts w:hint="eastAsia"/>
        </w:rPr>
        <w:t>金凤水库饮用水源保护区划分图</w:t>
      </w:r>
      <w:r>
        <w:tab/>
      </w:r>
      <w:r>
        <w:fldChar w:fldCharType="begin"/>
      </w:r>
      <w:r>
        <w:instrText xml:space="preserve"> PAGEREF _Toc535851365 \h </w:instrText>
      </w:r>
      <w:r>
        <w:fldChar w:fldCharType="separate"/>
      </w:r>
      <w:r>
        <w:t>92</w:t>
      </w:r>
      <w:r>
        <w:fldChar w:fldCharType="end"/>
      </w:r>
      <w:r>
        <w:fldChar w:fldCharType="end"/>
      </w:r>
    </w:p>
    <w:p>
      <w:pPr>
        <w:pStyle w:val="28"/>
        <w:tabs>
          <w:tab w:val="right" w:leader="dot" w:pos="9062"/>
        </w:tabs>
        <w:ind w:firstLine="400"/>
        <w:rPr>
          <w:rFonts w:asciiTheme="minorHAnsi" w:hAnsiTheme="minorHAnsi" w:eastAsiaTheme="minorEastAsia" w:cstheme="minorBidi"/>
          <w:smallCaps w:val="0"/>
          <w:sz w:val="21"/>
          <w:szCs w:val="22"/>
        </w:rPr>
      </w:pPr>
      <w:r>
        <w:fldChar w:fldCharType="begin"/>
      </w:r>
      <w:r>
        <w:instrText xml:space="preserve"> HYPERLINK \l "_Toc535851366" </w:instrText>
      </w:r>
      <w:r>
        <w:fldChar w:fldCharType="separate"/>
      </w:r>
      <w:r>
        <w:rPr>
          <w:rStyle w:val="41"/>
          <w:rFonts w:hint="eastAsia"/>
        </w:rPr>
        <w:t>附图</w:t>
      </w:r>
      <w:r>
        <w:rPr>
          <w:rStyle w:val="41"/>
        </w:rPr>
        <w:t xml:space="preserve">7  </w:t>
      </w:r>
      <w:r>
        <w:rPr>
          <w:rStyle w:val="41"/>
          <w:rFonts w:hint="eastAsia"/>
        </w:rPr>
        <w:t>北干渠一级保护区</w:t>
      </w:r>
      <w:r>
        <w:tab/>
      </w:r>
      <w:r>
        <w:fldChar w:fldCharType="begin"/>
      </w:r>
      <w:r>
        <w:instrText xml:space="preserve"> PAGEREF _Toc535851366 \h </w:instrText>
      </w:r>
      <w:r>
        <w:fldChar w:fldCharType="separate"/>
      </w:r>
      <w:r>
        <w:t>93</w:t>
      </w:r>
      <w:r>
        <w:fldChar w:fldCharType="end"/>
      </w:r>
      <w:r>
        <w:fldChar w:fldCharType="end"/>
      </w:r>
    </w:p>
    <w:p>
      <w:pPr>
        <w:pStyle w:val="28"/>
        <w:tabs>
          <w:tab w:val="right" w:leader="dot" w:pos="9062"/>
        </w:tabs>
        <w:ind w:firstLine="400"/>
        <w:rPr>
          <w:rFonts w:asciiTheme="minorHAnsi" w:hAnsiTheme="minorHAnsi" w:eastAsiaTheme="minorEastAsia" w:cstheme="minorBidi"/>
          <w:smallCaps w:val="0"/>
          <w:sz w:val="21"/>
          <w:szCs w:val="22"/>
        </w:rPr>
      </w:pPr>
      <w:r>
        <w:fldChar w:fldCharType="begin"/>
      </w:r>
      <w:r>
        <w:instrText xml:space="preserve"> HYPERLINK \l "_Toc535851367" </w:instrText>
      </w:r>
      <w:r>
        <w:fldChar w:fldCharType="separate"/>
      </w:r>
      <w:r>
        <w:rPr>
          <w:rStyle w:val="41"/>
          <w:rFonts w:hint="eastAsia"/>
        </w:rPr>
        <w:t>附图</w:t>
      </w:r>
      <w:r>
        <w:rPr>
          <w:rStyle w:val="41"/>
        </w:rPr>
        <w:t xml:space="preserve">8  </w:t>
      </w:r>
      <w:r>
        <w:rPr>
          <w:rStyle w:val="41"/>
          <w:rFonts w:hint="eastAsia"/>
        </w:rPr>
        <w:t>北干渠二级保护区</w:t>
      </w:r>
      <w:r>
        <w:tab/>
      </w:r>
      <w:r>
        <w:fldChar w:fldCharType="begin"/>
      </w:r>
      <w:r>
        <w:instrText xml:space="preserve"> PAGEREF _Toc535851367 \h </w:instrText>
      </w:r>
      <w:r>
        <w:fldChar w:fldCharType="separate"/>
      </w:r>
      <w:r>
        <w:t>94</w:t>
      </w:r>
      <w:r>
        <w:fldChar w:fldCharType="end"/>
      </w:r>
      <w:r>
        <w:fldChar w:fldCharType="end"/>
      </w:r>
    </w:p>
    <w:p>
      <w:pPr>
        <w:pStyle w:val="28"/>
        <w:tabs>
          <w:tab w:val="right" w:leader="dot" w:pos="9062"/>
        </w:tabs>
        <w:ind w:firstLine="400"/>
        <w:rPr>
          <w:rFonts w:asciiTheme="minorHAnsi" w:hAnsiTheme="minorHAnsi" w:eastAsiaTheme="minorEastAsia" w:cstheme="minorBidi"/>
          <w:smallCaps w:val="0"/>
          <w:sz w:val="21"/>
          <w:szCs w:val="22"/>
        </w:rPr>
      </w:pPr>
      <w:r>
        <w:fldChar w:fldCharType="begin"/>
      </w:r>
      <w:r>
        <w:instrText xml:space="preserve"> HYPERLINK \l "_Toc535851368" </w:instrText>
      </w:r>
      <w:r>
        <w:fldChar w:fldCharType="separate"/>
      </w:r>
      <w:r>
        <w:rPr>
          <w:rStyle w:val="41"/>
          <w:rFonts w:hint="eastAsia"/>
        </w:rPr>
        <w:t>附图</w:t>
      </w:r>
      <w:r>
        <w:rPr>
          <w:rStyle w:val="41"/>
        </w:rPr>
        <w:t xml:space="preserve">9  </w:t>
      </w:r>
      <w:r>
        <w:rPr>
          <w:rStyle w:val="41"/>
          <w:rFonts w:hint="eastAsia"/>
        </w:rPr>
        <w:t>调查范围图</w:t>
      </w:r>
      <w:r>
        <w:tab/>
      </w:r>
      <w:r>
        <w:fldChar w:fldCharType="begin"/>
      </w:r>
      <w:r>
        <w:instrText xml:space="preserve"> PAGEREF _Toc535851368 \h </w:instrText>
      </w:r>
      <w:r>
        <w:fldChar w:fldCharType="separate"/>
      </w:r>
      <w:r>
        <w:t>95</w:t>
      </w:r>
      <w:r>
        <w:fldChar w:fldCharType="end"/>
      </w:r>
      <w:r>
        <w:fldChar w:fldCharType="end"/>
      </w:r>
    </w:p>
    <w:p>
      <w:pPr>
        <w:pStyle w:val="28"/>
        <w:tabs>
          <w:tab w:val="right" w:leader="dot" w:pos="9062"/>
        </w:tabs>
        <w:ind w:firstLine="400"/>
        <w:rPr>
          <w:rFonts w:asciiTheme="minorHAnsi" w:hAnsiTheme="minorHAnsi" w:eastAsiaTheme="minorEastAsia" w:cstheme="minorBidi"/>
          <w:smallCaps w:val="0"/>
          <w:sz w:val="21"/>
          <w:szCs w:val="22"/>
        </w:rPr>
      </w:pPr>
      <w:r>
        <w:fldChar w:fldCharType="begin"/>
      </w:r>
      <w:r>
        <w:instrText xml:space="preserve"> HYPERLINK \l "_Toc535851369" </w:instrText>
      </w:r>
      <w:r>
        <w:fldChar w:fldCharType="separate"/>
      </w:r>
      <w:r>
        <w:rPr>
          <w:rStyle w:val="41"/>
          <w:rFonts w:hint="eastAsia"/>
        </w:rPr>
        <w:t>附图</w:t>
      </w:r>
      <w:r>
        <w:rPr>
          <w:rStyle w:val="41"/>
        </w:rPr>
        <w:t xml:space="preserve">10  </w:t>
      </w:r>
      <w:r>
        <w:rPr>
          <w:rStyle w:val="41"/>
          <w:rFonts w:hint="eastAsia"/>
        </w:rPr>
        <w:t>水源保护区环境风险源分布图一</w:t>
      </w:r>
      <w:r>
        <w:tab/>
      </w:r>
      <w:r>
        <w:fldChar w:fldCharType="begin"/>
      </w:r>
      <w:r>
        <w:instrText xml:space="preserve"> PAGEREF _Toc535851369 \h </w:instrText>
      </w:r>
      <w:r>
        <w:fldChar w:fldCharType="separate"/>
      </w:r>
      <w:r>
        <w:t>96</w:t>
      </w:r>
      <w:r>
        <w:fldChar w:fldCharType="end"/>
      </w:r>
      <w:r>
        <w:fldChar w:fldCharType="end"/>
      </w:r>
    </w:p>
    <w:p>
      <w:pPr>
        <w:pStyle w:val="28"/>
        <w:tabs>
          <w:tab w:val="right" w:leader="dot" w:pos="9062"/>
        </w:tabs>
        <w:ind w:firstLine="400"/>
        <w:rPr>
          <w:rFonts w:asciiTheme="minorHAnsi" w:hAnsiTheme="minorHAnsi" w:eastAsiaTheme="minorEastAsia" w:cstheme="minorBidi"/>
          <w:smallCaps w:val="0"/>
          <w:sz w:val="21"/>
          <w:szCs w:val="22"/>
        </w:rPr>
      </w:pPr>
      <w:r>
        <w:fldChar w:fldCharType="begin"/>
      </w:r>
      <w:r>
        <w:instrText xml:space="preserve"> HYPERLINK \l "_Toc535851370" </w:instrText>
      </w:r>
      <w:r>
        <w:fldChar w:fldCharType="separate"/>
      </w:r>
      <w:r>
        <w:rPr>
          <w:rStyle w:val="41"/>
          <w:rFonts w:hint="eastAsia"/>
        </w:rPr>
        <w:t>附图</w:t>
      </w:r>
      <w:r>
        <w:rPr>
          <w:rStyle w:val="41"/>
        </w:rPr>
        <w:t xml:space="preserve">11  </w:t>
      </w:r>
      <w:r>
        <w:rPr>
          <w:rStyle w:val="41"/>
          <w:rFonts w:hint="eastAsia"/>
        </w:rPr>
        <w:t>水源保护区环境风险源分布图二</w:t>
      </w:r>
      <w:r>
        <w:tab/>
      </w:r>
      <w:r>
        <w:fldChar w:fldCharType="begin"/>
      </w:r>
      <w:r>
        <w:instrText xml:space="preserve"> PAGEREF _Toc535851370 \h </w:instrText>
      </w:r>
      <w:r>
        <w:fldChar w:fldCharType="separate"/>
      </w:r>
      <w:r>
        <w:t>97</w:t>
      </w:r>
      <w:r>
        <w:fldChar w:fldCharType="end"/>
      </w:r>
      <w:r>
        <w:fldChar w:fldCharType="end"/>
      </w:r>
    </w:p>
    <w:p>
      <w:pPr>
        <w:pStyle w:val="28"/>
        <w:tabs>
          <w:tab w:val="right" w:leader="dot" w:pos="9062"/>
        </w:tabs>
        <w:ind w:firstLine="400"/>
        <w:rPr>
          <w:rFonts w:asciiTheme="minorHAnsi" w:hAnsiTheme="minorHAnsi" w:eastAsiaTheme="minorEastAsia" w:cstheme="minorBidi"/>
          <w:smallCaps w:val="0"/>
          <w:sz w:val="21"/>
          <w:szCs w:val="22"/>
        </w:rPr>
      </w:pPr>
      <w:r>
        <w:fldChar w:fldCharType="begin"/>
      </w:r>
      <w:r>
        <w:instrText xml:space="preserve"> HYPERLINK \l "_Toc535851371" </w:instrText>
      </w:r>
      <w:r>
        <w:fldChar w:fldCharType="separate"/>
      </w:r>
      <w:r>
        <w:rPr>
          <w:rStyle w:val="41"/>
          <w:rFonts w:hint="eastAsia"/>
        </w:rPr>
        <w:t>附图</w:t>
      </w:r>
      <w:r>
        <w:rPr>
          <w:rStyle w:val="41"/>
        </w:rPr>
        <w:t xml:space="preserve">12  </w:t>
      </w:r>
      <w:r>
        <w:rPr>
          <w:rStyle w:val="41"/>
          <w:rFonts w:hint="eastAsia"/>
        </w:rPr>
        <w:t>事故状态下监测布点图</w:t>
      </w:r>
      <w:r>
        <w:tab/>
      </w:r>
      <w:r>
        <w:fldChar w:fldCharType="begin"/>
      </w:r>
      <w:r>
        <w:instrText xml:space="preserve"> PAGEREF _Toc535851371 \h </w:instrText>
      </w:r>
      <w:r>
        <w:fldChar w:fldCharType="separate"/>
      </w:r>
      <w:r>
        <w:t>98</w:t>
      </w:r>
      <w:r>
        <w:fldChar w:fldCharType="end"/>
      </w:r>
      <w:r>
        <w:fldChar w:fldCharType="end"/>
      </w:r>
    </w:p>
    <w:p>
      <w:pPr>
        <w:pStyle w:val="28"/>
        <w:tabs>
          <w:tab w:val="right" w:leader="dot" w:pos="9062"/>
        </w:tabs>
        <w:ind w:firstLine="400"/>
        <w:rPr>
          <w:rFonts w:asciiTheme="minorHAnsi" w:hAnsiTheme="minorHAnsi" w:eastAsiaTheme="minorEastAsia" w:cstheme="minorBidi"/>
          <w:smallCaps w:val="0"/>
          <w:sz w:val="21"/>
          <w:szCs w:val="22"/>
        </w:rPr>
      </w:pPr>
      <w:r>
        <w:fldChar w:fldCharType="begin"/>
      </w:r>
      <w:r>
        <w:instrText xml:space="preserve"> HYPERLINK \l "_Toc535851372" </w:instrText>
      </w:r>
      <w:r>
        <w:fldChar w:fldCharType="separate"/>
      </w:r>
      <w:r>
        <w:rPr>
          <w:rStyle w:val="41"/>
          <w:rFonts w:hint="eastAsia"/>
        </w:rPr>
        <w:t>附图</w:t>
      </w:r>
      <w:r>
        <w:rPr>
          <w:rStyle w:val="41"/>
        </w:rPr>
        <w:t xml:space="preserve">13  </w:t>
      </w:r>
      <w:r>
        <w:rPr>
          <w:rStyle w:val="41"/>
          <w:rFonts w:hint="eastAsia"/>
        </w:rPr>
        <w:t>应急物质储备图</w:t>
      </w:r>
      <w:r>
        <w:tab/>
      </w:r>
      <w:r>
        <w:fldChar w:fldCharType="begin"/>
      </w:r>
      <w:r>
        <w:instrText xml:space="preserve"> PAGEREF _Toc535851372 \h </w:instrText>
      </w:r>
      <w:r>
        <w:fldChar w:fldCharType="separate"/>
      </w:r>
      <w:r>
        <w:t>99</w:t>
      </w:r>
      <w:r>
        <w:fldChar w:fldCharType="end"/>
      </w:r>
      <w:r>
        <w:fldChar w:fldCharType="end"/>
      </w:r>
    </w:p>
    <w:p>
      <w:pPr>
        <w:pStyle w:val="24"/>
        <w:tabs>
          <w:tab w:val="right" w:leader="dot" w:pos="9062"/>
        </w:tabs>
        <w:ind w:firstLine="402"/>
        <w:rPr>
          <w:rFonts w:eastAsiaTheme="minorEastAsia" w:cstheme="minorBidi"/>
          <w:b w:val="0"/>
          <w:bCs w:val="0"/>
          <w:caps w:val="0"/>
          <w:sz w:val="21"/>
          <w:szCs w:val="22"/>
        </w:rPr>
      </w:pPr>
      <w:r>
        <w:fldChar w:fldCharType="begin"/>
      </w:r>
      <w:r>
        <w:instrText xml:space="preserve"> HYPERLINK \l "_Toc535851373" </w:instrText>
      </w:r>
      <w:r>
        <w:fldChar w:fldCharType="separate"/>
      </w:r>
      <w:r>
        <w:rPr>
          <w:rStyle w:val="41"/>
          <w:rFonts w:hint="eastAsia"/>
        </w:rPr>
        <w:t>附件</w:t>
      </w:r>
      <w:r>
        <w:tab/>
      </w:r>
      <w:r>
        <w:fldChar w:fldCharType="begin"/>
      </w:r>
      <w:r>
        <w:instrText xml:space="preserve"> PAGEREF _Toc535851373 \h </w:instrText>
      </w:r>
      <w:r>
        <w:fldChar w:fldCharType="separate"/>
      </w:r>
      <w:r>
        <w:t>100</w:t>
      </w:r>
      <w:r>
        <w:fldChar w:fldCharType="end"/>
      </w:r>
      <w:r>
        <w:fldChar w:fldCharType="end"/>
      </w:r>
    </w:p>
    <w:p>
      <w:pPr>
        <w:pStyle w:val="28"/>
        <w:tabs>
          <w:tab w:val="right" w:leader="dot" w:pos="9062"/>
        </w:tabs>
        <w:ind w:firstLine="400"/>
        <w:rPr>
          <w:rFonts w:asciiTheme="minorHAnsi" w:hAnsiTheme="minorHAnsi" w:eastAsiaTheme="minorEastAsia" w:cstheme="minorBidi"/>
          <w:smallCaps w:val="0"/>
          <w:sz w:val="21"/>
          <w:szCs w:val="22"/>
        </w:rPr>
      </w:pPr>
      <w:r>
        <w:fldChar w:fldCharType="begin"/>
      </w:r>
      <w:r>
        <w:instrText xml:space="preserve"> HYPERLINK \l "_Toc535851374" </w:instrText>
      </w:r>
      <w:r>
        <w:fldChar w:fldCharType="separate"/>
      </w:r>
      <w:r>
        <w:rPr>
          <w:rStyle w:val="41"/>
          <w:rFonts w:hint="eastAsia"/>
        </w:rPr>
        <w:t>附件</w:t>
      </w:r>
      <w:r>
        <w:rPr>
          <w:rStyle w:val="41"/>
        </w:rPr>
        <w:t xml:space="preserve">1  </w:t>
      </w:r>
      <w:r>
        <w:rPr>
          <w:rStyle w:val="41"/>
          <w:rFonts w:hint="eastAsia"/>
        </w:rPr>
        <w:t>评审意见</w:t>
      </w:r>
      <w:r>
        <w:tab/>
      </w:r>
      <w:r>
        <w:fldChar w:fldCharType="begin"/>
      </w:r>
      <w:r>
        <w:instrText xml:space="preserve"> PAGEREF _Toc535851374 \h </w:instrText>
      </w:r>
      <w:r>
        <w:fldChar w:fldCharType="separate"/>
      </w:r>
      <w:r>
        <w:t>100</w:t>
      </w:r>
      <w:r>
        <w:fldChar w:fldCharType="end"/>
      </w:r>
      <w:r>
        <w:fldChar w:fldCharType="end"/>
      </w:r>
    </w:p>
    <w:p>
      <w:pPr>
        <w:pStyle w:val="28"/>
        <w:tabs>
          <w:tab w:val="right" w:leader="dot" w:pos="9062"/>
        </w:tabs>
        <w:ind w:firstLine="400"/>
        <w:rPr>
          <w:rFonts w:asciiTheme="minorHAnsi" w:hAnsiTheme="minorHAnsi" w:eastAsiaTheme="minorEastAsia" w:cstheme="minorBidi"/>
          <w:smallCaps w:val="0"/>
          <w:sz w:val="21"/>
          <w:szCs w:val="22"/>
        </w:rPr>
      </w:pPr>
      <w:r>
        <w:fldChar w:fldCharType="begin"/>
      </w:r>
      <w:r>
        <w:instrText xml:space="preserve"> HYPERLINK \l "_Toc535851375" </w:instrText>
      </w:r>
      <w:r>
        <w:fldChar w:fldCharType="separate"/>
      </w:r>
      <w:r>
        <w:rPr>
          <w:rStyle w:val="41"/>
          <w:rFonts w:hint="eastAsia"/>
        </w:rPr>
        <w:t>附件</w:t>
      </w:r>
      <w:r>
        <w:rPr>
          <w:rStyle w:val="41"/>
        </w:rPr>
        <w:t xml:space="preserve">2  </w:t>
      </w:r>
      <w:r>
        <w:rPr>
          <w:rStyle w:val="41"/>
          <w:rFonts w:hint="eastAsia"/>
        </w:rPr>
        <w:t>政府有关部门联系电话</w:t>
      </w:r>
      <w:r>
        <w:tab/>
      </w:r>
      <w:r>
        <w:fldChar w:fldCharType="begin"/>
      </w:r>
      <w:r>
        <w:instrText xml:space="preserve"> PAGEREF _Toc535851375 \h </w:instrText>
      </w:r>
      <w:r>
        <w:fldChar w:fldCharType="separate"/>
      </w:r>
      <w:r>
        <w:t>111</w:t>
      </w:r>
      <w:r>
        <w:fldChar w:fldCharType="end"/>
      </w:r>
      <w:r>
        <w:fldChar w:fldCharType="end"/>
      </w:r>
    </w:p>
    <w:p>
      <w:pPr>
        <w:pStyle w:val="28"/>
        <w:tabs>
          <w:tab w:val="right" w:leader="dot" w:pos="9062"/>
        </w:tabs>
        <w:ind w:firstLine="400"/>
        <w:rPr>
          <w:rFonts w:asciiTheme="minorHAnsi" w:hAnsiTheme="minorHAnsi" w:eastAsiaTheme="minorEastAsia" w:cstheme="minorBidi"/>
          <w:smallCaps w:val="0"/>
          <w:sz w:val="21"/>
          <w:szCs w:val="22"/>
        </w:rPr>
      </w:pPr>
      <w:r>
        <w:fldChar w:fldCharType="begin"/>
      </w:r>
      <w:r>
        <w:instrText xml:space="preserve"> HYPERLINK \l "_Toc535851376" </w:instrText>
      </w:r>
      <w:r>
        <w:fldChar w:fldCharType="separate"/>
      </w:r>
      <w:r>
        <w:rPr>
          <w:rStyle w:val="41"/>
          <w:rFonts w:hint="eastAsia"/>
        </w:rPr>
        <w:t>附件</w:t>
      </w:r>
      <w:r>
        <w:rPr>
          <w:rStyle w:val="41"/>
        </w:rPr>
        <w:t xml:space="preserve">3  </w:t>
      </w:r>
      <w:r>
        <w:rPr>
          <w:rStyle w:val="41"/>
          <w:rFonts w:hint="eastAsia"/>
        </w:rPr>
        <w:t>主要相关单位和部门职责一览表</w:t>
      </w:r>
      <w:r>
        <w:tab/>
      </w:r>
      <w:r>
        <w:fldChar w:fldCharType="begin"/>
      </w:r>
      <w:r>
        <w:instrText xml:space="preserve"> PAGEREF _Toc535851376 \h </w:instrText>
      </w:r>
      <w:r>
        <w:fldChar w:fldCharType="separate"/>
      </w:r>
      <w:r>
        <w:t>112</w:t>
      </w:r>
      <w:r>
        <w:fldChar w:fldCharType="end"/>
      </w:r>
      <w:r>
        <w:fldChar w:fldCharType="end"/>
      </w:r>
    </w:p>
    <w:p>
      <w:pPr>
        <w:pStyle w:val="28"/>
        <w:tabs>
          <w:tab w:val="right" w:leader="dot" w:pos="9062"/>
        </w:tabs>
        <w:ind w:firstLine="400"/>
        <w:rPr>
          <w:rFonts w:asciiTheme="minorHAnsi" w:hAnsiTheme="minorHAnsi" w:eastAsiaTheme="minorEastAsia" w:cstheme="minorBidi"/>
          <w:smallCaps w:val="0"/>
          <w:sz w:val="21"/>
          <w:szCs w:val="22"/>
        </w:rPr>
      </w:pPr>
      <w:r>
        <w:fldChar w:fldCharType="begin"/>
      </w:r>
      <w:r>
        <w:instrText xml:space="preserve"> HYPERLINK \l "_Toc535851377" </w:instrText>
      </w:r>
      <w:r>
        <w:fldChar w:fldCharType="separate"/>
      </w:r>
      <w:r>
        <w:rPr>
          <w:rStyle w:val="41"/>
          <w:rFonts w:hint="eastAsia"/>
        </w:rPr>
        <w:t>附件</w:t>
      </w:r>
      <w:r>
        <w:rPr>
          <w:rStyle w:val="41"/>
        </w:rPr>
        <w:t xml:space="preserve">4  </w:t>
      </w:r>
      <w:r>
        <w:rPr>
          <w:rStyle w:val="41"/>
          <w:rFonts w:hint="eastAsia"/>
        </w:rPr>
        <w:t>饮用水水源保护区应急队伍数据库</w:t>
      </w:r>
      <w:r>
        <w:tab/>
      </w:r>
      <w:r>
        <w:fldChar w:fldCharType="begin"/>
      </w:r>
      <w:r>
        <w:instrText xml:space="preserve"> PAGEREF _Toc535851377 \h </w:instrText>
      </w:r>
      <w:r>
        <w:fldChar w:fldCharType="separate"/>
      </w:r>
      <w:r>
        <w:t>113</w:t>
      </w:r>
      <w:r>
        <w:fldChar w:fldCharType="end"/>
      </w:r>
      <w:r>
        <w:fldChar w:fldCharType="end"/>
      </w:r>
    </w:p>
    <w:p>
      <w:pPr>
        <w:pStyle w:val="28"/>
        <w:tabs>
          <w:tab w:val="right" w:leader="dot" w:pos="9062"/>
        </w:tabs>
        <w:ind w:firstLine="400"/>
        <w:rPr>
          <w:rFonts w:asciiTheme="minorHAnsi" w:hAnsiTheme="minorHAnsi" w:eastAsiaTheme="minorEastAsia" w:cstheme="minorBidi"/>
          <w:smallCaps w:val="0"/>
          <w:sz w:val="21"/>
          <w:szCs w:val="22"/>
        </w:rPr>
      </w:pPr>
      <w:r>
        <w:fldChar w:fldCharType="begin"/>
      </w:r>
      <w:r>
        <w:instrText xml:space="preserve"> HYPERLINK \l "_Toc535851378" </w:instrText>
      </w:r>
      <w:r>
        <w:fldChar w:fldCharType="separate"/>
      </w:r>
      <w:r>
        <w:rPr>
          <w:rStyle w:val="41"/>
          <w:rFonts w:hint="eastAsia"/>
        </w:rPr>
        <w:t>附件</w:t>
      </w:r>
      <w:r>
        <w:rPr>
          <w:rStyle w:val="41"/>
        </w:rPr>
        <w:t xml:space="preserve">5  </w:t>
      </w:r>
      <w:r>
        <w:rPr>
          <w:rStyle w:val="41"/>
          <w:rFonts w:hint="eastAsia"/>
        </w:rPr>
        <w:t>环境应急救援体系外部救援联系表</w:t>
      </w:r>
      <w:r>
        <w:tab/>
      </w:r>
      <w:r>
        <w:fldChar w:fldCharType="begin"/>
      </w:r>
      <w:r>
        <w:instrText xml:space="preserve"> PAGEREF _Toc535851378 \h </w:instrText>
      </w:r>
      <w:r>
        <w:fldChar w:fldCharType="separate"/>
      </w:r>
      <w:r>
        <w:t>114</w:t>
      </w:r>
      <w:r>
        <w:fldChar w:fldCharType="end"/>
      </w:r>
      <w:r>
        <w:fldChar w:fldCharType="end"/>
      </w:r>
    </w:p>
    <w:p>
      <w:pPr>
        <w:pStyle w:val="28"/>
        <w:tabs>
          <w:tab w:val="right" w:leader="dot" w:pos="9062"/>
        </w:tabs>
        <w:ind w:firstLine="400"/>
        <w:rPr>
          <w:rFonts w:asciiTheme="minorHAnsi" w:hAnsiTheme="minorHAnsi" w:eastAsiaTheme="minorEastAsia" w:cstheme="minorBidi"/>
          <w:smallCaps w:val="0"/>
          <w:sz w:val="21"/>
          <w:szCs w:val="22"/>
        </w:rPr>
      </w:pPr>
      <w:r>
        <w:fldChar w:fldCharType="begin"/>
      </w:r>
      <w:r>
        <w:instrText xml:space="preserve"> HYPERLINK \l "_Toc535851379" </w:instrText>
      </w:r>
      <w:r>
        <w:fldChar w:fldCharType="separate"/>
      </w:r>
      <w:r>
        <w:rPr>
          <w:rStyle w:val="41"/>
          <w:rFonts w:hint="eastAsia"/>
        </w:rPr>
        <w:t>附件</w:t>
      </w:r>
      <w:r>
        <w:rPr>
          <w:rStyle w:val="41"/>
        </w:rPr>
        <w:t xml:space="preserve">6 </w:t>
      </w:r>
      <w:r>
        <w:rPr>
          <w:rStyle w:val="41"/>
          <w:rFonts w:hint="eastAsia"/>
        </w:rPr>
        <w:t>常见化学品引发水污染事故的简要现场处置方法</w:t>
      </w:r>
      <w:r>
        <w:tab/>
      </w:r>
      <w:r>
        <w:fldChar w:fldCharType="begin"/>
      </w:r>
      <w:r>
        <w:instrText xml:space="preserve"> PAGEREF _Toc535851379 \h </w:instrText>
      </w:r>
      <w:r>
        <w:fldChar w:fldCharType="separate"/>
      </w:r>
      <w:r>
        <w:t>115</w:t>
      </w:r>
      <w:r>
        <w:fldChar w:fldCharType="end"/>
      </w:r>
      <w:r>
        <w:fldChar w:fldCharType="end"/>
      </w:r>
    </w:p>
    <w:p>
      <w:pPr>
        <w:pStyle w:val="28"/>
        <w:tabs>
          <w:tab w:val="right" w:leader="dot" w:pos="9062"/>
        </w:tabs>
        <w:ind w:firstLine="400"/>
        <w:rPr>
          <w:rFonts w:asciiTheme="minorHAnsi" w:hAnsiTheme="minorHAnsi" w:eastAsiaTheme="minorEastAsia" w:cstheme="minorBidi"/>
          <w:smallCaps w:val="0"/>
          <w:sz w:val="21"/>
          <w:szCs w:val="22"/>
        </w:rPr>
      </w:pPr>
      <w:r>
        <w:fldChar w:fldCharType="begin"/>
      </w:r>
      <w:r>
        <w:instrText xml:space="preserve"> HYPERLINK \l "_Toc535851380" </w:instrText>
      </w:r>
      <w:r>
        <w:fldChar w:fldCharType="separate"/>
      </w:r>
      <w:r>
        <w:rPr>
          <w:rStyle w:val="41"/>
          <w:rFonts w:hint="eastAsia" w:cs="宋体"/>
        </w:rPr>
        <w:t>附件</w:t>
      </w:r>
      <w:r>
        <w:rPr>
          <w:rStyle w:val="41"/>
        </w:rPr>
        <w:t xml:space="preserve">7  </w:t>
      </w:r>
      <w:r>
        <w:rPr>
          <w:rStyle w:val="41"/>
          <w:rFonts w:hint="eastAsia" w:cs="宋体"/>
        </w:rPr>
        <w:t>突发环境事件应急处置卡</w:t>
      </w:r>
      <w:r>
        <w:tab/>
      </w:r>
      <w:r>
        <w:fldChar w:fldCharType="begin"/>
      </w:r>
      <w:r>
        <w:instrText xml:space="preserve"> PAGEREF _Toc535851380 \h </w:instrText>
      </w:r>
      <w:r>
        <w:fldChar w:fldCharType="separate"/>
      </w:r>
      <w:r>
        <w:t>117</w:t>
      </w:r>
      <w:r>
        <w:fldChar w:fldCharType="end"/>
      </w:r>
      <w:r>
        <w:fldChar w:fldCharType="end"/>
      </w:r>
    </w:p>
    <w:p>
      <w:pPr>
        <w:widowControl/>
        <w:spacing w:line="240" w:lineRule="auto"/>
        <w:ind w:firstLine="0" w:firstLineChars="0"/>
        <w:jc w:val="left"/>
        <w:rPr>
          <w:b/>
          <w:color w:val="000000" w:themeColor="text1"/>
          <w:szCs w:val="24"/>
        </w:rPr>
      </w:pPr>
      <w:r>
        <w:rPr>
          <w:color w:val="000000" w:themeColor="text1"/>
          <w:szCs w:val="24"/>
        </w:rPr>
        <w:fldChar w:fldCharType="end"/>
      </w:r>
    </w:p>
    <w:p>
      <w:pPr>
        <w:ind w:firstLine="482"/>
        <w:rPr>
          <w:b/>
          <w:color w:val="000000" w:themeColor="text1"/>
          <w:szCs w:val="24"/>
        </w:rPr>
        <w:sectPr>
          <w:footerReference r:id="rId9" w:type="default"/>
          <w:pgSz w:w="11906" w:h="16838"/>
          <w:pgMar w:top="1440" w:right="1417" w:bottom="1440" w:left="1417" w:header="851" w:footer="992" w:gutter="0"/>
          <w:pgNumType w:fmt="upperRoman" w:start="1"/>
          <w:cols w:space="0" w:num="1"/>
          <w:docGrid w:linePitch="332" w:charSpace="0"/>
        </w:sectPr>
      </w:pPr>
    </w:p>
    <w:p>
      <w:pPr>
        <w:pStyle w:val="32"/>
        <w:widowControl w:val="0"/>
        <w:adjustRightInd w:val="0"/>
        <w:snapToGrid w:val="0"/>
        <w:spacing w:before="0" w:beforeAutospacing="0" w:after="0" w:afterAutospacing="0" w:line="360" w:lineRule="auto"/>
        <w:jc w:val="center"/>
        <w:outlineLvl w:val="0"/>
        <w:rPr>
          <w:sz w:val="44"/>
          <w:szCs w:val="44"/>
        </w:rPr>
      </w:pPr>
      <w:bookmarkStart w:id="0" w:name="_Toc535851296"/>
      <w:r>
        <w:rPr>
          <w:rFonts w:hint="eastAsia"/>
          <w:b/>
          <w:kern w:val="44"/>
          <w:sz w:val="44"/>
          <w:szCs w:val="44"/>
        </w:rPr>
        <w:t>第一部分  编制说明</w:t>
      </w:r>
      <w:bookmarkEnd w:id="0"/>
    </w:p>
    <w:p>
      <w:r>
        <w:rPr>
          <w:rFonts w:hint="eastAsia" w:cs="宋体"/>
          <w:szCs w:val="24"/>
        </w:rPr>
        <w:t>根据《集中式地表水饮用水水源地突发环境事件应急预案编制指南（试行）》（生态环境部公告</w:t>
      </w:r>
      <w:r>
        <w:rPr>
          <w:szCs w:val="24"/>
        </w:rPr>
        <w:t>2018</w:t>
      </w:r>
      <w:r>
        <w:rPr>
          <w:rFonts w:hint="eastAsia" w:cs="宋体"/>
          <w:szCs w:val="24"/>
        </w:rPr>
        <w:t>年第</w:t>
      </w:r>
      <w:r>
        <w:rPr>
          <w:szCs w:val="24"/>
        </w:rPr>
        <w:t>1</w:t>
      </w:r>
      <w:r>
        <w:rPr>
          <w:rFonts w:hint="eastAsia" w:cs="宋体"/>
          <w:szCs w:val="24"/>
        </w:rPr>
        <w:t>号）、《集中式地表饮用水水源地环境应急管理工作指南（试行）》（环办〔</w:t>
      </w:r>
      <w:r>
        <w:rPr>
          <w:szCs w:val="24"/>
        </w:rPr>
        <w:t>2011</w:t>
      </w:r>
      <w:r>
        <w:rPr>
          <w:rFonts w:hint="eastAsia" w:cs="宋体"/>
          <w:szCs w:val="24"/>
        </w:rPr>
        <w:t>〕</w:t>
      </w:r>
      <w:r>
        <w:rPr>
          <w:szCs w:val="24"/>
        </w:rPr>
        <w:t>93</w:t>
      </w:r>
      <w:r>
        <w:rPr>
          <w:rFonts w:hint="eastAsia" w:cs="宋体"/>
          <w:szCs w:val="24"/>
        </w:rPr>
        <w:t>号）以及《湖南省环境保护厅关于进一步加强突发环境事件应急预案管理工作的通知》等国家有关环境应急预案法律法规及地方环境保护部门的要求，提高水源地应急预案的针对性、实用性和可操作性，水源地应当编制环境应急预案。</w:t>
      </w:r>
    </w:p>
    <w:p>
      <w:pPr>
        <w:tabs>
          <w:tab w:val="center" w:pos="4360"/>
          <w:tab w:val="right" w:pos="8300"/>
        </w:tabs>
        <w:ind w:left="480" w:leftChars="200" w:firstLine="0" w:firstLineChars="0"/>
        <w:jc w:val="left"/>
        <w:rPr>
          <w:rFonts w:cs="宋体"/>
          <w:b/>
          <w:color w:val="000000"/>
        </w:rPr>
      </w:pPr>
      <w:r>
        <w:rPr>
          <w:rFonts w:hint="eastAsia" w:cs="宋体"/>
          <w:b/>
          <w:color w:val="000000"/>
        </w:rPr>
        <w:t>1、编制主体</w:t>
      </w:r>
    </w:p>
    <w:p>
      <w:pPr>
        <w:pStyle w:val="86"/>
      </w:pPr>
      <w:r>
        <w:rPr>
          <w:rFonts w:hint="eastAsia"/>
        </w:rPr>
        <w:t>根据生态环境部公告</w:t>
      </w:r>
      <w:r>
        <w:t>2018</w:t>
      </w:r>
      <w:r>
        <w:rPr>
          <w:rFonts w:hint="eastAsia"/>
        </w:rPr>
        <w:t>年第</w:t>
      </w:r>
      <w:r>
        <w:t>1</w:t>
      </w:r>
      <w:r>
        <w:rPr>
          <w:rFonts w:hint="eastAsia"/>
        </w:rPr>
        <w:t>号《集中式地表水饮用水水源地突发环境事件应急预案编制指南（试行）》的规定，位于本市（或县）行政区域内的市（或县）级水源地应急预案，由相应的市（或县）级人民政府负责编制。《</w:t>
      </w:r>
      <w:r>
        <w:rPr>
          <w:rFonts w:hint="eastAsia" w:cs="宋体"/>
          <w:color w:val="000000"/>
          <w:kern w:val="2"/>
          <w:szCs w:val="22"/>
        </w:rPr>
        <w:t>岳阳市饮用水源保护区（铁山水库-北干渠-金凤水库）应急预案</w:t>
      </w:r>
      <w:r>
        <w:rPr>
          <w:rFonts w:hint="eastAsia"/>
        </w:rPr>
        <w:t>》的编制主体为岳阳市人民政府，受岳阳市人民政府委托岳阳市铁山供水工程管理局在岳阳市环境保护局的指导下组织编制本预案，技术咨询机构为湖南天瑶环境技术有限公司。</w:t>
      </w:r>
    </w:p>
    <w:p>
      <w:pPr>
        <w:pStyle w:val="86"/>
        <w:ind w:firstLine="482"/>
        <w:rPr>
          <w:b/>
          <w:bCs/>
        </w:rPr>
      </w:pPr>
      <w:r>
        <w:rPr>
          <w:b/>
          <w:bCs/>
        </w:rPr>
        <w:t>2</w:t>
      </w:r>
      <w:r>
        <w:rPr>
          <w:rFonts w:hint="eastAsia"/>
          <w:b/>
          <w:bCs/>
        </w:rPr>
        <w:t>、成立编制工作小组</w:t>
      </w:r>
    </w:p>
    <w:p>
      <w:pPr>
        <w:pStyle w:val="86"/>
      </w:pPr>
      <w:r>
        <w:rPr>
          <w:rFonts w:hint="eastAsia"/>
        </w:rPr>
        <w:t>岳阳市人民政府成立岳阳市饮用水源保护区（铁山水库-北干渠-金凤水库）应急预案编制工作小组，成员单位包括岳阳市政府应急办、岳阳市铁山供水工程管理局、岳阳市环保局、岳阳市公安局、岳阳市财政局、岳阳市国土资源局、岳阳市水务局等。</w:t>
      </w:r>
    </w:p>
    <w:p>
      <w:pPr>
        <w:pStyle w:val="86"/>
      </w:pPr>
      <w:r>
        <w:rPr>
          <w:rFonts w:hint="eastAsia"/>
        </w:rPr>
        <w:t>编制工作领导小组下设办公室，具体负责水源地应急预案的起草、征求意见、审查、报批和日常管理等工作。</w:t>
      </w:r>
    </w:p>
    <w:p>
      <w:pPr>
        <w:pStyle w:val="86"/>
        <w:ind w:firstLine="482"/>
        <w:rPr>
          <w:b/>
          <w:bCs/>
        </w:rPr>
      </w:pPr>
      <w:r>
        <w:rPr>
          <w:rFonts w:hint="eastAsia"/>
          <w:b/>
          <w:bCs/>
        </w:rPr>
        <w:t>3、工作路线</w:t>
      </w:r>
    </w:p>
    <w:p>
      <w:pPr>
        <w:pStyle w:val="86"/>
      </w:pPr>
      <w:r>
        <w:rPr>
          <w:rFonts w:hint="eastAsia"/>
        </w:rPr>
        <w:t>《</w:t>
      </w:r>
      <w:r>
        <w:rPr>
          <w:rFonts w:hint="eastAsia" w:cs="宋体"/>
          <w:color w:val="000000"/>
          <w:kern w:val="2"/>
          <w:szCs w:val="22"/>
        </w:rPr>
        <w:t>岳阳市饮用水源保护区（铁山水库-北干渠-金凤水库）应急预案</w:t>
      </w:r>
      <w:r>
        <w:rPr>
          <w:rFonts w:hint="eastAsia"/>
        </w:rPr>
        <w:t>》编制的工作路线见下图</w:t>
      </w:r>
    </w:p>
    <w:p>
      <w:pPr>
        <w:pStyle w:val="86"/>
      </w:pPr>
    </w:p>
    <w:p>
      <w:pPr>
        <w:pStyle w:val="17"/>
        <w:adjustRightInd w:val="0"/>
        <w:snapToGrid w:val="0"/>
        <w:ind w:firstLine="0" w:firstLineChars="0"/>
        <w:jc w:val="center"/>
        <w:rPr>
          <w:rFonts w:ascii="Times New Roman" w:hAnsi="Times New Roman" w:cs="Times New Roman"/>
          <w:sz w:val="20"/>
          <w:szCs w:val="20"/>
        </w:rPr>
      </w:pPr>
      <w:r>
        <w:rPr>
          <w:rFonts w:ascii="Times New Roman" w:hAnsi="Times New Roman" w:cs="Times New Roman"/>
          <w:sz w:val="20"/>
          <w:szCs w:val="20"/>
        </w:rPr>
        <w:drawing>
          <wp:inline distT="0" distB="0" distL="114300" distR="114300">
            <wp:extent cx="5400675" cy="7581900"/>
            <wp:effectExtent l="0" t="0" r="9525" b="0"/>
            <wp:docPr id="42" name="图片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134"/>
                    <pic:cNvPicPr>
                      <a:picLocks noChangeAspect="1"/>
                    </pic:cNvPicPr>
                  </pic:nvPicPr>
                  <pic:blipFill>
                    <a:blip r:embed="rId30"/>
                    <a:stretch>
                      <a:fillRect/>
                    </a:stretch>
                  </pic:blipFill>
                  <pic:spPr>
                    <a:xfrm>
                      <a:off x="0" y="0"/>
                      <a:ext cx="5400675" cy="7581900"/>
                    </a:xfrm>
                    <a:prstGeom prst="rect">
                      <a:avLst/>
                    </a:prstGeom>
                    <a:noFill/>
                    <a:ln w="9525">
                      <a:noFill/>
                    </a:ln>
                  </pic:spPr>
                </pic:pic>
              </a:graphicData>
            </a:graphic>
          </wp:inline>
        </w:drawing>
      </w:r>
    </w:p>
    <w:p>
      <w:pPr>
        <w:pStyle w:val="17"/>
        <w:adjustRightInd w:val="0"/>
        <w:snapToGrid w:val="0"/>
        <w:ind w:firstLine="0" w:firstLineChars="0"/>
        <w:jc w:val="center"/>
        <w:rPr>
          <w:rFonts w:ascii="Times New Roman" w:hAnsi="Times New Roman" w:cs="Times New Roman"/>
          <w:sz w:val="20"/>
          <w:szCs w:val="20"/>
        </w:rPr>
      </w:pPr>
    </w:p>
    <w:p>
      <w:pPr>
        <w:pStyle w:val="17"/>
        <w:adjustRightInd w:val="0"/>
        <w:snapToGrid w:val="0"/>
        <w:ind w:firstLine="0" w:firstLineChars="0"/>
        <w:jc w:val="center"/>
        <w:rPr>
          <w:rFonts w:ascii="Times New Roman" w:hAnsi="Times New Roman" w:cs="Times New Roman"/>
          <w:b/>
          <w:bCs/>
          <w:sz w:val="21"/>
        </w:rPr>
        <w:sectPr>
          <w:headerReference r:id="rId12" w:type="first"/>
          <w:footerReference r:id="rId15" w:type="first"/>
          <w:headerReference r:id="rId10" w:type="default"/>
          <w:footerReference r:id="rId13" w:type="default"/>
          <w:headerReference r:id="rId11" w:type="even"/>
          <w:footerReference r:id="rId14" w:type="even"/>
          <w:pgSz w:w="11907" w:h="16840"/>
          <w:pgMar w:top="1417" w:right="1134" w:bottom="1417" w:left="1418" w:header="851" w:footer="850" w:gutter="0"/>
          <w:cols w:space="720" w:num="1"/>
          <w:docGrid w:linePitch="312" w:charSpace="0"/>
        </w:sectPr>
      </w:pPr>
      <w:r>
        <w:rPr>
          <w:rFonts w:hint="eastAsia" w:ascii="Times New Roman" w:hAnsi="Times New Roman" w:cs="Times New Roman"/>
          <w:b/>
          <w:bCs/>
          <w:sz w:val="21"/>
        </w:rPr>
        <w:t>预案编制工作路线</w:t>
      </w:r>
    </w:p>
    <w:p>
      <w:pPr>
        <w:pStyle w:val="17"/>
        <w:adjustRightInd w:val="0"/>
        <w:snapToGrid w:val="0"/>
        <w:ind w:firstLine="0" w:firstLineChars="0"/>
        <w:jc w:val="center"/>
        <w:rPr>
          <w:rFonts w:hAnsi="宋体"/>
          <w:b/>
          <w:color w:val="000000" w:themeColor="text1"/>
          <w:sz w:val="30"/>
          <w:szCs w:val="30"/>
        </w:rPr>
      </w:pPr>
    </w:p>
    <w:p>
      <w:pPr>
        <w:widowControl/>
        <w:spacing w:line="240" w:lineRule="auto"/>
        <w:ind w:firstLine="0" w:firstLineChars="0"/>
        <w:jc w:val="left"/>
        <w:rPr>
          <w:rFonts w:ascii="宋体" w:hAnsi="宋体"/>
          <w:b/>
          <w:color w:val="000000" w:themeColor="text1"/>
          <w:sz w:val="30"/>
          <w:szCs w:val="30"/>
        </w:rPr>
      </w:pPr>
    </w:p>
    <w:p>
      <w:pPr>
        <w:widowControl/>
        <w:spacing w:line="240" w:lineRule="auto"/>
        <w:ind w:firstLine="0" w:firstLineChars="0"/>
        <w:jc w:val="left"/>
        <w:rPr>
          <w:rFonts w:ascii="宋体" w:hAnsi="宋体"/>
          <w:b/>
          <w:color w:val="000000" w:themeColor="text1"/>
          <w:sz w:val="30"/>
          <w:szCs w:val="30"/>
        </w:rPr>
      </w:pPr>
    </w:p>
    <w:p>
      <w:pPr>
        <w:pStyle w:val="17"/>
        <w:adjustRightInd w:val="0"/>
        <w:snapToGrid w:val="0"/>
        <w:ind w:firstLine="0" w:firstLineChars="0"/>
        <w:jc w:val="center"/>
        <w:rPr>
          <w:rFonts w:ascii="Times New Roman" w:hAnsi="Times New Roman" w:eastAsia="黑体" w:cs="Times New Roman"/>
          <w:b/>
          <w:color w:val="000000" w:themeColor="text1"/>
          <w:sz w:val="48"/>
          <w:szCs w:val="48"/>
        </w:rPr>
      </w:pPr>
    </w:p>
    <w:p>
      <w:pPr>
        <w:pStyle w:val="17"/>
        <w:adjustRightInd w:val="0"/>
        <w:snapToGrid w:val="0"/>
        <w:ind w:firstLine="0" w:firstLineChars="0"/>
        <w:jc w:val="center"/>
        <w:rPr>
          <w:rFonts w:hAnsi="宋体" w:cs="宋体"/>
          <w:b/>
          <w:color w:val="000000" w:themeColor="text1"/>
          <w:sz w:val="52"/>
          <w:szCs w:val="52"/>
        </w:rPr>
      </w:pPr>
      <w:bookmarkStart w:id="1" w:name="_Toc485201080"/>
      <w:bookmarkStart w:id="2" w:name="_Toc482605477"/>
    </w:p>
    <w:p>
      <w:pPr>
        <w:pStyle w:val="17"/>
        <w:adjustRightInd w:val="0"/>
        <w:snapToGrid w:val="0"/>
        <w:ind w:firstLine="0" w:firstLineChars="0"/>
        <w:jc w:val="center"/>
        <w:rPr>
          <w:rFonts w:hAnsi="宋体" w:cs="宋体"/>
          <w:b/>
          <w:color w:val="000000" w:themeColor="text1"/>
          <w:sz w:val="52"/>
          <w:szCs w:val="52"/>
        </w:rPr>
      </w:pPr>
    </w:p>
    <w:p>
      <w:pPr>
        <w:pStyle w:val="17"/>
        <w:adjustRightInd w:val="0"/>
        <w:snapToGrid w:val="0"/>
        <w:ind w:firstLine="0" w:firstLineChars="0"/>
        <w:jc w:val="center"/>
        <w:outlineLvl w:val="0"/>
        <w:rPr>
          <w:rFonts w:hAnsi="宋体" w:cs="宋体"/>
          <w:b/>
          <w:color w:val="000000" w:themeColor="text1"/>
          <w:sz w:val="52"/>
          <w:szCs w:val="52"/>
        </w:rPr>
      </w:pPr>
      <w:bookmarkStart w:id="3" w:name="_Toc535851297"/>
      <w:r>
        <w:rPr>
          <w:rFonts w:hint="eastAsia" w:hAnsi="宋体" w:cs="宋体"/>
          <w:b/>
          <w:color w:val="000000" w:themeColor="text1"/>
          <w:sz w:val="52"/>
          <w:szCs w:val="52"/>
        </w:rPr>
        <w:t xml:space="preserve">第二部分  </w:t>
      </w:r>
      <w:r>
        <w:rPr>
          <w:rFonts w:hAnsi="宋体" w:cs="宋体"/>
          <w:b/>
          <w:color w:val="000000" w:themeColor="text1"/>
          <w:sz w:val="52"/>
          <w:szCs w:val="52"/>
        </w:rPr>
        <w:t>突发环境事件</w:t>
      </w:r>
      <w:r>
        <w:rPr>
          <w:rFonts w:hint="eastAsia" w:hAnsi="宋体" w:cs="宋体"/>
          <w:b/>
          <w:color w:val="000000" w:themeColor="text1"/>
          <w:sz w:val="52"/>
          <w:szCs w:val="52"/>
        </w:rPr>
        <w:t>应急</w:t>
      </w:r>
      <w:r>
        <w:rPr>
          <w:rFonts w:hAnsi="宋体" w:cs="宋体"/>
          <w:b/>
          <w:color w:val="000000" w:themeColor="text1"/>
          <w:sz w:val="52"/>
          <w:szCs w:val="52"/>
        </w:rPr>
        <w:t>预案</w:t>
      </w:r>
      <w:bookmarkEnd w:id="3"/>
    </w:p>
    <w:p>
      <w:pPr>
        <w:widowControl/>
        <w:spacing w:line="240" w:lineRule="auto"/>
        <w:ind w:firstLine="0" w:firstLineChars="0"/>
        <w:jc w:val="left"/>
        <w:rPr>
          <w:b/>
          <w:bCs/>
          <w:color w:val="000000" w:themeColor="text1"/>
          <w:sz w:val="30"/>
          <w:szCs w:val="20"/>
        </w:rPr>
        <w:sectPr>
          <w:pgSz w:w="11907" w:h="16840"/>
          <w:pgMar w:top="1417" w:right="1134" w:bottom="1417" w:left="1418" w:header="851" w:footer="850" w:gutter="0"/>
          <w:cols w:space="720" w:num="1"/>
          <w:docGrid w:linePitch="312" w:charSpace="0"/>
        </w:sectPr>
      </w:pPr>
      <w:r>
        <w:rPr>
          <w:b/>
          <w:bCs/>
          <w:color w:val="000000" w:themeColor="text1"/>
          <w:sz w:val="30"/>
          <w:szCs w:val="20"/>
        </w:rPr>
        <w:br w:type="page"/>
      </w:r>
    </w:p>
    <w:p>
      <w:pPr>
        <w:pStyle w:val="85"/>
        <w:spacing w:beforeLines="0" w:afterLines="0"/>
        <w:jc w:val="center"/>
        <w:rPr>
          <w:color w:val="000000" w:themeColor="text1"/>
        </w:rPr>
      </w:pPr>
      <w:bookmarkStart w:id="4" w:name="_Toc535851298"/>
      <w:r>
        <w:rPr>
          <w:rFonts w:hint="eastAsia"/>
          <w:color w:val="000000" w:themeColor="text1"/>
        </w:rPr>
        <w:t>1总则</w:t>
      </w:r>
      <w:bookmarkEnd w:id="4"/>
    </w:p>
    <w:p>
      <w:pPr>
        <w:pStyle w:val="3"/>
        <w:widowControl/>
        <w:rPr>
          <w:color w:val="000000" w:themeColor="text1"/>
          <w:szCs w:val="28"/>
        </w:rPr>
      </w:pPr>
      <w:bookmarkStart w:id="5" w:name="_Toc24167"/>
      <w:bookmarkStart w:id="6" w:name="_Toc30398"/>
      <w:bookmarkStart w:id="7" w:name="_Toc11223"/>
      <w:bookmarkStart w:id="8" w:name="_Toc7334"/>
      <w:bookmarkStart w:id="9" w:name="_Toc482605478"/>
      <w:bookmarkStart w:id="10" w:name="_Toc3788"/>
      <w:bookmarkStart w:id="11" w:name="_Toc9583"/>
      <w:bookmarkStart w:id="12" w:name="_Toc11742"/>
      <w:bookmarkStart w:id="13" w:name="_Toc485201081"/>
      <w:bookmarkStart w:id="14" w:name="_Toc1788"/>
      <w:bookmarkStart w:id="15" w:name="_Toc21121"/>
      <w:bookmarkStart w:id="16" w:name="_Toc535851299"/>
      <w:bookmarkStart w:id="17" w:name="_Toc4297"/>
      <w:bookmarkStart w:id="18" w:name="_Toc9791"/>
      <w:r>
        <w:rPr>
          <w:rFonts w:hint="eastAsia"/>
          <w:color w:val="000000" w:themeColor="text1"/>
          <w:szCs w:val="28"/>
        </w:rPr>
        <w:t>1.1</w:t>
      </w:r>
      <w:r>
        <w:rPr>
          <w:color w:val="000000" w:themeColor="text1"/>
          <w:szCs w:val="28"/>
        </w:rPr>
        <w:t xml:space="preserve"> 编制目的</w:t>
      </w:r>
      <w:bookmarkEnd w:id="5"/>
      <w:bookmarkEnd w:id="6"/>
      <w:bookmarkEnd w:id="7"/>
      <w:bookmarkEnd w:id="8"/>
      <w:bookmarkEnd w:id="9"/>
      <w:bookmarkEnd w:id="10"/>
      <w:bookmarkEnd w:id="11"/>
      <w:bookmarkEnd w:id="12"/>
      <w:bookmarkEnd w:id="13"/>
      <w:bookmarkEnd w:id="14"/>
      <w:bookmarkEnd w:id="15"/>
      <w:bookmarkEnd w:id="16"/>
      <w:bookmarkEnd w:id="17"/>
      <w:bookmarkEnd w:id="18"/>
    </w:p>
    <w:p>
      <w:pPr>
        <w:rPr>
          <w:highlight w:val="yellow"/>
        </w:rPr>
      </w:pPr>
      <w:r>
        <w:rPr>
          <w:rFonts w:hint="eastAsia"/>
          <w:szCs w:val="24"/>
        </w:rPr>
        <w:t>本预案的制定是为有效应对水源地突发环境事件，最大程度降低突发环境事件对水源地水质影响，为规范水源地突发环境事件应对的各项工作提供指导。</w:t>
      </w:r>
    </w:p>
    <w:p>
      <w:pPr>
        <w:pStyle w:val="3"/>
        <w:widowControl/>
        <w:numPr>
          <w:ilvl w:val="1"/>
          <w:numId w:val="1"/>
        </w:numPr>
        <w:ind w:left="0" w:firstLine="0"/>
        <w:rPr>
          <w:color w:val="000000" w:themeColor="text1"/>
          <w:szCs w:val="28"/>
        </w:rPr>
      </w:pPr>
      <w:bookmarkStart w:id="19" w:name="_Toc304816352"/>
      <w:bookmarkStart w:id="20" w:name="_Toc11635"/>
      <w:bookmarkStart w:id="21" w:name="_Toc5498"/>
      <w:bookmarkStart w:id="22" w:name="_Toc416936701"/>
      <w:bookmarkStart w:id="23" w:name="_Toc485201082"/>
      <w:bookmarkStart w:id="24" w:name="_Toc535851300"/>
      <w:bookmarkStart w:id="25" w:name="_Toc482605479"/>
      <w:bookmarkStart w:id="26" w:name="_Toc9727"/>
      <w:bookmarkStart w:id="27" w:name="_Toc9124"/>
      <w:bookmarkStart w:id="28" w:name="_Toc8507"/>
      <w:r>
        <w:rPr>
          <w:color w:val="000000" w:themeColor="text1"/>
          <w:szCs w:val="28"/>
        </w:rPr>
        <w:t>编制依据</w:t>
      </w:r>
      <w:bookmarkEnd w:id="19"/>
      <w:bookmarkEnd w:id="20"/>
      <w:bookmarkEnd w:id="21"/>
      <w:bookmarkEnd w:id="22"/>
      <w:bookmarkEnd w:id="23"/>
      <w:bookmarkEnd w:id="24"/>
      <w:bookmarkEnd w:id="25"/>
      <w:bookmarkEnd w:id="26"/>
      <w:bookmarkEnd w:id="27"/>
      <w:bookmarkEnd w:id="28"/>
    </w:p>
    <w:p>
      <w:pPr>
        <w:pStyle w:val="5"/>
        <w:rPr>
          <w:color w:val="000000" w:themeColor="text1"/>
        </w:rPr>
      </w:pPr>
      <w:r>
        <w:rPr>
          <w:rFonts w:hint="eastAsia"/>
          <w:color w:val="000000" w:themeColor="text1"/>
        </w:rPr>
        <w:t>1.2.1法律、法规和规章</w:t>
      </w:r>
    </w:p>
    <w:p>
      <w:r>
        <w:rPr>
          <w:rFonts w:hint="eastAsia"/>
        </w:rPr>
        <w:t>（1）《中华人民共和国环境保护法》（</w:t>
      </w:r>
      <w:r>
        <w:rPr>
          <w:szCs w:val="24"/>
        </w:rPr>
        <w:t>2014</w:t>
      </w:r>
      <w:r>
        <w:rPr>
          <w:rFonts w:hint="eastAsia"/>
          <w:szCs w:val="24"/>
        </w:rPr>
        <w:t>年</w:t>
      </w:r>
      <w:r>
        <w:rPr>
          <w:szCs w:val="24"/>
        </w:rPr>
        <w:t>4</w:t>
      </w:r>
      <w:r>
        <w:rPr>
          <w:rFonts w:hint="eastAsia"/>
          <w:szCs w:val="24"/>
        </w:rPr>
        <w:t>月修订，</w:t>
      </w:r>
      <w:r>
        <w:rPr>
          <w:szCs w:val="24"/>
        </w:rPr>
        <w:t>2015</w:t>
      </w:r>
      <w:r>
        <w:rPr>
          <w:rFonts w:hint="eastAsia"/>
          <w:szCs w:val="24"/>
        </w:rPr>
        <w:t>年</w:t>
      </w:r>
      <w:r>
        <w:rPr>
          <w:szCs w:val="24"/>
        </w:rPr>
        <w:t>1</w:t>
      </w:r>
      <w:r>
        <w:rPr>
          <w:rFonts w:hint="eastAsia"/>
          <w:szCs w:val="24"/>
        </w:rPr>
        <w:t>月</w:t>
      </w:r>
      <w:r>
        <w:rPr>
          <w:szCs w:val="24"/>
        </w:rPr>
        <w:t>1</w:t>
      </w:r>
      <w:r>
        <w:rPr>
          <w:rFonts w:hint="eastAsia"/>
          <w:szCs w:val="24"/>
        </w:rPr>
        <w:t>日施行）；</w:t>
      </w:r>
    </w:p>
    <w:p>
      <w:pPr>
        <w:widowControl/>
        <w:shd w:val="clear" w:color="auto" w:fill="FFFFFF"/>
        <w:jc w:val="left"/>
      </w:pPr>
      <w:r>
        <w:rPr>
          <w:rFonts w:hint="eastAsia"/>
        </w:rPr>
        <w:t>（2）《中华人民共和国突发事件应对法》（</w:t>
      </w:r>
      <w:r>
        <w:rPr>
          <w:color w:val="333333"/>
          <w:kern w:val="0"/>
          <w:szCs w:val="24"/>
          <w:shd w:val="clear" w:color="auto" w:fill="FFFFFF"/>
        </w:rPr>
        <w:t>2007年11月1日起施行</w:t>
      </w:r>
      <w:r>
        <w:rPr>
          <w:rFonts w:hint="eastAsia"/>
          <w:color w:val="333333"/>
          <w:kern w:val="0"/>
          <w:szCs w:val="24"/>
          <w:shd w:val="clear" w:color="auto" w:fill="FFFFFF"/>
        </w:rPr>
        <w:t>）</w:t>
      </w:r>
      <w:r>
        <w:rPr>
          <w:color w:val="333333"/>
          <w:kern w:val="0"/>
          <w:szCs w:val="24"/>
          <w:shd w:val="clear" w:color="auto" w:fill="FFFFFF"/>
        </w:rPr>
        <w:t>；</w:t>
      </w:r>
    </w:p>
    <w:p>
      <w:r>
        <w:rPr>
          <w:rFonts w:hint="eastAsia"/>
        </w:rPr>
        <w:t>（3）《中华人民共和国水污染防治法》（</w:t>
      </w:r>
      <w:r>
        <w:rPr>
          <w:szCs w:val="24"/>
        </w:rPr>
        <w:t>2017</w:t>
      </w:r>
      <w:r>
        <w:rPr>
          <w:rFonts w:hint="eastAsia"/>
          <w:szCs w:val="24"/>
        </w:rPr>
        <w:t>年</w:t>
      </w:r>
      <w:r>
        <w:rPr>
          <w:szCs w:val="24"/>
        </w:rPr>
        <w:t>6</w:t>
      </w:r>
      <w:r>
        <w:rPr>
          <w:rFonts w:hint="eastAsia"/>
          <w:szCs w:val="24"/>
        </w:rPr>
        <w:t>月修订，</w:t>
      </w:r>
      <w:r>
        <w:rPr>
          <w:szCs w:val="24"/>
        </w:rPr>
        <w:t>2018</w:t>
      </w:r>
      <w:r>
        <w:rPr>
          <w:rFonts w:hint="eastAsia"/>
          <w:szCs w:val="24"/>
        </w:rPr>
        <w:t>年</w:t>
      </w:r>
      <w:r>
        <w:rPr>
          <w:szCs w:val="24"/>
        </w:rPr>
        <w:t>1</w:t>
      </w:r>
      <w:r>
        <w:rPr>
          <w:rFonts w:hint="eastAsia"/>
          <w:szCs w:val="24"/>
        </w:rPr>
        <w:t>月</w:t>
      </w:r>
      <w:r>
        <w:rPr>
          <w:szCs w:val="24"/>
        </w:rPr>
        <w:t>1</w:t>
      </w:r>
      <w:r>
        <w:rPr>
          <w:rFonts w:hint="eastAsia"/>
          <w:szCs w:val="24"/>
        </w:rPr>
        <w:t>日施行）；</w:t>
      </w:r>
    </w:p>
    <w:p>
      <w:r>
        <w:rPr>
          <w:rFonts w:hint="eastAsia"/>
        </w:rPr>
        <w:t>（4）《危险化学品安全管理条例》（中华人民共和国国务院令第591号）；</w:t>
      </w:r>
    </w:p>
    <w:p>
      <w:r>
        <w:rPr>
          <w:rFonts w:hint="eastAsia"/>
        </w:rPr>
        <w:t>（5）《饮用水水源保护区污染防治管理规定》（环境保护部令第16号）；</w:t>
      </w:r>
    </w:p>
    <w:p>
      <w:r>
        <w:rPr>
          <w:rFonts w:hint="eastAsia"/>
        </w:rPr>
        <w:t>（6）</w:t>
      </w:r>
      <w:r>
        <w:t>《突发环境事件信息报告办法》（环境保护部令第17号）</w:t>
      </w:r>
      <w:r>
        <w:rPr>
          <w:rFonts w:hint="eastAsia"/>
        </w:rPr>
        <w:t>；</w:t>
      </w:r>
    </w:p>
    <w:p>
      <w:r>
        <w:rPr>
          <w:rFonts w:hint="eastAsia"/>
        </w:rPr>
        <w:t>（7）《突发环境事件调查处理办法》（环境保护部令第32号）；</w:t>
      </w:r>
    </w:p>
    <w:p>
      <w:r>
        <w:rPr>
          <w:rFonts w:hint="eastAsia"/>
        </w:rPr>
        <w:t>（8）《突发环境事件应急管理办法》（环境保护部令第34号）；</w:t>
      </w:r>
    </w:p>
    <w:p>
      <w:r>
        <w:rPr>
          <w:rFonts w:hint="eastAsia"/>
        </w:rPr>
        <w:t>（9）《城市供水水质管理规定》（建设部令第156号）；</w:t>
      </w:r>
    </w:p>
    <w:p>
      <w:r>
        <w:rPr>
          <w:rFonts w:hint="eastAsia"/>
        </w:rPr>
        <w:t>（10）《生活饮用水卫生监督管理办法》（住房城乡建设部、国家卫生计生委令每日31号）。</w:t>
      </w:r>
    </w:p>
    <w:p>
      <w:pPr>
        <w:pStyle w:val="5"/>
        <w:rPr>
          <w:color w:val="000000" w:themeColor="text1"/>
        </w:rPr>
      </w:pPr>
      <w:r>
        <w:rPr>
          <w:rFonts w:hint="eastAsia"/>
          <w:color w:val="000000" w:themeColor="text1"/>
        </w:rPr>
        <w:t>1.2.2有关预案、标准规范和规范性文件</w:t>
      </w:r>
    </w:p>
    <w:p>
      <w:pPr>
        <w:pStyle w:val="32"/>
        <w:spacing w:before="0" w:beforeAutospacing="0" w:after="0" w:afterAutospacing="0" w:line="460" w:lineRule="exact"/>
        <w:ind w:firstLine="480" w:firstLineChars="200"/>
        <w:jc w:val="both"/>
        <w:rPr>
          <w:rFonts w:ascii="Times New Roman" w:hAnsi="Times New Roman" w:cs="Times New Roman"/>
          <w:color w:val="000000" w:themeColor="text1"/>
        </w:rPr>
      </w:pPr>
      <w:r>
        <w:rPr>
          <w:rFonts w:ascii="Times New Roman" w:hAnsi="Times New Roman" w:cs="Times New Roman"/>
          <w:color w:val="000000" w:themeColor="text1"/>
        </w:rPr>
        <w:t>（</w:t>
      </w:r>
      <w:r>
        <w:rPr>
          <w:rFonts w:hint="eastAsia" w:ascii="Times New Roman" w:hAnsi="Times New Roman" w:cs="Times New Roman"/>
          <w:color w:val="000000" w:themeColor="text1"/>
        </w:rPr>
        <w:t>1</w:t>
      </w:r>
      <w:r>
        <w:rPr>
          <w:rFonts w:ascii="Times New Roman" w:hAnsi="Times New Roman" w:cs="Times New Roman"/>
          <w:color w:val="000000" w:themeColor="text1"/>
        </w:rPr>
        <w:t>）</w:t>
      </w:r>
      <w:r>
        <w:rPr>
          <w:rFonts w:hint="eastAsia" w:ascii="Times New Roman" w:hAnsi="Times New Roman" w:cs="Times New Roman"/>
          <w:color w:val="000000" w:themeColor="text1"/>
        </w:rPr>
        <w:t>《国家突发环境事件应急预案》</w:t>
      </w:r>
      <w:r>
        <w:rPr>
          <w:rFonts w:hint="eastAsia" w:ascii="Times New Roman" w:hAnsi="Times New Roman" w:cs="Times New Roman"/>
          <w:kern w:val="2"/>
        </w:rPr>
        <w:t>（国务院，</w:t>
      </w:r>
      <w:r>
        <w:rPr>
          <w:rFonts w:ascii="Times New Roman" w:hAnsi="Times New Roman" w:cs="Times New Roman"/>
          <w:kern w:val="2"/>
        </w:rPr>
        <w:t>2014</w:t>
      </w:r>
      <w:r>
        <w:rPr>
          <w:rFonts w:hint="eastAsia" w:ascii="Times New Roman" w:hAnsi="Times New Roman" w:cs="Times New Roman"/>
          <w:kern w:val="2"/>
        </w:rPr>
        <w:t>年12月）；</w:t>
      </w:r>
    </w:p>
    <w:p>
      <w:pPr>
        <w:pStyle w:val="32"/>
        <w:spacing w:before="0" w:beforeAutospacing="0" w:after="0" w:afterAutospacing="0" w:line="460" w:lineRule="exact"/>
        <w:ind w:firstLine="480" w:firstLineChars="200"/>
        <w:jc w:val="both"/>
        <w:rPr>
          <w:rFonts w:ascii="Times New Roman" w:hAnsi="Times New Roman" w:cs="Times New Roman"/>
          <w:color w:val="000000" w:themeColor="text1"/>
        </w:rPr>
      </w:pPr>
      <w:r>
        <w:rPr>
          <w:rFonts w:ascii="Times New Roman" w:hAnsi="Times New Roman" w:cs="Times New Roman"/>
          <w:color w:val="000000" w:themeColor="text1"/>
        </w:rPr>
        <w:t>（</w:t>
      </w:r>
      <w:r>
        <w:rPr>
          <w:rFonts w:hint="eastAsia" w:ascii="Times New Roman" w:hAnsi="Times New Roman" w:cs="Times New Roman"/>
          <w:color w:val="000000" w:themeColor="text1"/>
        </w:rPr>
        <w:t>2</w:t>
      </w:r>
      <w:r>
        <w:rPr>
          <w:rFonts w:ascii="Times New Roman" w:hAnsi="Times New Roman" w:cs="Times New Roman"/>
          <w:color w:val="000000" w:themeColor="text1"/>
        </w:rPr>
        <w:t>）</w:t>
      </w:r>
      <w:r>
        <w:rPr>
          <w:rFonts w:hint="eastAsia" w:ascii="Times New Roman" w:hAnsi="Times New Roman" w:cs="Times New Roman"/>
          <w:color w:val="000000" w:themeColor="text1"/>
        </w:rPr>
        <w:t>《国家突发公共事件总体应急预案》</w:t>
      </w:r>
      <w:r>
        <w:rPr>
          <w:rFonts w:hint="eastAsia" w:ascii="Times New Roman" w:hAnsi="Times New Roman" w:cs="Times New Roman"/>
          <w:kern w:val="2"/>
        </w:rPr>
        <w:t>（应急管理部，</w:t>
      </w:r>
      <w:r>
        <w:rPr>
          <w:rFonts w:ascii="Times New Roman" w:hAnsi="Times New Roman" w:cs="Times New Roman"/>
          <w:kern w:val="2"/>
        </w:rPr>
        <w:t>2018</w:t>
      </w:r>
      <w:r>
        <w:rPr>
          <w:rFonts w:hint="eastAsia" w:ascii="Times New Roman" w:hAnsi="Times New Roman" w:cs="Times New Roman"/>
          <w:kern w:val="2"/>
        </w:rPr>
        <w:t>年4月）；</w:t>
      </w:r>
    </w:p>
    <w:p>
      <w:pPr>
        <w:pStyle w:val="32"/>
        <w:spacing w:before="0" w:beforeAutospacing="0" w:after="0" w:afterAutospacing="0" w:line="460" w:lineRule="exact"/>
        <w:ind w:firstLine="480" w:firstLineChars="200"/>
        <w:jc w:val="both"/>
        <w:rPr>
          <w:rFonts w:ascii="Times New Roman" w:hAnsi="Times New Roman" w:cs="Times New Roman"/>
          <w:color w:val="000000" w:themeColor="text1"/>
        </w:rPr>
      </w:pPr>
      <w:r>
        <w:rPr>
          <w:rFonts w:hint="eastAsia" w:ascii="Times New Roman" w:hAnsi="Times New Roman" w:cs="Times New Roman"/>
          <w:color w:val="000000" w:themeColor="text1"/>
        </w:rPr>
        <w:t>（</w:t>
      </w:r>
      <w:r>
        <w:rPr>
          <w:rFonts w:ascii="Times New Roman" w:hAnsi="Times New Roman" w:cs="Times New Roman"/>
          <w:color w:val="000000" w:themeColor="text1"/>
        </w:rPr>
        <w:t>3</w:t>
      </w:r>
      <w:r>
        <w:rPr>
          <w:rFonts w:hint="eastAsia" w:ascii="Times New Roman" w:hAnsi="Times New Roman" w:cs="Times New Roman"/>
          <w:color w:val="000000" w:themeColor="text1"/>
        </w:rPr>
        <w:t>）《国家安全生产事故灾难应急预案》</w:t>
      </w:r>
      <w:r>
        <w:rPr>
          <w:rFonts w:hint="eastAsia" w:ascii="Times New Roman" w:hAnsi="Times New Roman" w:cs="Times New Roman"/>
          <w:kern w:val="2"/>
        </w:rPr>
        <w:t>（国务院，</w:t>
      </w:r>
      <w:r>
        <w:rPr>
          <w:rFonts w:ascii="Times New Roman" w:hAnsi="Times New Roman" w:cs="Times New Roman"/>
          <w:kern w:val="2"/>
        </w:rPr>
        <w:t>20</w:t>
      </w:r>
      <w:r>
        <w:rPr>
          <w:rFonts w:hint="eastAsia" w:ascii="Times New Roman" w:hAnsi="Times New Roman" w:cs="Times New Roman"/>
          <w:kern w:val="2"/>
        </w:rPr>
        <w:t>06年1月）；</w:t>
      </w:r>
    </w:p>
    <w:p>
      <w:pPr>
        <w:pStyle w:val="32"/>
        <w:spacing w:before="0" w:beforeAutospacing="0" w:after="0" w:afterAutospacing="0" w:line="460" w:lineRule="exact"/>
        <w:ind w:firstLine="480" w:firstLineChars="200"/>
        <w:jc w:val="both"/>
        <w:rPr>
          <w:rFonts w:ascii="Times New Roman" w:hAnsi="Times New Roman" w:cs="Times New Roman"/>
          <w:color w:val="000000" w:themeColor="text1"/>
        </w:rPr>
      </w:pPr>
      <w:r>
        <w:rPr>
          <w:rFonts w:hint="eastAsia" w:ascii="Times New Roman" w:hAnsi="Times New Roman" w:cs="Times New Roman"/>
          <w:color w:val="000000" w:themeColor="text1"/>
        </w:rPr>
        <w:t>（</w:t>
      </w:r>
      <w:r>
        <w:rPr>
          <w:rFonts w:ascii="Times New Roman" w:hAnsi="Times New Roman" w:cs="Times New Roman"/>
          <w:color w:val="000000" w:themeColor="text1"/>
        </w:rPr>
        <w:t>4</w:t>
      </w:r>
      <w:r>
        <w:rPr>
          <w:rFonts w:hint="eastAsia" w:ascii="Times New Roman" w:hAnsi="Times New Roman" w:cs="Times New Roman"/>
          <w:color w:val="000000" w:themeColor="text1"/>
        </w:rPr>
        <w:t>）《地表水环境质量标准》（GB3838-2002）；</w:t>
      </w:r>
    </w:p>
    <w:p>
      <w:pPr>
        <w:pStyle w:val="32"/>
        <w:spacing w:before="0" w:beforeAutospacing="0" w:after="0" w:afterAutospacing="0" w:line="460" w:lineRule="exact"/>
        <w:ind w:firstLine="480" w:firstLineChars="200"/>
        <w:jc w:val="both"/>
        <w:rPr>
          <w:rFonts w:ascii="Times New Roman" w:hAnsi="Times New Roman" w:cs="Times New Roman"/>
          <w:color w:val="000000" w:themeColor="text1"/>
        </w:rPr>
      </w:pPr>
      <w:r>
        <w:rPr>
          <w:rFonts w:hint="eastAsia" w:ascii="Times New Roman" w:hAnsi="Times New Roman" w:cs="Times New Roman"/>
          <w:color w:val="000000" w:themeColor="text1"/>
        </w:rPr>
        <w:t>（</w:t>
      </w:r>
      <w:r>
        <w:rPr>
          <w:rFonts w:ascii="Times New Roman" w:hAnsi="Times New Roman" w:cs="Times New Roman"/>
          <w:color w:val="000000" w:themeColor="text1"/>
        </w:rPr>
        <w:t>5</w:t>
      </w:r>
      <w:r>
        <w:rPr>
          <w:rFonts w:hint="eastAsia" w:ascii="Times New Roman" w:hAnsi="Times New Roman" w:cs="Times New Roman"/>
          <w:color w:val="000000" w:themeColor="text1"/>
        </w:rPr>
        <w:t>）《突发环境事件应急监测技术规范》（HJ 589-2010）；</w:t>
      </w:r>
    </w:p>
    <w:p>
      <w:pPr>
        <w:pStyle w:val="32"/>
        <w:spacing w:before="0" w:beforeAutospacing="0" w:after="0" w:afterAutospacing="0" w:line="460" w:lineRule="exact"/>
        <w:ind w:firstLine="480" w:firstLineChars="200"/>
        <w:jc w:val="both"/>
        <w:rPr>
          <w:rFonts w:ascii="Times New Roman" w:hAnsi="Times New Roman" w:cs="Times New Roman"/>
          <w:color w:val="000000" w:themeColor="text1"/>
        </w:rPr>
      </w:pPr>
      <w:r>
        <w:rPr>
          <w:rFonts w:hint="eastAsia" w:ascii="Times New Roman" w:hAnsi="Times New Roman" w:cs="Times New Roman"/>
          <w:color w:val="000000" w:themeColor="text1"/>
        </w:rPr>
        <w:t>（6）《集中式饮用水水源地规范化建设环境保护技术要求》（HJ 773-2015）；</w:t>
      </w:r>
    </w:p>
    <w:p>
      <w:pPr>
        <w:pStyle w:val="32"/>
        <w:spacing w:before="0" w:beforeAutospacing="0" w:after="0" w:afterAutospacing="0" w:line="460" w:lineRule="exact"/>
        <w:ind w:firstLine="480" w:firstLineChars="200"/>
        <w:jc w:val="both"/>
        <w:rPr>
          <w:rFonts w:ascii="Times New Roman" w:hAnsi="Times New Roman" w:cs="Times New Roman"/>
          <w:color w:val="000000" w:themeColor="text1"/>
        </w:rPr>
      </w:pPr>
      <w:r>
        <w:rPr>
          <w:rFonts w:ascii="Times New Roman" w:hAnsi="Times New Roman" w:cs="Times New Roman"/>
          <w:color w:val="000000" w:themeColor="text1"/>
        </w:rPr>
        <w:t>（</w:t>
      </w:r>
      <w:r>
        <w:rPr>
          <w:rFonts w:hint="eastAsia" w:ascii="Times New Roman" w:hAnsi="Times New Roman" w:cs="Times New Roman"/>
          <w:color w:val="000000" w:themeColor="text1"/>
        </w:rPr>
        <w:t>7</w:t>
      </w:r>
      <w:r>
        <w:rPr>
          <w:rFonts w:ascii="Times New Roman" w:hAnsi="Times New Roman" w:cs="Times New Roman"/>
          <w:color w:val="000000" w:themeColor="text1"/>
        </w:rPr>
        <w:t>）</w:t>
      </w:r>
      <w:r>
        <w:rPr>
          <w:rFonts w:hint="eastAsia" w:ascii="Times New Roman" w:hAnsi="Times New Roman" w:cs="Times New Roman"/>
          <w:color w:val="000000" w:themeColor="text1"/>
        </w:rPr>
        <w:t>《集中式饮用水水源地环境保护状况评估技术规范》（HJ774-2015）；</w:t>
      </w:r>
    </w:p>
    <w:p>
      <w:pPr>
        <w:pStyle w:val="32"/>
        <w:spacing w:before="0" w:beforeAutospacing="0" w:after="0" w:afterAutospacing="0" w:line="460" w:lineRule="exact"/>
        <w:ind w:firstLine="480" w:firstLineChars="200"/>
        <w:jc w:val="both"/>
        <w:rPr>
          <w:rFonts w:ascii="Times New Roman" w:hAnsi="Times New Roman" w:cs="Times New Roman"/>
          <w:color w:val="000000" w:themeColor="text1"/>
        </w:rPr>
      </w:pPr>
      <w:r>
        <w:rPr>
          <w:rFonts w:hint="eastAsia" w:ascii="Times New Roman" w:hAnsi="Times New Roman" w:cs="Times New Roman"/>
          <w:color w:val="000000" w:themeColor="text1"/>
        </w:rPr>
        <w:t>（8）《企业突发环境事件分险分级方法》（HJ941-2018）；</w:t>
      </w:r>
    </w:p>
    <w:p>
      <w:pPr>
        <w:pStyle w:val="32"/>
        <w:spacing w:before="0" w:beforeAutospacing="0" w:after="0" w:afterAutospacing="0" w:line="460" w:lineRule="exact"/>
        <w:ind w:firstLine="480" w:firstLineChars="200"/>
        <w:jc w:val="both"/>
        <w:rPr>
          <w:rFonts w:ascii="Times New Roman" w:hAnsi="Times New Roman" w:cs="Times New Roman"/>
        </w:rPr>
      </w:pPr>
      <w:r>
        <w:rPr>
          <w:rFonts w:hint="eastAsia" w:ascii="Times New Roman" w:hAnsi="Times New Roman" w:cs="Times New Roman"/>
          <w:color w:val="000000" w:themeColor="text1"/>
        </w:rPr>
        <w:t>（</w:t>
      </w:r>
      <w:r>
        <w:rPr>
          <w:rFonts w:hint="eastAsia" w:ascii="Times New Roman" w:hAnsi="Times New Roman" w:cs="Times New Roman"/>
        </w:rPr>
        <w:t>9）</w:t>
      </w:r>
      <w:r>
        <w:rPr>
          <w:rFonts w:ascii="Times New Roman" w:hAnsi="Times New Roman" w:cs="Times New Roman"/>
        </w:rPr>
        <w:t>《突发环境事件应急预案管理暂行办法》(环发</w:t>
      </w:r>
      <w:r>
        <w:rPr>
          <w:rFonts w:hint="eastAsia" w:ascii="Times New Roman" w:hAnsi="Times New Roman" w:cs="Times New Roman"/>
        </w:rPr>
        <w:t>[</w:t>
      </w:r>
      <w:r>
        <w:rPr>
          <w:rFonts w:ascii="Times New Roman" w:hAnsi="Times New Roman" w:cs="Times New Roman"/>
        </w:rPr>
        <w:t>2010</w:t>
      </w:r>
      <w:r>
        <w:rPr>
          <w:rFonts w:hint="eastAsia" w:ascii="Times New Roman" w:hAnsi="Times New Roman" w:cs="Times New Roman"/>
        </w:rPr>
        <w:t xml:space="preserve">] </w:t>
      </w:r>
      <w:r>
        <w:rPr>
          <w:rFonts w:ascii="Times New Roman" w:hAnsi="Times New Roman" w:cs="Times New Roman"/>
        </w:rPr>
        <w:t>113号)</w:t>
      </w:r>
      <w:r>
        <w:rPr>
          <w:rFonts w:hint="eastAsia" w:ascii="Times New Roman" w:hAnsi="Times New Roman" w:cs="Times New Roman"/>
        </w:rPr>
        <w:t>；</w:t>
      </w:r>
    </w:p>
    <w:p>
      <w:pPr>
        <w:pStyle w:val="32"/>
        <w:spacing w:before="0" w:beforeAutospacing="0" w:after="0" w:afterAutospacing="0" w:line="460" w:lineRule="exact"/>
        <w:ind w:firstLine="480" w:firstLineChars="200"/>
        <w:jc w:val="both"/>
        <w:rPr>
          <w:rFonts w:ascii="Times New Roman" w:hAnsi="Times New Roman" w:cs="Times New Roman"/>
        </w:rPr>
      </w:pPr>
      <w:r>
        <w:rPr>
          <w:rFonts w:hint="eastAsia" w:ascii="Times New Roman" w:hAnsi="Times New Roman" w:cs="Times New Roman"/>
        </w:rPr>
        <w:t>（10）《集中式地表饮用水水源地环境应急管理工作指南》（环办[</w:t>
      </w:r>
      <w:r>
        <w:rPr>
          <w:rFonts w:ascii="Times New Roman" w:hAnsi="Times New Roman" w:cs="Times New Roman"/>
        </w:rPr>
        <w:t>201</w:t>
      </w:r>
      <w:r>
        <w:rPr>
          <w:rFonts w:hint="eastAsia" w:ascii="Times New Roman" w:hAnsi="Times New Roman" w:cs="Times New Roman"/>
        </w:rPr>
        <w:t>1]93</w:t>
      </w:r>
      <w:r>
        <w:rPr>
          <w:rFonts w:ascii="Times New Roman" w:hAnsi="Times New Roman" w:cs="Times New Roman"/>
        </w:rPr>
        <w:t>号</w:t>
      </w:r>
      <w:r>
        <w:rPr>
          <w:rFonts w:hint="eastAsia" w:ascii="Times New Roman" w:hAnsi="Times New Roman" w:cs="Times New Roman"/>
        </w:rPr>
        <w:t>）；</w:t>
      </w:r>
    </w:p>
    <w:p>
      <w:pPr>
        <w:pStyle w:val="32"/>
        <w:spacing w:before="0" w:beforeAutospacing="0" w:after="0" w:afterAutospacing="0" w:line="460" w:lineRule="exact"/>
        <w:ind w:firstLine="480" w:firstLineChars="200"/>
        <w:jc w:val="both"/>
        <w:rPr>
          <w:rFonts w:ascii="Times New Roman" w:hAnsi="Times New Roman" w:cs="Times New Roman"/>
        </w:rPr>
      </w:pPr>
      <w:r>
        <w:rPr>
          <w:rFonts w:hint="eastAsia" w:ascii="Times New Roman" w:hAnsi="Times New Roman" w:cs="Times New Roman"/>
        </w:rPr>
        <w:t>（11）《集中式饮用水水源环境保护指南（试行）》（环办[</w:t>
      </w:r>
      <w:r>
        <w:rPr>
          <w:rFonts w:ascii="Times New Roman" w:hAnsi="Times New Roman" w:cs="Times New Roman"/>
        </w:rPr>
        <w:t>201</w:t>
      </w:r>
      <w:r>
        <w:rPr>
          <w:rFonts w:hint="eastAsia" w:ascii="Times New Roman" w:hAnsi="Times New Roman" w:cs="Times New Roman"/>
        </w:rPr>
        <w:t>2]50</w:t>
      </w:r>
      <w:r>
        <w:rPr>
          <w:rFonts w:ascii="Times New Roman" w:hAnsi="Times New Roman" w:cs="Times New Roman"/>
        </w:rPr>
        <w:t>号</w:t>
      </w:r>
      <w:r>
        <w:rPr>
          <w:rFonts w:hint="eastAsia" w:ascii="Times New Roman" w:hAnsi="Times New Roman" w:cs="Times New Roman"/>
        </w:rPr>
        <w:t>）；</w:t>
      </w:r>
    </w:p>
    <w:p>
      <w:pPr>
        <w:pStyle w:val="32"/>
        <w:spacing w:before="0" w:beforeAutospacing="0" w:after="0" w:afterAutospacing="0" w:line="460" w:lineRule="exact"/>
        <w:ind w:firstLine="480" w:firstLineChars="200"/>
        <w:jc w:val="both"/>
        <w:rPr>
          <w:rFonts w:ascii="Times New Roman" w:hAnsi="Times New Roman" w:cs="Times New Roman"/>
        </w:rPr>
      </w:pPr>
      <w:r>
        <w:rPr>
          <w:rFonts w:hint="eastAsia" w:ascii="Times New Roman" w:hAnsi="Times New Roman" w:cs="Times New Roman"/>
        </w:rPr>
        <w:t>（12）《企业突发环境事件风险评估指南（试行）》（环办[</w:t>
      </w:r>
      <w:r>
        <w:rPr>
          <w:rFonts w:ascii="Times New Roman" w:hAnsi="Times New Roman" w:cs="Times New Roman"/>
        </w:rPr>
        <w:t>201</w:t>
      </w:r>
      <w:r>
        <w:rPr>
          <w:rFonts w:hint="eastAsia" w:ascii="Times New Roman" w:hAnsi="Times New Roman" w:cs="Times New Roman"/>
        </w:rPr>
        <w:t>4] 34</w:t>
      </w:r>
      <w:r>
        <w:rPr>
          <w:rFonts w:ascii="Times New Roman" w:hAnsi="Times New Roman" w:cs="Times New Roman"/>
        </w:rPr>
        <w:t>号</w:t>
      </w:r>
      <w:r>
        <w:rPr>
          <w:rFonts w:hint="eastAsia" w:ascii="Times New Roman" w:hAnsi="Times New Roman" w:cs="Times New Roman"/>
        </w:rPr>
        <w:t>）；</w:t>
      </w:r>
    </w:p>
    <w:p>
      <w:pPr>
        <w:pStyle w:val="32"/>
        <w:spacing w:before="0" w:beforeAutospacing="0" w:after="0" w:afterAutospacing="0" w:line="460" w:lineRule="exact"/>
        <w:ind w:firstLine="480" w:firstLineChars="200"/>
        <w:jc w:val="both"/>
        <w:rPr>
          <w:rFonts w:ascii="Times New Roman" w:hAnsi="Times New Roman" w:cs="Times New Roman"/>
          <w:color w:val="000000" w:themeColor="text1"/>
        </w:rPr>
      </w:pPr>
      <w:r>
        <w:rPr>
          <w:rFonts w:hint="eastAsia" w:ascii="Times New Roman" w:hAnsi="Times New Roman" w:cs="Times New Roman"/>
          <w:color w:val="000000" w:themeColor="text1"/>
        </w:rPr>
        <w:t>（13）《企业事业单位突发环境事件应急预案备案管理办法（试行）》（环发[</w:t>
      </w:r>
      <w:r>
        <w:rPr>
          <w:rFonts w:ascii="Times New Roman" w:hAnsi="Times New Roman" w:cs="Times New Roman"/>
          <w:color w:val="000000" w:themeColor="text1"/>
        </w:rPr>
        <w:t>201</w:t>
      </w:r>
      <w:r>
        <w:rPr>
          <w:rFonts w:hint="eastAsia" w:ascii="Times New Roman" w:hAnsi="Times New Roman" w:cs="Times New Roman"/>
          <w:color w:val="000000" w:themeColor="text1"/>
        </w:rPr>
        <w:t>5]4</w:t>
      </w:r>
      <w:r>
        <w:rPr>
          <w:rFonts w:ascii="Times New Roman" w:hAnsi="Times New Roman" w:cs="Times New Roman"/>
          <w:color w:val="000000" w:themeColor="text1"/>
        </w:rPr>
        <w:t>号</w:t>
      </w:r>
      <w:r>
        <w:rPr>
          <w:rFonts w:hint="eastAsia" w:ascii="Times New Roman" w:hAnsi="Times New Roman" w:cs="Times New Roman"/>
          <w:color w:val="000000" w:themeColor="text1"/>
        </w:rPr>
        <w:t>）；</w:t>
      </w:r>
    </w:p>
    <w:p>
      <w:pPr>
        <w:pStyle w:val="32"/>
        <w:spacing w:before="0" w:beforeAutospacing="0" w:after="0" w:afterAutospacing="0" w:line="460" w:lineRule="exact"/>
        <w:ind w:firstLine="480" w:firstLineChars="200"/>
        <w:jc w:val="both"/>
        <w:rPr>
          <w:rFonts w:ascii="Times New Roman" w:hAnsi="Times New Roman" w:cs="Times New Roman"/>
          <w:color w:val="000000" w:themeColor="text1"/>
        </w:rPr>
      </w:pPr>
      <w:r>
        <w:rPr>
          <w:rFonts w:hint="eastAsia" w:ascii="Times New Roman" w:hAnsi="Times New Roman" w:cs="Times New Roman"/>
          <w:color w:val="000000" w:themeColor="text1"/>
        </w:rPr>
        <w:t>（14）《行政区域突发环境事件风险评估推荐方法》（环办应急[</w:t>
      </w:r>
      <w:r>
        <w:rPr>
          <w:rFonts w:ascii="Times New Roman" w:hAnsi="Times New Roman" w:cs="Times New Roman"/>
          <w:color w:val="000000" w:themeColor="text1"/>
        </w:rPr>
        <w:t>201</w:t>
      </w:r>
      <w:r>
        <w:rPr>
          <w:rFonts w:hint="eastAsia" w:ascii="Times New Roman" w:hAnsi="Times New Roman" w:cs="Times New Roman"/>
          <w:color w:val="000000" w:themeColor="text1"/>
        </w:rPr>
        <w:t>8] 9</w:t>
      </w:r>
      <w:r>
        <w:rPr>
          <w:rFonts w:ascii="Times New Roman" w:hAnsi="Times New Roman" w:cs="Times New Roman"/>
          <w:color w:val="000000" w:themeColor="text1"/>
        </w:rPr>
        <w:t>号</w:t>
      </w:r>
      <w:r>
        <w:rPr>
          <w:rFonts w:hint="eastAsia" w:ascii="Times New Roman" w:hAnsi="Times New Roman" w:cs="Times New Roman"/>
          <w:color w:val="000000" w:themeColor="text1"/>
        </w:rPr>
        <w:t>）；</w:t>
      </w:r>
    </w:p>
    <w:p>
      <w:pPr>
        <w:pStyle w:val="32"/>
        <w:spacing w:before="0" w:beforeAutospacing="0" w:after="0" w:afterAutospacing="0" w:line="460" w:lineRule="exact"/>
        <w:ind w:firstLine="480" w:firstLineChars="200"/>
        <w:jc w:val="both"/>
        <w:rPr>
          <w:rFonts w:ascii="Times New Roman" w:hAnsi="Times New Roman" w:cs="Times New Roman"/>
          <w:color w:val="000000" w:themeColor="text1"/>
        </w:rPr>
      </w:pPr>
      <w:r>
        <w:rPr>
          <w:rFonts w:hint="eastAsia" w:ascii="Times New Roman" w:hAnsi="Times New Roman" w:cs="Times New Roman"/>
          <w:color w:val="000000" w:themeColor="text1"/>
        </w:rPr>
        <w:t>（15）《湖南省突发环境事件应急预案》（</w:t>
      </w:r>
      <w:r>
        <w:rPr>
          <w:rFonts w:ascii="Times New Roman" w:hAnsi="Times New Roman" w:cs="Times New Roman"/>
          <w:color w:val="000000" w:themeColor="text1"/>
        </w:rPr>
        <w:t>201</w:t>
      </w:r>
      <w:r>
        <w:rPr>
          <w:rFonts w:hint="eastAsia" w:ascii="Times New Roman" w:hAnsi="Times New Roman" w:cs="Times New Roman"/>
          <w:color w:val="000000" w:themeColor="text1"/>
        </w:rPr>
        <w:t>8年2月）；</w:t>
      </w:r>
    </w:p>
    <w:p>
      <w:pPr>
        <w:pStyle w:val="32"/>
        <w:spacing w:before="0" w:beforeAutospacing="0" w:after="0" w:afterAutospacing="0" w:line="460" w:lineRule="exact"/>
        <w:ind w:firstLine="480" w:firstLineChars="200"/>
        <w:jc w:val="both"/>
        <w:rPr>
          <w:rFonts w:ascii="Times New Roman" w:hAnsi="Times New Roman" w:cs="Times New Roman"/>
          <w:color w:val="000000" w:themeColor="text1"/>
        </w:rPr>
      </w:pPr>
      <w:r>
        <w:rPr>
          <w:rFonts w:hint="eastAsia" w:ascii="Times New Roman" w:hAnsi="Times New Roman" w:cs="Times New Roman"/>
          <w:color w:val="000000" w:themeColor="text1"/>
        </w:rPr>
        <w:t>（16）《湖南省突发环境事件预案管理实施办法》（</w:t>
      </w:r>
      <w:r>
        <w:rPr>
          <w:rFonts w:ascii="Times New Roman" w:hAnsi="Times New Roman" w:cs="Times New Roman"/>
          <w:color w:val="000000" w:themeColor="text1"/>
        </w:rPr>
        <w:t>2013</w:t>
      </w:r>
      <w:r>
        <w:rPr>
          <w:rFonts w:hint="eastAsia" w:ascii="Times New Roman" w:hAnsi="Times New Roman" w:cs="Times New Roman"/>
          <w:color w:val="000000" w:themeColor="text1"/>
        </w:rPr>
        <w:t>年9月）；</w:t>
      </w:r>
    </w:p>
    <w:p>
      <w:pPr>
        <w:pStyle w:val="32"/>
        <w:spacing w:before="0" w:beforeAutospacing="0" w:after="0" w:afterAutospacing="0" w:line="460" w:lineRule="exact"/>
        <w:ind w:firstLine="480" w:firstLineChars="200"/>
        <w:jc w:val="both"/>
        <w:rPr>
          <w:rFonts w:ascii="Times New Roman" w:hAnsi="Times New Roman" w:cs="Times New Roman"/>
          <w:color w:val="000000" w:themeColor="text1"/>
        </w:rPr>
      </w:pPr>
      <w:r>
        <w:rPr>
          <w:rFonts w:hint="eastAsia" w:ascii="Times New Roman" w:hAnsi="Times New Roman" w:cs="Times New Roman"/>
          <w:color w:val="000000" w:themeColor="text1"/>
        </w:rPr>
        <w:t>（17）《岳阳市突发事件总体应急预案》（2017年10月）</w:t>
      </w:r>
    </w:p>
    <w:p>
      <w:pPr>
        <w:pStyle w:val="32"/>
        <w:spacing w:before="0" w:beforeAutospacing="0" w:after="0" w:afterAutospacing="0" w:line="460" w:lineRule="exact"/>
        <w:ind w:firstLine="480" w:firstLineChars="200"/>
        <w:jc w:val="both"/>
        <w:rPr>
          <w:rFonts w:ascii="Times New Roman" w:hAnsi="Times New Roman" w:cs="Times New Roman"/>
          <w:color w:val="000000" w:themeColor="text1"/>
        </w:rPr>
      </w:pPr>
      <w:r>
        <w:rPr>
          <w:rFonts w:hint="eastAsia" w:ascii="Times New Roman" w:hAnsi="Times New Roman" w:cs="Times New Roman"/>
          <w:color w:val="000000" w:themeColor="text1"/>
        </w:rPr>
        <w:t>（18）《岳阳市突发环境事件应急预案》（</w:t>
      </w:r>
      <w:r>
        <w:rPr>
          <w:rFonts w:ascii="Times New Roman" w:hAnsi="Times New Roman" w:cs="Times New Roman"/>
          <w:color w:val="000000" w:themeColor="text1"/>
        </w:rPr>
        <w:t>20</w:t>
      </w:r>
      <w:r>
        <w:rPr>
          <w:rFonts w:hint="eastAsia" w:ascii="Times New Roman" w:hAnsi="Times New Roman" w:cs="Times New Roman"/>
          <w:color w:val="000000" w:themeColor="text1"/>
        </w:rPr>
        <w:t>13年8月）；</w:t>
      </w:r>
    </w:p>
    <w:p>
      <w:pPr>
        <w:pStyle w:val="32"/>
        <w:spacing w:before="0" w:beforeAutospacing="0" w:after="0" w:afterAutospacing="0" w:line="460" w:lineRule="exact"/>
        <w:ind w:firstLine="480" w:firstLineChars="200"/>
        <w:jc w:val="both"/>
        <w:rPr>
          <w:rFonts w:ascii="Times New Roman" w:hAnsi="Times New Roman" w:cs="Times New Roman"/>
          <w:color w:val="000000" w:themeColor="text1"/>
        </w:rPr>
      </w:pPr>
      <w:r>
        <w:rPr>
          <w:rFonts w:hint="eastAsia" w:ascii="Times New Roman" w:hAnsi="Times New Roman" w:cs="Times New Roman"/>
          <w:color w:val="000000" w:themeColor="text1"/>
        </w:rPr>
        <w:t>（19）</w:t>
      </w:r>
      <w:r>
        <w:rPr>
          <w:rFonts w:ascii="Times New Roman" w:hAnsi="Times New Roman" w:cs="Times New Roman"/>
          <w:color w:val="000000" w:themeColor="text1"/>
        </w:rPr>
        <w:t>《关于进一步加强突发性环境污染事故应急监测工作的通知》（环发</w:t>
      </w:r>
      <w:r>
        <w:rPr>
          <w:rFonts w:hint="eastAsia" w:ascii="Times New Roman" w:hAnsi="Times New Roman" w:cs="Times New Roman"/>
          <w:color w:val="000000" w:themeColor="text1"/>
        </w:rPr>
        <w:t xml:space="preserve"> [</w:t>
      </w:r>
      <w:r>
        <w:rPr>
          <w:rFonts w:ascii="Times New Roman" w:hAnsi="Times New Roman" w:cs="Times New Roman"/>
          <w:color w:val="000000" w:themeColor="text1"/>
        </w:rPr>
        <w:t>2001</w:t>
      </w:r>
      <w:r>
        <w:rPr>
          <w:rFonts w:hint="eastAsia" w:ascii="Times New Roman" w:hAnsi="Times New Roman" w:cs="Times New Roman"/>
          <w:color w:val="000000" w:themeColor="text1"/>
        </w:rPr>
        <w:t xml:space="preserve">] </w:t>
      </w:r>
      <w:r>
        <w:rPr>
          <w:rFonts w:ascii="Times New Roman" w:hAnsi="Times New Roman" w:cs="Times New Roman"/>
          <w:color w:val="000000" w:themeColor="text1"/>
        </w:rPr>
        <w:t>197号）</w:t>
      </w:r>
      <w:r>
        <w:rPr>
          <w:rFonts w:hint="eastAsia" w:ascii="Times New Roman" w:hAnsi="Times New Roman" w:cs="Times New Roman"/>
          <w:color w:val="000000" w:themeColor="text1"/>
        </w:rPr>
        <w:t>；</w:t>
      </w:r>
    </w:p>
    <w:p>
      <w:pPr>
        <w:pStyle w:val="32"/>
        <w:spacing w:before="0" w:beforeAutospacing="0" w:after="0" w:afterAutospacing="0" w:line="460" w:lineRule="exact"/>
        <w:ind w:firstLine="480" w:firstLineChars="200"/>
        <w:jc w:val="both"/>
        <w:rPr>
          <w:rFonts w:ascii="Times New Roman" w:hAnsi="Times New Roman" w:cs="Times New Roman"/>
          <w:color w:val="000000" w:themeColor="text1"/>
        </w:rPr>
      </w:pPr>
      <w:r>
        <w:rPr>
          <w:rFonts w:hint="eastAsia" w:ascii="Times New Roman" w:hAnsi="Times New Roman" w:cs="Times New Roman"/>
          <w:color w:val="000000" w:themeColor="text1"/>
        </w:rPr>
        <w:t>（20）《集中式地表水饮用水水源地突发环境事件应急预案编制指南（试行）》（公告2018年第1号）；</w:t>
      </w:r>
    </w:p>
    <w:p>
      <w:pPr>
        <w:pStyle w:val="32"/>
        <w:spacing w:before="0" w:beforeAutospacing="0" w:after="0" w:afterAutospacing="0" w:line="460" w:lineRule="exact"/>
        <w:ind w:firstLine="480" w:firstLineChars="200"/>
        <w:jc w:val="both"/>
        <w:rPr>
          <w:rFonts w:ascii="Times New Roman" w:hAnsi="Times New Roman" w:cs="Times New Roman"/>
          <w:color w:val="000000" w:themeColor="text1"/>
        </w:rPr>
      </w:pPr>
      <w:r>
        <w:rPr>
          <w:rFonts w:hint="eastAsia" w:ascii="Times New Roman" w:hAnsi="Times New Roman" w:cs="Times New Roman"/>
          <w:color w:val="000000" w:themeColor="text1"/>
        </w:rPr>
        <w:t>（21）《岳阳市城市供水事故应急预案》（2009年3月）；</w:t>
      </w:r>
    </w:p>
    <w:p>
      <w:pPr>
        <w:pStyle w:val="32"/>
        <w:spacing w:before="0" w:beforeAutospacing="0" w:after="0" w:afterAutospacing="0" w:line="460" w:lineRule="exact"/>
        <w:ind w:firstLine="480" w:firstLineChars="200"/>
        <w:jc w:val="both"/>
        <w:rPr>
          <w:rFonts w:ascii="Times New Roman" w:hAnsi="Times New Roman" w:cs="Times New Roman"/>
          <w:color w:val="000000" w:themeColor="text1"/>
        </w:rPr>
      </w:pPr>
      <w:r>
        <w:rPr>
          <w:rFonts w:hint="eastAsia" w:ascii="Times New Roman" w:hAnsi="Times New Roman" w:cs="Times New Roman"/>
          <w:color w:val="000000" w:themeColor="text1"/>
        </w:rPr>
        <w:t>（22）《湖南省人民政府关于湖南省县级以上地表水集中式饮用水水源保护区划定方案的通知》湘政函[2016]176号。</w:t>
      </w:r>
    </w:p>
    <w:p>
      <w:pPr>
        <w:pStyle w:val="32"/>
        <w:spacing w:before="0" w:beforeAutospacing="0" w:after="0" w:afterAutospacing="0" w:line="460" w:lineRule="exact"/>
        <w:ind w:firstLine="480" w:firstLineChars="200"/>
        <w:jc w:val="both"/>
        <w:rPr>
          <w:rFonts w:ascii="Times New Roman" w:hAnsi="Times New Roman" w:cs="Times New Roman"/>
          <w:color w:val="000000" w:themeColor="text1"/>
          <w:u w:val="single"/>
        </w:rPr>
      </w:pPr>
      <w:r>
        <w:rPr>
          <w:rFonts w:hint="eastAsia" w:ascii="Times New Roman" w:hAnsi="Times New Roman" w:cs="Times New Roman"/>
          <w:color w:val="000000" w:themeColor="text1"/>
          <w:u w:val="single"/>
        </w:rPr>
        <w:t>（23）</w:t>
      </w:r>
      <w:r>
        <w:rPr>
          <w:rFonts w:hint="eastAsia" w:ascii="Times New Roman" w:hAnsi="Times New Roman" w:cs="Times New Roman"/>
          <w:kern w:val="2"/>
          <w:u w:val="single"/>
        </w:rPr>
        <w:t>《湖南省环境保护厅关于进一步加强突发环境事件应急预案管理工作的通知》（湘环函</w:t>
      </w:r>
      <w:r>
        <w:rPr>
          <w:rFonts w:ascii="Times New Roman" w:hAnsi="Times New Roman" w:cs="Times New Roman"/>
          <w:kern w:val="2"/>
          <w:u w:val="single"/>
        </w:rPr>
        <w:t>[2017] 107</w:t>
      </w:r>
      <w:r>
        <w:rPr>
          <w:rFonts w:hint="eastAsia" w:ascii="Times New Roman" w:hAnsi="Times New Roman" w:cs="Times New Roman"/>
          <w:kern w:val="2"/>
          <w:u w:val="single"/>
        </w:rPr>
        <w:t>号）。</w:t>
      </w:r>
    </w:p>
    <w:p>
      <w:pPr>
        <w:pStyle w:val="3"/>
      </w:pPr>
      <w:bookmarkStart w:id="29" w:name="_Toc22030"/>
      <w:bookmarkStart w:id="30" w:name="_Toc28545"/>
      <w:bookmarkStart w:id="31" w:name="_Toc15203"/>
      <w:bookmarkStart w:id="32" w:name="_Toc535851301"/>
      <w:bookmarkStart w:id="33" w:name="_Toc20077"/>
      <w:bookmarkStart w:id="34" w:name="_Toc20938"/>
      <w:bookmarkStart w:id="35" w:name="_Toc485201083"/>
      <w:bookmarkStart w:id="36" w:name="_Toc482605480"/>
      <w:r>
        <w:t>1.3 适用范围</w:t>
      </w:r>
      <w:bookmarkEnd w:id="29"/>
      <w:bookmarkEnd w:id="30"/>
      <w:bookmarkEnd w:id="31"/>
      <w:bookmarkEnd w:id="32"/>
      <w:bookmarkEnd w:id="33"/>
      <w:bookmarkEnd w:id="34"/>
      <w:bookmarkEnd w:id="35"/>
      <w:bookmarkEnd w:id="36"/>
    </w:p>
    <w:p>
      <w:pPr>
        <w:pStyle w:val="32"/>
        <w:spacing w:before="0" w:beforeAutospacing="0" w:after="0" w:afterAutospacing="0" w:line="360" w:lineRule="auto"/>
        <w:ind w:firstLine="480" w:firstLineChars="200"/>
        <w:jc w:val="both"/>
        <w:rPr>
          <w:rFonts w:ascii="Times New Roman" w:hAnsi="Times New Roman" w:cs="Times New Roman"/>
          <w:color w:val="000000" w:themeColor="text1"/>
          <w:u w:val="single"/>
        </w:rPr>
      </w:pPr>
      <w:r>
        <w:rPr>
          <w:rFonts w:ascii="Times New Roman" w:hAnsi="Times New Roman" w:cs="Times New Roman"/>
          <w:color w:val="000000" w:themeColor="text1"/>
          <w:u w:val="single"/>
        </w:rPr>
        <w:t>本预案适用于</w:t>
      </w:r>
      <w:r>
        <w:rPr>
          <w:rFonts w:hint="eastAsia" w:ascii="Times New Roman" w:hAnsi="Times New Roman" w:cs="Times New Roman"/>
          <w:color w:val="000000" w:themeColor="text1"/>
          <w:u w:val="single"/>
        </w:rPr>
        <w:t>岳阳市饮用水源保护区（铁山水库-北干渠-金凤水库）</w:t>
      </w:r>
      <w:r>
        <w:rPr>
          <w:rFonts w:ascii="Times New Roman" w:hAnsi="Times New Roman" w:cs="Times New Roman"/>
          <w:color w:val="000000" w:themeColor="text1"/>
          <w:u w:val="single"/>
        </w:rPr>
        <w:t>的</w:t>
      </w:r>
      <w:r>
        <w:rPr>
          <w:rFonts w:hint="eastAsia" w:ascii="Times New Roman" w:hAnsi="Times New Roman" w:cs="Times New Roman"/>
          <w:color w:val="000000" w:themeColor="text1"/>
          <w:u w:val="single"/>
        </w:rPr>
        <w:t>一、二级</w:t>
      </w:r>
      <w:r>
        <w:rPr>
          <w:rFonts w:ascii="Times New Roman" w:hAnsi="Times New Roman" w:cs="Times New Roman"/>
          <w:color w:val="000000" w:themeColor="text1"/>
          <w:u w:val="single"/>
        </w:rPr>
        <w:t>水域和陆域范围内</w:t>
      </w:r>
      <w:r>
        <w:rPr>
          <w:rFonts w:hint="eastAsia" w:ascii="Times New Roman" w:hAnsi="Times New Roman" w:cs="Times New Roman"/>
          <w:color w:val="000000" w:themeColor="text1"/>
          <w:u w:val="single"/>
        </w:rPr>
        <w:t>，入库河流上溯1000米及两岸陆域500米范围内</w:t>
      </w:r>
      <w:r>
        <w:rPr>
          <w:rFonts w:ascii="Times New Roman" w:hAnsi="Times New Roman" w:cs="Times New Roman"/>
          <w:color w:val="000000" w:themeColor="text1"/>
          <w:u w:val="single"/>
        </w:rPr>
        <w:t>突然发生或者可能发生造成水污染事件。具体包括以下环境事件：</w:t>
      </w:r>
    </w:p>
    <w:p>
      <w:pPr>
        <w:pStyle w:val="32"/>
        <w:spacing w:before="0" w:beforeAutospacing="0" w:after="0" w:afterAutospacing="0" w:line="360" w:lineRule="auto"/>
        <w:ind w:firstLine="480" w:firstLineChars="200"/>
        <w:jc w:val="both"/>
        <w:rPr>
          <w:rFonts w:ascii="Times New Roman" w:hAnsi="Times New Roman" w:cs="Times New Roman"/>
          <w:color w:val="000000" w:themeColor="text1"/>
        </w:rPr>
      </w:pPr>
      <w:r>
        <w:rPr>
          <w:rFonts w:ascii="Times New Roman" w:hAnsi="Times New Roman" w:cs="Times New Roman"/>
          <w:color w:val="000000" w:themeColor="text1"/>
        </w:rPr>
        <w:t>（1）由于</w:t>
      </w:r>
      <w:r>
        <w:rPr>
          <w:rFonts w:hint="eastAsia" w:ascii="Times New Roman" w:hAnsi="Times New Roman" w:cs="Times New Roman"/>
          <w:color w:val="000000" w:themeColor="text1"/>
        </w:rPr>
        <w:t>岳阳市饮用水源保护区（铁山水库-北干渠-金凤水库）</w:t>
      </w:r>
      <w:r>
        <w:rPr>
          <w:rFonts w:ascii="Times New Roman" w:hAnsi="Times New Roman" w:cs="Times New Roman"/>
          <w:color w:val="000000" w:themeColor="text1"/>
        </w:rPr>
        <w:t>的工业企业环境事故、安全事故、交通事故、公共设施和设备事故使得化学品、有毒有害等污染物质进入</w:t>
      </w:r>
      <w:r>
        <w:rPr>
          <w:rFonts w:hint="eastAsia" w:ascii="Times New Roman" w:hAnsi="Times New Roman" w:cs="Times New Roman"/>
          <w:color w:val="000000" w:themeColor="text1"/>
        </w:rPr>
        <w:t>岳阳市饮用水源保护区（铁山水库-北干渠-金凤水库）</w:t>
      </w:r>
      <w:r>
        <w:rPr>
          <w:rFonts w:ascii="Times New Roman" w:hAnsi="Times New Roman" w:cs="Times New Roman"/>
          <w:color w:val="000000" w:themeColor="text1"/>
        </w:rPr>
        <w:t>造成水污染事件；</w:t>
      </w:r>
    </w:p>
    <w:p>
      <w:pPr>
        <w:pStyle w:val="32"/>
        <w:spacing w:before="0" w:beforeAutospacing="0" w:after="0" w:afterAutospacing="0" w:line="360" w:lineRule="auto"/>
        <w:ind w:firstLine="480" w:firstLineChars="200"/>
        <w:jc w:val="both"/>
        <w:rPr>
          <w:rFonts w:ascii="Times New Roman" w:hAnsi="Times New Roman" w:cs="Times New Roman"/>
          <w:color w:val="000000" w:themeColor="text1"/>
        </w:rPr>
      </w:pPr>
      <w:r>
        <w:rPr>
          <w:rFonts w:ascii="Times New Roman" w:hAnsi="Times New Roman" w:cs="Times New Roman"/>
          <w:color w:val="000000" w:themeColor="text1"/>
        </w:rPr>
        <w:t>（2）由于暴雨、洪水等自然灾害的发生使得污染物进入</w:t>
      </w:r>
      <w:r>
        <w:rPr>
          <w:rFonts w:hint="eastAsia" w:ascii="Times New Roman" w:hAnsi="Times New Roman" w:cs="Times New Roman"/>
          <w:color w:val="000000" w:themeColor="text1"/>
        </w:rPr>
        <w:t>岳阳市饮用水源保护区（铁山水库-北干渠-金凤水库）</w:t>
      </w:r>
      <w:r>
        <w:rPr>
          <w:rFonts w:ascii="Times New Roman" w:hAnsi="Times New Roman" w:cs="Times New Roman"/>
          <w:color w:val="000000" w:themeColor="text1"/>
        </w:rPr>
        <w:t>造成的水污染事件；</w:t>
      </w:r>
    </w:p>
    <w:p>
      <w:pPr>
        <w:pStyle w:val="32"/>
        <w:spacing w:before="0" w:beforeAutospacing="0" w:after="0" w:afterAutospacing="0" w:line="360" w:lineRule="auto"/>
        <w:ind w:firstLine="480" w:firstLineChars="200"/>
        <w:jc w:val="both"/>
        <w:rPr>
          <w:rFonts w:ascii="Times New Roman" w:hAnsi="Times New Roman" w:cs="Times New Roman"/>
          <w:color w:val="000000" w:themeColor="text1"/>
        </w:rPr>
      </w:pPr>
      <w:r>
        <w:rPr>
          <w:rFonts w:ascii="Times New Roman" w:hAnsi="Times New Roman" w:cs="Times New Roman"/>
          <w:color w:val="000000" w:themeColor="text1"/>
        </w:rPr>
        <w:t>（3）由于</w:t>
      </w:r>
      <w:r>
        <w:rPr>
          <w:rFonts w:hint="eastAsia" w:ascii="Times New Roman" w:hAnsi="Times New Roman" w:cs="Times New Roman"/>
          <w:color w:val="000000" w:themeColor="text1"/>
        </w:rPr>
        <w:t>岳阳市饮用水源保护区（铁山水库-北干渠-金凤水库）水质不符合《地表水环境质量标准》（GB3838-2002）相应的标准</w:t>
      </w:r>
      <w:r>
        <w:rPr>
          <w:rFonts w:ascii="Times New Roman" w:hAnsi="Times New Roman" w:cs="Times New Roman"/>
          <w:color w:val="000000" w:themeColor="text1"/>
        </w:rPr>
        <w:t>引起水质下降的环境事件；</w:t>
      </w:r>
    </w:p>
    <w:p>
      <w:pPr>
        <w:pStyle w:val="32"/>
        <w:spacing w:before="0" w:beforeAutospacing="0" w:after="0" w:afterAutospacing="0" w:line="360" w:lineRule="auto"/>
        <w:ind w:firstLine="480" w:firstLineChars="200"/>
        <w:rPr>
          <w:rFonts w:ascii="Times New Roman" w:hAnsi="Times New Roman" w:cs="Times New Roman"/>
          <w:color w:val="000000" w:themeColor="text1"/>
        </w:rPr>
      </w:pPr>
      <w:r>
        <w:rPr>
          <w:rFonts w:hint="eastAsia" w:ascii="Times New Roman" w:hAnsi="Times New Roman" w:cs="Times New Roman"/>
          <w:color w:val="000000" w:themeColor="text1"/>
        </w:rPr>
        <w:t>（4）</w:t>
      </w:r>
      <w:r>
        <w:rPr>
          <w:rFonts w:ascii="Times New Roman" w:hAnsi="Times New Roman" w:cs="Times New Roman"/>
          <w:color w:val="000000" w:themeColor="text1"/>
        </w:rPr>
        <w:t>其它意外事件造成</w:t>
      </w:r>
      <w:r>
        <w:rPr>
          <w:rFonts w:hint="eastAsia" w:ascii="Times New Roman" w:hAnsi="Times New Roman" w:cs="Times New Roman"/>
          <w:color w:val="000000" w:themeColor="text1"/>
        </w:rPr>
        <w:t>岳阳市饮用水源保护区（铁山水库-北干渠-金凤水库）</w:t>
      </w:r>
      <w:r>
        <w:rPr>
          <w:rFonts w:ascii="Times New Roman" w:hAnsi="Times New Roman" w:cs="Times New Roman"/>
          <w:color w:val="000000" w:themeColor="text1"/>
        </w:rPr>
        <w:t>的水污染事故。</w:t>
      </w:r>
    </w:p>
    <w:p>
      <w:pPr>
        <w:pStyle w:val="3"/>
        <w:widowControl/>
        <w:rPr>
          <w:color w:val="000000" w:themeColor="text1"/>
          <w:szCs w:val="28"/>
        </w:rPr>
      </w:pPr>
      <w:bookmarkStart w:id="37" w:name="_Toc389549185"/>
      <w:bookmarkStart w:id="38" w:name="_Toc291753503"/>
      <w:bookmarkStart w:id="39" w:name="_Toc396043838"/>
      <w:bookmarkStart w:id="40" w:name="_Toc393118203"/>
      <w:bookmarkStart w:id="41" w:name="_Toc489888078"/>
      <w:bookmarkStart w:id="42" w:name="_Toc500788628"/>
      <w:bookmarkStart w:id="43" w:name="_Toc535851302"/>
      <w:bookmarkStart w:id="44" w:name="_Toc304816355"/>
      <w:bookmarkStart w:id="45" w:name="_Toc28379"/>
      <w:bookmarkStart w:id="46" w:name="_Toc7312"/>
      <w:bookmarkStart w:id="47" w:name="_Toc2350"/>
      <w:bookmarkStart w:id="48" w:name="_Toc5707"/>
      <w:bookmarkStart w:id="49" w:name="_Toc485201085"/>
      <w:bookmarkStart w:id="50" w:name="_Toc482605482"/>
      <w:bookmarkStart w:id="51" w:name="_Toc23903"/>
      <w:bookmarkStart w:id="52" w:name="_Toc416936704"/>
      <w:r>
        <w:rPr>
          <w:rFonts w:hint="eastAsia"/>
          <w:color w:val="000000" w:themeColor="text1"/>
          <w:szCs w:val="28"/>
        </w:rPr>
        <w:t>1</w:t>
      </w:r>
      <w:r>
        <w:rPr>
          <w:color w:val="000000" w:themeColor="text1"/>
          <w:szCs w:val="28"/>
        </w:rPr>
        <w:t>.</w:t>
      </w:r>
      <w:r>
        <w:rPr>
          <w:rFonts w:hint="eastAsia"/>
          <w:color w:val="000000" w:themeColor="text1"/>
          <w:szCs w:val="28"/>
        </w:rPr>
        <w:t>4</w:t>
      </w:r>
      <w:r>
        <w:rPr>
          <w:color w:val="000000" w:themeColor="text1"/>
          <w:szCs w:val="28"/>
        </w:rPr>
        <w:t xml:space="preserve"> </w:t>
      </w:r>
      <w:bookmarkEnd w:id="37"/>
      <w:bookmarkEnd w:id="38"/>
      <w:bookmarkEnd w:id="39"/>
      <w:bookmarkEnd w:id="40"/>
      <w:r>
        <w:rPr>
          <w:color w:val="000000" w:themeColor="text1"/>
          <w:szCs w:val="28"/>
        </w:rPr>
        <w:t>预案衔接</w:t>
      </w:r>
      <w:bookmarkEnd w:id="41"/>
      <w:bookmarkEnd w:id="42"/>
      <w:bookmarkEnd w:id="43"/>
    </w:p>
    <w:p>
      <w:pPr>
        <w:pStyle w:val="5"/>
        <w:rPr>
          <w:color w:val="000000" w:themeColor="text1"/>
        </w:rPr>
      </w:pPr>
      <w:r>
        <w:rPr>
          <w:rFonts w:hint="eastAsia"/>
          <w:color w:val="000000" w:themeColor="text1"/>
        </w:rPr>
        <w:t>1</w:t>
      </w:r>
      <w:r>
        <w:rPr>
          <w:color w:val="000000" w:themeColor="text1"/>
        </w:rPr>
        <w:t>.</w:t>
      </w:r>
      <w:r>
        <w:rPr>
          <w:rFonts w:hint="eastAsia"/>
          <w:color w:val="000000" w:themeColor="text1"/>
        </w:rPr>
        <w:t>4</w:t>
      </w:r>
      <w:r>
        <w:rPr>
          <w:color w:val="000000" w:themeColor="text1"/>
        </w:rPr>
        <w:t>.1与《</w:t>
      </w:r>
      <w:r>
        <w:rPr>
          <w:rStyle w:val="99"/>
          <w:rFonts w:hint="eastAsia"/>
          <w:color w:val="000000" w:themeColor="text1"/>
          <w:sz w:val="24"/>
          <w:szCs w:val="28"/>
        </w:rPr>
        <w:t>岳</w:t>
      </w:r>
      <w:r>
        <w:rPr>
          <w:rStyle w:val="99"/>
          <w:color w:val="000000" w:themeColor="text1"/>
          <w:sz w:val="24"/>
          <w:szCs w:val="28"/>
        </w:rPr>
        <w:t>阳市突发事件总体应急预案》</w:t>
      </w:r>
      <w:r>
        <w:rPr>
          <w:color w:val="000000" w:themeColor="text1"/>
        </w:rPr>
        <w:t>的衔接</w:t>
      </w:r>
    </w:p>
    <w:p>
      <w:pPr>
        <w:jc w:val="left"/>
        <w:rPr>
          <w:color w:val="000000" w:themeColor="text1"/>
          <w:szCs w:val="24"/>
        </w:rPr>
      </w:pPr>
      <w:r>
        <w:rPr>
          <w:rFonts w:hint="eastAsia"/>
          <w:color w:val="000000" w:themeColor="text1"/>
        </w:rPr>
        <w:t>岳阳市饮用水源保护区（铁山水库-北干渠-金凤水库）</w:t>
      </w:r>
      <w:r>
        <w:rPr>
          <w:color w:val="000000" w:themeColor="text1"/>
        </w:rPr>
        <w:t>由</w:t>
      </w:r>
      <w:r>
        <w:rPr>
          <w:rFonts w:hint="eastAsia"/>
          <w:color w:val="000000" w:themeColor="text1"/>
        </w:rPr>
        <w:t>岳</w:t>
      </w:r>
      <w:r>
        <w:rPr>
          <w:color w:val="000000" w:themeColor="text1"/>
        </w:rPr>
        <w:t>阳市</w:t>
      </w:r>
      <w:r>
        <w:rPr>
          <w:rFonts w:hint="eastAsia"/>
          <w:color w:val="000000" w:themeColor="text1"/>
        </w:rPr>
        <w:t>铁山供水工程管理局</w:t>
      </w:r>
      <w:r>
        <w:rPr>
          <w:color w:val="000000" w:themeColor="text1"/>
        </w:rPr>
        <w:t>管理，其日常监管由</w:t>
      </w:r>
      <w:r>
        <w:rPr>
          <w:rFonts w:hint="eastAsia"/>
          <w:color w:val="000000" w:themeColor="text1"/>
        </w:rPr>
        <w:t>岳</w:t>
      </w:r>
      <w:r>
        <w:rPr>
          <w:color w:val="000000" w:themeColor="text1"/>
        </w:rPr>
        <w:t>阳市</w:t>
      </w:r>
      <w:r>
        <w:rPr>
          <w:rFonts w:hint="eastAsia"/>
          <w:color w:val="000000" w:themeColor="text1"/>
        </w:rPr>
        <w:t>铁山供水工程管理局</w:t>
      </w:r>
      <w:r>
        <w:rPr>
          <w:color w:val="000000" w:themeColor="text1"/>
        </w:rPr>
        <w:t>负责，在突发环境事件启动外部应急预案时，将由</w:t>
      </w:r>
      <w:r>
        <w:rPr>
          <w:rFonts w:hint="eastAsia"/>
          <w:color w:val="000000" w:themeColor="text1"/>
        </w:rPr>
        <w:t>岳阳市</w:t>
      </w:r>
      <w:r>
        <w:rPr>
          <w:color w:val="000000" w:themeColor="text1"/>
        </w:rPr>
        <w:t>政府</w:t>
      </w:r>
      <w:r>
        <w:rPr>
          <w:rFonts w:hint="eastAsia"/>
          <w:color w:val="000000" w:themeColor="text1"/>
        </w:rPr>
        <w:t>应急办</w:t>
      </w:r>
      <w:r>
        <w:rPr>
          <w:color w:val="000000" w:themeColor="text1"/>
        </w:rPr>
        <w:t>负责具体处置工作。因此，本部分主要分析本应急预案与</w:t>
      </w:r>
      <w:r>
        <w:rPr>
          <w:rFonts w:hint="eastAsia"/>
          <w:color w:val="000000" w:themeColor="text1"/>
        </w:rPr>
        <w:t>岳</w:t>
      </w:r>
      <w:r>
        <w:rPr>
          <w:color w:val="000000" w:themeColor="text1"/>
        </w:rPr>
        <w:t>阳市政府部门发布的应急预案的衔接性。</w:t>
      </w:r>
    </w:p>
    <w:p>
      <w:pPr>
        <w:rPr>
          <w:rStyle w:val="99"/>
          <w:bCs/>
          <w:color w:val="000000" w:themeColor="text1"/>
          <w:sz w:val="24"/>
          <w:szCs w:val="28"/>
        </w:rPr>
      </w:pPr>
      <w:r>
        <w:rPr>
          <w:rStyle w:val="99"/>
          <w:rFonts w:hint="eastAsia"/>
          <w:bCs/>
          <w:color w:val="000000" w:themeColor="text1"/>
          <w:sz w:val="24"/>
          <w:szCs w:val="28"/>
        </w:rPr>
        <w:t>领导机构：岳阳市人民政府成立了岳阳市突发事件应急委员会，</w:t>
      </w:r>
      <w:r>
        <w:rPr>
          <w:rFonts w:hint="eastAsia"/>
          <w:color w:val="000000" w:themeColor="text1"/>
        </w:rPr>
        <w:t>由市长任主任，常务副市长任常务副主任。副市长、岳阳军分区负责人、市人民政府秘书长任副主任，</w:t>
      </w:r>
      <w:r>
        <w:rPr>
          <w:rStyle w:val="99"/>
          <w:rFonts w:hint="eastAsia"/>
          <w:bCs/>
          <w:color w:val="000000" w:themeColor="text1"/>
          <w:sz w:val="24"/>
          <w:szCs w:val="28"/>
        </w:rPr>
        <w:t>市委副秘书长、市人民政府副秘书长、市武警支队主要负责人、市直及中央省属驻岳有关部门单位主要负责人为成员的市突发事件应急委员会，负责统一领导、协调和指挥全市突发事件的应对工作。</w:t>
      </w:r>
    </w:p>
    <w:p>
      <w:pPr>
        <w:rPr>
          <w:color w:val="000000" w:themeColor="text1"/>
        </w:rPr>
      </w:pPr>
      <w:r>
        <w:rPr>
          <w:rFonts w:hint="eastAsia"/>
          <w:color w:val="000000" w:themeColor="text1"/>
        </w:rPr>
        <w:t>办事机构：市应急管理办公室（市政府办公室），是市突发事件应急委员会的日常办事机构，履行值守应急，信息汇总和综合协调职能，发挥运转枢纽作用。</w:t>
      </w:r>
    </w:p>
    <w:p>
      <w:pPr>
        <w:rPr>
          <w:color w:val="000000" w:themeColor="text1"/>
        </w:rPr>
      </w:pPr>
      <w:r>
        <w:rPr>
          <w:rFonts w:hint="eastAsia"/>
          <w:color w:val="000000" w:themeColor="text1"/>
        </w:rPr>
        <w:t>工作机构：各突发事件专项指挥部和市有关部门按照各自职责和业务范围，具体负责突发事件预防、指挥和处置等工作。</w:t>
      </w:r>
    </w:p>
    <w:p>
      <w:pPr>
        <w:pStyle w:val="5"/>
        <w:ind w:firstLine="482"/>
        <w:rPr>
          <w:color w:val="000000" w:themeColor="text1"/>
          <w:u w:val="single"/>
        </w:rPr>
      </w:pPr>
      <w:r>
        <w:rPr>
          <w:rFonts w:hint="eastAsia"/>
          <w:color w:val="000000" w:themeColor="text1"/>
          <w:u w:val="single"/>
        </w:rPr>
        <w:t>1</w:t>
      </w:r>
      <w:r>
        <w:rPr>
          <w:color w:val="000000" w:themeColor="text1"/>
          <w:u w:val="single"/>
        </w:rPr>
        <w:t>.</w:t>
      </w:r>
      <w:r>
        <w:rPr>
          <w:rFonts w:hint="eastAsia"/>
          <w:color w:val="000000" w:themeColor="text1"/>
          <w:u w:val="single"/>
        </w:rPr>
        <w:t>4</w:t>
      </w:r>
      <w:r>
        <w:rPr>
          <w:color w:val="000000" w:themeColor="text1"/>
          <w:u w:val="single"/>
        </w:rPr>
        <w:t>.</w:t>
      </w:r>
      <w:r>
        <w:rPr>
          <w:rFonts w:hint="eastAsia"/>
          <w:color w:val="000000" w:themeColor="text1"/>
          <w:u w:val="single"/>
        </w:rPr>
        <w:t>2</w:t>
      </w:r>
      <w:r>
        <w:rPr>
          <w:color w:val="000000" w:themeColor="text1"/>
          <w:u w:val="single"/>
        </w:rPr>
        <w:t>与《</w:t>
      </w:r>
      <w:r>
        <w:rPr>
          <w:rStyle w:val="99"/>
          <w:rFonts w:hint="eastAsia"/>
          <w:color w:val="000000" w:themeColor="text1"/>
          <w:sz w:val="24"/>
          <w:szCs w:val="28"/>
          <w:u w:val="single"/>
        </w:rPr>
        <w:t>岳阳市</w:t>
      </w:r>
      <w:r>
        <w:rPr>
          <w:rStyle w:val="99"/>
          <w:color w:val="000000" w:themeColor="text1"/>
          <w:sz w:val="24"/>
          <w:szCs w:val="28"/>
          <w:u w:val="single"/>
        </w:rPr>
        <w:t>环境污染</w:t>
      </w:r>
      <w:r>
        <w:rPr>
          <w:rStyle w:val="99"/>
          <w:rFonts w:hint="eastAsia"/>
          <w:color w:val="000000" w:themeColor="text1"/>
          <w:sz w:val="24"/>
          <w:szCs w:val="28"/>
          <w:u w:val="single"/>
        </w:rPr>
        <w:t>突发</w:t>
      </w:r>
      <w:r>
        <w:rPr>
          <w:rStyle w:val="99"/>
          <w:color w:val="000000" w:themeColor="text1"/>
          <w:sz w:val="24"/>
          <w:szCs w:val="28"/>
          <w:u w:val="single"/>
        </w:rPr>
        <w:t>事件应急预案》</w:t>
      </w:r>
      <w:r>
        <w:rPr>
          <w:color w:val="000000" w:themeColor="text1"/>
          <w:u w:val="single"/>
        </w:rPr>
        <w:t>的衔接</w:t>
      </w:r>
    </w:p>
    <w:p>
      <w:pPr>
        <w:jc w:val="left"/>
        <w:rPr>
          <w:rStyle w:val="99"/>
          <w:bCs/>
          <w:color w:val="000000" w:themeColor="text1"/>
          <w:sz w:val="24"/>
          <w:szCs w:val="28"/>
          <w:u w:val="single"/>
        </w:rPr>
      </w:pPr>
      <w:r>
        <w:rPr>
          <w:rStyle w:val="99"/>
          <w:bCs/>
          <w:color w:val="000000" w:themeColor="text1"/>
          <w:sz w:val="24"/>
          <w:szCs w:val="28"/>
          <w:u w:val="single"/>
        </w:rPr>
        <w:t>《</w:t>
      </w:r>
      <w:r>
        <w:rPr>
          <w:rStyle w:val="99"/>
          <w:rFonts w:hint="eastAsia"/>
          <w:bCs/>
          <w:color w:val="000000" w:themeColor="text1"/>
          <w:sz w:val="24"/>
          <w:szCs w:val="28"/>
          <w:u w:val="single"/>
        </w:rPr>
        <w:t>岳</w:t>
      </w:r>
      <w:r>
        <w:rPr>
          <w:rStyle w:val="99"/>
          <w:bCs/>
          <w:color w:val="000000" w:themeColor="text1"/>
          <w:sz w:val="24"/>
          <w:szCs w:val="28"/>
          <w:u w:val="single"/>
        </w:rPr>
        <w:t>阳市环境事污染</w:t>
      </w:r>
      <w:r>
        <w:rPr>
          <w:rStyle w:val="99"/>
          <w:rFonts w:hint="eastAsia"/>
          <w:bCs/>
          <w:color w:val="000000" w:themeColor="text1"/>
          <w:sz w:val="24"/>
          <w:szCs w:val="28"/>
          <w:u w:val="single"/>
        </w:rPr>
        <w:t>突发</w:t>
      </w:r>
      <w:r>
        <w:rPr>
          <w:rStyle w:val="99"/>
          <w:bCs/>
          <w:color w:val="000000" w:themeColor="text1"/>
          <w:sz w:val="24"/>
          <w:szCs w:val="28"/>
          <w:u w:val="single"/>
        </w:rPr>
        <w:t>事件应急预案》</w:t>
      </w:r>
      <w:r>
        <w:rPr>
          <w:color w:val="000000" w:themeColor="text1"/>
          <w:u w:val="single"/>
        </w:rPr>
        <w:t>适用于</w:t>
      </w:r>
      <w:r>
        <w:rPr>
          <w:rFonts w:hint="eastAsia"/>
          <w:color w:val="000000" w:themeColor="text1"/>
          <w:u w:val="single"/>
        </w:rPr>
        <w:t>岳</w:t>
      </w:r>
      <w:r>
        <w:rPr>
          <w:color w:val="000000" w:themeColor="text1"/>
          <w:u w:val="single"/>
        </w:rPr>
        <w:t>阳市范围内突发环境事件</w:t>
      </w:r>
      <w:r>
        <w:rPr>
          <w:rFonts w:hint="eastAsia"/>
          <w:color w:val="000000" w:themeColor="text1"/>
          <w:u w:val="single"/>
        </w:rPr>
        <w:t>的防范和应急处置</w:t>
      </w:r>
      <w:r>
        <w:rPr>
          <w:color w:val="000000" w:themeColor="text1"/>
          <w:u w:val="single"/>
        </w:rPr>
        <w:t>。</w:t>
      </w:r>
    </w:p>
    <w:p>
      <w:pPr>
        <w:pStyle w:val="32"/>
        <w:spacing w:before="0" w:beforeAutospacing="0" w:after="0" w:afterAutospacing="0" w:line="360" w:lineRule="auto"/>
        <w:ind w:firstLine="480" w:firstLineChars="200"/>
        <w:jc w:val="both"/>
        <w:rPr>
          <w:color w:val="000000" w:themeColor="text1"/>
          <w:u w:val="single"/>
        </w:rPr>
      </w:pPr>
      <w:r>
        <w:rPr>
          <w:rStyle w:val="99"/>
          <w:bCs/>
          <w:color w:val="000000" w:themeColor="text1"/>
          <w:sz w:val="24"/>
          <w:szCs w:val="28"/>
          <w:u w:val="single"/>
        </w:rPr>
        <w:t>组织机构方面</w:t>
      </w:r>
      <w:r>
        <w:rPr>
          <w:rStyle w:val="99"/>
          <w:rFonts w:hint="eastAsia"/>
          <w:bCs/>
          <w:color w:val="000000" w:themeColor="text1"/>
          <w:sz w:val="24"/>
          <w:szCs w:val="28"/>
          <w:u w:val="single"/>
        </w:rPr>
        <w:t>：</w:t>
      </w:r>
      <w:r>
        <w:rPr>
          <w:rFonts w:hint="eastAsia"/>
          <w:color w:val="000000" w:themeColor="text1"/>
          <w:u w:val="single"/>
          <w:shd w:val="clear" w:color="auto" w:fill="FFFFFF"/>
        </w:rPr>
        <w:t>由市人民政府分管副市长任指挥长，市人民政府副秘书长、岳阳军分区副司令员、岳阳武警支队支队长、市环保局局长、市公安局分管副局长任副指挥长，市安监局、市发改委、市工业经委、市民政局、市交通局、市地方海事局、岳阳海事局、市建设局、市城管局、市卫计委、市水务局、市铁山管理局、市林业局、市政府新闻办、市气象局、市财政局、市通信部门负责人为指挥部成员。市环境应急指挥部办公室设市环保局，由市环保局局长兼任办公室主任。</w:t>
      </w:r>
    </w:p>
    <w:p>
      <w:pPr>
        <w:pStyle w:val="32"/>
        <w:spacing w:before="0" w:beforeAutospacing="0" w:after="0" w:afterAutospacing="0" w:line="360" w:lineRule="auto"/>
        <w:ind w:firstLine="480" w:firstLineChars="200"/>
        <w:jc w:val="both"/>
        <w:rPr>
          <w:color w:val="000000" w:themeColor="text1"/>
          <w:u w:val="single"/>
        </w:rPr>
      </w:pPr>
      <w:r>
        <w:rPr>
          <w:rFonts w:hint="eastAsia"/>
          <w:color w:val="000000" w:themeColor="text1"/>
          <w:u w:val="single"/>
          <w:shd w:val="clear" w:color="auto" w:fill="FFFFFF"/>
        </w:rPr>
        <w:t>职责方面：组织协调全市突发环境事件的应对工作，制订有关突发环境事件应急处置措施；建立和完善突发环境事件的预警、预测和监测系统；开展应急处置和现场监测的人员培训，组织预案演练活动；承担市环境应急指挥部交办的其它工作。</w:t>
      </w:r>
    </w:p>
    <w:p>
      <w:pPr>
        <w:jc w:val="left"/>
        <w:rPr>
          <w:rStyle w:val="99"/>
          <w:bCs/>
          <w:color w:val="000000" w:themeColor="text1"/>
          <w:sz w:val="24"/>
          <w:szCs w:val="28"/>
          <w:u w:val="single"/>
        </w:rPr>
      </w:pPr>
      <w:r>
        <w:rPr>
          <w:rStyle w:val="99"/>
          <w:bCs/>
          <w:color w:val="000000" w:themeColor="text1"/>
          <w:sz w:val="24"/>
          <w:szCs w:val="28"/>
          <w:u w:val="single"/>
        </w:rPr>
        <w:t>事件分级方面：</w:t>
      </w:r>
      <w:r>
        <w:rPr>
          <w:rStyle w:val="99"/>
          <w:rFonts w:hint="eastAsia"/>
          <w:bCs/>
          <w:color w:val="000000" w:themeColor="text1"/>
          <w:sz w:val="24"/>
          <w:szCs w:val="28"/>
          <w:u w:val="single"/>
        </w:rPr>
        <w:t>岳</w:t>
      </w:r>
      <w:r>
        <w:rPr>
          <w:rStyle w:val="99"/>
          <w:bCs/>
          <w:color w:val="000000" w:themeColor="text1"/>
          <w:sz w:val="24"/>
          <w:szCs w:val="28"/>
          <w:u w:val="single"/>
        </w:rPr>
        <w:t>阳市环境</w:t>
      </w:r>
      <w:r>
        <w:rPr>
          <w:rStyle w:val="99"/>
          <w:rFonts w:hint="eastAsia"/>
          <w:bCs/>
          <w:color w:val="000000" w:themeColor="text1"/>
          <w:sz w:val="24"/>
          <w:szCs w:val="28"/>
          <w:u w:val="single"/>
        </w:rPr>
        <w:t>污染突发</w:t>
      </w:r>
      <w:r>
        <w:rPr>
          <w:rStyle w:val="99"/>
          <w:bCs/>
          <w:color w:val="000000" w:themeColor="text1"/>
          <w:sz w:val="24"/>
          <w:szCs w:val="28"/>
          <w:u w:val="single"/>
        </w:rPr>
        <w:t>事件应急预案按国家相关规定对突发环境事件进行分级，明确相应级别的响应行动与信息报告等程序，本预案对突发环境事件的等级划分为方便内部响应而设，事件的定级可可与国家的相关规定实现对接。</w:t>
      </w:r>
    </w:p>
    <w:p>
      <w:pPr>
        <w:pStyle w:val="5"/>
        <w:rPr>
          <w:color w:val="000000" w:themeColor="text1"/>
          <w:u w:val="single"/>
        </w:rPr>
      </w:pPr>
      <w:bookmarkStart w:id="53" w:name="_Toc392401045"/>
      <w:bookmarkStart w:id="54" w:name="_Toc405372204"/>
      <w:r>
        <w:rPr>
          <w:rFonts w:hint="eastAsia"/>
          <w:color w:val="000000" w:themeColor="text1"/>
          <w:u w:val="single"/>
        </w:rPr>
        <w:t>1</w:t>
      </w:r>
      <w:r>
        <w:rPr>
          <w:color w:val="000000" w:themeColor="text1"/>
          <w:u w:val="single"/>
        </w:rPr>
        <w:t>.</w:t>
      </w:r>
      <w:r>
        <w:rPr>
          <w:rFonts w:hint="eastAsia"/>
          <w:color w:val="000000" w:themeColor="text1"/>
          <w:u w:val="single"/>
        </w:rPr>
        <w:t>4</w:t>
      </w:r>
      <w:r>
        <w:rPr>
          <w:color w:val="000000" w:themeColor="text1"/>
          <w:u w:val="single"/>
        </w:rPr>
        <w:t>.</w:t>
      </w:r>
      <w:r>
        <w:rPr>
          <w:rFonts w:hint="eastAsia"/>
          <w:color w:val="000000" w:themeColor="text1"/>
          <w:u w:val="single"/>
        </w:rPr>
        <w:t>3</w:t>
      </w:r>
      <w:r>
        <w:rPr>
          <w:color w:val="000000" w:themeColor="text1"/>
          <w:u w:val="single"/>
        </w:rPr>
        <w:t>与</w:t>
      </w:r>
      <w:r>
        <w:rPr>
          <w:rFonts w:hint="eastAsia"/>
          <w:color w:val="000000" w:themeColor="text1"/>
          <w:u w:val="single"/>
        </w:rPr>
        <w:t>岳阳市城市供水事故应急预案</w:t>
      </w:r>
      <w:r>
        <w:rPr>
          <w:color w:val="000000" w:themeColor="text1"/>
          <w:u w:val="single"/>
        </w:rPr>
        <w:t>的衔接</w:t>
      </w:r>
      <w:bookmarkEnd w:id="53"/>
      <w:bookmarkEnd w:id="54"/>
    </w:p>
    <w:p>
      <w:pPr>
        <w:pStyle w:val="32"/>
        <w:spacing w:before="0" w:beforeAutospacing="0" w:after="0" w:afterAutospacing="0" w:line="360" w:lineRule="auto"/>
        <w:ind w:firstLine="420"/>
        <w:jc w:val="both"/>
        <w:rPr>
          <w:color w:val="000000" w:themeColor="text1"/>
          <w:u w:val="single"/>
        </w:rPr>
      </w:pPr>
      <w:r>
        <w:rPr>
          <w:rFonts w:hint="eastAsia"/>
          <w:color w:val="000000" w:themeColor="text1"/>
          <w:u w:val="single"/>
        </w:rPr>
        <w:t>《岳阳市城市供水事故应急预案》</w:t>
      </w:r>
      <w:r>
        <w:rPr>
          <w:rFonts w:hint="eastAsia"/>
          <w:color w:val="000000" w:themeColor="text1"/>
          <w:u w:val="single"/>
          <w:shd w:val="clear" w:color="auto" w:fill="FFFFFF"/>
        </w:rPr>
        <w:t>用于本市岳阳市城市供水事故的防范和应急处置。</w:t>
      </w:r>
    </w:p>
    <w:p>
      <w:pPr>
        <w:pStyle w:val="32"/>
        <w:spacing w:before="0" w:beforeAutospacing="0" w:after="0" w:afterAutospacing="0" w:line="360" w:lineRule="auto"/>
        <w:ind w:firstLine="480" w:firstLineChars="200"/>
        <w:jc w:val="both"/>
        <w:rPr>
          <w:color w:val="000000" w:themeColor="text1"/>
          <w:u w:val="single"/>
        </w:rPr>
      </w:pPr>
      <w:r>
        <w:rPr>
          <w:rFonts w:hint="eastAsia"/>
          <w:color w:val="000000" w:themeColor="text1"/>
          <w:u w:val="single"/>
        </w:rPr>
        <w:t>组织机构方面：</w:t>
      </w:r>
      <w:r>
        <w:rPr>
          <w:rFonts w:hint="eastAsia"/>
          <w:color w:val="000000" w:themeColor="text1"/>
          <w:u w:val="single"/>
          <w:shd w:val="clear" w:color="auto" w:fill="FFFFFF"/>
        </w:rPr>
        <w:t>市、县市区人民政府设立城市供水事故应急指挥部，由市人民政府分管副市长任指挥长，市人民政府分管副秘书长、市铁山管理局局长、市水务局分管副局长任副指挥长，市铁山管理局、市水务局、市建设局、市城管局、市卫计委、市公安局、市财政局、市安监局、市劳动保障局、市民政局、市环保局、市总工会、岳阳电业局、市消防支队、市武警支队、市政府新闻办、市自来水公司负责人为成员。市供水事故应急指挥部办公室设在市铁山管理局，由市铁山管理局局长兼任办公室主任。</w:t>
      </w:r>
    </w:p>
    <w:p>
      <w:pPr>
        <w:jc w:val="left"/>
        <w:rPr>
          <w:color w:val="000000" w:themeColor="text1"/>
          <w:u w:val="single"/>
        </w:rPr>
      </w:pPr>
      <w:r>
        <w:rPr>
          <w:color w:val="000000" w:themeColor="text1"/>
          <w:u w:val="single"/>
        </w:rPr>
        <w:t>由于本预案范围为饮用水源保护区，若发生水质污染事件，必须立即启动</w:t>
      </w:r>
      <w:r>
        <w:rPr>
          <w:rFonts w:hint="eastAsia"/>
          <w:color w:val="000000" w:themeColor="text1"/>
          <w:u w:val="single"/>
        </w:rPr>
        <w:t>岳阳市城市供水事故</w:t>
      </w:r>
      <w:r>
        <w:rPr>
          <w:color w:val="000000" w:themeColor="text1"/>
          <w:u w:val="single"/>
        </w:rPr>
        <w:t>应急预案。因此，本应急预案应与</w:t>
      </w:r>
      <w:r>
        <w:rPr>
          <w:rFonts w:hint="eastAsia"/>
          <w:color w:val="000000" w:themeColor="text1"/>
          <w:u w:val="single"/>
        </w:rPr>
        <w:t>岳阳市城市供水事故</w:t>
      </w:r>
      <w:r>
        <w:rPr>
          <w:color w:val="000000" w:themeColor="text1"/>
          <w:u w:val="single"/>
        </w:rPr>
        <w:t>应急预案相衔接。</w:t>
      </w:r>
    </w:p>
    <w:p>
      <w:pPr>
        <w:jc w:val="left"/>
        <w:rPr>
          <w:color w:val="000000" w:themeColor="text1"/>
          <w:u w:val="single"/>
        </w:rPr>
      </w:pPr>
      <w:r>
        <w:rPr>
          <w:color w:val="000000" w:themeColor="text1"/>
          <w:u w:val="single"/>
        </w:rPr>
        <w:t>在发生水源受到污染的情况下，需要立即通知自来水厂立即启动相应的应急响应，由自来水厂采取</w:t>
      </w:r>
      <w:r>
        <w:rPr>
          <w:rFonts w:hint="eastAsia"/>
          <w:color w:val="000000" w:themeColor="text1"/>
          <w:u w:val="single"/>
        </w:rPr>
        <w:t>相应</w:t>
      </w:r>
      <w:r>
        <w:rPr>
          <w:color w:val="000000" w:themeColor="text1"/>
          <w:u w:val="single"/>
        </w:rPr>
        <w:t>的应急措施</w:t>
      </w:r>
      <w:r>
        <w:rPr>
          <w:rFonts w:hint="eastAsia"/>
          <w:color w:val="000000" w:themeColor="text1"/>
          <w:u w:val="single"/>
        </w:rPr>
        <w:t>，保证出厂水质达标</w:t>
      </w:r>
      <w:r>
        <w:rPr>
          <w:color w:val="000000" w:themeColor="text1"/>
          <w:u w:val="single"/>
        </w:rPr>
        <w:t>。</w:t>
      </w:r>
    </w:p>
    <w:p>
      <w:pPr>
        <w:pStyle w:val="3"/>
        <w:widowControl/>
        <w:rPr>
          <w:color w:val="000000" w:themeColor="text1"/>
          <w:szCs w:val="28"/>
        </w:rPr>
      </w:pPr>
      <w:bookmarkStart w:id="55" w:name="_Toc535851303"/>
      <w:r>
        <w:rPr>
          <w:color w:val="000000" w:themeColor="text1"/>
          <w:szCs w:val="28"/>
        </w:rPr>
        <w:t>1.</w:t>
      </w:r>
      <w:r>
        <w:rPr>
          <w:rFonts w:hint="eastAsia"/>
          <w:color w:val="000000" w:themeColor="text1"/>
          <w:szCs w:val="28"/>
        </w:rPr>
        <w:t>6</w:t>
      </w:r>
      <w:r>
        <w:rPr>
          <w:color w:val="000000" w:themeColor="text1"/>
          <w:szCs w:val="28"/>
        </w:rPr>
        <w:t xml:space="preserve"> 工作原则</w:t>
      </w:r>
      <w:bookmarkEnd w:id="44"/>
      <w:bookmarkEnd w:id="45"/>
      <w:bookmarkEnd w:id="46"/>
      <w:bookmarkEnd w:id="47"/>
      <w:bookmarkEnd w:id="48"/>
      <w:bookmarkEnd w:id="49"/>
      <w:bookmarkEnd w:id="50"/>
      <w:bookmarkEnd w:id="51"/>
      <w:bookmarkEnd w:id="52"/>
      <w:bookmarkEnd w:id="55"/>
    </w:p>
    <w:p>
      <w:r>
        <w:rPr>
          <w:rFonts w:hint="eastAsia" w:cs="宋体"/>
          <w:szCs w:val="24"/>
        </w:rPr>
        <w:t>应对水源地突发环境事件时，组织体系一般采取统一领导、分工负责、协调联动的原则；应对措施一般采取快速反应、科学处置、资源共享、保障有力的原则。贯彻如下原则：</w:t>
      </w:r>
    </w:p>
    <w:p>
      <w:pPr>
        <w:pStyle w:val="5"/>
      </w:pPr>
      <w:r>
        <w:rPr>
          <w:rFonts w:hint="eastAsia"/>
        </w:rPr>
        <w:t>1.6.1统一领导、分工负责、协调联动</w:t>
      </w:r>
    </w:p>
    <w:p>
      <w:r>
        <w:rPr>
          <w:rFonts w:hint="eastAsia" w:cs="宋体"/>
          <w:szCs w:val="24"/>
        </w:rPr>
        <w:t>在应急处置过程中，应急组织体系应坚持统一领导、分工负责、协调联动的原则。加强对环境事件应急处置过程领导协调、分工协作，确保应急处置工作快速有效开展。</w:t>
      </w:r>
    </w:p>
    <w:p>
      <w:r>
        <w:rPr>
          <w:rFonts w:hint="eastAsia" w:cs="宋体"/>
          <w:szCs w:val="24"/>
        </w:rPr>
        <w:t>成立应急指挥机构，机构各小组职责与相关职能部门职责相结合，加强宣传和培训教育工作，提高各部门应对各类突发环境事件的综合素质。</w:t>
      </w:r>
    </w:p>
    <w:p>
      <w:pPr>
        <w:pStyle w:val="5"/>
      </w:pPr>
      <w:r>
        <w:rPr>
          <w:rFonts w:hint="eastAsia"/>
        </w:rPr>
        <w:t>1.6.2快速反应、科学处置、资源共享、保障有力</w:t>
      </w:r>
    </w:p>
    <w:p>
      <w:r>
        <w:rPr>
          <w:rFonts w:hint="eastAsia" w:cs="宋体"/>
          <w:szCs w:val="24"/>
        </w:rPr>
        <w:t>应急处置过程中积极做好应对突发性环境污染事故的思想、物资、技术和工作准备，加强培训演习，应急系统做到常备不懈，做到应急快速有效。</w:t>
      </w:r>
    </w:p>
    <w:p>
      <w:r>
        <w:rPr>
          <w:rFonts w:hint="eastAsia" w:cs="宋体"/>
          <w:szCs w:val="24"/>
        </w:rPr>
        <w:t>依据国家法律法规，本着对国家、社会和公众高度负责的态度，加强应急管理，使应急工作快速响应、规范化、科学化、制度化。</w:t>
      </w:r>
    </w:p>
    <w:p>
      <w:pPr>
        <w:rPr>
          <w:color w:val="000000" w:themeColor="text1"/>
          <w:highlight w:val="yellow"/>
        </w:rPr>
      </w:pPr>
    </w:p>
    <w:p>
      <w:pPr>
        <w:rPr>
          <w:color w:val="000000" w:themeColor="text1"/>
        </w:rPr>
      </w:pPr>
      <w:r>
        <w:rPr>
          <w:color w:val="000000" w:themeColor="text1"/>
        </w:rPr>
        <w:br w:type="page"/>
      </w:r>
    </w:p>
    <w:p>
      <w:pPr>
        <w:pStyle w:val="85"/>
        <w:spacing w:beforeLines="0" w:afterLines="0"/>
        <w:jc w:val="center"/>
        <w:rPr>
          <w:color w:val="000000" w:themeColor="text1"/>
        </w:rPr>
      </w:pPr>
      <w:bookmarkStart w:id="56" w:name="_Toc485201086"/>
      <w:bookmarkStart w:id="57" w:name="_Toc482605483"/>
      <w:bookmarkStart w:id="58" w:name="_Toc535851304"/>
      <w:r>
        <w:rPr>
          <w:rFonts w:hint="eastAsia"/>
          <w:color w:val="000000" w:themeColor="text1"/>
        </w:rPr>
        <w:t>2</w:t>
      </w:r>
      <w:bookmarkEnd w:id="56"/>
      <w:bookmarkEnd w:id="57"/>
      <w:r>
        <w:rPr>
          <w:rFonts w:hint="eastAsia"/>
          <w:color w:val="000000" w:themeColor="text1"/>
        </w:rPr>
        <w:t>应急组织指挥体系</w:t>
      </w:r>
      <w:bookmarkEnd w:id="58"/>
    </w:p>
    <w:p>
      <w:pPr>
        <w:pStyle w:val="3"/>
        <w:widowControl/>
        <w:rPr>
          <w:color w:val="000000" w:themeColor="text1"/>
          <w:szCs w:val="28"/>
        </w:rPr>
      </w:pPr>
      <w:bookmarkStart w:id="59" w:name="_Toc535851305"/>
      <w:bookmarkStart w:id="60" w:name="_Toc28717"/>
      <w:bookmarkStart w:id="61" w:name="_Toc19032"/>
      <w:bookmarkStart w:id="62" w:name="_Toc10529"/>
      <w:bookmarkStart w:id="63" w:name="_Toc482605484"/>
      <w:bookmarkStart w:id="64" w:name="_Toc3138"/>
      <w:bookmarkStart w:id="65" w:name="_Toc14929"/>
      <w:bookmarkStart w:id="66" w:name="_Toc485201087"/>
      <w:bookmarkStart w:id="67" w:name="_Toc2453"/>
      <w:bookmarkStart w:id="68" w:name="_Toc20770"/>
      <w:bookmarkStart w:id="69" w:name="_Toc9321"/>
      <w:bookmarkStart w:id="70" w:name="_Toc25833"/>
      <w:bookmarkStart w:id="71" w:name="_Toc1888"/>
      <w:bookmarkStart w:id="72" w:name="_Toc1641"/>
      <w:r>
        <w:rPr>
          <w:rFonts w:hint="eastAsia"/>
          <w:color w:val="000000" w:themeColor="text1"/>
          <w:szCs w:val="28"/>
        </w:rPr>
        <w:t>2.1应急组织指挥机构</w:t>
      </w:r>
      <w:bookmarkEnd w:id="59"/>
    </w:p>
    <w:p>
      <w:pPr>
        <w:rPr>
          <w:color w:val="000000" w:themeColor="text1"/>
        </w:rPr>
      </w:pPr>
      <w:r>
        <w:rPr>
          <w:rFonts w:hint="eastAsia"/>
          <w:color w:val="000000" w:themeColor="text1"/>
        </w:rPr>
        <w:t>为有效预防突发环境事故发生，并能做到在事故发生后能迅速有效地实现控制和处理，最大程度地减少事故所带来的损失，按照“预防为主、自救为主、统一指挥、分工负责”的原则成立应急领导小组。当发生突发事故时，应急领导小组能尽快采取有效的措施第一时间投入紧急事故的处理，以防事态进一步扩大。</w:t>
      </w:r>
    </w:p>
    <w:p>
      <w:pPr>
        <w:rPr>
          <w:color w:val="000000" w:themeColor="text1"/>
        </w:rPr>
      </w:pPr>
      <w:r>
        <w:rPr>
          <w:rFonts w:hint="eastAsia"/>
          <w:color w:val="000000" w:themeColor="text1"/>
        </w:rPr>
        <w:t>综合考虑岳阳市饮用水源保护区（铁山水库-北干渠-金凤水库）的实际情况，应急组织指挥机构由岳阳市饮用水源保护区（铁山水库-北干渠-金凤水库）突发环境事件应急指挥部、岳阳市饮用水源保护区（铁山水库-北干渠-金凤水库）突发环境事件应急办公室、岳阳市饮用水源保护区（铁山水库-北干渠-金凤水库）突发环境事件应急处置工作组组成。</w:t>
      </w:r>
    </w:p>
    <w:p>
      <w:pPr>
        <w:pStyle w:val="3"/>
        <w:widowControl/>
        <w:rPr>
          <w:color w:val="000000" w:themeColor="text1"/>
          <w:szCs w:val="28"/>
        </w:rPr>
      </w:pPr>
      <w:bookmarkStart w:id="73" w:name="_Toc535851306"/>
      <w:r>
        <w:rPr>
          <w:rFonts w:hint="eastAsia"/>
          <w:color w:val="000000" w:themeColor="text1"/>
          <w:szCs w:val="28"/>
        </w:rPr>
        <w:t>2.2现场应急指挥部</w:t>
      </w:r>
      <w:bookmarkEnd w:id="73"/>
    </w:p>
    <w:p>
      <w:r>
        <w:rPr>
          <w:rFonts w:hint="eastAsia"/>
        </w:rPr>
        <w:t>由岳阳市人民政府分管副市长任指挥长，岳阳市人民政府分管副秘书长和岳阳市铁山供水工程管理局局长任副指挥长，岳阳市铁山供水工程管理局分管副局长任办公室主任，指挥部办公室设在岳阳市铁山供水工程管理局，主要成员有：</w:t>
      </w:r>
      <w:r>
        <w:rPr>
          <w:rFonts w:hint="eastAsia" w:ascii="宋体" w:hAnsi="宋体" w:cs="宋体"/>
          <w:szCs w:val="24"/>
        </w:rPr>
        <w:t>市财政局、市公安局、市民政局、市住建局、市城管局、市环保局、市水务局、市卫计委、市铁山局、市气象局、市公安消防支队、市政府新闻办、市农委、国网岳阳供电公司、市自来水公司、平江县政府、岳阳县政府、临湘市政府、岳阳经济技术开发区管委会等</w:t>
      </w:r>
      <w:r>
        <w:rPr>
          <w:rFonts w:hint="eastAsia"/>
        </w:rPr>
        <w:t>。</w:t>
      </w:r>
    </w:p>
    <w:p>
      <w:r>
        <w:rPr>
          <w:rFonts w:hint="eastAsia"/>
        </w:rPr>
        <w:t>应急指挥部成员构成如表2-1所示。</w:t>
      </w:r>
    </w:p>
    <w:p>
      <w:pPr>
        <w:ind w:firstLine="422"/>
        <w:jc w:val="center"/>
        <w:rPr>
          <w:b/>
          <w:bCs/>
          <w:sz w:val="21"/>
          <w:szCs w:val="21"/>
        </w:rPr>
      </w:pPr>
      <w:r>
        <w:rPr>
          <w:rFonts w:hint="eastAsia"/>
          <w:b/>
          <w:bCs/>
          <w:sz w:val="21"/>
          <w:szCs w:val="21"/>
        </w:rPr>
        <w:t>表2-1 应急指挥部成员构成</w:t>
      </w:r>
    </w:p>
    <w:tbl>
      <w:tblPr>
        <w:tblStyle w:val="47"/>
        <w:tblW w:w="9571" w:type="dxa"/>
        <w:tblInd w:w="0" w:type="dxa"/>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
      <w:tblGrid>
        <w:gridCol w:w="1571"/>
        <w:gridCol w:w="3358"/>
        <w:gridCol w:w="1198"/>
        <w:gridCol w:w="1612"/>
        <w:gridCol w:w="1832"/>
      </w:tblGrid>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trPr>
        <w:tc>
          <w:tcPr>
            <w:tcW w:w="1571" w:type="dxa"/>
            <w:tcBorders>
              <w:tl2br w:val="nil"/>
              <w:tr2bl w:val="nil"/>
            </w:tcBorders>
            <w:shd w:val="clear" w:color="auto" w:fill="auto"/>
            <w:vAlign w:val="center"/>
          </w:tcPr>
          <w:p>
            <w:pPr>
              <w:spacing w:line="240" w:lineRule="auto"/>
              <w:ind w:firstLine="0" w:firstLineChars="0"/>
              <w:jc w:val="center"/>
              <w:rPr>
                <w:sz w:val="21"/>
                <w:szCs w:val="21"/>
              </w:rPr>
            </w:pPr>
          </w:p>
        </w:tc>
        <w:tc>
          <w:tcPr>
            <w:tcW w:w="3358" w:type="dxa"/>
            <w:tcBorders>
              <w:tl2br w:val="nil"/>
              <w:tr2bl w:val="nil"/>
            </w:tcBorders>
            <w:shd w:val="clear" w:color="auto" w:fill="auto"/>
            <w:vAlign w:val="center"/>
          </w:tcPr>
          <w:p>
            <w:pPr>
              <w:spacing w:line="240" w:lineRule="auto"/>
              <w:ind w:firstLine="0" w:firstLineChars="0"/>
              <w:jc w:val="center"/>
              <w:rPr>
                <w:b/>
                <w:sz w:val="21"/>
                <w:szCs w:val="21"/>
              </w:rPr>
            </w:pPr>
            <w:r>
              <w:rPr>
                <w:rFonts w:hAnsi="宋体"/>
                <w:b/>
                <w:sz w:val="21"/>
                <w:szCs w:val="21"/>
              </w:rPr>
              <w:t>成员单位名称</w:t>
            </w:r>
          </w:p>
        </w:tc>
        <w:tc>
          <w:tcPr>
            <w:tcW w:w="1198" w:type="dxa"/>
            <w:tcBorders>
              <w:tl2br w:val="nil"/>
              <w:tr2bl w:val="nil"/>
            </w:tcBorders>
            <w:vAlign w:val="center"/>
          </w:tcPr>
          <w:p>
            <w:pPr>
              <w:spacing w:line="240" w:lineRule="auto"/>
              <w:ind w:firstLine="0" w:firstLineChars="0"/>
              <w:jc w:val="center"/>
              <w:rPr>
                <w:b/>
                <w:sz w:val="21"/>
                <w:szCs w:val="21"/>
              </w:rPr>
            </w:pPr>
            <w:r>
              <w:rPr>
                <w:rFonts w:hAnsi="宋体"/>
                <w:b/>
                <w:sz w:val="21"/>
                <w:szCs w:val="21"/>
              </w:rPr>
              <w:t>姓名</w:t>
            </w:r>
          </w:p>
        </w:tc>
        <w:tc>
          <w:tcPr>
            <w:tcW w:w="1612" w:type="dxa"/>
            <w:tcBorders>
              <w:tl2br w:val="nil"/>
              <w:tr2bl w:val="nil"/>
            </w:tcBorders>
            <w:shd w:val="clear" w:color="auto" w:fill="auto"/>
            <w:vAlign w:val="center"/>
          </w:tcPr>
          <w:p>
            <w:pPr>
              <w:spacing w:line="240" w:lineRule="auto"/>
              <w:ind w:firstLine="0" w:firstLineChars="0"/>
              <w:jc w:val="center"/>
              <w:rPr>
                <w:b/>
                <w:sz w:val="21"/>
                <w:szCs w:val="21"/>
              </w:rPr>
            </w:pPr>
            <w:r>
              <w:rPr>
                <w:rFonts w:hAnsi="宋体"/>
                <w:b/>
                <w:sz w:val="21"/>
                <w:szCs w:val="21"/>
              </w:rPr>
              <w:t>职务</w:t>
            </w:r>
          </w:p>
        </w:tc>
        <w:tc>
          <w:tcPr>
            <w:tcW w:w="1832" w:type="dxa"/>
            <w:tcBorders>
              <w:tl2br w:val="nil"/>
              <w:tr2bl w:val="nil"/>
            </w:tcBorders>
            <w:shd w:val="clear" w:color="auto" w:fill="auto"/>
            <w:vAlign w:val="center"/>
          </w:tcPr>
          <w:p>
            <w:pPr>
              <w:spacing w:line="240" w:lineRule="auto"/>
              <w:ind w:firstLine="0" w:firstLineChars="0"/>
              <w:jc w:val="center"/>
              <w:rPr>
                <w:b/>
                <w:sz w:val="21"/>
                <w:szCs w:val="21"/>
                <w:shd w:val="clear" w:color="auto" w:fill="FFFFFF"/>
              </w:rPr>
            </w:pPr>
            <w:r>
              <w:rPr>
                <w:rFonts w:hAnsi="宋体"/>
                <w:b/>
                <w:sz w:val="21"/>
                <w:szCs w:val="21"/>
                <w:shd w:val="clear" w:color="auto" w:fill="FFFFFF"/>
              </w:rPr>
              <w:t>值班电话</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trPr>
        <w:tc>
          <w:tcPr>
            <w:tcW w:w="1571" w:type="dxa"/>
            <w:tcBorders>
              <w:tl2br w:val="nil"/>
              <w:tr2bl w:val="nil"/>
            </w:tcBorders>
            <w:shd w:val="clear" w:color="auto" w:fill="auto"/>
            <w:vAlign w:val="center"/>
          </w:tcPr>
          <w:p>
            <w:pPr>
              <w:spacing w:line="240" w:lineRule="auto"/>
              <w:ind w:firstLine="0" w:firstLineChars="0"/>
              <w:jc w:val="center"/>
              <w:rPr>
                <w:sz w:val="21"/>
                <w:szCs w:val="21"/>
              </w:rPr>
            </w:pPr>
            <w:r>
              <w:rPr>
                <w:rFonts w:hAnsi="宋体"/>
                <w:sz w:val="21"/>
                <w:szCs w:val="21"/>
              </w:rPr>
              <w:t>指挥长</w:t>
            </w:r>
          </w:p>
        </w:tc>
        <w:tc>
          <w:tcPr>
            <w:tcW w:w="3358" w:type="dxa"/>
            <w:tcBorders>
              <w:tl2br w:val="nil"/>
              <w:tr2bl w:val="nil"/>
            </w:tcBorders>
            <w:shd w:val="clear" w:color="auto" w:fill="auto"/>
            <w:vAlign w:val="center"/>
          </w:tcPr>
          <w:p>
            <w:pPr>
              <w:spacing w:line="240" w:lineRule="auto"/>
              <w:ind w:firstLine="0" w:firstLineChars="0"/>
              <w:jc w:val="center"/>
              <w:rPr>
                <w:sz w:val="21"/>
                <w:szCs w:val="21"/>
              </w:rPr>
            </w:pPr>
            <w:r>
              <w:rPr>
                <w:rFonts w:hAnsi="宋体"/>
                <w:sz w:val="21"/>
                <w:szCs w:val="21"/>
              </w:rPr>
              <w:t>岳阳市人民政府</w:t>
            </w:r>
          </w:p>
        </w:tc>
        <w:tc>
          <w:tcPr>
            <w:tcW w:w="1198" w:type="dxa"/>
            <w:tcBorders>
              <w:tl2br w:val="nil"/>
              <w:tr2bl w:val="nil"/>
            </w:tcBorders>
            <w:vAlign w:val="center"/>
          </w:tcPr>
          <w:p>
            <w:pPr>
              <w:spacing w:line="240" w:lineRule="auto"/>
              <w:ind w:firstLine="0" w:firstLineChars="0"/>
              <w:jc w:val="center"/>
              <w:rPr>
                <w:sz w:val="21"/>
                <w:szCs w:val="21"/>
              </w:rPr>
            </w:pPr>
            <w:r>
              <w:rPr>
                <w:rFonts w:hAnsi="宋体"/>
                <w:sz w:val="21"/>
                <w:szCs w:val="21"/>
              </w:rPr>
              <w:t>李激扬</w:t>
            </w:r>
          </w:p>
        </w:tc>
        <w:tc>
          <w:tcPr>
            <w:tcW w:w="1612" w:type="dxa"/>
            <w:tcBorders>
              <w:tl2br w:val="nil"/>
              <w:tr2bl w:val="nil"/>
            </w:tcBorders>
            <w:shd w:val="clear" w:color="auto" w:fill="auto"/>
            <w:vAlign w:val="center"/>
          </w:tcPr>
          <w:p>
            <w:pPr>
              <w:spacing w:line="240" w:lineRule="auto"/>
              <w:ind w:firstLine="0" w:firstLineChars="0"/>
              <w:jc w:val="center"/>
              <w:rPr>
                <w:sz w:val="21"/>
                <w:szCs w:val="21"/>
              </w:rPr>
            </w:pPr>
            <w:r>
              <w:rPr>
                <w:rFonts w:hAnsi="宋体"/>
                <w:sz w:val="21"/>
                <w:szCs w:val="21"/>
              </w:rPr>
              <w:t>副市长</w:t>
            </w:r>
          </w:p>
        </w:tc>
        <w:tc>
          <w:tcPr>
            <w:tcW w:w="1832" w:type="dxa"/>
            <w:tcBorders>
              <w:tl2br w:val="nil"/>
              <w:tr2bl w:val="nil"/>
            </w:tcBorders>
            <w:shd w:val="clear" w:color="auto" w:fill="auto"/>
            <w:vAlign w:val="center"/>
          </w:tcPr>
          <w:p>
            <w:pPr>
              <w:spacing w:line="240" w:lineRule="auto"/>
              <w:ind w:firstLine="0" w:firstLineChars="0"/>
              <w:jc w:val="center"/>
              <w:rPr>
                <w:sz w:val="21"/>
                <w:szCs w:val="21"/>
              </w:rPr>
            </w:pPr>
            <w:r>
              <w:rPr>
                <w:sz w:val="21"/>
                <w:szCs w:val="21"/>
              </w:rPr>
              <w:t>8880225</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trPr>
        <w:tc>
          <w:tcPr>
            <w:tcW w:w="1571" w:type="dxa"/>
            <w:vMerge w:val="restart"/>
            <w:tcBorders>
              <w:tl2br w:val="nil"/>
              <w:tr2bl w:val="nil"/>
            </w:tcBorders>
            <w:shd w:val="clear" w:color="auto" w:fill="auto"/>
            <w:vAlign w:val="center"/>
          </w:tcPr>
          <w:p>
            <w:pPr>
              <w:spacing w:line="240" w:lineRule="auto"/>
              <w:ind w:firstLine="0" w:firstLineChars="0"/>
              <w:jc w:val="center"/>
              <w:rPr>
                <w:sz w:val="21"/>
                <w:szCs w:val="21"/>
              </w:rPr>
            </w:pPr>
            <w:r>
              <w:rPr>
                <w:rFonts w:hAnsi="宋体"/>
                <w:sz w:val="21"/>
                <w:szCs w:val="21"/>
              </w:rPr>
              <w:t>副指挥长</w:t>
            </w:r>
          </w:p>
        </w:tc>
        <w:tc>
          <w:tcPr>
            <w:tcW w:w="3358" w:type="dxa"/>
            <w:tcBorders>
              <w:tl2br w:val="nil"/>
              <w:tr2bl w:val="nil"/>
            </w:tcBorders>
            <w:shd w:val="clear" w:color="auto" w:fill="auto"/>
            <w:vAlign w:val="center"/>
          </w:tcPr>
          <w:p>
            <w:pPr>
              <w:spacing w:line="240" w:lineRule="auto"/>
              <w:ind w:firstLine="0" w:firstLineChars="0"/>
              <w:jc w:val="center"/>
              <w:rPr>
                <w:sz w:val="21"/>
                <w:szCs w:val="21"/>
              </w:rPr>
            </w:pPr>
            <w:r>
              <w:rPr>
                <w:rFonts w:hAnsi="宋体"/>
                <w:sz w:val="21"/>
                <w:szCs w:val="21"/>
              </w:rPr>
              <w:t>岳阳市人民政府</w:t>
            </w:r>
          </w:p>
        </w:tc>
        <w:tc>
          <w:tcPr>
            <w:tcW w:w="1198" w:type="dxa"/>
            <w:tcBorders>
              <w:tl2br w:val="nil"/>
              <w:tr2bl w:val="nil"/>
            </w:tcBorders>
            <w:vAlign w:val="center"/>
          </w:tcPr>
          <w:p>
            <w:pPr>
              <w:spacing w:line="240" w:lineRule="auto"/>
              <w:ind w:firstLine="0" w:firstLineChars="0"/>
              <w:jc w:val="center"/>
              <w:rPr>
                <w:sz w:val="21"/>
                <w:szCs w:val="21"/>
              </w:rPr>
            </w:pPr>
            <w:r>
              <w:rPr>
                <w:rFonts w:hAnsi="宋体"/>
                <w:sz w:val="21"/>
                <w:szCs w:val="21"/>
              </w:rPr>
              <w:t>刘传汉</w:t>
            </w:r>
          </w:p>
        </w:tc>
        <w:tc>
          <w:tcPr>
            <w:tcW w:w="1612" w:type="dxa"/>
            <w:tcBorders>
              <w:tl2br w:val="nil"/>
              <w:tr2bl w:val="nil"/>
            </w:tcBorders>
            <w:shd w:val="clear" w:color="auto" w:fill="auto"/>
            <w:vAlign w:val="center"/>
          </w:tcPr>
          <w:p>
            <w:pPr>
              <w:spacing w:line="240" w:lineRule="auto"/>
              <w:ind w:firstLine="0" w:firstLineChars="0"/>
              <w:jc w:val="center"/>
              <w:rPr>
                <w:sz w:val="21"/>
                <w:szCs w:val="21"/>
              </w:rPr>
            </w:pPr>
            <w:r>
              <w:rPr>
                <w:rFonts w:hAnsi="宋体"/>
                <w:sz w:val="21"/>
                <w:szCs w:val="21"/>
              </w:rPr>
              <w:t>秘书长</w:t>
            </w:r>
          </w:p>
        </w:tc>
        <w:tc>
          <w:tcPr>
            <w:tcW w:w="1832" w:type="dxa"/>
            <w:tcBorders>
              <w:tl2br w:val="nil"/>
              <w:tr2bl w:val="nil"/>
            </w:tcBorders>
            <w:shd w:val="clear" w:color="auto" w:fill="auto"/>
            <w:vAlign w:val="center"/>
          </w:tcPr>
          <w:p>
            <w:pPr>
              <w:spacing w:line="240" w:lineRule="auto"/>
              <w:ind w:firstLine="0" w:firstLineChars="0"/>
              <w:jc w:val="center"/>
              <w:rPr>
                <w:sz w:val="21"/>
                <w:szCs w:val="21"/>
              </w:rPr>
            </w:pPr>
            <w:r>
              <w:rPr>
                <w:sz w:val="21"/>
                <w:szCs w:val="21"/>
              </w:rPr>
              <w:t>8880225</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trPr>
        <w:tc>
          <w:tcPr>
            <w:tcW w:w="1571" w:type="dxa"/>
            <w:vMerge w:val="continue"/>
            <w:tcBorders>
              <w:tl2br w:val="nil"/>
              <w:tr2bl w:val="nil"/>
            </w:tcBorders>
            <w:shd w:val="clear" w:color="auto" w:fill="auto"/>
            <w:vAlign w:val="center"/>
          </w:tcPr>
          <w:p>
            <w:pPr>
              <w:spacing w:line="240" w:lineRule="auto"/>
              <w:ind w:firstLine="0" w:firstLineChars="0"/>
              <w:jc w:val="center"/>
              <w:rPr>
                <w:sz w:val="21"/>
                <w:szCs w:val="21"/>
              </w:rPr>
            </w:pPr>
          </w:p>
        </w:tc>
        <w:tc>
          <w:tcPr>
            <w:tcW w:w="3358" w:type="dxa"/>
            <w:tcBorders>
              <w:tl2br w:val="nil"/>
              <w:tr2bl w:val="nil"/>
            </w:tcBorders>
            <w:shd w:val="clear" w:color="auto" w:fill="auto"/>
            <w:vAlign w:val="center"/>
          </w:tcPr>
          <w:p>
            <w:pPr>
              <w:spacing w:line="240" w:lineRule="auto"/>
              <w:ind w:firstLine="0" w:firstLineChars="0"/>
              <w:jc w:val="center"/>
              <w:rPr>
                <w:sz w:val="21"/>
                <w:szCs w:val="21"/>
              </w:rPr>
            </w:pPr>
            <w:r>
              <w:rPr>
                <w:rFonts w:hAnsi="宋体"/>
                <w:sz w:val="21"/>
                <w:szCs w:val="21"/>
              </w:rPr>
              <w:t>市铁山局</w:t>
            </w:r>
          </w:p>
        </w:tc>
        <w:tc>
          <w:tcPr>
            <w:tcW w:w="1198" w:type="dxa"/>
            <w:tcBorders>
              <w:tl2br w:val="nil"/>
              <w:tr2bl w:val="nil"/>
            </w:tcBorders>
            <w:vAlign w:val="center"/>
          </w:tcPr>
          <w:p>
            <w:pPr>
              <w:spacing w:line="240" w:lineRule="auto"/>
              <w:ind w:firstLine="0" w:firstLineChars="0"/>
              <w:jc w:val="center"/>
              <w:rPr>
                <w:sz w:val="21"/>
                <w:szCs w:val="21"/>
              </w:rPr>
            </w:pPr>
            <w:r>
              <w:rPr>
                <w:rFonts w:hAnsi="宋体"/>
                <w:sz w:val="21"/>
                <w:szCs w:val="21"/>
              </w:rPr>
              <w:t>罗同乐</w:t>
            </w:r>
          </w:p>
        </w:tc>
        <w:tc>
          <w:tcPr>
            <w:tcW w:w="1612" w:type="dxa"/>
            <w:tcBorders>
              <w:tl2br w:val="nil"/>
              <w:tr2bl w:val="nil"/>
            </w:tcBorders>
            <w:shd w:val="clear" w:color="auto" w:fill="auto"/>
            <w:vAlign w:val="center"/>
          </w:tcPr>
          <w:p>
            <w:pPr>
              <w:spacing w:line="240" w:lineRule="auto"/>
              <w:ind w:firstLine="0" w:firstLineChars="0"/>
              <w:jc w:val="center"/>
              <w:rPr>
                <w:sz w:val="21"/>
                <w:szCs w:val="21"/>
              </w:rPr>
            </w:pPr>
            <w:r>
              <w:rPr>
                <w:rFonts w:hAnsi="宋体"/>
                <w:sz w:val="21"/>
                <w:szCs w:val="21"/>
              </w:rPr>
              <w:t>局长</w:t>
            </w:r>
          </w:p>
        </w:tc>
        <w:tc>
          <w:tcPr>
            <w:tcW w:w="1832" w:type="dxa"/>
            <w:tcBorders>
              <w:tl2br w:val="nil"/>
              <w:tr2bl w:val="nil"/>
            </w:tcBorders>
            <w:shd w:val="clear" w:color="auto" w:fill="auto"/>
            <w:vAlign w:val="center"/>
          </w:tcPr>
          <w:p>
            <w:pPr>
              <w:spacing w:line="240" w:lineRule="auto"/>
              <w:ind w:firstLine="0" w:firstLineChars="0"/>
              <w:jc w:val="center"/>
              <w:rPr>
                <w:sz w:val="21"/>
                <w:szCs w:val="21"/>
              </w:rPr>
            </w:pPr>
            <w:r>
              <w:rPr>
                <w:sz w:val="21"/>
                <w:szCs w:val="21"/>
              </w:rPr>
              <w:t>8611559</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trPr>
        <w:tc>
          <w:tcPr>
            <w:tcW w:w="1571" w:type="dxa"/>
            <w:tcBorders>
              <w:tl2br w:val="nil"/>
              <w:tr2bl w:val="nil"/>
            </w:tcBorders>
            <w:shd w:val="clear" w:color="auto" w:fill="auto"/>
            <w:vAlign w:val="center"/>
          </w:tcPr>
          <w:p>
            <w:pPr>
              <w:spacing w:line="240" w:lineRule="auto"/>
              <w:ind w:firstLine="0" w:firstLineChars="0"/>
              <w:jc w:val="center"/>
              <w:rPr>
                <w:sz w:val="21"/>
                <w:szCs w:val="21"/>
              </w:rPr>
            </w:pPr>
            <w:r>
              <w:rPr>
                <w:rFonts w:hAnsi="宋体"/>
                <w:sz w:val="21"/>
                <w:szCs w:val="21"/>
              </w:rPr>
              <w:t>办公室主任</w:t>
            </w:r>
          </w:p>
        </w:tc>
        <w:tc>
          <w:tcPr>
            <w:tcW w:w="3358" w:type="dxa"/>
            <w:tcBorders>
              <w:tl2br w:val="nil"/>
              <w:tr2bl w:val="nil"/>
            </w:tcBorders>
            <w:shd w:val="clear" w:color="auto" w:fill="auto"/>
            <w:vAlign w:val="center"/>
          </w:tcPr>
          <w:p>
            <w:pPr>
              <w:spacing w:line="240" w:lineRule="auto"/>
              <w:ind w:firstLine="0" w:firstLineChars="0"/>
              <w:jc w:val="center"/>
              <w:rPr>
                <w:sz w:val="21"/>
                <w:szCs w:val="21"/>
              </w:rPr>
            </w:pPr>
            <w:r>
              <w:rPr>
                <w:rFonts w:hAnsi="宋体"/>
                <w:sz w:val="21"/>
                <w:szCs w:val="21"/>
              </w:rPr>
              <w:t>市铁山局</w:t>
            </w:r>
          </w:p>
        </w:tc>
        <w:tc>
          <w:tcPr>
            <w:tcW w:w="1198" w:type="dxa"/>
            <w:tcBorders>
              <w:tl2br w:val="nil"/>
              <w:tr2bl w:val="nil"/>
            </w:tcBorders>
            <w:vAlign w:val="center"/>
          </w:tcPr>
          <w:p>
            <w:pPr>
              <w:spacing w:line="240" w:lineRule="auto"/>
              <w:ind w:firstLine="0" w:firstLineChars="0"/>
              <w:jc w:val="center"/>
              <w:rPr>
                <w:sz w:val="21"/>
                <w:szCs w:val="21"/>
              </w:rPr>
            </w:pPr>
            <w:r>
              <w:rPr>
                <w:rFonts w:hAnsi="宋体"/>
                <w:sz w:val="21"/>
                <w:szCs w:val="21"/>
              </w:rPr>
              <w:t>许石兵</w:t>
            </w:r>
          </w:p>
        </w:tc>
        <w:tc>
          <w:tcPr>
            <w:tcW w:w="1612" w:type="dxa"/>
            <w:tcBorders>
              <w:tl2br w:val="nil"/>
              <w:tr2bl w:val="nil"/>
            </w:tcBorders>
            <w:shd w:val="clear" w:color="auto" w:fill="auto"/>
            <w:vAlign w:val="center"/>
          </w:tcPr>
          <w:p>
            <w:pPr>
              <w:spacing w:line="240" w:lineRule="auto"/>
              <w:ind w:firstLine="0" w:firstLineChars="0"/>
              <w:jc w:val="center"/>
              <w:rPr>
                <w:sz w:val="21"/>
                <w:szCs w:val="21"/>
              </w:rPr>
            </w:pPr>
            <w:r>
              <w:rPr>
                <w:rFonts w:hAnsi="宋体"/>
                <w:sz w:val="21"/>
                <w:szCs w:val="21"/>
              </w:rPr>
              <w:t>副局长</w:t>
            </w:r>
          </w:p>
        </w:tc>
        <w:tc>
          <w:tcPr>
            <w:tcW w:w="1832" w:type="dxa"/>
            <w:tcBorders>
              <w:tl2br w:val="nil"/>
              <w:tr2bl w:val="nil"/>
            </w:tcBorders>
            <w:shd w:val="clear" w:color="auto" w:fill="auto"/>
            <w:vAlign w:val="center"/>
          </w:tcPr>
          <w:p>
            <w:pPr>
              <w:spacing w:line="240" w:lineRule="auto"/>
              <w:ind w:firstLine="0" w:firstLineChars="0"/>
              <w:jc w:val="center"/>
              <w:rPr>
                <w:sz w:val="21"/>
                <w:szCs w:val="21"/>
              </w:rPr>
            </w:pPr>
            <w:r>
              <w:rPr>
                <w:sz w:val="21"/>
                <w:szCs w:val="21"/>
              </w:rPr>
              <w:t>8611558</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trPr>
        <w:tc>
          <w:tcPr>
            <w:tcW w:w="1571" w:type="dxa"/>
            <w:vMerge w:val="restart"/>
            <w:tcBorders>
              <w:tl2br w:val="nil"/>
              <w:tr2bl w:val="nil"/>
            </w:tcBorders>
            <w:shd w:val="clear" w:color="auto" w:fill="auto"/>
            <w:vAlign w:val="center"/>
          </w:tcPr>
          <w:p>
            <w:pPr>
              <w:spacing w:line="240" w:lineRule="auto"/>
              <w:ind w:firstLine="0" w:firstLineChars="0"/>
              <w:jc w:val="center"/>
              <w:rPr>
                <w:sz w:val="21"/>
                <w:szCs w:val="21"/>
              </w:rPr>
            </w:pPr>
            <w:r>
              <w:rPr>
                <w:rFonts w:hAnsi="宋体"/>
                <w:kern w:val="0"/>
                <w:sz w:val="21"/>
                <w:szCs w:val="21"/>
              </w:rPr>
              <w:t>突发环境事件应急指挥部成员</w:t>
            </w:r>
          </w:p>
        </w:tc>
        <w:tc>
          <w:tcPr>
            <w:tcW w:w="3358" w:type="dxa"/>
            <w:tcBorders>
              <w:tl2br w:val="nil"/>
              <w:tr2bl w:val="nil"/>
            </w:tcBorders>
            <w:shd w:val="clear" w:color="auto" w:fill="auto"/>
            <w:vAlign w:val="center"/>
          </w:tcPr>
          <w:p>
            <w:pPr>
              <w:spacing w:line="240" w:lineRule="auto"/>
              <w:ind w:firstLine="0" w:firstLineChars="0"/>
              <w:jc w:val="center"/>
              <w:rPr>
                <w:sz w:val="21"/>
                <w:szCs w:val="21"/>
                <w:shd w:val="clear" w:color="auto" w:fill="FFFFFF"/>
              </w:rPr>
            </w:pPr>
            <w:r>
              <w:rPr>
                <w:rFonts w:hAnsi="宋体"/>
                <w:sz w:val="21"/>
                <w:szCs w:val="21"/>
              </w:rPr>
              <w:t>市财政局</w:t>
            </w:r>
          </w:p>
        </w:tc>
        <w:tc>
          <w:tcPr>
            <w:tcW w:w="1198" w:type="dxa"/>
            <w:tcBorders>
              <w:tl2br w:val="nil"/>
              <w:tr2bl w:val="nil"/>
            </w:tcBorders>
            <w:vAlign w:val="center"/>
          </w:tcPr>
          <w:p>
            <w:pPr>
              <w:spacing w:line="240" w:lineRule="auto"/>
              <w:ind w:firstLine="0" w:firstLineChars="0"/>
              <w:jc w:val="center"/>
              <w:rPr>
                <w:sz w:val="21"/>
                <w:szCs w:val="21"/>
                <w:shd w:val="clear" w:color="auto" w:fill="FFFFFF"/>
              </w:rPr>
            </w:pPr>
            <w:r>
              <w:rPr>
                <w:rFonts w:hAnsi="宋体"/>
                <w:sz w:val="21"/>
                <w:szCs w:val="21"/>
                <w:shd w:val="clear" w:color="auto" w:fill="FFFFFF"/>
              </w:rPr>
              <w:t>邹三友</w:t>
            </w:r>
          </w:p>
        </w:tc>
        <w:tc>
          <w:tcPr>
            <w:tcW w:w="1612" w:type="dxa"/>
            <w:tcBorders>
              <w:tl2br w:val="nil"/>
              <w:tr2bl w:val="nil"/>
            </w:tcBorders>
            <w:shd w:val="clear" w:color="auto" w:fill="auto"/>
            <w:vAlign w:val="center"/>
          </w:tcPr>
          <w:p>
            <w:pPr>
              <w:spacing w:line="240" w:lineRule="auto"/>
              <w:ind w:firstLine="0" w:firstLineChars="0"/>
              <w:jc w:val="center"/>
              <w:rPr>
                <w:sz w:val="21"/>
                <w:szCs w:val="21"/>
                <w:shd w:val="clear" w:color="auto" w:fill="FFFFFF"/>
              </w:rPr>
            </w:pPr>
            <w:r>
              <w:rPr>
                <w:rFonts w:hAnsi="宋体"/>
                <w:sz w:val="21"/>
                <w:szCs w:val="21"/>
                <w:shd w:val="clear" w:color="auto" w:fill="FFFFFF"/>
              </w:rPr>
              <w:t>局长</w:t>
            </w:r>
          </w:p>
        </w:tc>
        <w:tc>
          <w:tcPr>
            <w:tcW w:w="1832" w:type="dxa"/>
            <w:tcBorders>
              <w:tl2br w:val="nil"/>
              <w:tr2bl w:val="nil"/>
            </w:tcBorders>
            <w:shd w:val="clear" w:color="auto" w:fill="auto"/>
            <w:vAlign w:val="center"/>
          </w:tcPr>
          <w:p>
            <w:pPr>
              <w:spacing w:line="240" w:lineRule="auto"/>
              <w:ind w:firstLine="0" w:firstLineChars="0"/>
              <w:jc w:val="center"/>
              <w:rPr>
                <w:sz w:val="21"/>
                <w:szCs w:val="21"/>
                <w:shd w:val="clear" w:color="auto" w:fill="FFFFFF"/>
              </w:rPr>
            </w:pPr>
            <w:r>
              <w:rPr>
                <w:sz w:val="21"/>
                <w:szCs w:val="21"/>
              </w:rPr>
              <w:t>8845528</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trPr>
        <w:tc>
          <w:tcPr>
            <w:tcW w:w="1571" w:type="dxa"/>
            <w:vMerge w:val="continue"/>
            <w:tcBorders>
              <w:tl2br w:val="nil"/>
              <w:tr2bl w:val="nil"/>
            </w:tcBorders>
            <w:shd w:val="clear" w:color="auto" w:fill="auto"/>
            <w:vAlign w:val="center"/>
          </w:tcPr>
          <w:p>
            <w:pPr>
              <w:spacing w:line="240" w:lineRule="auto"/>
              <w:ind w:firstLine="0" w:firstLineChars="0"/>
              <w:jc w:val="center"/>
              <w:rPr>
                <w:kern w:val="0"/>
                <w:sz w:val="21"/>
                <w:szCs w:val="21"/>
              </w:rPr>
            </w:pPr>
          </w:p>
        </w:tc>
        <w:tc>
          <w:tcPr>
            <w:tcW w:w="3358" w:type="dxa"/>
            <w:tcBorders>
              <w:tl2br w:val="nil"/>
              <w:tr2bl w:val="nil"/>
            </w:tcBorders>
            <w:shd w:val="clear" w:color="auto" w:fill="auto"/>
            <w:vAlign w:val="center"/>
          </w:tcPr>
          <w:p>
            <w:pPr>
              <w:spacing w:line="240" w:lineRule="auto"/>
              <w:ind w:firstLine="0" w:firstLineChars="0"/>
              <w:jc w:val="center"/>
              <w:rPr>
                <w:sz w:val="21"/>
                <w:szCs w:val="21"/>
              </w:rPr>
            </w:pPr>
            <w:r>
              <w:rPr>
                <w:rFonts w:hAnsi="宋体"/>
                <w:sz w:val="21"/>
                <w:szCs w:val="21"/>
              </w:rPr>
              <w:t>市公安局</w:t>
            </w:r>
          </w:p>
        </w:tc>
        <w:tc>
          <w:tcPr>
            <w:tcW w:w="1198" w:type="dxa"/>
            <w:tcBorders>
              <w:tl2br w:val="nil"/>
              <w:tr2bl w:val="nil"/>
            </w:tcBorders>
            <w:vAlign w:val="center"/>
          </w:tcPr>
          <w:p>
            <w:pPr>
              <w:spacing w:line="240" w:lineRule="auto"/>
              <w:ind w:firstLine="0" w:firstLineChars="0"/>
              <w:jc w:val="center"/>
              <w:rPr>
                <w:sz w:val="21"/>
                <w:szCs w:val="21"/>
                <w:shd w:val="clear" w:color="auto" w:fill="FFFFFF"/>
              </w:rPr>
            </w:pPr>
            <w:r>
              <w:rPr>
                <w:rFonts w:hAnsi="宋体"/>
                <w:sz w:val="21"/>
                <w:szCs w:val="21"/>
                <w:shd w:val="clear" w:color="auto" w:fill="FFFFFF"/>
              </w:rPr>
              <w:t>许雄</w:t>
            </w:r>
          </w:p>
        </w:tc>
        <w:tc>
          <w:tcPr>
            <w:tcW w:w="1612" w:type="dxa"/>
            <w:tcBorders>
              <w:tl2br w:val="nil"/>
              <w:tr2bl w:val="nil"/>
            </w:tcBorders>
            <w:shd w:val="clear" w:color="auto" w:fill="auto"/>
            <w:vAlign w:val="center"/>
          </w:tcPr>
          <w:p>
            <w:pPr>
              <w:spacing w:line="240" w:lineRule="auto"/>
              <w:ind w:firstLine="0" w:firstLineChars="0"/>
              <w:jc w:val="center"/>
              <w:rPr>
                <w:sz w:val="21"/>
                <w:szCs w:val="21"/>
                <w:shd w:val="clear" w:color="auto" w:fill="FFFFFF"/>
              </w:rPr>
            </w:pPr>
            <w:r>
              <w:rPr>
                <w:rFonts w:hAnsi="宋体"/>
                <w:sz w:val="21"/>
                <w:szCs w:val="21"/>
                <w:shd w:val="clear" w:color="auto" w:fill="FFFFFF"/>
              </w:rPr>
              <w:t>副局长</w:t>
            </w:r>
          </w:p>
        </w:tc>
        <w:tc>
          <w:tcPr>
            <w:tcW w:w="1832" w:type="dxa"/>
            <w:tcBorders>
              <w:tl2br w:val="nil"/>
              <w:tr2bl w:val="nil"/>
            </w:tcBorders>
            <w:shd w:val="clear" w:color="auto" w:fill="auto"/>
            <w:vAlign w:val="center"/>
          </w:tcPr>
          <w:p>
            <w:pPr>
              <w:spacing w:line="240" w:lineRule="auto"/>
              <w:ind w:firstLine="0" w:firstLineChars="0"/>
              <w:jc w:val="center"/>
              <w:rPr>
                <w:sz w:val="21"/>
                <w:szCs w:val="21"/>
              </w:rPr>
            </w:pPr>
            <w:r>
              <w:rPr>
                <w:sz w:val="21"/>
                <w:szCs w:val="21"/>
              </w:rPr>
              <w:t>110</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trPr>
        <w:tc>
          <w:tcPr>
            <w:tcW w:w="1571" w:type="dxa"/>
            <w:vMerge w:val="continue"/>
            <w:tcBorders>
              <w:tl2br w:val="nil"/>
              <w:tr2bl w:val="nil"/>
            </w:tcBorders>
            <w:shd w:val="clear" w:color="auto" w:fill="auto"/>
            <w:vAlign w:val="center"/>
          </w:tcPr>
          <w:p>
            <w:pPr>
              <w:spacing w:line="240" w:lineRule="auto"/>
              <w:ind w:firstLine="0" w:firstLineChars="0"/>
              <w:jc w:val="center"/>
              <w:rPr>
                <w:kern w:val="0"/>
                <w:sz w:val="21"/>
                <w:szCs w:val="21"/>
              </w:rPr>
            </w:pPr>
          </w:p>
        </w:tc>
        <w:tc>
          <w:tcPr>
            <w:tcW w:w="3358" w:type="dxa"/>
            <w:tcBorders>
              <w:tl2br w:val="nil"/>
              <w:tr2bl w:val="nil"/>
            </w:tcBorders>
            <w:shd w:val="clear" w:color="auto" w:fill="auto"/>
            <w:vAlign w:val="center"/>
          </w:tcPr>
          <w:p>
            <w:pPr>
              <w:spacing w:line="240" w:lineRule="auto"/>
              <w:ind w:firstLine="0" w:firstLineChars="0"/>
              <w:jc w:val="center"/>
              <w:rPr>
                <w:sz w:val="21"/>
                <w:szCs w:val="21"/>
              </w:rPr>
            </w:pPr>
            <w:r>
              <w:rPr>
                <w:rFonts w:hAnsi="宋体"/>
                <w:sz w:val="21"/>
                <w:szCs w:val="21"/>
              </w:rPr>
              <w:t>市民政局</w:t>
            </w:r>
          </w:p>
        </w:tc>
        <w:tc>
          <w:tcPr>
            <w:tcW w:w="1198" w:type="dxa"/>
            <w:tcBorders>
              <w:tl2br w:val="nil"/>
              <w:tr2bl w:val="nil"/>
            </w:tcBorders>
            <w:vAlign w:val="center"/>
          </w:tcPr>
          <w:p>
            <w:pPr>
              <w:spacing w:line="240" w:lineRule="auto"/>
              <w:ind w:firstLine="0" w:firstLineChars="0"/>
              <w:jc w:val="center"/>
              <w:rPr>
                <w:sz w:val="21"/>
                <w:szCs w:val="21"/>
                <w:shd w:val="clear" w:color="auto" w:fill="FFFFFF"/>
              </w:rPr>
            </w:pPr>
            <w:r>
              <w:rPr>
                <w:rFonts w:hAnsi="宋体"/>
                <w:sz w:val="21"/>
                <w:szCs w:val="21"/>
                <w:shd w:val="clear" w:color="auto" w:fill="FFFFFF"/>
              </w:rPr>
              <w:t>任焱辉</w:t>
            </w:r>
          </w:p>
        </w:tc>
        <w:tc>
          <w:tcPr>
            <w:tcW w:w="1612" w:type="dxa"/>
            <w:tcBorders>
              <w:tl2br w:val="nil"/>
              <w:tr2bl w:val="nil"/>
            </w:tcBorders>
            <w:shd w:val="clear" w:color="auto" w:fill="auto"/>
            <w:vAlign w:val="center"/>
          </w:tcPr>
          <w:p>
            <w:pPr>
              <w:spacing w:line="240" w:lineRule="auto"/>
              <w:ind w:firstLine="0" w:firstLineChars="0"/>
              <w:jc w:val="center"/>
              <w:rPr>
                <w:sz w:val="21"/>
                <w:szCs w:val="21"/>
                <w:shd w:val="clear" w:color="auto" w:fill="FFFFFF"/>
              </w:rPr>
            </w:pPr>
            <w:r>
              <w:rPr>
                <w:rFonts w:hAnsi="宋体"/>
                <w:sz w:val="21"/>
                <w:szCs w:val="21"/>
                <w:shd w:val="clear" w:color="auto" w:fill="FFFFFF"/>
              </w:rPr>
              <w:t>局长</w:t>
            </w:r>
          </w:p>
        </w:tc>
        <w:tc>
          <w:tcPr>
            <w:tcW w:w="1832" w:type="dxa"/>
            <w:tcBorders>
              <w:tl2br w:val="nil"/>
              <w:tr2bl w:val="nil"/>
            </w:tcBorders>
            <w:shd w:val="clear" w:color="auto" w:fill="auto"/>
            <w:vAlign w:val="center"/>
          </w:tcPr>
          <w:p>
            <w:pPr>
              <w:spacing w:line="240" w:lineRule="auto"/>
              <w:ind w:firstLine="0" w:firstLineChars="0"/>
              <w:jc w:val="center"/>
              <w:rPr>
                <w:sz w:val="21"/>
                <w:szCs w:val="21"/>
              </w:rPr>
            </w:pPr>
            <w:r>
              <w:rPr>
                <w:sz w:val="21"/>
                <w:szCs w:val="21"/>
              </w:rPr>
              <w:t>8878268</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trPr>
        <w:tc>
          <w:tcPr>
            <w:tcW w:w="1571" w:type="dxa"/>
            <w:vMerge w:val="continue"/>
            <w:tcBorders>
              <w:tl2br w:val="nil"/>
              <w:tr2bl w:val="nil"/>
            </w:tcBorders>
            <w:shd w:val="clear" w:color="auto" w:fill="auto"/>
            <w:vAlign w:val="center"/>
          </w:tcPr>
          <w:p>
            <w:pPr>
              <w:spacing w:line="240" w:lineRule="auto"/>
              <w:ind w:firstLine="0" w:firstLineChars="0"/>
              <w:jc w:val="center"/>
              <w:rPr>
                <w:kern w:val="0"/>
                <w:sz w:val="21"/>
                <w:szCs w:val="21"/>
              </w:rPr>
            </w:pPr>
          </w:p>
        </w:tc>
        <w:tc>
          <w:tcPr>
            <w:tcW w:w="3358" w:type="dxa"/>
            <w:tcBorders>
              <w:tl2br w:val="nil"/>
              <w:tr2bl w:val="nil"/>
            </w:tcBorders>
            <w:shd w:val="clear" w:color="auto" w:fill="auto"/>
            <w:vAlign w:val="center"/>
          </w:tcPr>
          <w:p>
            <w:pPr>
              <w:spacing w:line="240" w:lineRule="auto"/>
              <w:ind w:firstLine="0" w:firstLineChars="0"/>
              <w:jc w:val="center"/>
              <w:rPr>
                <w:sz w:val="21"/>
                <w:szCs w:val="21"/>
              </w:rPr>
            </w:pPr>
            <w:r>
              <w:rPr>
                <w:rFonts w:hAnsi="宋体"/>
                <w:sz w:val="21"/>
                <w:szCs w:val="21"/>
              </w:rPr>
              <w:t>市住建局</w:t>
            </w:r>
          </w:p>
        </w:tc>
        <w:tc>
          <w:tcPr>
            <w:tcW w:w="1198" w:type="dxa"/>
            <w:tcBorders>
              <w:tl2br w:val="nil"/>
              <w:tr2bl w:val="nil"/>
            </w:tcBorders>
            <w:vAlign w:val="center"/>
          </w:tcPr>
          <w:p>
            <w:pPr>
              <w:spacing w:line="240" w:lineRule="auto"/>
              <w:ind w:firstLine="0" w:firstLineChars="0"/>
              <w:jc w:val="center"/>
              <w:rPr>
                <w:sz w:val="21"/>
                <w:szCs w:val="21"/>
                <w:shd w:val="clear" w:color="auto" w:fill="FFFFFF"/>
              </w:rPr>
            </w:pPr>
            <w:r>
              <w:rPr>
                <w:rFonts w:hAnsi="宋体"/>
                <w:sz w:val="21"/>
                <w:szCs w:val="21"/>
                <w:shd w:val="clear" w:color="auto" w:fill="FFFFFF"/>
              </w:rPr>
              <w:t>王星耀</w:t>
            </w:r>
          </w:p>
        </w:tc>
        <w:tc>
          <w:tcPr>
            <w:tcW w:w="1612" w:type="dxa"/>
            <w:tcBorders>
              <w:tl2br w:val="nil"/>
              <w:tr2bl w:val="nil"/>
            </w:tcBorders>
            <w:shd w:val="clear" w:color="auto" w:fill="auto"/>
            <w:vAlign w:val="center"/>
          </w:tcPr>
          <w:p>
            <w:pPr>
              <w:spacing w:line="240" w:lineRule="auto"/>
              <w:ind w:firstLine="0" w:firstLineChars="0"/>
              <w:jc w:val="center"/>
              <w:rPr>
                <w:sz w:val="21"/>
                <w:szCs w:val="21"/>
                <w:shd w:val="clear" w:color="auto" w:fill="FFFFFF"/>
              </w:rPr>
            </w:pPr>
            <w:r>
              <w:rPr>
                <w:rFonts w:hAnsi="宋体"/>
                <w:sz w:val="21"/>
                <w:szCs w:val="21"/>
                <w:shd w:val="clear" w:color="auto" w:fill="FFFFFF"/>
              </w:rPr>
              <w:t>局长</w:t>
            </w:r>
          </w:p>
        </w:tc>
        <w:tc>
          <w:tcPr>
            <w:tcW w:w="1832" w:type="dxa"/>
            <w:tcBorders>
              <w:tl2br w:val="nil"/>
              <w:tr2bl w:val="nil"/>
            </w:tcBorders>
            <w:shd w:val="clear" w:color="auto" w:fill="auto"/>
            <w:vAlign w:val="center"/>
          </w:tcPr>
          <w:p>
            <w:pPr>
              <w:spacing w:line="240" w:lineRule="auto"/>
              <w:ind w:firstLine="0" w:firstLineChars="0"/>
              <w:jc w:val="center"/>
              <w:rPr>
                <w:sz w:val="21"/>
                <w:szCs w:val="21"/>
              </w:rPr>
            </w:pPr>
            <w:r>
              <w:rPr>
                <w:sz w:val="21"/>
                <w:szCs w:val="21"/>
              </w:rPr>
              <w:t>8222580</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trPr>
        <w:tc>
          <w:tcPr>
            <w:tcW w:w="1571" w:type="dxa"/>
            <w:vMerge w:val="continue"/>
            <w:tcBorders>
              <w:tl2br w:val="nil"/>
              <w:tr2bl w:val="nil"/>
            </w:tcBorders>
            <w:shd w:val="clear" w:color="auto" w:fill="auto"/>
            <w:vAlign w:val="center"/>
          </w:tcPr>
          <w:p>
            <w:pPr>
              <w:spacing w:line="240" w:lineRule="auto"/>
              <w:ind w:firstLine="0" w:firstLineChars="0"/>
              <w:jc w:val="center"/>
              <w:rPr>
                <w:kern w:val="0"/>
                <w:sz w:val="21"/>
                <w:szCs w:val="21"/>
              </w:rPr>
            </w:pPr>
          </w:p>
        </w:tc>
        <w:tc>
          <w:tcPr>
            <w:tcW w:w="3358" w:type="dxa"/>
            <w:tcBorders>
              <w:tl2br w:val="nil"/>
              <w:tr2bl w:val="nil"/>
            </w:tcBorders>
            <w:shd w:val="clear" w:color="auto" w:fill="auto"/>
            <w:vAlign w:val="center"/>
          </w:tcPr>
          <w:p>
            <w:pPr>
              <w:spacing w:line="240" w:lineRule="auto"/>
              <w:ind w:firstLine="0" w:firstLineChars="0"/>
              <w:jc w:val="center"/>
              <w:rPr>
                <w:sz w:val="21"/>
                <w:szCs w:val="21"/>
              </w:rPr>
            </w:pPr>
            <w:r>
              <w:rPr>
                <w:rFonts w:hAnsi="宋体"/>
                <w:sz w:val="21"/>
                <w:szCs w:val="21"/>
              </w:rPr>
              <w:t>市城管局</w:t>
            </w:r>
          </w:p>
        </w:tc>
        <w:tc>
          <w:tcPr>
            <w:tcW w:w="1198" w:type="dxa"/>
            <w:tcBorders>
              <w:tl2br w:val="nil"/>
              <w:tr2bl w:val="nil"/>
            </w:tcBorders>
            <w:vAlign w:val="center"/>
          </w:tcPr>
          <w:p>
            <w:pPr>
              <w:spacing w:line="240" w:lineRule="auto"/>
              <w:ind w:firstLine="0" w:firstLineChars="0"/>
              <w:jc w:val="center"/>
              <w:rPr>
                <w:sz w:val="21"/>
                <w:szCs w:val="21"/>
                <w:shd w:val="clear" w:color="auto" w:fill="FFFFFF"/>
              </w:rPr>
            </w:pPr>
            <w:r>
              <w:rPr>
                <w:rFonts w:hAnsi="宋体"/>
                <w:sz w:val="21"/>
                <w:szCs w:val="21"/>
                <w:shd w:val="clear" w:color="auto" w:fill="FFFFFF"/>
              </w:rPr>
              <w:t>陈克祥</w:t>
            </w:r>
          </w:p>
        </w:tc>
        <w:tc>
          <w:tcPr>
            <w:tcW w:w="1612" w:type="dxa"/>
            <w:tcBorders>
              <w:tl2br w:val="nil"/>
              <w:tr2bl w:val="nil"/>
            </w:tcBorders>
            <w:shd w:val="clear" w:color="auto" w:fill="auto"/>
            <w:vAlign w:val="center"/>
          </w:tcPr>
          <w:p>
            <w:pPr>
              <w:spacing w:line="240" w:lineRule="auto"/>
              <w:ind w:firstLine="0" w:firstLineChars="0"/>
              <w:jc w:val="center"/>
              <w:rPr>
                <w:sz w:val="21"/>
                <w:szCs w:val="21"/>
                <w:shd w:val="clear" w:color="auto" w:fill="FFFFFF"/>
              </w:rPr>
            </w:pPr>
            <w:r>
              <w:rPr>
                <w:rFonts w:hAnsi="宋体"/>
                <w:sz w:val="21"/>
                <w:szCs w:val="21"/>
                <w:shd w:val="clear" w:color="auto" w:fill="FFFFFF"/>
              </w:rPr>
              <w:t>局长</w:t>
            </w:r>
          </w:p>
        </w:tc>
        <w:tc>
          <w:tcPr>
            <w:tcW w:w="1832" w:type="dxa"/>
            <w:tcBorders>
              <w:tl2br w:val="nil"/>
              <w:tr2bl w:val="nil"/>
            </w:tcBorders>
            <w:shd w:val="clear" w:color="auto" w:fill="auto"/>
            <w:vAlign w:val="center"/>
          </w:tcPr>
          <w:p>
            <w:pPr>
              <w:spacing w:line="240" w:lineRule="auto"/>
              <w:ind w:firstLine="0" w:firstLineChars="0"/>
              <w:jc w:val="center"/>
              <w:rPr>
                <w:sz w:val="21"/>
                <w:szCs w:val="21"/>
              </w:rPr>
            </w:pPr>
            <w:r>
              <w:rPr>
                <w:sz w:val="21"/>
                <w:szCs w:val="21"/>
              </w:rPr>
              <w:t>12319</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trPr>
        <w:tc>
          <w:tcPr>
            <w:tcW w:w="1571" w:type="dxa"/>
            <w:vMerge w:val="continue"/>
            <w:tcBorders>
              <w:tl2br w:val="nil"/>
              <w:tr2bl w:val="nil"/>
            </w:tcBorders>
            <w:shd w:val="clear" w:color="auto" w:fill="auto"/>
            <w:vAlign w:val="center"/>
          </w:tcPr>
          <w:p>
            <w:pPr>
              <w:spacing w:line="240" w:lineRule="auto"/>
              <w:ind w:firstLine="0" w:firstLineChars="0"/>
              <w:rPr>
                <w:sz w:val="21"/>
                <w:szCs w:val="21"/>
              </w:rPr>
            </w:pPr>
          </w:p>
        </w:tc>
        <w:tc>
          <w:tcPr>
            <w:tcW w:w="3358" w:type="dxa"/>
            <w:tcBorders>
              <w:tl2br w:val="nil"/>
              <w:tr2bl w:val="nil"/>
            </w:tcBorders>
            <w:shd w:val="clear" w:color="auto" w:fill="auto"/>
            <w:vAlign w:val="center"/>
          </w:tcPr>
          <w:p>
            <w:pPr>
              <w:spacing w:line="240" w:lineRule="auto"/>
              <w:ind w:firstLine="0" w:firstLineChars="0"/>
              <w:jc w:val="center"/>
              <w:rPr>
                <w:sz w:val="21"/>
                <w:szCs w:val="21"/>
              </w:rPr>
            </w:pPr>
            <w:r>
              <w:rPr>
                <w:rFonts w:hAnsi="宋体"/>
                <w:sz w:val="21"/>
                <w:szCs w:val="21"/>
              </w:rPr>
              <w:t>市环保局</w:t>
            </w:r>
          </w:p>
        </w:tc>
        <w:tc>
          <w:tcPr>
            <w:tcW w:w="1198" w:type="dxa"/>
            <w:tcBorders>
              <w:tl2br w:val="nil"/>
              <w:tr2bl w:val="nil"/>
            </w:tcBorders>
            <w:vAlign w:val="center"/>
          </w:tcPr>
          <w:p>
            <w:pPr>
              <w:spacing w:line="240" w:lineRule="auto"/>
              <w:ind w:firstLine="0" w:firstLineChars="0"/>
              <w:jc w:val="center"/>
              <w:rPr>
                <w:sz w:val="21"/>
                <w:szCs w:val="21"/>
              </w:rPr>
            </w:pPr>
            <w:r>
              <w:rPr>
                <w:rFonts w:hAnsi="宋体"/>
                <w:sz w:val="21"/>
                <w:szCs w:val="21"/>
              </w:rPr>
              <w:t>周兴</w:t>
            </w:r>
          </w:p>
        </w:tc>
        <w:tc>
          <w:tcPr>
            <w:tcW w:w="1612" w:type="dxa"/>
            <w:tcBorders>
              <w:tl2br w:val="nil"/>
              <w:tr2bl w:val="nil"/>
            </w:tcBorders>
            <w:shd w:val="clear" w:color="auto" w:fill="auto"/>
            <w:vAlign w:val="center"/>
          </w:tcPr>
          <w:p>
            <w:pPr>
              <w:spacing w:line="240" w:lineRule="auto"/>
              <w:ind w:firstLine="0" w:firstLineChars="0"/>
              <w:jc w:val="center"/>
              <w:rPr>
                <w:sz w:val="21"/>
                <w:szCs w:val="21"/>
              </w:rPr>
            </w:pPr>
            <w:r>
              <w:rPr>
                <w:rFonts w:hAnsi="宋体"/>
                <w:sz w:val="21"/>
                <w:szCs w:val="21"/>
              </w:rPr>
              <w:t>党组成员</w:t>
            </w:r>
          </w:p>
        </w:tc>
        <w:tc>
          <w:tcPr>
            <w:tcW w:w="1832" w:type="dxa"/>
            <w:tcBorders>
              <w:tl2br w:val="nil"/>
              <w:tr2bl w:val="nil"/>
            </w:tcBorders>
            <w:shd w:val="clear" w:color="auto" w:fill="auto"/>
            <w:vAlign w:val="center"/>
          </w:tcPr>
          <w:p>
            <w:pPr>
              <w:spacing w:line="240" w:lineRule="auto"/>
              <w:ind w:firstLine="0" w:firstLineChars="0"/>
              <w:jc w:val="center"/>
              <w:rPr>
                <w:sz w:val="21"/>
                <w:szCs w:val="21"/>
              </w:rPr>
            </w:pPr>
            <w:r>
              <w:rPr>
                <w:sz w:val="21"/>
                <w:szCs w:val="21"/>
              </w:rPr>
              <w:t>8879800</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trPr>
        <w:tc>
          <w:tcPr>
            <w:tcW w:w="1571" w:type="dxa"/>
            <w:vMerge w:val="continue"/>
            <w:tcBorders>
              <w:tl2br w:val="nil"/>
              <w:tr2bl w:val="nil"/>
            </w:tcBorders>
            <w:shd w:val="clear" w:color="auto" w:fill="auto"/>
            <w:vAlign w:val="center"/>
          </w:tcPr>
          <w:p>
            <w:pPr>
              <w:spacing w:line="240" w:lineRule="auto"/>
              <w:ind w:firstLine="0" w:firstLineChars="0"/>
              <w:rPr>
                <w:sz w:val="21"/>
                <w:szCs w:val="21"/>
              </w:rPr>
            </w:pPr>
          </w:p>
        </w:tc>
        <w:tc>
          <w:tcPr>
            <w:tcW w:w="3358" w:type="dxa"/>
            <w:tcBorders>
              <w:tl2br w:val="nil"/>
              <w:tr2bl w:val="nil"/>
            </w:tcBorders>
            <w:shd w:val="clear" w:color="auto" w:fill="auto"/>
            <w:vAlign w:val="center"/>
          </w:tcPr>
          <w:p>
            <w:pPr>
              <w:spacing w:line="240" w:lineRule="auto"/>
              <w:ind w:firstLine="0" w:firstLineChars="0"/>
              <w:jc w:val="center"/>
              <w:rPr>
                <w:sz w:val="21"/>
                <w:szCs w:val="21"/>
              </w:rPr>
            </w:pPr>
            <w:r>
              <w:rPr>
                <w:rFonts w:hAnsi="宋体"/>
                <w:sz w:val="21"/>
                <w:szCs w:val="21"/>
              </w:rPr>
              <w:t>市水务局</w:t>
            </w:r>
          </w:p>
        </w:tc>
        <w:tc>
          <w:tcPr>
            <w:tcW w:w="1198" w:type="dxa"/>
            <w:tcBorders>
              <w:tl2br w:val="nil"/>
              <w:tr2bl w:val="nil"/>
            </w:tcBorders>
            <w:vAlign w:val="center"/>
          </w:tcPr>
          <w:p>
            <w:pPr>
              <w:spacing w:line="240" w:lineRule="auto"/>
              <w:ind w:firstLine="0" w:firstLineChars="0"/>
              <w:jc w:val="center"/>
              <w:rPr>
                <w:sz w:val="21"/>
                <w:szCs w:val="21"/>
              </w:rPr>
            </w:pPr>
            <w:r>
              <w:rPr>
                <w:rFonts w:hAnsi="宋体"/>
                <w:sz w:val="21"/>
                <w:szCs w:val="21"/>
              </w:rPr>
              <w:t>陈正文</w:t>
            </w:r>
          </w:p>
        </w:tc>
        <w:tc>
          <w:tcPr>
            <w:tcW w:w="1612" w:type="dxa"/>
            <w:tcBorders>
              <w:tl2br w:val="nil"/>
              <w:tr2bl w:val="nil"/>
            </w:tcBorders>
            <w:shd w:val="clear" w:color="auto" w:fill="auto"/>
            <w:vAlign w:val="center"/>
          </w:tcPr>
          <w:p>
            <w:pPr>
              <w:spacing w:line="240" w:lineRule="auto"/>
              <w:ind w:firstLine="0" w:firstLineChars="0"/>
              <w:jc w:val="center"/>
              <w:rPr>
                <w:sz w:val="21"/>
                <w:szCs w:val="21"/>
              </w:rPr>
            </w:pPr>
            <w:r>
              <w:rPr>
                <w:rFonts w:hAnsi="宋体"/>
                <w:sz w:val="21"/>
                <w:szCs w:val="21"/>
              </w:rPr>
              <w:t>局长</w:t>
            </w:r>
          </w:p>
        </w:tc>
        <w:tc>
          <w:tcPr>
            <w:tcW w:w="1832" w:type="dxa"/>
            <w:tcBorders>
              <w:tl2br w:val="nil"/>
              <w:tr2bl w:val="nil"/>
            </w:tcBorders>
            <w:shd w:val="clear" w:color="auto" w:fill="auto"/>
            <w:vAlign w:val="center"/>
          </w:tcPr>
          <w:p>
            <w:pPr>
              <w:spacing w:line="240" w:lineRule="auto"/>
              <w:ind w:firstLine="0" w:firstLineChars="0"/>
              <w:jc w:val="center"/>
              <w:rPr>
                <w:color w:val="333333"/>
                <w:sz w:val="21"/>
                <w:szCs w:val="21"/>
              </w:rPr>
            </w:pPr>
            <w:r>
              <w:rPr>
                <w:sz w:val="21"/>
                <w:szCs w:val="21"/>
              </w:rPr>
              <w:t>8092222</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trPr>
        <w:tc>
          <w:tcPr>
            <w:tcW w:w="1571" w:type="dxa"/>
            <w:vMerge w:val="continue"/>
            <w:tcBorders>
              <w:tl2br w:val="nil"/>
              <w:tr2bl w:val="nil"/>
            </w:tcBorders>
            <w:shd w:val="clear" w:color="auto" w:fill="auto"/>
            <w:vAlign w:val="center"/>
          </w:tcPr>
          <w:p>
            <w:pPr>
              <w:spacing w:line="240" w:lineRule="auto"/>
              <w:ind w:firstLine="0" w:firstLineChars="0"/>
              <w:rPr>
                <w:sz w:val="21"/>
                <w:szCs w:val="21"/>
              </w:rPr>
            </w:pPr>
          </w:p>
        </w:tc>
        <w:tc>
          <w:tcPr>
            <w:tcW w:w="3358" w:type="dxa"/>
            <w:tcBorders>
              <w:tl2br w:val="nil"/>
              <w:tr2bl w:val="nil"/>
            </w:tcBorders>
            <w:shd w:val="clear" w:color="auto" w:fill="auto"/>
            <w:vAlign w:val="center"/>
          </w:tcPr>
          <w:p>
            <w:pPr>
              <w:spacing w:line="240" w:lineRule="auto"/>
              <w:ind w:firstLine="0" w:firstLineChars="0"/>
              <w:jc w:val="center"/>
              <w:rPr>
                <w:sz w:val="21"/>
                <w:szCs w:val="21"/>
              </w:rPr>
            </w:pPr>
            <w:r>
              <w:rPr>
                <w:rFonts w:hAnsi="宋体"/>
                <w:sz w:val="21"/>
                <w:szCs w:val="21"/>
              </w:rPr>
              <w:t>市卫计委</w:t>
            </w:r>
          </w:p>
        </w:tc>
        <w:tc>
          <w:tcPr>
            <w:tcW w:w="1198" w:type="dxa"/>
            <w:tcBorders>
              <w:tl2br w:val="nil"/>
              <w:tr2bl w:val="nil"/>
            </w:tcBorders>
            <w:vAlign w:val="center"/>
          </w:tcPr>
          <w:p>
            <w:pPr>
              <w:spacing w:line="240" w:lineRule="auto"/>
              <w:ind w:firstLine="0" w:firstLineChars="0"/>
              <w:jc w:val="center"/>
              <w:rPr>
                <w:sz w:val="21"/>
                <w:szCs w:val="21"/>
              </w:rPr>
            </w:pPr>
            <w:r>
              <w:rPr>
                <w:rFonts w:hAnsi="宋体"/>
                <w:sz w:val="21"/>
                <w:szCs w:val="21"/>
              </w:rPr>
              <w:t>彭纲要</w:t>
            </w:r>
          </w:p>
        </w:tc>
        <w:tc>
          <w:tcPr>
            <w:tcW w:w="1612" w:type="dxa"/>
            <w:tcBorders>
              <w:tl2br w:val="nil"/>
              <w:tr2bl w:val="nil"/>
            </w:tcBorders>
            <w:shd w:val="clear" w:color="auto" w:fill="auto"/>
            <w:vAlign w:val="center"/>
          </w:tcPr>
          <w:p>
            <w:pPr>
              <w:spacing w:line="240" w:lineRule="auto"/>
              <w:ind w:firstLine="0" w:firstLineChars="0"/>
              <w:jc w:val="center"/>
              <w:rPr>
                <w:sz w:val="21"/>
                <w:szCs w:val="21"/>
              </w:rPr>
            </w:pPr>
            <w:r>
              <w:rPr>
                <w:rFonts w:hAnsi="宋体"/>
                <w:sz w:val="21"/>
                <w:szCs w:val="21"/>
              </w:rPr>
              <w:t>主任</w:t>
            </w:r>
          </w:p>
        </w:tc>
        <w:tc>
          <w:tcPr>
            <w:tcW w:w="1832" w:type="dxa"/>
            <w:tcBorders>
              <w:tl2br w:val="nil"/>
              <w:tr2bl w:val="nil"/>
            </w:tcBorders>
            <w:shd w:val="clear" w:color="auto" w:fill="auto"/>
            <w:vAlign w:val="center"/>
          </w:tcPr>
          <w:p>
            <w:pPr>
              <w:tabs>
                <w:tab w:val="left" w:pos="475"/>
                <w:tab w:val="center" w:pos="1015"/>
              </w:tabs>
              <w:spacing w:line="240" w:lineRule="auto"/>
              <w:ind w:firstLine="0" w:firstLineChars="0"/>
              <w:jc w:val="center"/>
              <w:rPr>
                <w:sz w:val="21"/>
                <w:szCs w:val="21"/>
              </w:rPr>
            </w:pPr>
            <w:r>
              <w:rPr>
                <w:sz w:val="21"/>
                <w:szCs w:val="21"/>
              </w:rPr>
              <w:t>8222629</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trPr>
        <w:tc>
          <w:tcPr>
            <w:tcW w:w="1571" w:type="dxa"/>
            <w:vMerge w:val="continue"/>
            <w:tcBorders>
              <w:tl2br w:val="nil"/>
              <w:tr2bl w:val="nil"/>
            </w:tcBorders>
            <w:shd w:val="clear" w:color="auto" w:fill="auto"/>
            <w:vAlign w:val="center"/>
          </w:tcPr>
          <w:p>
            <w:pPr>
              <w:spacing w:line="240" w:lineRule="auto"/>
              <w:ind w:firstLine="0" w:firstLineChars="0"/>
              <w:rPr>
                <w:sz w:val="21"/>
                <w:szCs w:val="21"/>
              </w:rPr>
            </w:pPr>
          </w:p>
        </w:tc>
        <w:tc>
          <w:tcPr>
            <w:tcW w:w="3358" w:type="dxa"/>
            <w:tcBorders>
              <w:tl2br w:val="nil"/>
              <w:tr2bl w:val="nil"/>
            </w:tcBorders>
            <w:shd w:val="clear" w:color="auto" w:fill="auto"/>
            <w:vAlign w:val="center"/>
          </w:tcPr>
          <w:p>
            <w:pPr>
              <w:spacing w:line="240" w:lineRule="auto"/>
              <w:ind w:firstLine="0" w:firstLineChars="0"/>
              <w:jc w:val="center"/>
              <w:rPr>
                <w:sz w:val="21"/>
                <w:szCs w:val="21"/>
              </w:rPr>
            </w:pPr>
            <w:r>
              <w:rPr>
                <w:rFonts w:hAnsi="宋体"/>
                <w:sz w:val="21"/>
                <w:szCs w:val="21"/>
              </w:rPr>
              <w:t>市铁山局</w:t>
            </w:r>
          </w:p>
        </w:tc>
        <w:tc>
          <w:tcPr>
            <w:tcW w:w="1198" w:type="dxa"/>
            <w:tcBorders>
              <w:tl2br w:val="nil"/>
              <w:tr2bl w:val="nil"/>
            </w:tcBorders>
            <w:vAlign w:val="center"/>
          </w:tcPr>
          <w:p>
            <w:pPr>
              <w:spacing w:line="240" w:lineRule="auto"/>
              <w:ind w:firstLine="0" w:firstLineChars="0"/>
              <w:jc w:val="center"/>
              <w:rPr>
                <w:sz w:val="21"/>
                <w:szCs w:val="21"/>
              </w:rPr>
            </w:pPr>
            <w:r>
              <w:rPr>
                <w:rFonts w:hAnsi="宋体"/>
                <w:sz w:val="21"/>
                <w:szCs w:val="21"/>
              </w:rPr>
              <w:t>许石兵</w:t>
            </w:r>
          </w:p>
        </w:tc>
        <w:tc>
          <w:tcPr>
            <w:tcW w:w="1612" w:type="dxa"/>
            <w:tcBorders>
              <w:tl2br w:val="nil"/>
              <w:tr2bl w:val="nil"/>
            </w:tcBorders>
            <w:shd w:val="clear" w:color="auto" w:fill="auto"/>
            <w:vAlign w:val="center"/>
          </w:tcPr>
          <w:p>
            <w:pPr>
              <w:spacing w:line="240" w:lineRule="auto"/>
              <w:ind w:firstLine="0" w:firstLineChars="0"/>
              <w:jc w:val="center"/>
              <w:rPr>
                <w:sz w:val="21"/>
                <w:szCs w:val="21"/>
              </w:rPr>
            </w:pPr>
            <w:r>
              <w:rPr>
                <w:rFonts w:hAnsi="宋体"/>
                <w:sz w:val="21"/>
                <w:szCs w:val="21"/>
              </w:rPr>
              <w:t>副局长</w:t>
            </w:r>
          </w:p>
        </w:tc>
        <w:tc>
          <w:tcPr>
            <w:tcW w:w="1832" w:type="dxa"/>
            <w:tcBorders>
              <w:tl2br w:val="nil"/>
              <w:tr2bl w:val="nil"/>
            </w:tcBorders>
            <w:shd w:val="clear" w:color="auto" w:fill="auto"/>
            <w:vAlign w:val="center"/>
          </w:tcPr>
          <w:p>
            <w:pPr>
              <w:spacing w:line="240" w:lineRule="auto"/>
              <w:ind w:firstLine="0" w:firstLineChars="0"/>
              <w:jc w:val="center"/>
              <w:rPr>
                <w:sz w:val="21"/>
                <w:szCs w:val="21"/>
              </w:rPr>
            </w:pPr>
            <w:r>
              <w:rPr>
                <w:sz w:val="21"/>
                <w:szCs w:val="21"/>
              </w:rPr>
              <w:t>8611558</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trPr>
        <w:tc>
          <w:tcPr>
            <w:tcW w:w="1571" w:type="dxa"/>
            <w:vMerge w:val="continue"/>
            <w:tcBorders>
              <w:tl2br w:val="nil"/>
              <w:tr2bl w:val="nil"/>
            </w:tcBorders>
            <w:shd w:val="clear" w:color="auto" w:fill="auto"/>
            <w:vAlign w:val="center"/>
          </w:tcPr>
          <w:p>
            <w:pPr>
              <w:spacing w:line="240" w:lineRule="auto"/>
              <w:ind w:firstLine="0" w:firstLineChars="0"/>
              <w:rPr>
                <w:sz w:val="21"/>
                <w:szCs w:val="21"/>
              </w:rPr>
            </w:pPr>
          </w:p>
        </w:tc>
        <w:tc>
          <w:tcPr>
            <w:tcW w:w="3358" w:type="dxa"/>
            <w:tcBorders>
              <w:tl2br w:val="nil"/>
              <w:tr2bl w:val="nil"/>
            </w:tcBorders>
            <w:shd w:val="clear" w:color="auto" w:fill="auto"/>
            <w:vAlign w:val="center"/>
          </w:tcPr>
          <w:p>
            <w:pPr>
              <w:spacing w:line="240" w:lineRule="auto"/>
              <w:ind w:firstLine="0" w:firstLineChars="0"/>
              <w:jc w:val="center"/>
              <w:rPr>
                <w:sz w:val="21"/>
                <w:szCs w:val="21"/>
              </w:rPr>
            </w:pPr>
            <w:r>
              <w:rPr>
                <w:rFonts w:hAnsi="宋体"/>
                <w:sz w:val="21"/>
                <w:szCs w:val="21"/>
              </w:rPr>
              <w:t>市气象局</w:t>
            </w:r>
          </w:p>
        </w:tc>
        <w:tc>
          <w:tcPr>
            <w:tcW w:w="1198" w:type="dxa"/>
            <w:tcBorders>
              <w:tl2br w:val="nil"/>
              <w:tr2bl w:val="nil"/>
            </w:tcBorders>
            <w:vAlign w:val="center"/>
          </w:tcPr>
          <w:p>
            <w:pPr>
              <w:spacing w:line="240" w:lineRule="auto"/>
              <w:ind w:firstLine="0" w:firstLineChars="0"/>
              <w:jc w:val="center"/>
              <w:rPr>
                <w:sz w:val="21"/>
                <w:szCs w:val="21"/>
              </w:rPr>
            </w:pPr>
            <w:r>
              <w:rPr>
                <w:rFonts w:hAnsi="宋体"/>
                <w:sz w:val="21"/>
                <w:szCs w:val="21"/>
              </w:rPr>
              <w:t>彭洁</w:t>
            </w:r>
          </w:p>
        </w:tc>
        <w:tc>
          <w:tcPr>
            <w:tcW w:w="1612" w:type="dxa"/>
            <w:tcBorders>
              <w:tl2br w:val="nil"/>
              <w:tr2bl w:val="nil"/>
            </w:tcBorders>
            <w:shd w:val="clear" w:color="auto" w:fill="auto"/>
            <w:vAlign w:val="center"/>
          </w:tcPr>
          <w:p>
            <w:pPr>
              <w:spacing w:line="240" w:lineRule="auto"/>
              <w:ind w:firstLine="0" w:firstLineChars="0"/>
              <w:jc w:val="center"/>
              <w:rPr>
                <w:sz w:val="21"/>
                <w:szCs w:val="21"/>
              </w:rPr>
            </w:pPr>
            <w:r>
              <w:rPr>
                <w:rFonts w:hAnsi="宋体"/>
                <w:sz w:val="21"/>
                <w:szCs w:val="21"/>
              </w:rPr>
              <w:t>局长</w:t>
            </w:r>
          </w:p>
        </w:tc>
        <w:tc>
          <w:tcPr>
            <w:tcW w:w="1832" w:type="dxa"/>
            <w:tcBorders>
              <w:tl2br w:val="nil"/>
              <w:tr2bl w:val="nil"/>
            </w:tcBorders>
            <w:shd w:val="clear" w:color="auto" w:fill="auto"/>
            <w:vAlign w:val="center"/>
          </w:tcPr>
          <w:p>
            <w:pPr>
              <w:spacing w:line="240" w:lineRule="auto"/>
              <w:ind w:firstLine="0" w:firstLineChars="0"/>
              <w:jc w:val="center"/>
              <w:rPr>
                <w:sz w:val="21"/>
                <w:szCs w:val="21"/>
              </w:rPr>
            </w:pPr>
            <w:r>
              <w:rPr>
                <w:sz w:val="21"/>
                <w:szCs w:val="21"/>
              </w:rPr>
              <w:t>8721900</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trPr>
        <w:tc>
          <w:tcPr>
            <w:tcW w:w="1571" w:type="dxa"/>
            <w:vMerge w:val="continue"/>
            <w:tcBorders>
              <w:tl2br w:val="nil"/>
              <w:tr2bl w:val="nil"/>
            </w:tcBorders>
            <w:shd w:val="clear" w:color="auto" w:fill="auto"/>
            <w:vAlign w:val="center"/>
          </w:tcPr>
          <w:p>
            <w:pPr>
              <w:spacing w:line="240" w:lineRule="auto"/>
              <w:ind w:firstLine="0" w:firstLineChars="0"/>
              <w:rPr>
                <w:sz w:val="21"/>
                <w:szCs w:val="21"/>
              </w:rPr>
            </w:pPr>
          </w:p>
        </w:tc>
        <w:tc>
          <w:tcPr>
            <w:tcW w:w="3358" w:type="dxa"/>
            <w:tcBorders>
              <w:tl2br w:val="nil"/>
              <w:tr2bl w:val="nil"/>
            </w:tcBorders>
            <w:shd w:val="clear" w:color="auto" w:fill="auto"/>
            <w:vAlign w:val="center"/>
          </w:tcPr>
          <w:p>
            <w:pPr>
              <w:spacing w:line="240" w:lineRule="auto"/>
              <w:ind w:firstLine="0" w:firstLineChars="0"/>
              <w:jc w:val="center"/>
              <w:rPr>
                <w:sz w:val="21"/>
                <w:szCs w:val="21"/>
              </w:rPr>
            </w:pPr>
            <w:r>
              <w:rPr>
                <w:rFonts w:hAnsi="宋体"/>
                <w:sz w:val="21"/>
                <w:szCs w:val="21"/>
              </w:rPr>
              <w:t>市公安消防支队</w:t>
            </w:r>
          </w:p>
        </w:tc>
        <w:tc>
          <w:tcPr>
            <w:tcW w:w="1198" w:type="dxa"/>
            <w:tcBorders>
              <w:tl2br w:val="nil"/>
              <w:tr2bl w:val="nil"/>
            </w:tcBorders>
            <w:vAlign w:val="center"/>
          </w:tcPr>
          <w:p>
            <w:pPr>
              <w:spacing w:line="240" w:lineRule="auto"/>
              <w:ind w:firstLine="0" w:firstLineChars="0"/>
              <w:jc w:val="center"/>
              <w:rPr>
                <w:sz w:val="21"/>
                <w:szCs w:val="21"/>
              </w:rPr>
            </w:pPr>
            <w:r>
              <w:rPr>
                <w:rFonts w:hAnsi="宋体"/>
                <w:sz w:val="21"/>
                <w:szCs w:val="21"/>
              </w:rPr>
              <w:t>谷臣凯</w:t>
            </w:r>
          </w:p>
        </w:tc>
        <w:tc>
          <w:tcPr>
            <w:tcW w:w="1612" w:type="dxa"/>
            <w:tcBorders>
              <w:tl2br w:val="nil"/>
              <w:tr2bl w:val="nil"/>
            </w:tcBorders>
            <w:shd w:val="clear" w:color="auto" w:fill="auto"/>
            <w:vAlign w:val="center"/>
          </w:tcPr>
          <w:p>
            <w:pPr>
              <w:spacing w:line="240" w:lineRule="auto"/>
              <w:ind w:firstLine="0" w:firstLineChars="0"/>
              <w:jc w:val="center"/>
              <w:rPr>
                <w:sz w:val="21"/>
                <w:szCs w:val="21"/>
              </w:rPr>
            </w:pPr>
            <w:r>
              <w:rPr>
                <w:rFonts w:hAnsi="宋体"/>
                <w:sz w:val="21"/>
                <w:szCs w:val="21"/>
              </w:rPr>
              <w:t>支队长</w:t>
            </w:r>
          </w:p>
        </w:tc>
        <w:tc>
          <w:tcPr>
            <w:tcW w:w="1832" w:type="dxa"/>
            <w:tcBorders>
              <w:tl2br w:val="nil"/>
              <w:tr2bl w:val="nil"/>
            </w:tcBorders>
            <w:shd w:val="clear" w:color="auto" w:fill="auto"/>
            <w:vAlign w:val="center"/>
          </w:tcPr>
          <w:p>
            <w:pPr>
              <w:spacing w:line="240" w:lineRule="auto"/>
              <w:ind w:firstLine="0" w:firstLineChars="0"/>
              <w:jc w:val="center"/>
              <w:rPr>
                <w:sz w:val="21"/>
                <w:szCs w:val="21"/>
              </w:rPr>
            </w:pPr>
            <w:r>
              <w:rPr>
                <w:sz w:val="21"/>
                <w:szCs w:val="21"/>
              </w:rPr>
              <w:t>119</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trPr>
        <w:tc>
          <w:tcPr>
            <w:tcW w:w="1571" w:type="dxa"/>
            <w:vMerge w:val="continue"/>
            <w:tcBorders>
              <w:tl2br w:val="nil"/>
              <w:tr2bl w:val="nil"/>
            </w:tcBorders>
            <w:shd w:val="clear" w:color="auto" w:fill="auto"/>
            <w:vAlign w:val="center"/>
          </w:tcPr>
          <w:p>
            <w:pPr>
              <w:spacing w:line="240" w:lineRule="auto"/>
              <w:ind w:firstLine="0" w:firstLineChars="0"/>
              <w:rPr>
                <w:sz w:val="21"/>
                <w:szCs w:val="21"/>
              </w:rPr>
            </w:pPr>
          </w:p>
        </w:tc>
        <w:tc>
          <w:tcPr>
            <w:tcW w:w="3358" w:type="dxa"/>
            <w:tcBorders>
              <w:tl2br w:val="nil"/>
              <w:tr2bl w:val="nil"/>
            </w:tcBorders>
            <w:shd w:val="clear" w:color="auto" w:fill="auto"/>
            <w:vAlign w:val="center"/>
          </w:tcPr>
          <w:p>
            <w:pPr>
              <w:spacing w:line="240" w:lineRule="auto"/>
              <w:ind w:firstLine="0" w:firstLineChars="0"/>
              <w:jc w:val="center"/>
              <w:rPr>
                <w:sz w:val="21"/>
                <w:szCs w:val="21"/>
              </w:rPr>
            </w:pPr>
            <w:r>
              <w:rPr>
                <w:rFonts w:hAnsi="宋体"/>
                <w:sz w:val="21"/>
                <w:szCs w:val="21"/>
              </w:rPr>
              <w:t>市政府新闻办</w:t>
            </w:r>
          </w:p>
        </w:tc>
        <w:tc>
          <w:tcPr>
            <w:tcW w:w="1198" w:type="dxa"/>
            <w:tcBorders>
              <w:tl2br w:val="nil"/>
              <w:tr2bl w:val="nil"/>
            </w:tcBorders>
            <w:vAlign w:val="center"/>
          </w:tcPr>
          <w:p>
            <w:pPr>
              <w:spacing w:line="240" w:lineRule="auto"/>
              <w:ind w:firstLine="0" w:firstLineChars="0"/>
              <w:jc w:val="center"/>
              <w:rPr>
                <w:sz w:val="21"/>
                <w:szCs w:val="21"/>
              </w:rPr>
            </w:pPr>
            <w:r>
              <w:rPr>
                <w:rFonts w:hAnsi="宋体"/>
                <w:sz w:val="21"/>
                <w:szCs w:val="21"/>
              </w:rPr>
              <w:t>赵泉</w:t>
            </w:r>
          </w:p>
        </w:tc>
        <w:tc>
          <w:tcPr>
            <w:tcW w:w="1612" w:type="dxa"/>
            <w:tcBorders>
              <w:tl2br w:val="nil"/>
              <w:tr2bl w:val="nil"/>
            </w:tcBorders>
            <w:shd w:val="clear" w:color="auto" w:fill="auto"/>
            <w:vAlign w:val="center"/>
          </w:tcPr>
          <w:p>
            <w:pPr>
              <w:spacing w:line="240" w:lineRule="auto"/>
              <w:ind w:firstLine="0" w:firstLineChars="0"/>
              <w:jc w:val="center"/>
              <w:rPr>
                <w:sz w:val="21"/>
                <w:szCs w:val="21"/>
              </w:rPr>
            </w:pPr>
            <w:r>
              <w:rPr>
                <w:rFonts w:hAnsi="宋体"/>
                <w:sz w:val="21"/>
                <w:szCs w:val="21"/>
              </w:rPr>
              <w:t>主任</w:t>
            </w:r>
          </w:p>
        </w:tc>
        <w:tc>
          <w:tcPr>
            <w:tcW w:w="1832" w:type="dxa"/>
            <w:tcBorders>
              <w:tl2br w:val="nil"/>
              <w:tr2bl w:val="nil"/>
            </w:tcBorders>
            <w:shd w:val="clear" w:color="auto" w:fill="auto"/>
            <w:vAlign w:val="center"/>
          </w:tcPr>
          <w:p>
            <w:pPr>
              <w:spacing w:line="240" w:lineRule="auto"/>
              <w:ind w:firstLine="0" w:firstLineChars="0"/>
              <w:jc w:val="center"/>
              <w:rPr>
                <w:sz w:val="21"/>
                <w:szCs w:val="21"/>
              </w:rPr>
            </w:pPr>
            <w:r>
              <w:rPr>
                <w:sz w:val="21"/>
                <w:szCs w:val="21"/>
                <w:shd w:val="clear" w:color="auto" w:fill="FFFFFF"/>
              </w:rPr>
              <w:t>8880228</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trPr>
        <w:tc>
          <w:tcPr>
            <w:tcW w:w="1571" w:type="dxa"/>
            <w:vMerge w:val="continue"/>
            <w:tcBorders>
              <w:tl2br w:val="nil"/>
              <w:tr2bl w:val="nil"/>
            </w:tcBorders>
            <w:shd w:val="clear" w:color="auto" w:fill="auto"/>
            <w:vAlign w:val="center"/>
          </w:tcPr>
          <w:p>
            <w:pPr>
              <w:spacing w:line="240" w:lineRule="auto"/>
              <w:ind w:firstLine="0" w:firstLineChars="0"/>
              <w:rPr>
                <w:sz w:val="21"/>
                <w:szCs w:val="21"/>
              </w:rPr>
            </w:pPr>
          </w:p>
        </w:tc>
        <w:tc>
          <w:tcPr>
            <w:tcW w:w="3358" w:type="dxa"/>
            <w:tcBorders>
              <w:tl2br w:val="nil"/>
              <w:tr2bl w:val="nil"/>
            </w:tcBorders>
            <w:shd w:val="clear" w:color="auto" w:fill="auto"/>
            <w:vAlign w:val="center"/>
          </w:tcPr>
          <w:p>
            <w:pPr>
              <w:spacing w:line="240" w:lineRule="auto"/>
              <w:ind w:firstLine="0" w:firstLineChars="0"/>
              <w:jc w:val="center"/>
              <w:rPr>
                <w:sz w:val="21"/>
                <w:szCs w:val="21"/>
              </w:rPr>
            </w:pPr>
            <w:r>
              <w:rPr>
                <w:rFonts w:hAnsi="宋体"/>
                <w:sz w:val="21"/>
                <w:szCs w:val="21"/>
              </w:rPr>
              <w:t>市农委</w:t>
            </w:r>
          </w:p>
        </w:tc>
        <w:tc>
          <w:tcPr>
            <w:tcW w:w="1198" w:type="dxa"/>
            <w:tcBorders>
              <w:tl2br w:val="nil"/>
              <w:tr2bl w:val="nil"/>
            </w:tcBorders>
            <w:vAlign w:val="center"/>
          </w:tcPr>
          <w:p>
            <w:pPr>
              <w:spacing w:line="240" w:lineRule="auto"/>
              <w:ind w:firstLine="0" w:firstLineChars="0"/>
              <w:jc w:val="center"/>
              <w:rPr>
                <w:sz w:val="21"/>
                <w:szCs w:val="21"/>
              </w:rPr>
            </w:pPr>
            <w:r>
              <w:rPr>
                <w:rFonts w:hAnsi="宋体"/>
                <w:sz w:val="21"/>
                <w:szCs w:val="21"/>
              </w:rPr>
              <w:t>孙志诚</w:t>
            </w:r>
          </w:p>
        </w:tc>
        <w:tc>
          <w:tcPr>
            <w:tcW w:w="1612" w:type="dxa"/>
            <w:tcBorders>
              <w:tl2br w:val="nil"/>
              <w:tr2bl w:val="nil"/>
            </w:tcBorders>
            <w:shd w:val="clear" w:color="auto" w:fill="auto"/>
            <w:vAlign w:val="center"/>
          </w:tcPr>
          <w:p>
            <w:pPr>
              <w:spacing w:line="240" w:lineRule="auto"/>
              <w:ind w:firstLine="0" w:firstLineChars="0"/>
              <w:jc w:val="center"/>
              <w:rPr>
                <w:sz w:val="21"/>
                <w:szCs w:val="21"/>
              </w:rPr>
            </w:pPr>
            <w:r>
              <w:rPr>
                <w:rFonts w:hAnsi="宋体"/>
                <w:sz w:val="21"/>
                <w:szCs w:val="21"/>
              </w:rPr>
              <w:t>主任</w:t>
            </w:r>
          </w:p>
        </w:tc>
        <w:tc>
          <w:tcPr>
            <w:tcW w:w="1832" w:type="dxa"/>
            <w:tcBorders>
              <w:tl2br w:val="nil"/>
              <w:tr2bl w:val="nil"/>
            </w:tcBorders>
            <w:shd w:val="clear" w:color="auto" w:fill="auto"/>
            <w:vAlign w:val="center"/>
          </w:tcPr>
          <w:p>
            <w:pPr>
              <w:spacing w:line="240" w:lineRule="auto"/>
              <w:ind w:firstLine="0" w:firstLineChars="0"/>
              <w:jc w:val="center"/>
              <w:rPr>
                <w:sz w:val="21"/>
                <w:szCs w:val="21"/>
                <w:shd w:val="clear" w:color="auto" w:fill="FFFFFF"/>
              </w:rPr>
            </w:pPr>
            <w:r>
              <w:rPr>
                <w:sz w:val="21"/>
                <w:szCs w:val="21"/>
                <w:shd w:val="clear" w:color="auto" w:fill="FFFFFF"/>
              </w:rPr>
              <w:t>8627586</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trPr>
        <w:tc>
          <w:tcPr>
            <w:tcW w:w="1571" w:type="dxa"/>
            <w:vMerge w:val="continue"/>
            <w:tcBorders>
              <w:tl2br w:val="nil"/>
              <w:tr2bl w:val="nil"/>
            </w:tcBorders>
            <w:shd w:val="clear" w:color="auto" w:fill="auto"/>
            <w:vAlign w:val="center"/>
          </w:tcPr>
          <w:p>
            <w:pPr>
              <w:spacing w:line="240" w:lineRule="auto"/>
              <w:ind w:firstLine="0" w:firstLineChars="0"/>
              <w:rPr>
                <w:sz w:val="21"/>
                <w:szCs w:val="21"/>
              </w:rPr>
            </w:pPr>
          </w:p>
        </w:tc>
        <w:tc>
          <w:tcPr>
            <w:tcW w:w="3358" w:type="dxa"/>
            <w:tcBorders>
              <w:tl2br w:val="nil"/>
              <w:tr2bl w:val="nil"/>
            </w:tcBorders>
            <w:shd w:val="clear" w:color="auto" w:fill="auto"/>
            <w:vAlign w:val="center"/>
          </w:tcPr>
          <w:p>
            <w:pPr>
              <w:spacing w:line="240" w:lineRule="auto"/>
              <w:ind w:firstLine="0" w:firstLineChars="0"/>
              <w:jc w:val="center"/>
              <w:rPr>
                <w:sz w:val="21"/>
                <w:szCs w:val="21"/>
              </w:rPr>
            </w:pPr>
            <w:r>
              <w:rPr>
                <w:rFonts w:hAnsi="宋体"/>
                <w:sz w:val="21"/>
                <w:szCs w:val="21"/>
              </w:rPr>
              <w:t>国网岳阳供电公司</w:t>
            </w:r>
          </w:p>
        </w:tc>
        <w:tc>
          <w:tcPr>
            <w:tcW w:w="1198" w:type="dxa"/>
            <w:tcBorders>
              <w:tl2br w:val="nil"/>
              <w:tr2bl w:val="nil"/>
            </w:tcBorders>
            <w:vAlign w:val="center"/>
          </w:tcPr>
          <w:p>
            <w:pPr>
              <w:spacing w:line="240" w:lineRule="auto"/>
              <w:ind w:firstLine="0" w:firstLineChars="0"/>
              <w:jc w:val="center"/>
              <w:rPr>
                <w:sz w:val="21"/>
                <w:szCs w:val="21"/>
              </w:rPr>
            </w:pPr>
            <w:r>
              <w:rPr>
                <w:rFonts w:hAnsi="宋体"/>
                <w:sz w:val="21"/>
                <w:szCs w:val="21"/>
              </w:rPr>
              <w:t>许海清</w:t>
            </w:r>
          </w:p>
        </w:tc>
        <w:tc>
          <w:tcPr>
            <w:tcW w:w="1612" w:type="dxa"/>
            <w:tcBorders>
              <w:tl2br w:val="nil"/>
              <w:tr2bl w:val="nil"/>
            </w:tcBorders>
            <w:shd w:val="clear" w:color="auto" w:fill="auto"/>
            <w:vAlign w:val="center"/>
          </w:tcPr>
          <w:p>
            <w:pPr>
              <w:spacing w:line="240" w:lineRule="auto"/>
              <w:ind w:firstLine="0" w:firstLineChars="0"/>
              <w:jc w:val="center"/>
              <w:rPr>
                <w:sz w:val="21"/>
                <w:szCs w:val="21"/>
              </w:rPr>
            </w:pPr>
            <w:r>
              <w:rPr>
                <w:rFonts w:hAnsi="宋体"/>
                <w:sz w:val="21"/>
                <w:szCs w:val="21"/>
              </w:rPr>
              <w:t>总经理</w:t>
            </w:r>
          </w:p>
        </w:tc>
        <w:tc>
          <w:tcPr>
            <w:tcW w:w="1832" w:type="dxa"/>
            <w:tcBorders>
              <w:tl2br w:val="nil"/>
              <w:tr2bl w:val="nil"/>
            </w:tcBorders>
            <w:shd w:val="clear" w:color="auto" w:fill="auto"/>
            <w:vAlign w:val="center"/>
          </w:tcPr>
          <w:p>
            <w:pPr>
              <w:spacing w:line="240" w:lineRule="auto"/>
              <w:ind w:firstLine="0" w:firstLineChars="0"/>
              <w:jc w:val="center"/>
              <w:rPr>
                <w:sz w:val="21"/>
                <w:szCs w:val="21"/>
                <w:shd w:val="clear" w:color="auto" w:fill="FFFFFF"/>
              </w:rPr>
            </w:pPr>
            <w:r>
              <w:rPr>
                <w:sz w:val="21"/>
                <w:szCs w:val="21"/>
                <w:shd w:val="clear" w:color="auto" w:fill="FFFFFF"/>
              </w:rPr>
              <w:t>2922241</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trPr>
        <w:tc>
          <w:tcPr>
            <w:tcW w:w="1571" w:type="dxa"/>
            <w:vMerge w:val="continue"/>
            <w:tcBorders>
              <w:tl2br w:val="nil"/>
              <w:tr2bl w:val="nil"/>
            </w:tcBorders>
            <w:shd w:val="clear" w:color="auto" w:fill="auto"/>
            <w:vAlign w:val="center"/>
          </w:tcPr>
          <w:p>
            <w:pPr>
              <w:spacing w:line="240" w:lineRule="auto"/>
              <w:ind w:firstLine="0" w:firstLineChars="0"/>
              <w:rPr>
                <w:sz w:val="21"/>
                <w:szCs w:val="21"/>
              </w:rPr>
            </w:pPr>
          </w:p>
        </w:tc>
        <w:tc>
          <w:tcPr>
            <w:tcW w:w="3358" w:type="dxa"/>
            <w:tcBorders>
              <w:tl2br w:val="nil"/>
              <w:tr2bl w:val="nil"/>
            </w:tcBorders>
            <w:shd w:val="clear" w:color="auto" w:fill="auto"/>
            <w:vAlign w:val="center"/>
          </w:tcPr>
          <w:p>
            <w:pPr>
              <w:spacing w:line="240" w:lineRule="auto"/>
              <w:ind w:firstLine="0" w:firstLineChars="0"/>
              <w:jc w:val="center"/>
              <w:rPr>
                <w:sz w:val="21"/>
                <w:szCs w:val="21"/>
                <w:u w:val="single"/>
              </w:rPr>
            </w:pPr>
            <w:r>
              <w:rPr>
                <w:rFonts w:hAnsi="宋体"/>
                <w:sz w:val="21"/>
                <w:szCs w:val="21"/>
                <w:u w:val="single"/>
              </w:rPr>
              <w:t>市自来水公司</w:t>
            </w:r>
          </w:p>
        </w:tc>
        <w:tc>
          <w:tcPr>
            <w:tcW w:w="1198" w:type="dxa"/>
            <w:tcBorders>
              <w:tl2br w:val="nil"/>
              <w:tr2bl w:val="nil"/>
            </w:tcBorders>
            <w:vAlign w:val="center"/>
          </w:tcPr>
          <w:p>
            <w:pPr>
              <w:spacing w:line="240" w:lineRule="auto"/>
              <w:ind w:firstLine="0" w:firstLineChars="0"/>
              <w:jc w:val="center"/>
              <w:rPr>
                <w:sz w:val="21"/>
                <w:szCs w:val="21"/>
                <w:u w:val="single"/>
              </w:rPr>
            </w:pPr>
            <w:r>
              <w:rPr>
                <w:rFonts w:hAnsi="宋体"/>
                <w:sz w:val="21"/>
                <w:szCs w:val="21"/>
                <w:u w:val="single"/>
              </w:rPr>
              <w:t>李宇宙</w:t>
            </w:r>
          </w:p>
        </w:tc>
        <w:tc>
          <w:tcPr>
            <w:tcW w:w="1612" w:type="dxa"/>
            <w:tcBorders>
              <w:tl2br w:val="nil"/>
              <w:tr2bl w:val="nil"/>
            </w:tcBorders>
            <w:shd w:val="clear" w:color="auto" w:fill="auto"/>
            <w:vAlign w:val="center"/>
          </w:tcPr>
          <w:p>
            <w:pPr>
              <w:spacing w:line="240" w:lineRule="auto"/>
              <w:ind w:firstLine="0" w:firstLineChars="0"/>
              <w:jc w:val="center"/>
              <w:rPr>
                <w:sz w:val="21"/>
                <w:szCs w:val="21"/>
                <w:u w:val="single"/>
              </w:rPr>
            </w:pPr>
            <w:r>
              <w:rPr>
                <w:rFonts w:hAnsi="宋体"/>
                <w:sz w:val="21"/>
                <w:szCs w:val="21"/>
                <w:u w:val="single"/>
              </w:rPr>
              <w:t>总经理</w:t>
            </w:r>
          </w:p>
        </w:tc>
        <w:tc>
          <w:tcPr>
            <w:tcW w:w="1832" w:type="dxa"/>
            <w:tcBorders>
              <w:tl2br w:val="nil"/>
              <w:tr2bl w:val="nil"/>
            </w:tcBorders>
            <w:shd w:val="clear" w:color="auto" w:fill="auto"/>
            <w:vAlign w:val="center"/>
          </w:tcPr>
          <w:p>
            <w:pPr>
              <w:spacing w:line="240" w:lineRule="auto"/>
              <w:ind w:firstLine="0" w:firstLineChars="0"/>
              <w:jc w:val="center"/>
              <w:rPr>
                <w:sz w:val="21"/>
                <w:szCs w:val="21"/>
                <w:u w:val="single"/>
              </w:rPr>
            </w:pPr>
            <w:r>
              <w:rPr>
                <w:sz w:val="21"/>
                <w:szCs w:val="21"/>
                <w:u w:val="single"/>
              </w:rPr>
              <w:t>2933333</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trPr>
        <w:tc>
          <w:tcPr>
            <w:tcW w:w="1571" w:type="dxa"/>
            <w:vMerge w:val="continue"/>
            <w:tcBorders>
              <w:tl2br w:val="nil"/>
              <w:tr2bl w:val="nil"/>
            </w:tcBorders>
            <w:shd w:val="clear" w:color="auto" w:fill="auto"/>
            <w:vAlign w:val="center"/>
          </w:tcPr>
          <w:p>
            <w:pPr>
              <w:spacing w:line="240" w:lineRule="auto"/>
              <w:ind w:firstLine="0" w:firstLineChars="0"/>
              <w:rPr>
                <w:sz w:val="21"/>
                <w:szCs w:val="21"/>
              </w:rPr>
            </w:pPr>
          </w:p>
        </w:tc>
        <w:tc>
          <w:tcPr>
            <w:tcW w:w="3358" w:type="dxa"/>
            <w:tcBorders>
              <w:tl2br w:val="nil"/>
              <w:tr2bl w:val="nil"/>
            </w:tcBorders>
            <w:shd w:val="clear" w:color="auto" w:fill="auto"/>
            <w:vAlign w:val="center"/>
          </w:tcPr>
          <w:p>
            <w:pPr>
              <w:spacing w:line="240" w:lineRule="auto"/>
              <w:ind w:firstLine="0" w:firstLineChars="0"/>
              <w:jc w:val="center"/>
              <w:rPr>
                <w:sz w:val="21"/>
                <w:szCs w:val="21"/>
              </w:rPr>
            </w:pPr>
            <w:r>
              <w:rPr>
                <w:rFonts w:hAnsi="宋体"/>
                <w:sz w:val="21"/>
                <w:szCs w:val="21"/>
              </w:rPr>
              <w:t>平江县政府</w:t>
            </w:r>
          </w:p>
        </w:tc>
        <w:tc>
          <w:tcPr>
            <w:tcW w:w="1198" w:type="dxa"/>
            <w:tcBorders>
              <w:tl2br w:val="nil"/>
              <w:tr2bl w:val="nil"/>
            </w:tcBorders>
            <w:vAlign w:val="center"/>
          </w:tcPr>
          <w:p>
            <w:pPr>
              <w:spacing w:line="240" w:lineRule="auto"/>
              <w:ind w:firstLine="0" w:firstLineChars="0"/>
              <w:jc w:val="center"/>
              <w:rPr>
                <w:sz w:val="21"/>
                <w:szCs w:val="21"/>
              </w:rPr>
            </w:pPr>
            <w:r>
              <w:rPr>
                <w:rFonts w:hAnsi="宋体"/>
                <w:sz w:val="21"/>
                <w:szCs w:val="21"/>
              </w:rPr>
              <w:t>黄伟雄</w:t>
            </w:r>
          </w:p>
        </w:tc>
        <w:tc>
          <w:tcPr>
            <w:tcW w:w="1612" w:type="dxa"/>
            <w:tcBorders>
              <w:tl2br w:val="nil"/>
              <w:tr2bl w:val="nil"/>
            </w:tcBorders>
            <w:shd w:val="clear" w:color="auto" w:fill="auto"/>
            <w:vAlign w:val="center"/>
          </w:tcPr>
          <w:p>
            <w:pPr>
              <w:spacing w:line="240" w:lineRule="auto"/>
              <w:ind w:firstLine="0" w:firstLineChars="0"/>
              <w:jc w:val="center"/>
              <w:rPr>
                <w:sz w:val="21"/>
                <w:szCs w:val="21"/>
              </w:rPr>
            </w:pPr>
            <w:r>
              <w:rPr>
                <w:rFonts w:hAnsi="宋体"/>
                <w:sz w:val="21"/>
                <w:szCs w:val="21"/>
              </w:rPr>
              <w:t>副书记</w:t>
            </w:r>
          </w:p>
        </w:tc>
        <w:tc>
          <w:tcPr>
            <w:tcW w:w="1832" w:type="dxa"/>
            <w:tcBorders>
              <w:tl2br w:val="nil"/>
              <w:tr2bl w:val="nil"/>
            </w:tcBorders>
            <w:shd w:val="clear" w:color="auto" w:fill="auto"/>
            <w:vAlign w:val="center"/>
          </w:tcPr>
          <w:p>
            <w:pPr>
              <w:spacing w:line="240" w:lineRule="auto"/>
              <w:ind w:firstLine="0" w:firstLineChars="0"/>
              <w:jc w:val="center"/>
              <w:rPr>
                <w:sz w:val="21"/>
                <w:szCs w:val="21"/>
              </w:rPr>
            </w:pPr>
            <w:r>
              <w:rPr>
                <w:sz w:val="21"/>
                <w:szCs w:val="21"/>
              </w:rPr>
              <w:t>6266878</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trPr>
        <w:tc>
          <w:tcPr>
            <w:tcW w:w="1571" w:type="dxa"/>
            <w:vMerge w:val="continue"/>
            <w:tcBorders>
              <w:tl2br w:val="nil"/>
              <w:tr2bl w:val="nil"/>
            </w:tcBorders>
            <w:shd w:val="clear" w:color="auto" w:fill="auto"/>
            <w:vAlign w:val="center"/>
          </w:tcPr>
          <w:p>
            <w:pPr>
              <w:spacing w:line="240" w:lineRule="auto"/>
              <w:ind w:firstLine="0" w:firstLineChars="0"/>
              <w:rPr>
                <w:sz w:val="21"/>
                <w:szCs w:val="21"/>
              </w:rPr>
            </w:pPr>
          </w:p>
        </w:tc>
        <w:tc>
          <w:tcPr>
            <w:tcW w:w="3358" w:type="dxa"/>
            <w:tcBorders>
              <w:tl2br w:val="nil"/>
              <w:tr2bl w:val="nil"/>
            </w:tcBorders>
            <w:shd w:val="clear" w:color="auto" w:fill="auto"/>
            <w:vAlign w:val="center"/>
          </w:tcPr>
          <w:p>
            <w:pPr>
              <w:spacing w:line="240" w:lineRule="auto"/>
              <w:ind w:firstLine="0" w:firstLineChars="0"/>
              <w:jc w:val="center"/>
              <w:rPr>
                <w:sz w:val="21"/>
                <w:szCs w:val="21"/>
              </w:rPr>
            </w:pPr>
            <w:r>
              <w:rPr>
                <w:rFonts w:hAnsi="宋体"/>
                <w:sz w:val="21"/>
                <w:szCs w:val="21"/>
              </w:rPr>
              <w:t>岳阳县政府</w:t>
            </w:r>
          </w:p>
        </w:tc>
        <w:tc>
          <w:tcPr>
            <w:tcW w:w="1198" w:type="dxa"/>
            <w:tcBorders>
              <w:tl2br w:val="nil"/>
              <w:tr2bl w:val="nil"/>
            </w:tcBorders>
            <w:vAlign w:val="center"/>
          </w:tcPr>
          <w:p>
            <w:pPr>
              <w:spacing w:line="240" w:lineRule="auto"/>
              <w:ind w:firstLine="0" w:firstLineChars="0"/>
              <w:jc w:val="center"/>
              <w:rPr>
                <w:sz w:val="21"/>
                <w:szCs w:val="21"/>
              </w:rPr>
            </w:pPr>
            <w:r>
              <w:rPr>
                <w:rFonts w:hAnsi="宋体"/>
                <w:sz w:val="21"/>
                <w:szCs w:val="21"/>
              </w:rPr>
              <w:t>曾平原</w:t>
            </w:r>
          </w:p>
        </w:tc>
        <w:tc>
          <w:tcPr>
            <w:tcW w:w="1612" w:type="dxa"/>
            <w:tcBorders>
              <w:tl2br w:val="nil"/>
              <w:tr2bl w:val="nil"/>
            </w:tcBorders>
            <w:shd w:val="clear" w:color="auto" w:fill="auto"/>
            <w:vAlign w:val="center"/>
          </w:tcPr>
          <w:p>
            <w:pPr>
              <w:spacing w:line="240" w:lineRule="auto"/>
              <w:ind w:firstLine="0" w:firstLineChars="0"/>
              <w:jc w:val="center"/>
              <w:rPr>
                <w:sz w:val="21"/>
                <w:szCs w:val="21"/>
              </w:rPr>
            </w:pPr>
            <w:r>
              <w:rPr>
                <w:rFonts w:hAnsi="宋体"/>
                <w:sz w:val="21"/>
                <w:szCs w:val="21"/>
              </w:rPr>
              <w:t>副书记</w:t>
            </w:r>
          </w:p>
        </w:tc>
        <w:tc>
          <w:tcPr>
            <w:tcW w:w="1832" w:type="dxa"/>
            <w:tcBorders>
              <w:tl2br w:val="nil"/>
              <w:tr2bl w:val="nil"/>
            </w:tcBorders>
            <w:shd w:val="clear" w:color="auto" w:fill="auto"/>
            <w:vAlign w:val="center"/>
          </w:tcPr>
          <w:p>
            <w:pPr>
              <w:spacing w:line="240" w:lineRule="auto"/>
              <w:ind w:firstLine="0" w:firstLineChars="0"/>
              <w:jc w:val="center"/>
              <w:rPr>
                <w:sz w:val="21"/>
                <w:szCs w:val="21"/>
              </w:rPr>
            </w:pPr>
            <w:r>
              <w:rPr>
                <w:sz w:val="21"/>
                <w:szCs w:val="21"/>
              </w:rPr>
              <w:t>7621221</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trPr>
        <w:tc>
          <w:tcPr>
            <w:tcW w:w="1571" w:type="dxa"/>
            <w:vMerge w:val="continue"/>
            <w:tcBorders>
              <w:tl2br w:val="nil"/>
              <w:tr2bl w:val="nil"/>
            </w:tcBorders>
            <w:shd w:val="clear" w:color="auto" w:fill="auto"/>
            <w:vAlign w:val="center"/>
          </w:tcPr>
          <w:p>
            <w:pPr>
              <w:spacing w:line="240" w:lineRule="auto"/>
              <w:ind w:firstLine="0" w:firstLineChars="0"/>
              <w:rPr>
                <w:sz w:val="21"/>
                <w:szCs w:val="21"/>
              </w:rPr>
            </w:pPr>
          </w:p>
        </w:tc>
        <w:tc>
          <w:tcPr>
            <w:tcW w:w="3358" w:type="dxa"/>
            <w:tcBorders>
              <w:tl2br w:val="nil"/>
              <w:tr2bl w:val="nil"/>
            </w:tcBorders>
            <w:shd w:val="clear" w:color="auto" w:fill="auto"/>
            <w:vAlign w:val="center"/>
          </w:tcPr>
          <w:p>
            <w:pPr>
              <w:spacing w:line="240" w:lineRule="auto"/>
              <w:ind w:firstLine="0" w:firstLineChars="0"/>
              <w:jc w:val="center"/>
              <w:rPr>
                <w:sz w:val="21"/>
                <w:szCs w:val="21"/>
              </w:rPr>
            </w:pPr>
            <w:r>
              <w:rPr>
                <w:rFonts w:hAnsi="宋体"/>
                <w:sz w:val="21"/>
                <w:szCs w:val="21"/>
              </w:rPr>
              <w:t>临湘市政府</w:t>
            </w:r>
          </w:p>
        </w:tc>
        <w:tc>
          <w:tcPr>
            <w:tcW w:w="1198" w:type="dxa"/>
            <w:tcBorders>
              <w:tl2br w:val="nil"/>
              <w:tr2bl w:val="nil"/>
            </w:tcBorders>
            <w:vAlign w:val="center"/>
          </w:tcPr>
          <w:p>
            <w:pPr>
              <w:spacing w:line="240" w:lineRule="auto"/>
              <w:ind w:firstLine="0" w:firstLineChars="0"/>
              <w:jc w:val="center"/>
              <w:rPr>
                <w:sz w:val="21"/>
                <w:szCs w:val="21"/>
              </w:rPr>
            </w:pPr>
            <w:r>
              <w:rPr>
                <w:rFonts w:hAnsi="宋体"/>
                <w:sz w:val="21"/>
                <w:szCs w:val="21"/>
              </w:rPr>
              <w:t>凌晓明</w:t>
            </w:r>
          </w:p>
        </w:tc>
        <w:tc>
          <w:tcPr>
            <w:tcW w:w="1612" w:type="dxa"/>
            <w:tcBorders>
              <w:tl2br w:val="nil"/>
              <w:tr2bl w:val="nil"/>
            </w:tcBorders>
            <w:shd w:val="clear" w:color="auto" w:fill="auto"/>
            <w:vAlign w:val="center"/>
          </w:tcPr>
          <w:p>
            <w:pPr>
              <w:spacing w:line="240" w:lineRule="auto"/>
              <w:ind w:firstLine="0" w:firstLineChars="0"/>
              <w:jc w:val="center"/>
              <w:rPr>
                <w:sz w:val="21"/>
                <w:szCs w:val="21"/>
              </w:rPr>
            </w:pPr>
            <w:r>
              <w:rPr>
                <w:rFonts w:hAnsi="宋体"/>
                <w:sz w:val="21"/>
                <w:szCs w:val="21"/>
              </w:rPr>
              <w:t>副市长</w:t>
            </w:r>
          </w:p>
        </w:tc>
        <w:tc>
          <w:tcPr>
            <w:tcW w:w="1832" w:type="dxa"/>
            <w:tcBorders>
              <w:tl2br w:val="nil"/>
              <w:tr2bl w:val="nil"/>
            </w:tcBorders>
            <w:shd w:val="clear" w:color="auto" w:fill="auto"/>
            <w:vAlign w:val="center"/>
          </w:tcPr>
          <w:p>
            <w:pPr>
              <w:spacing w:line="240" w:lineRule="auto"/>
              <w:ind w:firstLine="0" w:firstLineChars="0"/>
              <w:jc w:val="center"/>
              <w:rPr>
                <w:sz w:val="21"/>
                <w:szCs w:val="21"/>
              </w:rPr>
            </w:pPr>
            <w:r>
              <w:rPr>
                <w:sz w:val="21"/>
                <w:szCs w:val="21"/>
              </w:rPr>
              <w:t>3723121</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trPr>
        <w:tc>
          <w:tcPr>
            <w:tcW w:w="1571" w:type="dxa"/>
            <w:vMerge w:val="continue"/>
            <w:tcBorders>
              <w:tl2br w:val="nil"/>
              <w:tr2bl w:val="nil"/>
            </w:tcBorders>
            <w:shd w:val="clear" w:color="auto" w:fill="auto"/>
            <w:vAlign w:val="center"/>
          </w:tcPr>
          <w:p>
            <w:pPr>
              <w:spacing w:line="240" w:lineRule="auto"/>
              <w:ind w:firstLine="0" w:firstLineChars="0"/>
              <w:rPr>
                <w:sz w:val="21"/>
                <w:szCs w:val="21"/>
              </w:rPr>
            </w:pPr>
          </w:p>
        </w:tc>
        <w:tc>
          <w:tcPr>
            <w:tcW w:w="3358" w:type="dxa"/>
            <w:tcBorders>
              <w:tl2br w:val="nil"/>
              <w:tr2bl w:val="nil"/>
            </w:tcBorders>
            <w:shd w:val="clear" w:color="auto" w:fill="auto"/>
            <w:vAlign w:val="center"/>
          </w:tcPr>
          <w:p>
            <w:pPr>
              <w:spacing w:line="240" w:lineRule="auto"/>
              <w:ind w:firstLine="0" w:firstLineChars="0"/>
              <w:jc w:val="center"/>
              <w:rPr>
                <w:sz w:val="21"/>
                <w:szCs w:val="21"/>
              </w:rPr>
            </w:pPr>
            <w:r>
              <w:rPr>
                <w:rFonts w:hAnsi="宋体"/>
                <w:sz w:val="21"/>
                <w:szCs w:val="21"/>
              </w:rPr>
              <w:t>岳阳经济技术开发区管委会</w:t>
            </w:r>
          </w:p>
        </w:tc>
        <w:tc>
          <w:tcPr>
            <w:tcW w:w="1198" w:type="dxa"/>
            <w:tcBorders>
              <w:tl2br w:val="nil"/>
              <w:tr2bl w:val="nil"/>
            </w:tcBorders>
            <w:vAlign w:val="center"/>
          </w:tcPr>
          <w:p>
            <w:pPr>
              <w:spacing w:line="240" w:lineRule="auto"/>
              <w:ind w:firstLine="0" w:firstLineChars="0"/>
              <w:jc w:val="center"/>
              <w:rPr>
                <w:sz w:val="21"/>
                <w:szCs w:val="21"/>
              </w:rPr>
            </w:pPr>
            <w:r>
              <w:rPr>
                <w:rFonts w:hAnsi="宋体"/>
                <w:sz w:val="21"/>
                <w:szCs w:val="21"/>
              </w:rPr>
              <w:t>谢春生</w:t>
            </w:r>
          </w:p>
        </w:tc>
        <w:tc>
          <w:tcPr>
            <w:tcW w:w="1612" w:type="dxa"/>
            <w:tcBorders>
              <w:tl2br w:val="nil"/>
              <w:tr2bl w:val="nil"/>
            </w:tcBorders>
            <w:shd w:val="clear" w:color="auto" w:fill="auto"/>
            <w:vAlign w:val="center"/>
          </w:tcPr>
          <w:p>
            <w:pPr>
              <w:spacing w:line="240" w:lineRule="auto"/>
              <w:ind w:firstLine="0" w:firstLineChars="0"/>
              <w:jc w:val="center"/>
              <w:rPr>
                <w:sz w:val="21"/>
                <w:szCs w:val="21"/>
              </w:rPr>
            </w:pPr>
            <w:r>
              <w:rPr>
                <w:rFonts w:hAnsi="宋体"/>
                <w:sz w:val="21"/>
                <w:szCs w:val="21"/>
              </w:rPr>
              <w:t>主任</w:t>
            </w:r>
          </w:p>
        </w:tc>
        <w:tc>
          <w:tcPr>
            <w:tcW w:w="1832" w:type="dxa"/>
            <w:tcBorders>
              <w:tl2br w:val="nil"/>
              <w:tr2bl w:val="nil"/>
            </w:tcBorders>
            <w:shd w:val="clear" w:color="auto" w:fill="auto"/>
            <w:vAlign w:val="center"/>
          </w:tcPr>
          <w:p>
            <w:pPr>
              <w:spacing w:line="240" w:lineRule="auto"/>
              <w:ind w:firstLine="0" w:firstLineChars="0"/>
              <w:jc w:val="center"/>
              <w:rPr>
                <w:sz w:val="21"/>
                <w:szCs w:val="21"/>
              </w:rPr>
            </w:pPr>
            <w:r>
              <w:rPr>
                <w:sz w:val="21"/>
                <w:szCs w:val="21"/>
              </w:rPr>
              <w:t>8720988</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trPr>
        <w:tc>
          <w:tcPr>
            <w:tcW w:w="1571" w:type="dxa"/>
            <w:vMerge w:val="continue"/>
            <w:tcBorders>
              <w:tl2br w:val="nil"/>
              <w:tr2bl w:val="nil"/>
            </w:tcBorders>
            <w:shd w:val="clear" w:color="auto" w:fill="auto"/>
            <w:vAlign w:val="center"/>
          </w:tcPr>
          <w:p>
            <w:pPr>
              <w:spacing w:line="240" w:lineRule="auto"/>
              <w:ind w:firstLine="0" w:firstLineChars="0"/>
              <w:rPr>
                <w:sz w:val="21"/>
                <w:szCs w:val="21"/>
              </w:rPr>
            </w:pPr>
          </w:p>
        </w:tc>
        <w:tc>
          <w:tcPr>
            <w:tcW w:w="3358" w:type="dxa"/>
            <w:tcBorders>
              <w:tl2br w:val="nil"/>
              <w:tr2bl w:val="nil"/>
            </w:tcBorders>
            <w:shd w:val="clear" w:color="auto" w:fill="auto"/>
            <w:vAlign w:val="center"/>
          </w:tcPr>
          <w:p>
            <w:pPr>
              <w:spacing w:line="240" w:lineRule="auto"/>
              <w:ind w:firstLine="0" w:firstLineChars="0"/>
              <w:jc w:val="center"/>
              <w:rPr>
                <w:sz w:val="21"/>
                <w:szCs w:val="21"/>
                <w:u w:val="single"/>
              </w:rPr>
            </w:pPr>
            <w:r>
              <w:rPr>
                <w:rFonts w:hAnsi="宋体"/>
                <w:sz w:val="21"/>
                <w:szCs w:val="21"/>
                <w:u w:val="single"/>
              </w:rPr>
              <w:t>月田镇人民政府</w:t>
            </w:r>
          </w:p>
        </w:tc>
        <w:tc>
          <w:tcPr>
            <w:tcW w:w="1198" w:type="dxa"/>
            <w:tcBorders>
              <w:tl2br w:val="nil"/>
              <w:tr2bl w:val="nil"/>
            </w:tcBorders>
            <w:vAlign w:val="center"/>
          </w:tcPr>
          <w:p>
            <w:pPr>
              <w:spacing w:line="240" w:lineRule="auto"/>
              <w:ind w:firstLine="0" w:firstLineChars="0"/>
              <w:jc w:val="center"/>
              <w:rPr>
                <w:sz w:val="21"/>
                <w:szCs w:val="21"/>
                <w:u w:val="single"/>
              </w:rPr>
            </w:pPr>
            <w:r>
              <w:rPr>
                <w:rFonts w:hAnsi="宋体"/>
                <w:sz w:val="21"/>
                <w:szCs w:val="21"/>
                <w:u w:val="single"/>
              </w:rPr>
              <w:t>付海苗</w:t>
            </w:r>
          </w:p>
        </w:tc>
        <w:tc>
          <w:tcPr>
            <w:tcW w:w="1612" w:type="dxa"/>
            <w:tcBorders>
              <w:tl2br w:val="nil"/>
              <w:tr2bl w:val="nil"/>
            </w:tcBorders>
            <w:shd w:val="clear" w:color="auto" w:fill="auto"/>
            <w:vAlign w:val="center"/>
          </w:tcPr>
          <w:p>
            <w:pPr>
              <w:spacing w:line="240" w:lineRule="auto"/>
              <w:ind w:firstLine="0" w:firstLineChars="0"/>
              <w:jc w:val="center"/>
              <w:rPr>
                <w:sz w:val="21"/>
                <w:szCs w:val="21"/>
                <w:u w:val="single"/>
              </w:rPr>
            </w:pPr>
            <w:r>
              <w:rPr>
                <w:rFonts w:hAnsi="宋体"/>
                <w:sz w:val="21"/>
                <w:szCs w:val="21"/>
                <w:u w:val="single"/>
              </w:rPr>
              <w:t>镇长</w:t>
            </w:r>
          </w:p>
        </w:tc>
        <w:tc>
          <w:tcPr>
            <w:tcW w:w="1832" w:type="dxa"/>
            <w:tcBorders>
              <w:tl2br w:val="nil"/>
              <w:tr2bl w:val="nil"/>
            </w:tcBorders>
            <w:shd w:val="clear" w:color="auto" w:fill="auto"/>
            <w:vAlign w:val="center"/>
          </w:tcPr>
          <w:p>
            <w:pPr>
              <w:spacing w:line="240" w:lineRule="auto"/>
              <w:ind w:firstLine="0" w:firstLineChars="0"/>
              <w:jc w:val="center"/>
              <w:rPr>
                <w:sz w:val="21"/>
                <w:szCs w:val="21"/>
                <w:u w:val="single"/>
              </w:rPr>
            </w:pPr>
            <w:r>
              <w:rPr>
                <w:sz w:val="21"/>
                <w:szCs w:val="21"/>
                <w:u w:val="single"/>
              </w:rPr>
              <w:t>7140003</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trPr>
        <w:tc>
          <w:tcPr>
            <w:tcW w:w="1571" w:type="dxa"/>
            <w:vMerge w:val="continue"/>
            <w:tcBorders>
              <w:tl2br w:val="nil"/>
              <w:tr2bl w:val="nil"/>
            </w:tcBorders>
            <w:shd w:val="clear" w:color="auto" w:fill="auto"/>
            <w:vAlign w:val="center"/>
          </w:tcPr>
          <w:p>
            <w:pPr>
              <w:spacing w:line="240" w:lineRule="auto"/>
              <w:ind w:firstLine="0" w:firstLineChars="0"/>
              <w:rPr>
                <w:sz w:val="21"/>
                <w:szCs w:val="21"/>
              </w:rPr>
            </w:pPr>
          </w:p>
        </w:tc>
        <w:tc>
          <w:tcPr>
            <w:tcW w:w="3358" w:type="dxa"/>
            <w:tcBorders>
              <w:tl2br w:val="nil"/>
              <w:tr2bl w:val="nil"/>
            </w:tcBorders>
            <w:shd w:val="clear" w:color="auto" w:fill="auto"/>
            <w:vAlign w:val="center"/>
          </w:tcPr>
          <w:p>
            <w:pPr>
              <w:spacing w:line="240" w:lineRule="auto"/>
              <w:ind w:firstLine="0" w:firstLineChars="0"/>
              <w:jc w:val="center"/>
              <w:rPr>
                <w:sz w:val="21"/>
                <w:szCs w:val="21"/>
                <w:u w:val="single"/>
              </w:rPr>
            </w:pPr>
            <w:r>
              <w:rPr>
                <w:rFonts w:hAnsi="宋体"/>
                <w:sz w:val="21"/>
                <w:szCs w:val="21"/>
                <w:u w:val="single"/>
              </w:rPr>
              <w:t>毛田镇人民政府</w:t>
            </w:r>
          </w:p>
        </w:tc>
        <w:tc>
          <w:tcPr>
            <w:tcW w:w="1198" w:type="dxa"/>
            <w:tcBorders>
              <w:tl2br w:val="nil"/>
              <w:tr2bl w:val="nil"/>
            </w:tcBorders>
            <w:vAlign w:val="center"/>
          </w:tcPr>
          <w:p>
            <w:pPr>
              <w:spacing w:line="240" w:lineRule="auto"/>
              <w:ind w:firstLine="0" w:firstLineChars="0"/>
              <w:jc w:val="center"/>
              <w:rPr>
                <w:sz w:val="21"/>
                <w:szCs w:val="21"/>
                <w:u w:val="single"/>
              </w:rPr>
            </w:pPr>
            <w:r>
              <w:rPr>
                <w:rFonts w:hAnsi="宋体"/>
                <w:sz w:val="21"/>
                <w:szCs w:val="21"/>
                <w:u w:val="single"/>
              </w:rPr>
              <w:t>徐勇军</w:t>
            </w:r>
          </w:p>
        </w:tc>
        <w:tc>
          <w:tcPr>
            <w:tcW w:w="1612" w:type="dxa"/>
            <w:tcBorders>
              <w:tl2br w:val="nil"/>
              <w:tr2bl w:val="nil"/>
            </w:tcBorders>
            <w:shd w:val="clear" w:color="auto" w:fill="auto"/>
            <w:vAlign w:val="center"/>
          </w:tcPr>
          <w:p>
            <w:pPr>
              <w:spacing w:line="240" w:lineRule="auto"/>
              <w:ind w:firstLine="0" w:firstLineChars="0"/>
              <w:jc w:val="center"/>
              <w:rPr>
                <w:sz w:val="21"/>
                <w:szCs w:val="21"/>
                <w:u w:val="single"/>
              </w:rPr>
            </w:pPr>
            <w:r>
              <w:rPr>
                <w:rFonts w:hAnsi="宋体"/>
                <w:sz w:val="21"/>
                <w:szCs w:val="21"/>
                <w:u w:val="single"/>
              </w:rPr>
              <w:t>镇长</w:t>
            </w:r>
          </w:p>
        </w:tc>
        <w:tc>
          <w:tcPr>
            <w:tcW w:w="1832" w:type="dxa"/>
            <w:tcBorders>
              <w:tl2br w:val="nil"/>
              <w:tr2bl w:val="nil"/>
            </w:tcBorders>
            <w:shd w:val="clear" w:color="auto" w:fill="auto"/>
            <w:vAlign w:val="center"/>
          </w:tcPr>
          <w:p>
            <w:pPr>
              <w:spacing w:line="240" w:lineRule="auto"/>
              <w:ind w:firstLine="0" w:firstLineChars="0"/>
              <w:jc w:val="center"/>
              <w:rPr>
                <w:sz w:val="21"/>
                <w:szCs w:val="21"/>
                <w:u w:val="single"/>
              </w:rPr>
            </w:pPr>
            <w:r>
              <w:rPr>
                <w:color w:val="000000"/>
                <w:sz w:val="21"/>
                <w:szCs w:val="21"/>
                <w:u w:val="single"/>
                <w:shd w:val="clear" w:color="auto" w:fill="FFFFFF"/>
              </w:rPr>
              <w:t>7100001</w:t>
            </w:r>
          </w:p>
        </w:tc>
      </w:tr>
    </w:tbl>
    <w:p>
      <w:r>
        <w:rPr>
          <w:rFonts w:hint="eastAsia"/>
        </w:rPr>
        <w:t>应急指挥部职责：组织各工作组及时集结；指定当地应急指挥部为现场指挥部，并领导其工作，特殊情况下指定现场指挥长；对应急事件迅速做出评估、报告和通报；对应急行动下达指令；视情况请求国家生态环境部、省人民政府、省生态环境厅提供救援支持；根据事件发展趋势与应急反映效果，及时调整应急行动计划；负责应急事件的新闻发布；指导应急事件善后处理。</w:t>
      </w:r>
    </w:p>
    <w:p>
      <w:r>
        <w:rPr>
          <w:rFonts w:hint="eastAsia"/>
        </w:rPr>
        <w:t>现场指挥部职责：</w:t>
      </w:r>
    </w:p>
    <w:p>
      <w:r>
        <w:t>①提出现场处置原则、要求，依法及时下达应对突发环境事件的决定、命令；</w:t>
      </w:r>
    </w:p>
    <w:p>
      <w:r>
        <w:t>②邀请、选派有关专家和人员参与现场应急指挥；</w:t>
      </w:r>
    </w:p>
    <w:p>
      <w:r>
        <w:t>③协调各级、各专业应急力量实施应急救援行动；</w:t>
      </w:r>
    </w:p>
    <w:p>
      <w:r>
        <w:t>④协调事发地周边危险源的监控管理；</w:t>
      </w:r>
    </w:p>
    <w:p>
      <w:r>
        <w:t>⑤协调建立现场警戒区和交通管制区域，确定重点防护区域；</w:t>
      </w:r>
    </w:p>
    <w:p>
      <w:r>
        <w:rPr>
          <w:rFonts w:hint="eastAsia"/>
        </w:rPr>
        <w:t>⑥</w:t>
      </w:r>
      <w:r>
        <w:t>根据事发地的气象、地理环境、人员密集程度等，确定受威胁人员疏散和撤离的时间和方式；</w:t>
      </w:r>
    </w:p>
    <w:p>
      <w:r>
        <w:rPr>
          <w:rFonts w:hint="eastAsia"/>
        </w:rPr>
        <w:t>⑦</w:t>
      </w:r>
      <w:r>
        <w:t>告知单位和个人应采取的环境安全防护措施；</w:t>
      </w:r>
    </w:p>
    <w:p>
      <w:r>
        <w:rPr>
          <w:rFonts w:hint="eastAsia"/>
        </w:rPr>
        <w:t>⑧</w:t>
      </w:r>
      <w:r>
        <w:t>及时向应急指挥部报告应急行动进展情况。</w:t>
      </w:r>
    </w:p>
    <w:p>
      <w:r>
        <w:rPr>
          <w:rFonts w:hint="eastAsia"/>
        </w:rPr>
        <w:t>（2）应急办公室</w:t>
      </w:r>
    </w:p>
    <w:p>
      <w:r>
        <w:t>①</w:t>
      </w:r>
      <w:r>
        <w:rPr>
          <w:rFonts w:hint="eastAsia"/>
        </w:rPr>
        <w:t xml:space="preserve"> </w:t>
      </w:r>
      <w:r>
        <w:t>对有关情况进行汇总、分析和报告，及时传达</w:t>
      </w:r>
      <w:r>
        <w:rPr>
          <w:rFonts w:hint="eastAsia"/>
        </w:rPr>
        <w:t>应急指挥部</w:t>
      </w:r>
      <w:r>
        <w:t>关于</w:t>
      </w:r>
      <w:r>
        <w:rPr>
          <w:rFonts w:hint="eastAsia"/>
        </w:rPr>
        <w:t>岳阳市饮用水源保护区（铁山水库-北干渠-金凤水库）</w:t>
      </w:r>
      <w:r>
        <w:t>突发环境事件的指示和领导批示</w:t>
      </w:r>
      <w:r>
        <w:rPr>
          <w:rFonts w:hint="eastAsia"/>
        </w:rPr>
        <w:t>。</w:t>
      </w:r>
    </w:p>
    <w:p>
      <w:r>
        <w:t>②</w:t>
      </w:r>
      <w:r>
        <w:rPr>
          <w:rFonts w:hint="eastAsia"/>
        </w:rPr>
        <w:t xml:space="preserve"> 负责</w:t>
      </w:r>
      <w:r>
        <w:t>组织协调工作，协调调配救援人员、物资、设备器材等</w:t>
      </w:r>
      <w:r>
        <w:rPr>
          <w:rFonts w:hint="eastAsia"/>
        </w:rPr>
        <w:t>。</w:t>
      </w:r>
    </w:p>
    <w:p>
      <w:r>
        <w:t>③</w:t>
      </w:r>
      <w:r>
        <w:rPr>
          <w:rFonts w:hint="eastAsia"/>
        </w:rPr>
        <w:t xml:space="preserve"> </w:t>
      </w:r>
      <w:r>
        <w:t>联络各应急小组并根据应急指挥长或副指挥长命令，迅速及时地联络救援力量。</w:t>
      </w:r>
    </w:p>
    <w:p>
      <w:r>
        <w:t>④</w:t>
      </w:r>
      <w:r>
        <w:rPr>
          <w:rFonts w:hint="eastAsia"/>
        </w:rPr>
        <w:t xml:space="preserve"> </w:t>
      </w:r>
      <w:r>
        <w:t>统一组织有关新闻单位及时报道应急处置工作情况，做好舆论引导工作。</w:t>
      </w:r>
    </w:p>
    <w:p>
      <w:pPr>
        <w:rPr>
          <w:color w:val="000000" w:themeColor="text1"/>
          <w:highlight w:val="yellow"/>
        </w:rPr>
      </w:pPr>
      <w:r>
        <w:t>⑤</w:t>
      </w:r>
      <w:r>
        <w:rPr>
          <w:rFonts w:hint="eastAsia"/>
        </w:rPr>
        <w:t xml:space="preserve"> </w:t>
      </w:r>
      <w:r>
        <w:t>负责对伤亡人员家属的接待、安抚和慰问工作及伤亡人员善后事宜，做好群众的思想稳定工作，维护社会稳定，消除不稳定因素等。</w:t>
      </w:r>
    </w:p>
    <w:p>
      <w:pPr>
        <w:pStyle w:val="3"/>
        <w:widowControl/>
        <w:rPr>
          <w:color w:val="000000" w:themeColor="text1"/>
          <w:szCs w:val="28"/>
        </w:rPr>
      </w:pPr>
      <w:bookmarkStart w:id="74" w:name="_Toc535851307"/>
      <w:r>
        <w:rPr>
          <w:rFonts w:hint="eastAsia"/>
          <w:color w:val="000000" w:themeColor="text1"/>
          <w:szCs w:val="28"/>
        </w:rPr>
        <w:t>2.3现场应急工作组</w:t>
      </w:r>
      <w:bookmarkEnd w:id="74"/>
    </w:p>
    <w:p>
      <w:r>
        <w:rPr>
          <w:rFonts w:hint="eastAsia"/>
        </w:rPr>
        <w:t>根据岳阳市饮用水水源保护区突发环境事件应急响应与处置工作的需要，设立七个应急响应急工作组，分别是应急处置组、应急监测组、</w:t>
      </w:r>
      <w:r>
        <w:t>工程技术组</w:t>
      </w:r>
      <w:r>
        <w:rPr>
          <w:rFonts w:hint="eastAsia"/>
        </w:rPr>
        <w:t>、</w:t>
      </w:r>
      <w:r>
        <w:t>安全警戒组</w:t>
      </w:r>
      <w:r>
        <w:rPr>
          <w:rFonts w:hint="eastAsia"/>
        </w:rPr>
        <w:t>、</w:t>
      </w:r>
      <w:r>
        <w:t>善后处理组</w:t>
      </w:r>
      <w:r>
        <w:rPr>
          <w:rFonts w:hint="eastAsia"/>
        </w:rPr>
        <w:t>、后勤保障组和专家咨询组等</w:t>
      </w:r>
      <w:r>
        <w:t>组成。</w:t>
      </w:r>
      <w:r>
        <w:rPr>
          <w:rFonts w:hint="eastAsia"/>
        </w:rPr>
        <w:t>具体组织机构如图2-1所示。</w:t>
      </w:r>
    </w:p>
    <w:p>
      <w:r>
        <w:drawing>
          <wp:inline distT="0" distB="0" distL="114300" distR="114300">
            <wp:extent cx="5205095" cy="3568065"/>
            <wp:effectExtent l="0" t="0" r="14605" b="13335"/>
            <wp:docPr id="4" name="图片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1" descr="IMG_256"/>
                    <pic:cNvPicPr>
                      <a:picLocks noChangeAspect="1"/>
                    </pic:cNvPicPr>
                  </pic:nvPicPr>
                  <pic:blipFill>
                    <a:blip r:embed="rId31" cstate="print"/>
                    <a:stretch>
                      <a:fillRect/>
                    </a:stretch>
                  </pic:blipFill>
                  <pic:spPr>
                    <a:xfrm>
                      <a:off x="0" y="0"/>
                      <a:ext cx="5205095" cy="3568065"/>
                    </a:xfrm>
                    <a:prstGeom prst="rect">
                      <a:avLst/>
                    </a:prstGeom>
                    <a:noFill/>
                    <a:ln w="9525">
                      <a:noFill/>
                    </a:ln>
                  </pic:spPr>
                </pic:pic>
              </a:graphicData>
            </a:graphic>
          </wp:inline>
        </w:drawing>
      </w:r>
    </w:p>
    <w:p>
      <w:pPr>
        <w:ind w:firstLine="422"/>
        <w:jc w:val="center"/>
        <w:rPr>
          <w:color w:val="000000" w:themeColor="text1"/>
          <w:sz w:val="21"/>
          <w:szCs w:val="21"/>
        </w:rPr>
      </w:pPr>
      <w:r>
        <w:rPr>
          <w:rFonts w:hint="eastAsia"/>
          <w:b/>
          <w:bCs/>
          <w:color w:val="000000" w:themeColor="text1"/>
          <w:sz w:val="21"/>
          <w:szCs w:val="21"/>
        </w:rPr>
        <w:t xml:space="preserve">图2-1  </w:t>
      </w:r>
      <w:r>
        <w:rPr>
          <w:rFonts w:hint="eastAsia"/>
          <w:b/>
          <w:bCs/>
          <w:sz w:val="21"/>
          <w:szCs w:val="21"/>
        </w:rPr>
        <w:t>突发</w:t>
      </w:r>
      <w:r>
        <w:rPr>
          <w:b/>
          <w:bCs/>
          <w:sz w:val="21"/>
          <w:szCs w:val="21"/>
        </w:rPr>
        <w:t>饮用水</w:t>
      </w:r>
      <w:r>
        <w:rPr>
          <w:rFonts w:hint="eastAsia"/>
          <w:b/>
          <w:bCs/>
          <w:sz w:val="21"/>
          <w:szCs w:val="21"/>
        </w:rPr>
        <w:t>源环境事件应急指挥</w:t>
      </w:r>
      <w:r>
        <w:rPr>
          <w:rFonts w:hint="eastAsia"/>
          <w:b/>
          <w:bCs/>
          <w:color w:val="000000" w:themeColor="text1"/>
          <w:sz w:val="21"/>
          <w:szCs w:val="21"/>
        </w:rPr>
        <w:t>组织机构图</w:t>
      </w:r>
    </w:p>
    <w:p>
      <w:pPr>
        <w:ind w:firstLine="0" w:firstLineChars="0"/>
        <w:jc w:val="center"/>
        <w:rPr>
          <w:rFonts w:hAnsi="宋体"/>
          <w:b/>
          <w:color w:val="000000" w:themeColor="text1"/>
          <w:sz w:val="21"/>
          <w:szCs w:val="21"/>
        </w:rPr>
      </w:pPr>
    </w:p>
    <w:p>
      <w:pPr>
        <w:ind w:firstLine="0" w:firstLineChars="0"/>
        <w:jc w:val="center"/>
        <w:rPr>
          <w:rFonts w:hAnsi="宋体"/>
          <w:b/>
          <w:color w:val="000000" w:themeColor="text1"/>
          <w:sz w:val="21"/>
          <w:szCs w:val="21"/>
        </w:rPr>
      </w:pPr>
    </w:p>
    <w:p>
      <w:pPr>
        <w:ind w:firstLine="0" w:firstLineChars="0"/>
        <w:jc w:val="center"/>
        <w:rPr>
          <w:rFonts w:hAnsi="宋体"/>
          <w:b/>
          <w:color w:val="000000" w:themeColor="text1"/>
          <w:sz w:val="21"/>
          <w:szCs w:val="21"/>
        </w:rPr>
      </w:pPr>
    </w:p>
    <w:p>
      <w:pPr>
        <w:ind w:firstLine="0" w:firstLineChars="0"/>
        <w:jc w:val="center"/>
        <w:rPr>
          <w:rFonts w:hAnsi="宋体"/>
          <w:b/>
          <w:color w:val="000000" w:themeColor="text1"/>
          <w:sz w:val="21"/>
          <w:szCs w:val="21"/>
        </w:rPr>
      </w:pPr>
    </w:p>
    <w:p>
      <w:pPr>
        <w:ind w:firstLine="0" w:firstLineChars="0"/>
        <w:jc w:val="center"/>
        <w:rPr>
          <w:rFonts w:hAnsi="宋体"/>
          <w:b/>
          <w:color w:val="000000" w:themeColor="text1"/>
          <w:sz w:val="21"/>
          <w:szCs w:val="21"/>
        </w:rPr>
      </w:pPr>
    </w:p>
    <w:p>
      <w:pPr>
        <w:ind w:firstLine="0" w:firstLineChars="0"/>
        <w:jc w:val="center"/>
        <w:rPr>
          <w:rFonts w:hAnsi="宋体"/>
          <w:b/>
          <w:color w:val="000000" w:themeColor="text1"/>
          <w:sz w:val="21"/>
          <w:szCs w:val="21"/>
        </w:rPr>
      </w:pPr>
    </w:p>
    <w:p>
      <w:pPr>
        <w:ind w:firstLine="0" w:firstLineChars="0"/>
        <w:jc w:val="center"/>
        <w:rPr>
          <w:rFonts w:hAnsi="宋体"/>
          <w:b/>
          <w:color w:val="000000" w:themeColor="text1"/>
          <w:sz w:val="21"/>
          <w:szCs w:val="21"/>
        </w:rPr>
      </w:pPr>
    </w:p>
    <w:p>
      <w:pPr>
        <w:ind w:firstLine="0" w:firstLineChars="0"/>
        <w:jc w:val="center"/>
        <w:rPr>
          <w:rFonts w:hAnsi="宋体"/>
          <w:b/>
          <w:color w:val="000000" w:themeColor="text1"/>
          <w:sz w:val="21"/>
          <w:szCs w:val="21"/>
        </w:rPr>
      </w:pPr>
      <w:r>
        <w:rPr>
          <w:rFonts w:hAnsi="宋体"/>
          <w:b/>
          <w:color w:val="000000" w:themeColor="text1"/>
          <w:sz w:val="21"/>
          <w:szCs w:val="21"/>
        </w:rPr>
        <w:br w:type="page"/>
      </w:r>
    </w:p>
    <w:p>
      <w:pPr>
        <w:ind w:firstLine="0" w:firstLineChars="0"/>
        <w:jc w:val="center"/>
        <w:rPr>
          <w:rFonts w:hAnsi="宋体"/>
          <w:b/>
          <w:color w:val="000000" w:themeColor="text1"/>
          <w:sz w:val="21"/>
          <w:szCs w:val="21"/>
        </w:rPr>
      </w:pPr>
      <w:r>
        <w:rPr>
          <w:rFonts w:hAnsi="宋体"/>
          <w:b/>
          <w:color w:val="000000" w:themeColor="text1"/>
          <w:sz w:val="21"/>
          <w:szCs w:val="21"/>
        </w:rPr>
        <w:t>表</w:t>
      </w:r>
      <w:r>
        <w:rPr>
          <w:b/>
          <w:color w:val="000000" w:themeColor="text1"/>
          <w:sz w:val="21"/>
          <w:szCs w:val="21"/>
        </w:rPr>
        <w:t>2-</w:t>
      </w:r>
      <w:r>
        <w:rPr>
          <w:rFonts w:hint="eastAsia"/>
          <w:b/>
          <w:color w:val="000000" w:themeColor="text1"/>
          <w:sz w:val="21"/>
          <w:szCs w:val="21"/>
        </w:rPr>
        <w:t>2</w:t>
      </w:r>
      <w:r>
        <w:rPr>
          <w:b/>
          <w:color w:val="000000" w:themeColor="text1"/>
          <w:sz w:val="21"/>
          <w:szCs w:val="21"/>
        </w:rPr>
        <w:t xml:space="preserve">   </w:t>
      </w:r>
      <w:r>
        <w:rPr>
          <w:rFonts w:hAnsi="宋体"/>
          <w:b/>
          <w:color w:val="000000" w:themeColor="text1"/>
          <w:sz w:val="21"/>
          <w:szCs w:val="21"/>
        </w:rPr>
        <w:t>应急</w:t>
      </w:r>
      <w:r>
        <w:rPr>
          <w:rFonts w:hint="eastAsia" w:hAnsi="宋体"/>
          <w:b/>
          <w:color w:val="000000" w:themeColor="text1"/>
          <w:sz w:val="21"/>
          <w:szCs w:val="21"/>
        </w:rPr>
        <w:t>工作组的主要职责</w:t>
      </w:r>
      <w:r>
        <w:rPr>
          <w:rFonts w:hAnsi="宋体"/>
          <w:b/>
          <w:color w:val="000000" w:themeColor="text1"/>
          <w:sz w:val="21"/>
          <w:szCs w:val="21"/>
        </w:rPr>
        <w:t>一览表</w:t>
      </w:r>
    </w:p>
    <w:tbl>
      <w:tblPr>
        <w:tblStyle w:val="47"/>
        <w:tblW w:w="9570" w:type="dxa"/>
        <w:jc w:val="center"/>
        <w:tblInd w:w="0" w:type="dxa"/>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
      <w:tblGrid>
        <w:gridCol w:w="1771"/>
        <w:gridCol w:w="4259"/>
        <w:gridCol w:w="3540"/>
      </w:tblGrid>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jc w:val="center"/>
        </w:trPr>
        <w:tc>
          <w:tcPr>
            <w:tcW w:w="1771" w:type="dxa"/>
            <w:tcBorders>
              <w:tl2br w:val="nil"/>
              <w:tr2bl w:val="nil"/>
            </w:tcBorders>
            <w:vAlign w:val="center"/>
          </w:tcPr>
          <w:p>
            <w:pPr>
              <w:spacing w:line="240" w:lineRule="auto"/>
              <w:ind w:firstLine="0" w:firstLineChars="0"/>
              <w:jc w:val="center"/>
              <w:rPr>
                <w:color w:val="000000" w:themeColor="text1"/>
                <w:sz w:val="21"/>
                <w:szCs w:val="21"/>
              </w:rPr>
            </w:pPr>
            <w:r>
              <w:rPr>
                <w:rFonts w:hint="eastAsia"/>
                <w:color w:val="000000" w:themeColor="text1"/>
                <w:sz w:val="21"/>
                <w:szCs w:val="21"/>
              </w:rPr>
              <w:t>应急工作组名称</w:t>
            </w:r>
          </w:p>
        </w:tc>
        <w:tc>
          <w:tcPr>
            <w:tcW w:w="4259" w:type="dxa"/>
            <w:tcBorders>
              <w:tl2br w:val="nil"/>
              <w:tr2bl w:val="nil"/>
            </w:tcBorders>
            <w:vAlign w:val="center"/>
          </w:tcPr>
          <w:p>
            <w:pPr>
              <w:spacing w:line="240" w:lineRule="auto"/>
              <w:ind w:firstLine="0" w:firstLineChars="0"/>
              <w:jc w:val="center"/>
              <w:rPr>
                <w:color w:val="000000" w:themeColor="text1"/>
                <w:sz w:val="21"/>
                <w:szCs w:val="21"/>
              </w:rPr>
            </w:pPr>
            <w:r>
              <w:rPr>
                <w:rFonts w:hint="eastAsia"/>
                <w:color w:val="000000" w:themeColor="text1"/>
                <w:sz w:val="21"/>
                <w:szCs w:val="21"/>
              </w:rPr>
              <w:t>应急职责</w:t>
            </w:r>
          </w:p>
        </w:tc>
        <w:tc>
          <w:tcPr>
            <w:tcW w:w="3540" w:type="dxa"/>
            <w:tcBorders>
              <w:tl2br w:val="nil"/>
              <w:tr2bl w:val="nil"/>
            </w:tcBorders>
            <w:vAlign w:val="center"/>
          </w:tcPr>
          <w:p>
            <w:pPr>
              <w:spacing w:line="240" w:lineRule="auto"/>
              <w:ind w:firstLine="0" w:firstLineChars="0"/>
              <w:jc w:val="center"/>
              <w:rPr>
                <w:color w:val="000000" w:themeColor="text1"/>
                <w:sz w:val="21"/>
                <w:szCs w:val="21"/>
              </w:rPr>
            </w:pPr>
            <w:r>
              <w:rPr>
                <w:rFonts w:hint="eastAsia"/>
                <w:color w:val="000000" w:themeColor="text1"/>
                <w:sz w:val="21"/>
                <w:szCs w:val="21"/>
              </w:rPr>
              <w:t>日常职责</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771" w:type="dxa"/>
            <w:tcBorders>
              <w:tl2br w:val="nil"/>
              <w:tr2bl w:val="nil"/>
            </w:tcBorders>
            <w:vAlign w:val="center"/>
          </w:tcPr>
          <w:p>
            <w:pPr>
              <w:spacing w:line="240" w:lineRule="auto"/>
              <w:ind w:firstLine="0" w:firstLineChars="0"/>
              <w:jc w:val="center"/>
              <w:rPr>
                <w:color w:val="000000" w:themeColor="text1"/>
                <w:sz w:val="21"/>
                <w:szCs w:val="21"/>
              </w:rPr>
            </w:pPr>
            <w:r>
              <w:rPr>
                <w:rFonts w:hint="eastAsia"/>
                <w:color w:val="000000" w:themeColor="text1"/>
                <w:sz w:val="21"/>
                <w:szCs w:val="21"/>
              </w:rPr>
              <w:t>应急处置组</w:t>
            </w:r>
          </w:p>
        </w:tc>
        <w:tc>
          <w:tcPr>
            <w:tcW w:w="4259" w:type="dxa"/>
            <w:tcBorders>
              <w:tl2br w:val="nil"/>
              <w:tr2bl w:val="nil"/>
            </w:tcBorders>
            <w:vAlign w:val="center"/>
          </w:tcPr>
          <w:p>
            <w:pPr>
              <w:spacing w:line="240" w:lineRule="auto"/>
              <w:ind w:firstLine="0" w:firstLineChars="0"/>
              <w:rPr>
                <w:color w:val="000000" w:themeColor="text1"/>
                <w:sz w:val="21"/>
                <w:szCs w:val="21"/>
              </w:rPr>
            </w:pPr>
            <w:r>
              <w:rPr>
                <w:rFonts w:hint="eastAsia" w:ascii="宋体" w:hAnsi="宋体" w:cs="宋体"/>
                <w:color w:val="000000" w:themeColor="text1"/>
                <w:sz w:val="21"/>
                <w:szCs w:val="21"/>
              </w:rPr>
              <w:t>①</w:t>
            </w:r>
            <w:r>
              <w:rPr>
                <w:rFonts w:hint="eastAsia"/>
                <w:color w:val="000000" w:themeColor="text1"/>
                <w:sz w:val="21"/>
                <w:szCs w:val="21"/>
              </w:rPr>
              <w:t>迅速组织切断污染源，分析污染途径，明确防止污染物扩散的程序；</w:t>
            </w:r>
          </w:p>
          <w:p>
            <w:pPr>
              <w:spacing w:line="240" w:lineRule="auto"/>
              <w:ind w:firstLine="0" w:firstLineChars="0"/>
              <w:rPr>
                <w:color w:val="000000" w:themeColor="text1"/>
                <w:sz w:val="21"/>
                <w:szCs w:val="21"/>
              </w:rPr>
            </w:pPr>
            <w:r>
              <w:rPr>
                <w:rFonts w:hint="eastAsia"/>
                <w:color w:val="000000" w:themeColor="text1"/>
                <w:sz w:val="21"/>
                <w:szCs w:val="21"/>
              </w:rPr>
              <w:fldChar w:fldCharType="begin"/>
            </w:r>
            <w:r>
              <w:rPr>
                <w:rFonts w:hint="eastAsia"/>
                <w:color w:val="000000" w:themeColor="text1"/>
                <w:sz w:val="21"/>
                <w:szCs w:val="21"/>
              </w:rPr>
              <w:instrText xml:space="preserve"> = 2 \* GB3 </w:instrText>
            </w:r>
            <w:r>
              <w:rPr>
                <w:rFonts w:hint="eastAsia"/>
                <w:color w:val="000000" w:themeColor="text1"/>
                <w:sz w:val="21"/>
                <w:szCs w:val="21"/>
              </w:rPr>
              <w:fldChar w:fldCharType="separate"/>
            </w:r>
            <w:r>
              <w:rPr>
                <w:rFonts w:hint="eastAsia"/>
                <w:color w:val="000000" w:themeColor="text1"/>
                <w:sz w:val="21"/>
                <w:szCs w:val="21"/>
              </w:rPr>
              <w:t>②</w:t>
            </w:r>
            <w:r>
              <w:rPr>
                <w:rFonts w:hint="eastAsia"/>
                <w:color w:val="000000" w:themeColor="text1"/>
                <w:sz w:val="21"/>
                <w:szCs w:val="21"/>
              </w:rPr>
              <w:fldChar w:fldCharType="end"/>
            </w:r>
            <w:r>
              <w:rPr>
                <w:rFonts w:hint="eastAsia"/>
                <w:color w:val="000000" w:themeColor="text1"/>
                <w:sz w:val="21"/>
                <w:szCs w:val="21"/>
              </w:rPr>
              <w:t>组织采取有效措施，消除或减轻已经造成的污染</w:t>
            </w:r>
          </w:p>
        </w:tc>
        <w:tc>
          <w:tcPr>
            <w:tcW w:w="3540" w:type="dxa"/>
            <w:tcBorders>
              <w:tl2br w:val="nil"/>
              <w:tr2bl w:val="nil"/>
            </w:tcBorders>
            <w:vAlign w:val="center"/>
          </w:tcPr>
          <w:p>
            <w:pPr>
              <w:spacing w:line="240" w:lineRule="auto"/>
              <w:ind w:firstLine="0" w:firstLineChars="0"/>
              <w:rPr>
                <w:color w:val="000000" w:themeColor="text1"/>
                <w:sz w:val="21"/>
                <w:szCs w:val="21"/>
              </w:rPr>
            </w:pPr>
            <w:r>
              <w:rPr>
                <w:rFonts w:hint="eastAsia"/>
                <w:color w:val="000000" w:themeColor="text1"/>
                <w:sz w:val="21"/>
                <w:szCs w:val="21"/>
              </w:rPr>
              <w:fldChar w:fldCharType="begin"/>
            </w:r>
            <w:r>
              <w:rPr>
                <w:rFonts w:hint="eastAsia"/>
                <w:color w:val="000000" w:themeColor="text1"/>
                <w:sz w:val="21"/>
                <w:szCs w:val="21"/>
              </w:rPr>
              <w:instrText xml:space="preserve"> = 1 \* GB3 </w:instrText>
            </w:r>
            <w:r>
              <w:rPr>
                <w:rFonts w:hint="eastAsia"/>
                <w:color w:val="000000" w:themeColor="text1"/>
                <w:sz w:val="21"/>
                <w:szCs w:val="21"/>
              </w:rPr>
              <w:fldChar w:fldCharType="separate"/>
            </w:r>
            <w:r>
              <w:rPr>
                <w:rFonts w:hint="eastAsia" w:ascii="宋体" w:hAnsi="宋体" w:cs="宋体"/>
                <w:color w:val="000000" w:themeColor="text1"/>
                <w:sz w:val="21"/>
                <w:szCs w:val="21"/>
              </w:rPr>
              <w:t>①</w:t>
            </w:r>
            <w:r>
              <w:rPr>
                <w:rFonts w:hint="eastAsia"/>
                <w:color w:val="000000" w:themeColor="text1"/>
                <w:sz w:val="21"/>
                <w:szCs w:val="21"/>
              </w:rPr>
              <w:fldChar w:fldCharType="end"/>
            </w:r>
            <w:r>
              <w:rPr>
                <w:rFonts w:hint="eastAsia"/>
                <w:color w:val="000000" w:themeColor="text1"/>
                <w:sz w:val="21"/>
                <w:szCs w:val="21"/>
              </w:rPr>
              <w:t>根据不同的污染程度和情况，确定重点防护区域，确定受威胁人员疏散的方式和途径，疏散转移受威胁人员至安全紧急避险场所；</w:t>
            </w:r>
          </w:p>
          <w:p>
            <w:pPr>
              <w:spacing w:line="240" w:lineRule="auto"/>
              <w:ind w:firstLine="0" w:firstLineChars="0"/>
              <w:rPr>
                <w:color w:val="000000" w:themeColor="text1"/>
                <w:sz w:val="21"/>
                <w:szCs w:val="21"/>
              </w:rPr>
            </w:pPr>
            <w:r>
              <w:rPr>
                <w:rFonts w:hint="eastAsia" w:ascii="宋体" w:hAnsi="宋体" w:cs="宋体"/>
                <w:color w:val="000000" w:themeColor="text1"/>
                <w:sz w:val="21"/>
                <w:szCs w:val="21"/>
              </w:rPr>
              <w:t>②</w:t>
            </w:r>
            <w:r>
              <w:rPr>
                <w:rFonts w:hint="eastAsia"/>
                <w:color w:val="000000" w:themeColor="text1"/>
                <w:sz w:val="21"/>
                <w:szCs w:val="21"/>
              </w:rPr>
              <w:t>协调军队、武警、消防有关力量参与应急处置</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771" w:type="dxa"/>
            <w:tcBorders>
              <w:tl2br w:val="nil"/>
              <w:tr2bl w:val="nil"/>
            </w:tcBorders>
            <w:vAlign w:val="center"/>
          </w:tcPr>
          <w:p>
            <w:pPr>
              <w:spacing w:line="240" w:lineRule="auto"/>
              <w:ind w:firstLine="0" w:firstLineChars="0"/>
              <w:jc w:val="center"/>
              <w:rPr>
                <w:color w:val="000000" w:themeColor="text1"/>
                <w:sz w:val="21"/>
                <w:szCs w:val="21"/>
              </w:rPr>
            </w:pPr>
            <w:r>
              <w:rPr>
                <w:rFonts w:hint="eastAsia"/>
                <w:color w:val="000000" w:themeColor="text1"/>
                <w:sz w:val="21"/>
                <w:szCs w:val="21"/>
              </w:rPr>
              <w:t>应急监测组</w:t>
            </w:r>
          </w:p>
        </w:tc>
        <w:tc>
          <w:tcPr>
            <w:tcW w:w="4259" w:type="dxa"/>
            <w:tcBorders>
              <w:tl2br w:val="nil"/>
              <w:tr2bl w:val="nil"/>
            </w:tcBorders>
            <w:vAlign w:val="center"/>
          </w:tcPr>
          <w:p>
            <w:pPr>
              <w:spacing w:line="240" w:lineRule="auto"/>
              <w:ind w:firstLine="0" w:firstLineChars="0"/>
              <w:rPr>
                <w:color w:val="000000" w:themeColor="text1"/>
                <w:sz w:val="21"/>
                <w:szCs w:val="21"/>
              </w:rPr>
            </w:pPr>
            <w:r>
              <w:rPr>
                <w:rFonts w:hint="eastAsia" w:ascii="宋体" w:hAnsi="宋体" w:cs="宋体"/>
                <w:color w:val="000000" w:themeColor="text1"/>
                <w:sz w:val="21"/>
                <w:szCs w:val="21"/>
              </w:rPr>
              <w:t>①</w:t>
            </w:r>
            <w:r>
              <w:rPr>
                <w:rFonts w:hint="eastAsia"/>
                <w:color w:val="000000" w:themeColor="text1"/>
                <w:sz w:val="21"/>
                <w:szCs w:val="21"/>
              </w:rPr>
              <w:t>查找污染源和污染原因，分析确定污染物，对切断污染源和控制污染的措施提出建议；</w:t>
            </w:r>
          </w:p>
          <w:p>
            <w:pPr>
              <w:spacing w:line="240" w:lineRule="auto"/>
              <w:ind w:firstLine="0" w:firstLineChars="0"/>
              <w:rPr>
                <w:color w:val="000000" w:themeColor="text1"/>
                <w:sz w:val="21"/>
                <w:szCs w:val="21"/>
              </w:rPr>
            </w:pPr>
            <w:r>
              <w:rPr>
                <w:rFonts w:hint="eastAsia"/>
                <w:color w:val="000000" w:themeColor="text1"/>
                <w:sz w:val="21"/>
                <w:szCs w:val="21"/>
              </w:rPr>
              <w:fldChar w:fldCharType="begin"/>
            </w:r>
            <w:r>
              <w:rPr>
                <w:rFonts w:hint="eastAsia"/>
                <w:color w:val="000000" w:themeColor="text1"/>
                <w:sz w:val="21"/>
                <w:szCs w:val="21"/>
              </w:rPr>
              <w:instrText xml:space="preserve"> = 2 \* GB3 </w:instrText>
            </w:r>
            <w:r>
              <w:rPr>
                <w:rFonts w:hint="eastAsia"/>
                <w:color w:val="000000" w:themeColor="text1"/>
                <w:sz w:val="21"/>
                <w:szCs w:val="21"/>
              </w:rPr>
              <w:fldChar w:fldCharType="separate"/>
            </w:r>
            <w:r>
              <w:rPr>
                <w:rFonts w:hint="eastAsia"/>
                <w:color w:val="000000" w:themeColor="text1"/>
                <w:sz w:val="21"/>
                <w:szCs w:val="21"/>
              </w:rPr>
              <w:t>②</w:t>
            </w:r>
            <w:r>
              <w:rPr>
                <w:rFonts w:hint="eastAsia"/>
                <w:color w:val="000000" w:themeColor="text1"/>
                <w:sz w:val="21"/>
                <w:szCs w:val="21"/>
              </w:rPr>
              <w:fldChar w:fldCharType="end"/>
            </w:r>
            <w:r>
              <w:rPr>
                <w:rFonts w:hint="eastAsia"/>
                <w:color w:val="000000" w:themeColor="text1"/>
                <w:sz w:val="21"/>
                <w:szCs w:val="21"/>
              </w:rPr>
              <w:t>委托市环境监测站、市水利局对水源保护区的监测、水质分析，做好数据的汇总、分析和上报</w:t>
            </w:r>
          </w:p>
        </w:tc>
        <w:tc>
          <w:tcPr>
            <w:tcW w:w="3540" w:type="dxa"/>
            <w:tcBorders>
              <w:tl2br w:val="nil"/>
              <w:tr2bl w:val="nil"/>
            </w:tcBorders>
            <w:vAlign w:val="center"/>
          </w:tcPr>
          <w:p>
            <w:pPr>
              <w:spacing w:line="240" w:lineRule="auto"/>
              <w:ind w:firstLine="0" w:firstLineChars="0"/>
              <w:rPr>
                <w:color w:val="000000" w:themeColor="text1"/>
                <w:sz w:val="21"/>
                <w:szCs w:val="21"/>
              </w:rPr>
            </w:pPr>
            <w:r>
              <w:rPr>
                <w:rFonts w:hint="eastAsia" w:ascii="宋体" w:hAnsi="宋体" w:cs="宋体"/>
                <w:color w:val="000000" w:themeColor="text1"/>
                <w:sz w:val="21"/>
                <w:szCs w:val="21"/>
              </w:rPr>
              <w:t>①</w:t>
            </w:r>
            <w:r>
              <w:rPr>
                <w:rFonts w:hint="eastAsia"/>
                <w:color w:val="000000" w:themeColor="text1"/>
                <w:sz w:val="21"/>
                <w:szCs w:val="21"/>
              </w:rPr>
              <w:t xml:space="preserve">抓好日常训练，保证出现紧急情况下能迅速出动； </w:t>
            </w:r>
          </w:p>
          <w:p>
            <w:pPr>
              <w:spacing w:line="240" w:lineRule="auto"/>
              <w:ind w:firstLine="0" w:firstLineChars="0"/>
              <w:rPr>
                <w:color w:val="000000" w:themeColor="text1"/>
                <w:sz w:val="21"/>
                <w:szCs w:val="21"/>
              </w:rPr>
            </w:pPr>
            <w:r>
              <w:rPr>
                <w:rFonts w:hint="eastAsia" w:ascii="宋体" w:hAnsi="宋体" w:cs="宋体"/>
                <w:color w:val="000000" w:themeColor="text1"/>
                <w:sz w:val="21"/>
                <w:szCs w:val="21"/>
              </w:rPr>
              <w:t>②</w:t>
            </w:r>
            <w:r>
              <w:rPr>
                <w:rFonts w:hint="eastAsia"/>
                <w:color w:val="000000" w:themeColor="text1"/>
                <w:sz w:val="21"/>
                <w:szCs w:val="21"/>
              </w:rPr>
              <w:t>做好日常装备的维修保养工作，保证出现紧急情况下装备能准确、可靠的发挥作用</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771" w:type="dxa"/>
            <w:tcBorders>
              <w:tl2br w:val="nil"/>
              <w:tr2bl w:val="nil"/>
            </w:tcBorders>
            <w:vAlign w:val="center"/>
          </w:tcPr>
          <w:p>
            <w:pPr>
              <w:spacing w:line="240" w:lineRule="auto"/>
              <w:ind w:firstLine="0" w:firstLineChars="0"/>
              <w:jc w:val="center"/>
              <w:rPr>
                <w:color w:val="000000" w:themeColor="text1"/>
                <w:sz w:val="21"/>
                <w:szCs w:val="21"/>
              </w:rPr>
            </w:pPr>
            <w:r>
              <w:rPr>
                <w:rFonts w:hint="eastAsia"/>
                <w:color w:val="000000" w:themeColor="text1"/>
                <w:sz w:val="21"/>
                <w:szCs w:val="21"/>
              </w:rPr>
              <w:t>工程技术组</w:t>
            </w:r>
          </w:p>
        </w:tc>
        <w:tc>
          <w:tcPr>
            <w:tcW w:w="4259" w:type="dxa"/>
            <w:tcBorders>
              <w:tl2br w:val="nil"/>
              <w:tr2bl w:val="nil"/>
            </w:tcBorders>
            <w:vAlign w:val="center"/>
          </w:tcPr>
          <w:p>
            <w:pPr>
              <w:spacing w:line="240" w:lineRule="auto"/>
              <w:ind w:firstLine="0" w:firstLineChars="0"/>
              <w:rPr>
                <w:color w:val="000000" w:themeColor="text1"/>
                <w:sz w:val="21"/>
                <w:szCs w:val="21"/>
              </w:rPr>
            </w:pPr>
            <w:r>
              <w:rPr>
                <w:rFonts w:hint="eastAsia" w:ascii="宋体" w:hAnsi="宋体" w:cs="宋体"/>
                <w:color w:val="000000" w:themeColor="text1"/>
                <w:sz w:val="21"/>
                <w:szCs w:val="21"/>
              </w:rPr>
              <w:t>①</w:t>
            </w:r>
            <w:r>
              <w:rPr>
                <w:rFonts w:hint="eastAsia"/>
                <w:color w:val="000000" w:themeColor="text1"/>
                <w:sz w:val="21"/>
                <w:szCs w:val="21"/>
              </w:rPr>
              <w:t>负责拦截设施，拦截污水水体，调集应急物资及通知污染区域内群众注意饮用水安全；</w:t>
            </w:r>
          </w:p>
          <w:p>
            <w:pPr>
              <w:spacing w:line="240" w:lineRule="auto"/>
              <w:ind w:firstLine="0" w:firstLineChars="0"/>
              <w:rPr>
                <w:color w:val="000000" w:themeColor="text1"/>
                <w:sz w:val="21"/>
                <w:szCs w:val="21"/>
              </w:rPr>
            </w:pPr>
            <w:r>
              <w:rPr>
                <w:rFonts w:hint="eastAsia" w:ascii="宋体" w:hAnsi="宋体" w:cs="宋体"/>
                <w:color w:val="000000" w:themeColor="text1"/>
                <w:sz w:val="21"/>
                <w:szCs w:val="21"/>
              </w:rPr>
              <w:t>②</w:t>
            </w:r>
            <w:r>
              <w:rPr>
                <w:rFonts w:hint="eastAsia"/>
                <w:color w:val="000000" w:themeColor="text1"/>
                <w:sz w:val="21"/>
                <w:szCs w:val="21"/>
              </w:rPr>
              <w:t>参与突发水环境事件的应急处置、调查，协助做好突发环境事件的监测和评价工作，善后处理工作；负责实施或协调应急水量调度，负责组织制定受污染水体疏导或截流方案；</w:t>
            </w:r>
          </w:p>
          <w:p>
            <w:pPr>
              <w:spacing w:line="240" w:lineRule="auto"/>
              <w:ind w:firstLine="0" w:firstLineChars="0"/>
              <w:jc w:val="left"/>
              <w:rPr>
                <w:color w:val="000000" w:themeColor="text1"/>
                <w:sz w:val="21"/>
                <w:szCs w:val="21"/>
              </w:rPr>
            </w:pPr>
            <w:r>
              <w:rPr>
                <w:rFonts w:hint="eastAsia" w:ascii="宋体" w:hAnsi="宋体" w:cs="宋体"/>
                <w:color w:val="000000" w:themeColor="text1"/>
                <w:sz w:val="21"/>
                <w:szCs w:val="21"/>
              </w:rPr>
              <w:fldChar w:fldCharType="begin"/>
            </w:r>
            <w:r>
              <w:rPr>
                <w:rFonts w:hint="eastAsia" w:ascii="宋体" w:hAnsi="宋体" w:cs="宋体"/>
                <w:color w:val="000000" w:themeColor="text1"/>
                <w:sz w:val="21"/>
                <w:szCs w:val="21"/>
              </w:rPr>
              <w:instrText xml:space="preserve"> = 3 \* GB3 </w:instrText>
            </w:r>
            <w:r>
              <w:rPr>
                <w:rFonts w:hint="eastAsia" w:ascii="宋体" w:hAnsi="宋体" w:cs="宋体"/>
                <w:color w:val="000000" w:themeColor="text1"/>
                <w:sz w:val="21"/>
                <w:szCs w:val="21"/>
              </w:rPr>
              <w:fldChar w:fldCharType="separate"/>
            </w:r>
            <w:r>
              <w:rPr>
                <w:rFonts w:hint="eastAsia" w:ascii="宋体" w:hAnsi="宋体" w:cs="宋体"/>
                <w:color w:val="000000" w:themeColor="text1"/>
                <w:sz w:val="21"/>
                <w:szCs w:val="21"/>
              </w:rPr>
              <w:t>③</w:t>
            </w:r>
            <w:r>
              <w:rPr>
                <w:rFonts w:hint="eastAsia" w:ascii="宋体" w:hAnsi="宋体" w:cs="宋体"/>
                <w:color w:val="000000" w:themeColor="text1"/>
                <w:sz w:val="21"/>
                <w:szCs w:val="21"/>
              </w:rPr>
              <w:fldChar w:fldCharType="end"/>
            </w:r>
            <w:r>
              <w:rPr>
                <w:rFonts w:hint="eastAsia"/>
                <w:color w:val="000000" w:themeColor="text1"/>
                <w:sz w:val="21"/>
                <w:szCs w:val="21"/>
              </w:rPr>
              <w:t>负责调整水厂工艺等应急处置措施，调度应急供水，保障群众供水安全</w:t>
            </w:r>
          </w:p>
        </w:tc>
        <w:tc>
          <w:tcPr>
            <w:tcW w:w="3540" w:type="dxa"/>
            <w:tcBorders>
              <w:tl2br w:val="nil"/>
              <w:tr2bl w:val="nil"/>
            </w:tcBorders>
            <w:vAlign w:val="center"/>
          </w:tcPr>
          <w:p>
            <w:pPr>
              <w:spacing w:line="240" w:lineRule="auto"/>
              <w:ind w:firstLine="0" w:firstLineChars="0"/>
              <w:rPr>
                <w:color w:val="000000" w:themeColor="text1"/>
                <w:sz w:val="21"/>
                <w:szCs w:val="21"/>
              </w:rPr>
            </w:pPr>
            <w:r>
              <w:rPr>
                <w:rFonts w:hint="eastAsia" w:ascii="宋体" w:hAnsi="宋体" w:cs="宋体"/>
                <w:color w:val="000000" w:themeColor="text1"/>
                <w:sz w:val="21"/>
                <w:szCs w:val="21"/>
              </w:rPr>
              <w:t>①</w:t>
            </w:r>
            <w:r>
              <w:rPr>
                <w:rFonts w:hint="eastAsia"/>
                <w:color w:val="000000" w:themeColor="text1"/>
                <w:sz w:val="21"/>
                <w:szCs w:val="21"/>
              </w:rPr>
              <w:t xml:space="preserve">抓好日常训练，保证出现紧急情况下能迅速出动； </w:t>
            </w:r>
          </w:p>
          <w:p>
            <w:pPr>
              <w:spacing w:line="240" w:lineRule="auto"/>
              <w:ind w:firstLine="0" w:firstLineChars="0"/>
              <w:rPr>
                <w:color w:val="000000" w:themeColor="text1"/>
                <w:sz w:val="21"/>
                <w:szCs w:val="21"/>
              </w:rPr>
            </w:pPr>
            <w:r>
              <w:rPr>
                <w:rFonts w:hint="eastAsia" w:ascii="宋体" w:hAnsi="宋体" w:cs="宋体"/>
                <w:color w:val="000000" w:themeColor="text1"/>
                <w:sz w:val="21"/>
                <w:szCs w:val="21"/>
              </w:rPr>
              <w:t>②</w:t>
            </w:r>
            <w:r>
              <w:rPr>
                <w:rFonts w:hint="eastAsia"/>
                <w:color w:val="000000" w:themeColor="text1"/>
                <w:sz w:val="21"/>
                <w:szCs w:val="21"/>
              </w:rPr>
              <w:t>做好日常装备的维修保养工作，保证出现紧急情况下装备能准确、可靠的发挥作用；</w:t>
            </w:r>
          </w:p>
          <w:p>
            <w:pPr>
              <w:spacing w:line="240" w:lineRule="auto"/>
              <w:ind w:firstLine="0" w:firstLineChars="0"/>
              <w:rPr>
                <w:color w:val="000000" w:themeColor="text1"/>
                <w:sz w:val="21"/>
                <w:szCs w:val="21"/>
              </w:rPr>
            </w:pPr>
            <w:r>
              <w:rPr>
                <w:rFonts w:hint="eastAsia" w:ascii="宋体" w:hAnsi="宋体" w:cs="宋体"/>
                <w:color w:val="000000" w:themeColor="text1"/>
                <w:sz w:val="21"/>
                <w:szCs w:val="21"/>
              </w:rPr>
              <w:t>③</w:t>
            </w:r>
            <w:r>
              <w:rPr>
                <w:rFonts w:hint="eastAsia"/>
                <w:color w:val="000000" w:themeColor="text1"/>
                <w:sz w:val="21"/>
                <w:szCs w:val="21"/>
              </w:rPr>
              <w:t>保证水厂服务范围内居民的正常生产和生活用水需求</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trHeight w:val="1102" w:hRule="atLeast"/>
          <w:jc w:val="center"/>
        </w:trPr>
        <w:tc>
          <w:tcPr>
            <w:tcW w:w="1771" w:type="dxa"/>
            <w:tcBorders>
              <w:tl2br w:val="nil"/>
              <w:tr2bl w:val="nil"/>
            </w:tcBorders>
            <w:vAlign w:val="center"/>
          </w:tcPr>
          <w:p>
            <w:pPr>
              <w:spacing w:line="240" w:lineRule="auto"/>
              <w:ind w:firstLine="0" w:firstLineChars="0"/>
              <w:jc w:val="center"/>
              <w:rPr>
                <w:color w:val="000000" w:themeColor="text1"/>
                <w:sz w:val="21"/>
                <w:szCs w:val="21"/>
              </w:rPr>
            </w:pPr>
            <w:r>
              <w:rPr>
                <w:rFonts w:hint="eastAsia"/>
                <w:color w:val="000000" w:themeColor="text1"/>
                <w:sz w:val="21"/>
                <w:szCs w:val="21"/>
              </w:rPr>
              <w:t>安全警戒组</w:t>
            </w:r>
          </w:p>
        </w:tc>
        <w:tc>
          <w:tcPr>
            <w:tcW w:w="4259" w:type="dxa"/>
            <w:tcBorders>
              <w:tl2br w:val="nil"/>
              <w:tr2bl w:val="nil"/>
            </w:tcBorders>
            <w:vAlign w:val="center"/>
          </w:tcPr>
          <w:p>
            <w:pPr>
              <w:spacing w:line="240" w:lineRule="auto"/>
              <w:ind w:firstLine="0" w:firstLineChars="0"/>
              <w:jc w:val="left"/>
              <w:rPr>
                <w:color w:val="000000" w:themeColor="text1"/>
                <w:sz w:val="21"/>
                <w:szCs w:val="21"/>
              </w:rPr>
            </w:pPr>
            <w:r>
              <w:rPr>
                <w:rFonts w:hint="eastAsia" w:ascii="宋体" w:hAnsi="宋体" w:cs="宋体"/>
                <w:color w:val="000000" w:themeColor="text1"/>
                <w:sz w:val="21"/>
                <w:szCs w:val="21"/>
              </w:rPr>
              <w:t>①</w:t>
            </w:r>
            <w:r>
              <w:rPr>
                <w:rFonts w:hint="eastAsia"/>
                <w:color w:val="000000" w:themeColor="text1"/>
                <w:sz w:val="21"/>
                <w:szCs w:val="21"/>
              </w:rPr>
              <w:t>对污染疏散区域实行交通应急管制，协助有关部门调查取证；</w:t>
            </w:r>
          </w:p>
          <w:p>
            <w:pPr>
              <w:spacing w:line="240" w:lineRule="auto"/>
              <w:ind w:firstLine="0" w:firstLineChars="0"/>
              <w:jc w:val="left"/>
              <w:rPr>
                <w:color w:val="000000" w:themeColor="text1"/>
                <w:sz w:val="21"/>
                <w:szCs w:val="21"/>
              </w:rPr>
            </w:pPr>
            <w:r>
              <w:rPr>
                <w:rFonts w:hint="eastAsia" w:ascii="宋体" w:hAnsi="宋体" w:cs="宋体"/>
                <w:color w:val="000000" w:themeColor="text1"/>
                <w:sz w:val="21"/>
                <w:szCs w:val="21"/>
              </w:rPr>
              <w:t>②</w:t>
            </w:r>
            <w:r>
              <w:rPr>
                <w:rFonts w:hint="eastAsia"/>
                <w:color w:val="000000" w:themeColor="text1"/>
                <w:sz w:val="21"/>
                <w:szCs w:val="21"/>
              </w:rPr>
              <w:t>参与因交通事故引发的突发环境事件的调查和应急救援处置</w:t>
            </w:r>
          </w:p>
        </w:tc>
        <w:tc>
          <w:tcPr>
            <w:tcW w:w="3540" w:type="dxa"/>
            <w:tcBorders>
              <w:tl2br w:val="nil"/>
              <w:tr2bl w:val="nil"/>
            </w:tcBorders>
            <w:vAlign w:val="center"/>
          </w:tcPr>
          <w:p>
            <w:pPr>
              <w:spacing w:line="240" w:lineRule="auto"/>
              <w:ind w:firstLine="0" w:firstLineChars="0"/>
              <w:jc w:val="center"/>
              <w:rPr>
                <w:color w:val="000000" w:themeColor="text1"/>
                <w:sz w:val="21"/>
                <w:szCs w:val="21"/>
              </w:rPr>
            </w:pPr>
            <w:r>
              <w:rPr>
                <w:rFonts w:hint="eastAsia"/>
                <w:color w:val="000000" w:themeColor="text1"/>
                <w:sz w:val="21"/>
                <w:szCs w:val="21"/>
              </w:rPr>
              <w:t>巡查工作</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771" w:type="dxa"/>
            <w:tcBorders>
              <w:tl2br w:val="nil"/>
              <w:tr2bl w:val="nil"/>
            </w:tcBorders>
            <w:vAlign w:val="center"/>
          </w:tcPr>
          <w:p>
            <w:pPr>
              <w:spacing w:line="240" w:lineRule="auto"/>
              <w:ind w:firstLine="0" w:firstLineChars="0"/>
              <w:jc w:val="center"/>
              <w:rPr>
                <w:color w:val="000000" w:themeColor="text1"/>
                <w:sz w:val="21"/>
                <w:szCs w:val="21"/>
              </w:rPr>
            </w:pPr>
            <w:r>
              <w:rPr>
                <w:rFonts w:hint="eastAsia"/>
                <w:color w:val="000000" w:themeColor="text1"/>
                <w:sz w:val="21"/>
                <w:szCs w:val="21"/>
              </w:rPr>
              <w:t>善后处理组</w:t>
            </w:r>
          </w:p>
        </w:tc>
        <w:tc>
          <w:tcPr>
            <w:tcW w:w="4259" w:type="dxa"/>
            <w:tcBorders>
              <w:tl2br w:val="nil"/>
              <w:tr2bl w:val="nil"/>
            </w:tcBorders>
            <w:vAlign w:val="center"/>
          </w:tcPr>
          <w:p>
            <w:pPr>
              <w:spacing w:line="240" w:lineRule="auto"/>
              <w:ind w:firstLine="0" w:firstLineChars="0"/>
              <w:jc w:val="left"/>
              <w:rPr>
                <w:color w:val="000000" w:themeColor="text1"/>
                <w:sz w:val="21"/>
                <w:szCs w:val="21"/>
              </w:rPr>
            </w:pPr>
            <w:r>
              <w:rPr>
                <w:rFonts w:hint="eastAsia"/>
                <w:color w:val="000000" w:themeColor="text1"/>
                <w:sz w:val="21"/>
                <w:szCs w:val="21"/>
              </w:rPr>
              <w:t>负责配送应急供水资源及应急结束后组织水域的善后处置</w:t>
            </w:r>
          </w:p>
        </w:tc>
        <w:tc>
          <w:tcPr>
            <w:tcW w:w="3540" w:type="dxa"/>
            <w:tcBorders>
              <w:tl2br w:val="nil"/>
              <w:tr2bl w:val="nil"/>
            </w:tcBorders>
            <w:vAlign w:val="center"/>
          </w:tcPr>
          <w:p>
            <w:pPr>
              <w:spacing w:line="240" w:lineRule="auto"/>
              <w:ind w:firstLine="0" w:firstLineChars="0"/>
              <w:jc w:val="left"/>
              <w:rPr>
                <w:color w:val="000000" w:themeColor="text1"/>
                <w:sz w:val="21"/>
                <w:szCs w:val="21"/>
              </w:rPr>
            </w:pPr>
            <w:r>
              <w:rPr>
                <w:rFonts w:hint="eastAsia"/>
                <w:color w:val="000000" w:themeColor="text1"/>
                <w:sz w:val="21"/>
                <w:szCs w:val="21"/>
              </w:rPr>
              <w:t>做好周边群众水环境保护应急善后工作</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771" w:type="dxa"/>
            <w:tcBorders>
              <w:tl2br w:val="nil"/>
              <w:tr2bl w:val="nil"/>
            </w:tcBorders>
            <w:vAlign w:val="center"/>
          </w:tcPr>
          <w:p>
            <w:pPr>
              <w:spacing w:line="240" w:lineRule="auto"/>
              <w:ind w:firstLine="0" w:firstLineChars="0"/>
              <w:jc w:val="center"/>
              <w:rPr>
                <w:color w:val="000000" w:themeColor="text1"/>
                <w:sz w:val="21"/>
                <w:szCs w:val="21"/>
              </w:rPr>
            </w:pPr>
            <w:r>
              <w:rPr>
                <w:rFonts w:hint="eastAsia"/>
                <w:color w:val="000000" w:themeColor="text1"/>
                <w:sz w:val="21"/>
                <w:szCs w:val="21"/>
              </w:rPr>
              <w:t>专家咨询组</w:t>
            </w:r>
          </w:p>
        </w:tc>
        <w:tc>
          <w:tcPr>
            <w:tcW w:w="4259" w:type="dxa"/>
            <w:tcBorders>
              <w:tl2br w:val="nil"/>
              <w:tr2bl w:val="nil"/>
            </w:tcBorders>
            <w:vAlign w:val="center"/>
          </w:tcPr>
          <w:p>
            <w:pPr>
              <w:spacing w:line="240" w:lineRule="auto"/>
              <w:ind w:firstLine="0" w:firstLineChars="0"/>
              <w:jc w:val="left"/>
              <w:rPr>
                <w:rFonts w:ascii="宋体" w:hAnsi="宋体" w:cs="宋体"/>
                <w:color w:val="000000" w:themeColor="text1"/>
                <w:sz w:val="21"/>
                <w:szCs w:val="21"/>
              </w:rPr>
            </w:pPr>
            <w:r>
              <w:rPr>
                <w:rFonts w:hint="eastAsia" w:ascii="宋体" w:hAnsi="宋体" w:cs="宋体"/>
                <w:color w:val="000000" w:themeColor="text1"/>
                <w:sz w:val="21"/>
                <w:szCs w:val="21"/>
              </w:rPr>
              <w:t>①为现场环境救援应急指挥部应急决策提供专业咨询和技术支持；②对事发现场信息进行综合分析和研究，综合评估水污染事件，预测其发展趋势，提出启动和终止应急预案的建议、应急处置措施和环境安全建议；协助判别事件类型和预警等级；</w:t>
            </w:r>
            <w:r>
              <w:rPr>
                <w:rFonts w:hint="eastAsia" w:ascii="宋体" w:hAnsi="宋体" w:cs="宋体"/>
                <w:color w:val="000000" w:themeColor="text1"/>
                <w:sz w:val="21"/>
                <w:szCs w:val="21"/>
              </w:rPr>
              <w:fldChar w:fldCharType="begin"/>
            </w:r>
            <w:r>
              <w:rPr>
                <w:rFonts w:hint="eastAsia" w:ascii="宋体" w:hAnsi="宋体" w:cs="宋体"/>
                <w:color w:val="000000" w:themeColor="text1"/>
                <w:sz w:val="21"/>
                <w:szCs w:val="21"/>
              </w:rPr>
              <w:instrText xml:space="preserve"> = 3 \* GB3 </w:instrText>
            </w:r>
            <w:r>
              <w:rPr>
                <w:rFonts w:hint="eastAsia" w:ascii="宋体" w:hAnsi="宋体" w:cs="宋体"/>
                <w:color w:val="000000" w:themeColor="text1"/>
                <w:sz w:val="21"/>
                <w:szCs w:val="21"/>
              </w:rPr>
              <w:fldChar w:fldCharType="separate"/>
            </w:r>
            <w:r>
              <w:rPr>
                <w:rFonts w:hint="eastAsia" w:ascii="宋体" w:hAnsi="宋体" w:cs="宋体"/>
                <w:color w:val="000000" w:themeColor="text1"/>
                <w:sz w:val="21"/>
                <w:szCs w:val="21"/>
              </w:rPr>
              <w:t>③</w:t>
            </w:r>
            <w:r>
              <w:rPr>
                <w:rFonts w:hint="eastAsia" w:ascii="宋体" w:hAnsi="宋体" w:cs="宋体"/>
                <w:color w:val="000000" w:themeColor="text1"/>
                <w:sz w:val="21"/>
                <w:szCs w:val="21"/>
              </w:rPr>
              <w:fldChar w:fldCharType="end"/>
            </w:r>
            <w:r>
              <w:rPr>
                <w:rFonts w:hint="eastAsia" w:ascii="宋体" w:hAnsi="宋体" w:cs="宋体"/>
                <w:color w:val="000000" w:themeColor="text1"/>
                <w:sz w:val="21"/>
                <w:szCs w:val="21"/>
              </w:rPr>
              <w:t>提出指导、调整和评估应急处理措施建议和意见；④参与岳阳市饮用水源保护区（铁山水库-北干渠-金凤水库）突发环境事件的总结评估并提交评估报告；</w:t>
            </w:r>
          </w:p>
        </w:tc>
        <w:tc>
          <w:tcPr>
            <w:tcW w:w="3540" w:type="dxa"/>
            <w:tcBorders>
              <w:tl2br w:val="nil"/>
              <w:tr2bl w:val="nil"/>
            </w:tcBorders>
            <w:vAlign w:val="center"/>
          </w:tcPr>
          <w:p>
            <w:pPr>
              <w:spacing w:line="240" w:lineRule="auto"/>
              <w:ind w:firstLine="0" w:firstLineChars="0"/>
              <w:rPr>
                <w:rFonts w:ascii="宋体" w:hAnsi="宋体" w:cs="宋体"/>
                <w:color w:val="000000" w:themeColor="text1"/>
                <w:sz w:val="21"/>
                <w:szCs w:val="21"/>
              </w:rPr>
            </w:pPr>
            <w:r>
              <w:rPr>
                <w:rFonts w:hint="eastAsia" w:ascii="宋体" w:hAnsi="宋体" w:cs="宋体"/>
                <w:color w:val="000000" w:themeColor="text1"/>
                <w:sz w:val="21"/>
                <w:szCs w:val="21"/>
              </w:rPr>
              <w:t>在日常工作中为各级环保部门、应急中心提供工作咨询。</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771" w:type="dxa"/>
            <w:tcBorders>
              <w:tl2br w:val="nil"/>
              <w:tr2bl w:val="nil"/>
            </w:tcBorders>
            <w:vAlign w:val="center"/>
          </w:tcPr>
          <w:p>
            <w:pPr>
              <w:spacing w:line="240" w:lineRule="auto"/>
              <w:ind w:firstLine="0" w:firstLineChars="0"/>
              <w:jc w:val="center"/>
              <w:rPr>
                <w:color w:val="000000" w:themeColor="text1"/>
                <w:sz w:val="21"/>
                <w:szCs w:val="21"/>
              </w:rPr>
            </w:pPr>
            <w:r>
              <w:rPr>
                <w:rFonts w:hint="eastAsia"/>
                <w:color w:val="000000" w:themeColor="text1"/>
                <w:sz w:val="21"/>
                <w:szCs w:val="21"/>
              </w:rPr>
              <w:t>后勤保障组</w:t>
            </w:r>
          </w:p>
        </w:tc>
        <w:tc>
          <w:tcPr>
            <w:tcW w:w="4259" w:type="dxa"/>
            <w:tcBorders>
              <w:tl2br w:val="nil"/>
              <w:tr2bl w:val="nil"/>
            </w:tcBorders>
            <w:vAlign w:val="center"/>
          </w:tcPr>
          <w:p>
            <w:pPr>
              <w:spacing w:line="240" w:lineRule="auto"/>
              <w:ind w:firstLine="0" w:firstLineChars="0"/>
              <w:jc w:val="left"/>
              <w:rPr>
                <w:color w:val="000000" w:themeColor="text1"/>
                <w:sz w:val="21"/>
                <w:szCs w:val="21"/>
              </w:rPr>
            </w:pPr>
            <w:r>
              <w:rPr>
                <w:rFonts w:hint="eastAsia"/>
                <w:color w:val="000000" w:themeColor="text1"/>
                <w:sz w:val="21"/>
                <w:szCs w:val="21"/>
              </w:rPr>
              <w:t>①应急救援人员、应急物资的储备、运输和保障工作；</w:t>
            </w:r>
          </w:p>
          <w:p>
            <w:pPr>
              <w:spacing w:line="240" w:lineRule="auto"/>
              <w:ind w:firstLine="0" w:firstLineChars="0"/>
              <w:jc w:val="left"/>
              <w:rPr>
                <w:color w:val="000000" w:themeColor="text1"/>
                <w:sz w:val="21"/>
                <w:szCs w:val="21"/>
              </w:rPr>
            </w:pPr>
            <w:r>
              <w:rPr>
                <w:rFonts w:hint="eastAsia"/>
                <w:color w:val="000000" w:themeColor="text1"/>
                <w:sz w:val="21"/>
                <w:szCs w:val="21"/>
              </w:rPr>
              <w:t>②协调岳阳市饮用水源保护区（铁山水库-北干渠-金凤水库）突发环境事件应急物资的储蓄和应急供应。</w:t>
            </w:r>
          </w:p>
          <w:p>
            <w:pPr>
              <w:spacing w:line="240" w:lineRule="auto"/>
              <w:ind w:firstLine="0" w:firstLineChars="0"/>
              <w:jc w:val="left"/>
              <w:rPr>
                <w:color w:val="000000" w:themeColor="text1"/>
                <w:sz w:val="21"/>
                <w:szCs w:val="21"/>
              </w:rPr>
            </w:pPr>
            <w:r>
              <w:rPr>
                <w:rFonts w:hint="eastAsia"/>
                <w:color w:val="000000" w:themeColor="text1"/>
                <w:sz w:val="21"/>
                <w:szCs w:val="21"/>
              </w:rPr>
              <w:t>③应急情况下保障城市供水，组织饮用水源好污染事件发生地辖区内供水企业的调度。</w:t>
            </w:r>
          </w:p>
          <w:p>
            <w:pPr>
              <w:spacing w:line="240" w:lineRule="auto"/>
              <w:ind w:firstLine="0" w:firstLineChars="0"/>
              <w:jc w:val="left"/>
              <w:rPr>
                <w:color w:val="000000" w:themeColor="text1"/>
                <w:sz w:val="21"/>
                <w:szCs w:val="21"/>
              </w:rPr>
            </w:pPr>
            <w:r>
              <w:rPr>
                <w:rFonts w:hint="eastAsia"/>
                <w:color w:val="000000" w:themeColor="text1"/>
                <w:sz w:val="21"/>
                <w:szCs w:val="21"/>
              </w:rPr>
              <w:t>④负责岳阳市饮用水源保护区（铁山水库-北干渠-金凤水库）突发环境事件应急处置中电力保障的协调工作。</w:t>
            </w:r>
          </w:p>
          <w:p>
            <w:pPr>
              <w:spacing w:line="240" w:lineRule="auto"/>
              <w:ind w:firstLine="0" w:firstLineChars="0"/>
              <w:jc w:val="left"/>
              <w:rPr>
                <w:color w:val="000000" w:themeColor="text1"/>
                <w:sz w:val="21"/>
                <w:szCs w:val="21"/>
              </w:rPr>
            </w:pPr>
            <w:r>
              <w:rPr>
                <w:rFonts w:hint="eastAsia"/>
                <w:color w:val="000000" w:themeColor="text1"/>
                <w:sz w:val="21"/>
                <w:szCs w:val="21"/>
              </w:rPr>
              <w:t>⑤指导临时避难所建设。</w:t>
            </w:r>
          </w:p>
        </w:tc>
        <w:tc>
          <w:tcPr>
            <w:tcW w:w="3540" w:type="dxa"/>
            <w:tcBorders>
              <w:tl2br w:val="nil"/>
              <w:tr2bl w:val="nil"/>
            </w:tcBorders>
            <w:vAlign w:val="center"/>
          </w:tcPr>
          <w:p>
            <w:pPr>
              <w:spacing w:line="240" w:lineRule="auto"/>
              <w:ind w:firstLine="0" w:firstLineChars="0"/>
              <w:rPr>
                <w:rFonts w:ascii="宋体" w:hAnsi="宋体" w:cs="宋体"/>
                <w:color w:val="000000" w:themeColor="text1"/>
                <w:sz w:val="21"/>
                <w:szCs w:val="21"/>
              </w:rPr>
            </w:pPr>
            <w:r>
              <w:rPr>
                <w:rFonts w:hint="eastAsia" w:ascii="宋体" w:hAnsi="宋体" w:cs="宋体"/>
                <w:color w:val="000000" w:themeColor="text1"/>
                <w:sz w:val="21"/>
                <w:szCs w:val="21"/>
              </w:rPr>
              <w:t>落实应急物资、应急通信、交通运输、供电、供水、供气及避难等生活方面的保障措施。</w:t>
            </w:r>
          </w:p>
        </w:tc>
      </w:tr>
    </w:tbl>
    <w:p>
      <w:r>
        <w:rPr>
          <w:rFonts w:hint="eastAsia"/>
        </w:rPr>
        <w:t>应急监测组：由岳阳市环保局负责牵头，市水务局、市卫计委和市气象局等部门联合组成。负责对现场开展应急监测工作，分析污染现状及可能造成的影响，判断事件的变化趋势，向现场指挥部提出控制和消除影响的科学建议。其中市环保局负责饮用水源地的水质监测和水体污染情况监测，市水务局负责调水通道、饮用水源地的水量、水质和流向情况的监测，市环保局负责取水口进出水水质监测，市卫计委负责对集中式供水单位出厂水质和末梢水水质监测，市气象局负责气象要素的监测。</w:t>
      </w:r>
    </w:p>
    <w:p>
      <w:r>
        <w:rPr>
          <w:rFonts w:hint="eastAsia"/>
        </w:rPr>
        <w:t>应急处置组：由岳阳市铁山局、市环保局、市水务局牵头，市住建局、市卫计委、市农委、市政府新闻办等部门联合组成。其中市水务局负责调度水利工程调水引流、引清释污等措施；市环保局负责污染源的排查；市住建局同市水务局启用应急和备用水源地，督促供水企业落实应急措施，改善饮用水源地水体水质；市卫计委负责应急供水水质监测，对饮用水污染所致疾病进行防治等；市农委负责组织协调相关农业环境污染应急处理工作；市政府新闻办负责对外发布突发事件信息。</w:t>
      </w:r>
    </w:p>
    <w:p>
      <w:r>
        <w:t>工程技术组：</w:t>
      </w:r>
      <w:r>
        <w:rPr>
          <w:rFonts w:hint="eastAsia"/>
        </w:rPr>
        <w:t>由岳阳市住建局负责牵头，市城管局、市公安消防支队、市自来水公司联合组成。督促供水企业在应急期间采取各种应急处置措施，保证出厂水质达标，保障居民饮用水供应。必要时采取停水措施，由市政府调用消防、园林、环卫运水车辆组成应急供水车队 ，由自来水公司应急供水小组配合分区域送水，确保市民基本生活用水。</w:t>
      </w:r>
    </w:p>
    <w:p>
      <w:r>
        <w:t>安全警戒组</w:t>
      </w:r>
      <w:r>
        <w:rPr>
          <w:rFonts w:hint="eastAsia"/>
        </w:rPr>
        <w:t>：由市公安局牵头，市民政局、市交警支队、事发地政府（管委会）联合组成。</w:t>
      </w:r>
      <w:r>
        <w:t>迅速对饮用水水源地</w:t>
      </w:r>
      <w:r>
        <w:rPr>
          <w:rFonts w:hint="eastAsia"/>
        </w:rPr>
        <w:t>突发环境</w:t>
      </w:r>
      <w:r>
        <w:t>事故现场及周边地区和道路进行警戒、实行交通管制，维护事故现场交通秩序，保障道路畅通；负责事故现场群众的防护指导，引导群众有序撤离到安全区域，组织好特殊人群的疏散安置，维护安全区域内的稳定和治安等；参与因交通事故引发的突发环境事件的调查和应急救援处置，协助有关部门调查取证等。</w:t>
      </w:r>
    </w:p>
    <w:p>
      <w:r>
        <w:t>善后处理组：</w:t>
      </w:r>
      <w:r>
        <w:rPr>
          <w:rFonts w:hint="eastAsia"/>
        </w:rPr>
        <w:t>由事发地人民政府、市民政局、市卫计委组成，</w:t>
      </w:r>
      <w:r>
        <w:t>负责配送应急供水资源及应急结束后组织水域的善后处置，</w:t>
      </w:r>
      <w:r>
        <w:rPr>
          <w:rFonts w:hint="eastAsia"/>
        </w:rPr>
        <w:t>会同相关部门开展生态修复、疾病预防控制、卫生监督和医疗救治工作。</w:t>
      </w:r>
    </w:p>
    <w:p>
      <w:r>
        <w:rPr>
          <w:rFonts w:hint="eastAsia"/>
        </w:rPr>
        <w:t>专家咨询组：由市铁山管理局</w:t>
      </w:r>
      <w:r>
        <w:t>组织有关专家为应急处置工作提供</w:t>
      </w:r>
      <w:r>
        <w:rPr>
          <w:rFonts w:hint="eastAsia"/>
        </w:rPr>
        <w:t>现场处置方案。</w:t>
      </w:r>
    </w:p>
    <w:p>
      <w:r>
        <w:t>后勤保障组</w:t>
      </w:r>
      <w:r>
        <w:rPr>
          <w:rFonts w:hint="eastAsia"/>
        </w:rPr>
        <w:t>：由市政府应急办、市城管局、国网岳阳供电公司、市自来水公司和事发地政府（管委会）负责</w:t>
      </w:r>
      <w:r>
        <w:t>落实应急物资、应急通信、交通运输、供电、供水、供气</w:t>
      </w:r>
      <w:r>
        <w:rPr>
          <w:rFonts w:hint="eastAsia"/>
        </w:rPr>
        <w:t>及避难等</w:t>
      </w:r>
      <w:r>
        <w:t>生活方面的保障措施。</w:t>
      </w:r>
    </w:p>
    <w:p/>
    <w:bookmarkEnd w:id="60"/>
    <w:bookmarkEnd w:id="61"/>
    <w:bookmarkEnd w:id="62"/>
    <w:bookmarkEnd w:id="63"/>
    <w:bookmarkEnd w:id="64"/>
    <w:bookmarkEnd w:id="65"/>
    <w:bookmarkEnd w:id="66"/>
    <w:bookmarkEnd w:id="67"/>
    <w:bookmarkEnd w:id="68"/>
    <w:bookmarkEnd w:id="69"/>
    <w:bookmarkEnd w:id="70"/>
    <w:bookmarkEnd w:id="71"/>
    <w:bookmarkEnd w:id="72"/>
    <w:p>
      <w:pPr>
        <w:pStyle w:val="85"/>
        <w:spacing w:beforeLines="0" w:afterLines="0"/>
        <w:jc w:val="center"/>
        <w:rPr>
          <w:color w:val="000000" w:themeColor="text1"/>
        </w:rPr>
      </w:pPr>
      <w:bookmarkStart w:id="75" w:name="_Toc26722"/>
      <w:bookmarkStart w:id="76" w:name="_Toc29328"/>
      <w:bookmarkStart w:id="77" w:name="_Toc17053"/>
      <w:bookmarkStart w:id="78" w:name="_Toc482605487"/>
      <w:bookmarkStart w:id="79" w:name="_Toc485201090"/>
      <w:bookmarkStart w:id="80" w:name="_Toc10922"/>
      <w:bookmarkStart w:id="81" w:name="_Toc535851308"/>
      <w:r>
        <w:rPr>
          <w:color w:val="000000" w:themeColor="text1"/>
        </w:rPr>
        <w:t xml:space="preserve">3 </w:t>
      </w:r>
      <w:bookmarkEnd w:id="75"/>
      <w:bookmarkEnd w:id="76"/>
      <w:bookmarkEnd w:id="77"/>
      <w:bookmarkEnd w:id="78"/>
      <w:bookmarkEnd w:id="79"/>
      <w:bookmarkEnd w:id="80"/>
      <w:r>
        <w:rPr>
          <w:rFonts w:hint="eastAsia"/>
          <w:color w:val="000000" w:themeColor="text1"/>
        </w:rPr>
        <w:t>应急响应</w:t>
      </w:r>
      <w:bookmarkEnd w:id="81"/>
    </w:p>
    <w:p>
      <w:pPr>
        <w:pStyle w:val="3"/>
        <w:widowControl/>
        <w:rPr>
          <w:color w:val="000000" w:themeColor="text1"/>
          <w:szCs w:val="28"/>
        </w:rPr>
      </w:pPr>
      <w:bookmarkStart w:id="82" w:name="_Toc535851309"/>
      <w:bookmarkStart w:id="83" w:name="_Toc324790081"/>
      <w:bookmarkStart w:id="84" w:name="_Toc2420"/>
      <w:bookmarkStart w:id="85" w:name="_Toc485201091"/>
      <w:bookmarkStart w:id="86" w:name="_Toc331413502"/>
      <w:bookmarkStart w:id="87" w:name="_Toc482605488"/>
      <w:bookmarkStart w:id="88" w:name="_Toc18427"/>
      <w:bookmarkStart w:id="89" w:name="_Toc416936711"/>
      <w:bookmarkStart w:id="90" w:name="_Toc337884147"/>
      <w:bookmarkStart w:id="91" w:name="_Toc3194"/>
      <w:bookmarkStart w:id="92" w:name="_Toc5566"/>
      <w:bookmarkStart w:id="93" w:name="_Toc304816369"/>
      <w:bookmarkStart w:id="94" w:name="_Toc26436"/>
      <w:r>
        <w:rPr>
          <w:rFonts w:hint="eastAsia"/>
          <w:color w:val="000000" w:themeColor="text1"/>
          <w:szCs w:val="28"/>
        </w:rPr>
        <w:t>3.1预警</w:t>
      </w:r>
      <w:bookmarkEnd w:id="82"/>
    </w:p>
    <w:p>
      <w:pPr>
        <w:pStyle w:val="5"/>
        <w:rPr>
          <w:color w:val="000000" w:themeColor="text1"/>
        </w:rPr>
      </w:pPr>
      <w:bookmarkStart w:id="95" w:name="_Toc11621"/>
      <w:bookmarkStart w:id="96" w:name="_Toc18513"/>
      <w:r>
        <w:rPr>
          <w:color w:val="000000" w:themeColor="text1"/>
        </w:rPr>
        <w:t>3.</w:t>
      </w:r>
      <w:r>
        <w:rPr>
          <w:rFonts w:hint="eastAsia"/>
          <w:color w:val="000000" w:themeColor="text1"/>
        </w:rPr>
        <w:t>1.</w:t>
      </w:r>
      <w:r>
        <w:rPr>
          <w:color w:val="000000" w:themeColor="text1"/>
        </w:rPr>
        <w:t>1 预警分级与发布</w:t>
      </w:r>
      <w:bookmarkEnd w:id="95"/>
    </w:p>
    <w:p>
      <w:r>
        <w:t>按照</w:t>
      </w:r>
      <w:r>
        <w:rPr>
          <w:rFonts w:hint="eastAsia"/>
        </w:rPr>
        <w:t>岳阳市饮用水源保护区（铁山水库-北干渠-金凤水库）</w:t>
      </w:r>
      <w:r>
        <w:t>突发环境事件严重性、紧急程度和可能影响的范围，</w:t>
      </w:r>
      <w:r>
        <w:rPr>
          <w:rFonts w:hint="eastAsia"/>
        </w:rPr>
        <w:t>本预案</w:t>
      </w:r>
      <w:r>
        <w:t>突发环境事件的预警分为</w:t>
      </w:r>
      <w:r>
        <w:rPr>
          <w:rFonts w:hint="eastAsia"/>
        </w:rPr>
        <w:t>二</w:t>
      </w:r>
      <w:r>
        <w:t>级，预警级别由低到高，其预警级别及发布程序为：</w:t>
      </w:r>
    </w:p>
    <w:p>
      <w:r>
        <w:rPr>
          <w:rFonts w:hint="eastAsia"/>
        </w:rPr>
        <w:t>一般（</w:t>
      </w:r>
      <w:r>
        <w:t>橙色</w:t>
      </w:r>
      <w:r>
        <w:rPr>
          <w:rFonts w:hint="eastAsia"/>
        </w:rPr>
        <w:t>）预警确定和发布：当污染物迁移至水源地应急预案适用的地域范围，但水源保护区或其连接水体尚未受到污染，或是污染物已进入水源保护区上游连接水体，但应急专家组研判认为对水源地水质影响较小，可能不影响取水时，为橙色预警，一般发布橙色预警时，仅采取预警行动。</w:t>
      </w:r>
    </w:p>
    <w:p>
      <w:r>
        <w:rPr>
          <w:rFonts w:hint="eastAsia"/>
        </w:rPr>
        <w:t>重大（</w:t>
      </w:r>
      <w:r>
        <w:t>红色</w:t>
      </w:r>
      <w:r>
        <w:rPr>
          <w:rFonts w:hint="eastAsia"/>
        </w:rPr>
        <w:t>）预警确定和发布：当污染物已进入（或出现在）水源保护区或其上游连接水体，且应急专家组研判认为对水源地水质影响可能较大时，可能影响取水时，为红色预警，发布红色预警时，在采取预警行动的同时，应启动应急措施。</w:t>
      </w:r>
    </w:p>
    <w:p>
      <w:pPr>
        <w:pStyle w:val="5"/>
        <w:rPr>
          <w:color w:val="000000" w:themeColor="text1"/>
        </w:rPr>
      </w:pPr>
      <w:bookmarkStart w:id="97" w:name="_Toc1133"/>
      <w:r>
        <w:rPr>
          <w:color w:val="000000" w:themeColor="text1"/>
        </w:rPr>
        <w:t>3.</w:t>
      </w:r>
      <w:r>
        <w:rPr>
          <w:rFonts w:hint="eastAsia"/>
          <w:color w:val="000000" w:themeColor="text1"/>
        </w:rPr>
        <w:t>1</w:t>
      </w:r>
      <w:r>
        <w:rPr>
          <w:color w:val="000000" w:themeColor="text1"/>
        </w:rPr>
        <w:t>.</w:t>
      </w:r>
      <w:r>
        <w:rPr>
          <w:rFonts w:hint="eastAsia"/>
          <w:color w:val="000000" w:themeColor="text1"/>
        </w:rPr>
        <w:t>2</w:t>
      </w:r>
      <w:r>
        <w:rPr>
          <w:color w:val="000000" w:themeColor="text1"/>
        </w:rPr>
        <w:t xml:space="preserve"> </w:t>
      </w:r>
      <w:r>
        <w:rPr>
          <w:rFonts w:hint="eastAsia"/>
          <w:color w:val="000000" w:themeColor="text1"/>
        </w:rPr>
        <w:t>预警启动条件</w:t>
      </w:r>
      <w:bookmarkEnd w:id="96"/>
      <w:bookmarkEnd w:id="97"/>
    </w:p>
    <w:p>
      <w:r>
        <w:rPr>
          <w:rFonts w:hint="eastAsia" w:cs="宋体"/>
          <w:szCs w:val="24"/>
        </w:rPr>
        <w:t>根据信息获取方式，综合考虑突发事件类型、发生地点、污染物种类和数量等情况，制定了不同级别预警的启动条件。</w:t>
      </w:r>
    </w:p>
    <w:p>
      <w:pPr>
        <w:rPr>
          <w:u w:val="single"/>
        </w:rPr>
      </w:pPr>
      <w:r>
        <w:rPr>
          <w:rFonts w:hint="eastAsia" w:cs="宋体"/>
          <w:szCs w:val="24"/>
          <w:u w:val="single"/>
        </w:rPr>
        <w:t>一、启动橙色预警的条件：</w:t>
      </w:r>
    </w:p>
    <w:p>
      <w:pPr>
        <w:rPr>
          <w:u w:val="single"/>
        </w:rPr>
      </w:pPr>
      <w:r>
        <w:rPr>
          <w:rFonts w:hint="eastAsia" w:cs="宋体"/>
          <w:szCs w:val="24"/>
          <w:u w:val="single"/>
        </w:rPr>
        <w:t>（</w:t>
      </w:r>
      <w:r>
        <w:rPr>
          <w:szCs w:val="24"/>
          <w:u w:val="single"/>
        </w:rPr>
        <w:t>1</w:t>
      </w:r>
      <w:r>
        <w:rPr>
          <w:rFonts w:hint="eastAsia" w:cs="宋体"/>
          <w:szCs w:val="24"/>
          <w:u w:val="single"/>
        </w:rPr>
        <w:t>）通过信息报告发现，可能在距离水体或汇水渠道超过</w:t>
      </w:r>
      <w:r>
        <w:rPr>
          <w:szCs w:val="24"/>
          <w:u w:val="single"/>
        </w:rPr>
        <w:t>200m</w:t>
      </w:r>
      <w:r>
        <w:rPr>
          <w:rFonts w:hint="eastAsia" w:cs="宋体"/>
          <w:szCs w:val="24"/>
          <w:u w:val="single"/>
        </w:rPr>
        <w:t>的陆域二级保护区发生的突发环境事件的；</w:t>
      </w:r>
    </w:p>
    <w:p>
      <w:pPr>
        <w:rPr>
          <w:u w:val="single"/>
        </w:rPr>
      </w:pPr>
      <w:r>
        <w:rPr>
          <w:rFonts w:hint="eastAsia" w:cs="宋体"/>
          <w:szCs w:val="24"/>
          <w:u w:val="single"/>
        </w:rPr>
        <w:t>（</w:t>
      </w:r>
      <w:r>
        <w:rPr>
          <w:szCs w:val="24"/>
          <w:u w:val="single"/>
        </w:rPr>
        <w:t>2</w:t>
      </w:r>
      <w:r>
        <w:rPr>
          <w:rFonts w:hint="eastAsia" w:cs="宋体"/>
          <w:szCs w:val="24"/>
          <w:u w:val="single"/>
        </w:rPr>
        <w:t>）通过信息报告发现，在距离水体或汇水渠道距离在</w:t>
      </w:r>
      <w:r>
        <w:rPr>
          <w:szCs w:val="24"/>
          <w:u w:val="single"/>
        </w:rPr>
        <w:t>100~200m</w:t>
      </w:r>
      <w:r>
        <w:rPr>
          <w:rFonts w:hint="eastAsia" w:cs="宋体"/>
          <w:szCs w:val="24"/>
          <w:u w:val="single"/>
        </w:rPr>
        <w:t>范围的陆域二级保护区可能发生突发环境事件，且经水质监测和信息研判，判断污染物迁移至取水口位置时，相应指标浓度不会超标的；</w:t>
      </w:r>
    </w:p>
    <w:p>
      <w:pPr>
        <w:rPr>
          <w:u w:val="single"/>
        </w:rPr>
      </w:pPr>
      <w:r>
        <w:rPr>
          <w:rFonts w:hint="eastAsia" w:cs="宋体"/>
          <w:szCs w:val="24"/>
          <w:u w:val="single"/>
        </w:rPr>
        <w:t>（</w:t>
      </w:r>
      <w:r>
        <w:rPr>
          <w:szCs w:val="24"/>
          <w:u w:val="single"/>
        </w:rPr>
        <w:t>3</w:t>
      </w:r>
      <w:r>
        <w:rPr>
          <w:rFonts w:hint="eastAsia" w:cs="宋体"/>
          <w:szCs w:val="24"/>
          <w:u w:val="single"/>
        </w:rPr>
        <w:t>）通过监测发现，在水域保护区或汇水渠内，出现水质监测指标或生物综合毒性异常，但未超标，且经继续监测，发现未继续升高的；</w:t>
      </w:r>
    </w:p>
    <w:p>
      <w:pPr>
        <w:rPr>
          <w:u w:val="single"/>
        </w:rPr>
      </w:pPr>
      <w:r>
        <w:rPr>
          <w:rFonts w:hint="eastAsia" w:cs="宋体"/>
          <w:szCs w:val="24"/>
          <w:u w:val="single"/>
        </w:rPr>
        <w:t>（</w:t>
      </w:r>
      <w:r>
        <w:rPr>
          <w:szCs w:val="24"/>
          <w:u w:val="single"/>
        </w:rPr>
        <w:t>4</w:t>
      </w:r>
      <w:r>
        <w:rPr>
          <w:rFonts w:hint="eastAsia" w:cs="宋体"/>
          <w:szCs w:val="24"/>
          <w:u w:val="single"/>
        </w:rPr>
        <w:t>）通过监测发现，在水域保护区或汇水渠内，发现有水体生态指标异常，但未导致严重后果的。</w:t>
      </w:r>
    </w:p>
    <w:p>
      <w:pPr>
        <w:rPr>
          <w:u w:val="single"/>
        </w:rPr>
      </w:pPr>
      <w:r>
        <w:rPr>
          <w:rFonts w:hint="eastAsia" w:cs="宋体"/>
          <w:szCs w:val="24"/>
          <w:u w:val="single"/>
        </w:rPr>
        <w:t>二、启动红色预警的条件：</w:t>
      </w:r>
    </w:p>
    <w:p>
      <w:pPr>
        <w:rPr>
          <w:u w:val="single"/>
        </w:rPr>
      </w:pPr>
      <w:r>
        <w:rPr>
          <w:rFonts w:hint="eastAsia" w:cs="宋体"/>
          <w:szCs w:val="24"/>
          <w:u w:val="single"/>
        </w:rPr>
        <w:t>（</w:t>
      </w:r>
      <w:r>
        <w:rPr>
          <w:szCs w:val="24"/>
          <w:u w:val="single"/>
        </w:rPr>
        <w:t>1</w:t>
      </w:r>
      <w:r>
        <w:rPr>
          <w:rFonts w:hint="eastAsia" w:cs="宋体"/>
          <w:szCs w:val="24"/>
          <w:u w:val="single"/>
        </w:rPr>
        <w:t>）通过信息报告发现，在水域保护区内可能发生突发环境事件。</w:t>
      </w:r>
    </w:p>
    <w:p>
      <w:pPr>
        <w:rPr>
          <w:u w:val="single"/>
        </w:rPr>
      </w:pPr>
      <w:r>
        <w:rPr>
          <w:rFonts w:hint="eastAsia" w:cs="宋体"/>
          <w:szCs w:val="24"/>
          <w:u w:val="single"/>
        </w:rPr>
        <w:t>（</w:t>
      </w:r>
      <w:r>
        <w:rPr>
          <w:szCs w:val="24"/>
          <w:u w:val="single"/>
        </w:rPr>
        <w:t>2</w:t>
      </w:r>
      <w:r>
        <w:rPr>
          <w:rFonts w:hint="eastAsia" w:cs="宋体"/>
          <w:szCs w:val="24"/>
          <w:u w:val="single"/>
        </w:rPr>
        <w:t>）通过信息报告发现，在陆域保护区内可能发生突发环境事件，且距离连接水体或汇水渠道不足</w:t>
      </w:r>
      <w:r>
        <w:rPr>
          <w:szCs w:val="24"/>
          <w:u w:val="single"/>
        </w:rPr>
        <w:t>100m</w:t>
      </w:r>
      <w:r>
        <w:rPr>
          <w:rFonts w:hint="eastAsia" w:cs="宋体"/>
          <w:szCs w:val="24"/>
          <w:u w:val="single"/>
        </w:rPr>
        <w:t>的；</w:t>
      </w:r>
    </w:p>
    <w:p>
      <w:pPr>
        <w:rPr>
          <w:u w:val="single"/>
        </w:rPr>
      </w:pPr>
      <w:r>
        <w:rPr>
          <w:rFonts w:hint="eastAsia" w:cs="宋体"/>
          <w:szCs w:val="24"/>
          <w:u w:val="single"/>
        </w:rPr>
        <w:t>（</w:t>
      </w:r>
      <w:r>
        <w:rPr>
          <w:szCs w:val="24"/>
          <w:u w:val="single"/>
        </w:rPr>
        <w:t>3</w:t>
      </w:r>
      <w:r>
        <w:rPr>
          <w:rFonts w:hint="eastAsia" w:cs="宋体"/>
          <w:szCs w:val="24"/>
          <w:u w:val="single"/>
        </w:rPr>
        <w:t>）通过信息报告发现，在距离连接水体或汇水渠道不足</w:t>
      </w:r>
      <w:r>
        <w:rPr>
          <w:szCs w:val="24"/>
          <w:u w:val="single"/>
        </w:rPr>
        <w:t>200m</w:t>
      </w:r>
      <w:r>
        <w:rPr>
          <w:rFonts w:hint="eastAsia" w:cs="宋体"/>
          <w:szCs w:val="24"/>
          <w:u w:val="single"/>
        </w:rPr>
        <w:t>的陆域保护区内可能发生突发环境事件，且经过水质监测和信息研判，判断污染物迁移至取水口位置时，相应指标浓度仍会超标的；</w:t>
      </w:r>
    </w:p>
    <w:p>
      <w:pPr>
        <w:rPr>
          <w:u w:val="single"/>
        </w:rPr>
      </w:pPr>
      <w:r>
        <w:rPr>
          <w:rFonts w:hint="eastAsia" w:cs="宋体"/>
          <w:szCs w:val="24"/>
          <w:u w:val="single"/>
        </w:rPr>
        <w:t>（</w:t>
      </w:r>
      <w:r>
        <w:rPr>
          <w:szCs w:val="24"/>
          <w:u w:val="single"/>
        </w:rPr>
        <w:t>4</w:t>
      </w:r>
      <w:r>
        <w:rPr>
          <w:rFonts w:hint="eastAsia" w:cs="宋体"/>
          <w:szCs w:val="24"/>
          <w:u w:val="single"/>
        </w:rPr>
        <w:t>）通过监测发现，水源保护区内水质指标异常：在水域保护区内，出现水质监测指标超标或生物综合毒性异常，经实验室监测确认的，或污染物浓度持续升高的；</w:t>
      </w:r>
    </w:p>
    <w:p>
      <w:pPr>
        <w:rPr>
          <w:u w:val="single"/>
        </w:rPr>
      </w:pPr>
      <w:r>
        <w:rPr>
          <w:rFonts w:hint="eastAsia" w:cs="宋体"/>
          <w:szCs w:val="24"/>
          <w:u w:val="single"/>
        </w:rPr>
        <w:t>（</w:t>
      </w:r>
      <w:r>
        <w:rPr>
          <w:szCs w:val="24"/>
          <w:u w:val="single"/>
        </w:rPr>
        <w:t>5</w:t>
      </w:r>
      <w:r>
        <w:rPr>
          <w:rFonts w:hint="eastAsia" w:cs="宋体"/>
          <w:szCs w:val="24"/>
          <w:u w:val="single"/>
        </w:rPr>
        <w:t>）通过监测发现，在水域、陆域保护区的汇水渠内水体感官性状异常，即水体出现异常颜色或气味的；</w:t>
      </w:r>
    </w:p>
    <w:p>
      <w:pPr>
        <w:rPr>
          <w:u w:val="single"/>
        </w:rPr>
      </w:pPr>
      <w:r>
        <w:rPr>
          <w:rFonts w:hint="eastAsia" w:cs="宋体"/>
          <w:szCs w:val="24"/>
          <w:u w:val="single"/>
        </w:rPr>
        <w:t>（</w:t>
      </w:r>
      <w:r>
        <w:rPr>
          <w:szCs w:val="24"/>
          <w:u w:val="single"/>
        </w:rPr>
        <w:t>6</w:t>
      </w:r>
      <w:r>
        <w:rPr>
          <w:rFonts w:hint="eastAsia" w:cs="宋体"/>
          <w:szCs w:val="24"/>
          <w:u w:val="single"/>
        </w:rPr>
        <w:t>）通过监测发现，在水源保护区、陆域保护区汇水渠内水体生态指标异常，即水面出现大面积死鱼或生物综合毒性异常并经实验室监测后确认的。</w:t>
      </w:r>
    </w:p>
    <w:p>
      <w:pPr>
        <w:pStyle w:val="5"/>
        <w:rPr>
          <w:color w:val="000000" w:themeColor="text1"/>
        </w:rPr>
      </w:pPr>
      <w:bookmarkStart w:id="98" w:name="_Toc4334"/>
      <w:bookmarkStart w:id="99" w:name="_Toc15432"/>
      <w:r>
        <w:rPr>
          <w:color w:val="000000" w:themeColor="text1"/>
        </w:rPr>
        <w:t>3.</w:t>
      </w:r>
      <w:r>
        <w:rPr>
          <w:rFonts w:hint="eastAsia"/>
          <w:color w:val="000000" w:themeColor="text1"/>
        </w:rPr>
        <w:t>1</w:t>
      </w:r>
      <w:r>
        <w:rPr>
          <w:color w:val="000000" w:themeColor="text1"/>
        </w:rPr>
        <w:t>.</w:t>
      </w:r>
      <w:r>
        <w:rPr>
          <w:rFonts w:hint="eastAsia"/>
          <w:color w:val="000000" w:themeColor="text1"/>
        </w:rPr>
        <w:t>3</w:t>
      </w:r>
      <w:r>
        <w:rPr>
          <w:color w:val="000000" w:themeColor="text1"/>
        </w:rPr>
        <w:t xml:space="preserve"> </w:t>
      </w:r>
      <w:r>
        <w:rPr>
          <w:rFonts w:hint="eastAsia"/>
          <w:color w:val="000000" w:themeColor="text1"/>
        </w:rPr>
        <w:t>预警措施</w:t>
      </w:r>
      <w:bookmarkEnd w:id="98"/>
      <w:bookmarkEnd w:id="99"/>
    </w:p>
    <w:p>
      <w:r>
        <w:t>接到</w:t>
      </w:r>
      <w:r>
        <w:rPr>
          <w:rFonts w:hint="eastAsia"/>
        </w:rPr>
        <w:t>岳阳市饮用水源保护区（铁山水库-北干渠-金凤水库）</w:t>
      </w:r>
      <w:r>
        <w:t>突发环境事件即将发生或者发生的可能性增大的预警信息时，</w:t>
      </w:r>
      <w:r>
        <w:rPr>
          <w:rFonts w:hint="eastAsia"/>
        </w:rPr>
        <w:t>岳阳市环境事件应急委员会</w:t>
      </w:r>
      <w:r>
        <w:t>应及时核实信息，适时采取以下措施：</w:t>
      </w:r>
    </w:p>
    <w:p>
      <w:r>
        <w:t>（1）</w:t>
      </w:r>
      <w:r>
        <w:rPr>
          <w:rFonts w:hint="eastAsia"/>
        </w:rPr>
        <w:t>联合市气象部门</w:t>
      </w:r>
      <w:r>
        <w:t>发布预警公告；</w:t>
      </w:r>
    </w:p>
    <w:p>
      <w:r>
        <w:t>（2）</w:t>
      </w:r>
      <w:r>
        <w:rPr>
          <w:rFonts w:hint="eastAsia"/>
        </w:rPr>
        <w:t>根据不同的预警条件，</w:t>
      </w:r>
      <w:r>
        <w:t>启动相关</w:t>
      </w:r>
      <w:r>
        <w:rPr>
          <w:rFonts w:hint="eastAsia"/>
        </w:rPr>
        <w:t>预警措施</w:t>
      </w:r>
      <w:r>
        <w:t>；</w:t>
      </w:r>
    </w:p>
    <w:p>
      <w:r>
        <w:t>（3）指令各应急处置队伍进入应急状态，监测</w:t>
      </w:r>
      <w:r>
        <w:rPr>
          <w:rFonts w:hint="eastAsia"/>
        </w:rPr>
        <w:t>单位和相关部门</w:t>
      </w:r>
      <w:r>
        <w:t>立即开展应急监测，密切注意水文、水质和气象条件的变化对</w:t>
      </w:r>
      <w:r>
        <w:rPr>
          <w:rFonts w:hint="eastAsia"/>
        </w:rPr>
        <w:t>岳阳市饮用水源保护区（铁山水库-北干渠-金凤水库）</w:t>
      </w:r>
      <w:r>
        <w:t>的影响，随时掌握并报告事态进展情况；</w:t>
      </w:r>
    </w:p>
    <w:p>
      <w:r>
        <w:t>（4）组织人员救治病人，根据需要转移、撤离或者疏散可能受到危害的人员，并进行妥善安置；</w:t>
      </w:r>
    </w:p>
    <w:p>
      <w:r>
        <w:t>（5）针对水污染事件可能造成的危害，封闭、隔离或者限制使用有关场所，中止可能导致危害扩大的行为和活动；</w:t>
      </w:r>
    </w:p>
    <w:p>
      <w:r>
        <w:t>（6）</w:t>
      </w:r>
      <w:r>
        <w:rPr>
          <w:rFonts w:hint="eastAsia"/>
        </w:rPr>
        <w:t>岳阳市自来水公司按照相关</w:t>
      </w:r>
      <w:r>
        <w:t>指令启动工程预警调度体系，做好</w:t>
      </w:r>
      <w:r>
        <w:rPr>
          <w:rFonts w:hint="eastAsia"/>
        </w:rPr>
        <w:t>备用</w:t>
      </w:r>
      <w:r>
        <w:t>水源启动工作准备；</w:t>
      </w:r>
    </w:p>
    <w:p>
      <w:r>
        <w:t>（7）调集应急处置所需物资和设备，做好应急处置的保障工作。</w:t>
      </w:r>
    </w:p>
    <w:p>
      <w:pPr>
        <w:pStyle w:val="5"/>
        <w:rPr>
          <w:color w:val="000000" w:themeColor="text1"/>
        </w:rPr>
      </w:pPr>
      <w:bookmarkStart w:id="100" w:name="_Toc1805"/>
      <w:bookmarkStart w:id="101" w:name="_Toc1680"/>
      <w:r>
        <w:rPr>
          <w:color w:val="000000" w:themeColor="text1"/>
        </w:rPr>
        <w:t>3.</w:t>
      </w:r>
      <w:r>
        <w:rPr>
          <w:rFonts w:hint="eastAsia"/>
          <w:color w:val="000000" w:themeColor="text1"/>
        </w:rPr>
        <w:t>1</w:t>
      </w:r>
      <w:r>
        <w:rPr>
          <w:color w:val="000000" w:themeColor="text1"/>
        </w:rPr>
        <w:t>.</w:t>
      </w:r>
      <w:r>
        <w:rPr>
          <w:rFonts w:hint="eastAsia"/>
          <w:color w:val="000000" w:themeColor="text1"/>
        </w:rPr>
        <w:t>4</w:t>
      </w:r>
      <w:r>
        <w:rPr>
          <w:color w:val="000000" w:themeColor="text1"/>
        </w:rPr>
        <w:t xml:space="preserve"> </w:t>
      </w:r>
      <w:r>
        <w:rPr>
          <w:rFonts w:hint="eastAsia"/>
          <w:color w:val="000000" w:themeColor="text1"/>
        </w:rPr>
        <w:t>预警报告</w:t>
      </w:r>
      <w:bookmarkEnd w:id="100"/>
      <w:bookmarkEnd w:id="101"/>
    </w:p>
    <w:p>
      <w:r>
        <w:t>突发环境事件应急</w:t>
      </w:r>
      <w:r>
        <w:rPr>
          <w:rFonts w:hint="eastAsia"/>
        </w:rPr>
        <w:t>救援指挥部</w:t>
      </w:r>
      <w:r>
        <w:t>要按照早发现、早报告、早处置的原则，开展环境信息、自然灾害预警信息、常规环境监测数据的综合分析，风险评估工作。发现可能对</w:t>
      </w:r>
      <w:r>
        <w:rPr>
          <w:rFonts w:hint="eastAsia"/>
        </w:rPr>
        <w:t>岳阳市饮用水源保护区（铁山水库-北干渠-金凤水库）</w:t>
      </w:r>
      <w:r>
        <w:t>水质造成影响的事件信息应及时报告，根据事态发展，必要时及时组织专家研究，提出</w:t>
      </w:r>
      <w:r>
        <w:rPr>
          <w:rFonts w:hint="eastAsia"/>
        </w:rPr>
        <w:t>启动相关预警报告</w:t>
      </w:r>
      <w:r>
        <w:t>。</w:t>
      </w:r>
    </w:p>
    <w:p>
      <w:pPr>
        <w:pStyle w:val="5"/>
        <w:rPr>
          <w:color w:val="000000" w:themeColor="text1"/>
        </w:rPr>
      </w:pPr>
      <w:bookmarkStart w:id="102" w:name="_Toc6173"/>
      <w:bookmarkStart w:id="103" w:name="_Toc32058"/>
      <w:r>
        <w:rPr>
          <w:color w:val="000000" w:themeColor="text1"/>
        </w:rPr>
        <w:t>3.</w:t>
      </w:r>
      <w:r>
        <w:rPr>
          <w:rFonts w:hint="eastAsia"/>
          <w:color w:val="000000" w:themeColor="text1"/>
        </w:rPr>
        <w:t>1</w:t>
      </w:r>
      <w:r>
        <w:rPr>
          <w:color w:val="000000" w:themeColor="text1"/>
        </w:rPr>
        <w:t>.</w:t>
      </w:r>
      <w:r>
        <w:rPr>
          <w:rFonts w:hint="eastAsia"/>
          <w:color w:val="000000" w:themeColor="text1"/>
        </w:rPr>
        <w:t>5</w:t>
      </w:r>
      <w:r>
        <w:rPr>
          <w:color w:val="000000" w:themeColor="text1"/>
        </w:rPr>
        <w:t xml:space="preserve"> </w:t>
      </w:r>
      <w:r>
        <w:rPr>
          <w:rFonts w:hint="eastAsia"/>
          <w:color w:val="000000" w:themeColor="text1"/>
        </w:rPr>
        <w:t>预警级别的调整和预警解除</w:t>
      </w:r>
      <w:bookmarkEnd w:id="102"/>
      <w:bookmarkEnd w:id="103"/>
    </w:p>
    <w:p>
      <w:r>
        <w:rPr>
          <w:rFonts w:hint="eastAsia"/>
        </w:rPr>
        <w:t>发布突发环境事件预警的单位和部门应当根据事态的发展情况和采取措施的效果，按照有关规定适时调整预警级别并重新发布。</w:t>
      </w:r>
    </w:p>
    <w:p>
      <w:r>
        <w:rPr>
          <w:rFonts w:hint="eastAsia"/>
        </w:rPr>
        <w:t>重大（红色）预警信息由</w:t>
      </w:r>
      <w:r>
        <w:t>突发环境事件应急</w:t>
      </w:r>
      <w:r>
        <w:rPr>
          <w:rFonts w:hint="eastAsia"/>
        </w:rPr>
        <w:t>救援指挥部报请市政府调整和解除；一般（橙色）预警信息由</w:t>
      </w:r>
      <w:r>
        <w:t>突发环境事件应急</w:t>
      </w:r>
      <w:r>
        <w:rPr>
          <w:rFonts w:hint="eastAsia"/>
        </w:rPr>
        <w:t>救援指挥部调整和解除。</w:t>
      </w:r>
    </w:p>
    <w:p>
      <w:pPr>
        <w:rPr>
          <w:color w:val="000000" w:themeColor="text1"/>
        </w:rPr>
      </w:pPr>
      <w:r>
        <w:rPr>
          <w:rFonts w:hint="eastAsia"/>
        </w:rPr>
        <w:t>经预测证明发生突发环境事件的危害已经消除，发布预警信息的单位和部门应当宣布警报解除，宣传终止预警期，解除应急措施，迅速组织恢复正常的生活、生产秩序。</w:t>
      </w:r>
    </w:p>
    <w:p>
      <w:pPr>
        <w:pStyle w:val="3"/>
        <w:widowControl/>
        <w:rPr>
          <w:color w:val="000000" w:themeColor="text1"/>
          <w:szCs w:val="28"/>
        </w:rPr>
      </w:pPr>
      <w:bookmarkStart w:id="104" w:name="_Toc535851310"/>
      <w:r>
        <w:rPr>
          <w:rFonts w:hint="eastAsia"/>
          <w:color w:val="000000" w:themeColor="text1"/>
          <w:szCs w:val="28"/>
        </w:rPr>
        <w:t>3.2信息报告与通报</w:t>
      </w:r>
      <w:bookmarkEnd w:id="104"/>
    </w:p>
    <w:p>
      <w:pPr>
        <w:pStyle w:val="5"/>
      </w:pPr>
      <w:bookmarkStart w:id="105" w:name="_Toc32690"/>
      <w:bookmarkStart w:id="106" w:name="_Toc25240"/>
      <w:bookmarkStart w:id="107" w:name="_Toc13083"/>
      <w:bookmarkStart w:id="108" w:name="_Toc14689"/>
      <w:bookmarkStart w:id="109" w:name="_Toc24165"/>
      <w:bookmarkStart w:id="110" w:name="_Toc23637"/>
      <w:bookmarkStart w:id="111" w:name="_Toc304641119"/>
      <w:bookmarkStart w:id="112" w:name="_Toc304816376"/>
      <w:r>
        <w:rPr>
          <w:rFonts w:hint="eastAsia"/>
        </w:rPr>
        <w:t>3</w:t>
      </w:r>
      <w:r>
        <w:t xml:space="preserve">.2.1 </w:t>
      </w:r>
      <w:r>
        <w:rPr>
          <w:rFonts w:hint="eastAsia"/>
        </w:rPr>
        <w:t>信息报告</w:t>
      </w:r>
      <w:r>
        <w:t>程序</w:t>
      </w:r>
      <w:bookmarkEnd w:id="105"/>
      <w:bookmarkEnd w:id="106"/>
      <w:bookmarkEnd w:id="107"/>
      <w:bookmarkEnd w:id="108"/>
      <w:bookmarkEnd w:id="109"/>
      <w:bookmarkEnd w:id="110"/>
    </w:p>
    <w:p>
      <w:r>
        <w:rPr>
          <w:rFonts w:hint="eastAsia" w:cs="宋体"/>
          <w:szCs w:val="24"/>
        </w:rPr>
        <w:t>不同情况下，不同责任人或单位须及时向相关责任单位或负责人进行报告。</w:t>
      </w:r>
    </w:p>
    <w:p>
      <w:r>
        <w:rPr>
          <w:rFonts w:hint="eastAsia" w:cs="宋体"/>
          <w:szCs w:val="24"/>
        </w:rPr>
        <w:t>（</w:t>
      </w:r>
      <w:r>
        <w:rPr>
          <w:szCs w:val="24"/>
        </w:rPr>
        <w:t>1</w:t>
      </w:r>
      <w:r>
        <w:rPr>
          <w:rFonts w:hint="eastAsia" w:cs="宋体"/>
          <w:szCs w:val="24"/>
        </w:rPr>
        <w:t>）</w:t>
      </w:r>
      <w:r>
        <w:rPr>
          <w:rFonts w:hint="eastAsia"/>
        </w:rPr>
        <w:t>发现已经造成或可能造成水源地污染的有关人员和责任单位，应按照有关规定立即向本级人民政府应急组织指挥机构及环境保护等部门报告。</w:t>
      </w:r>
    </w:p>
    <w:p>
      <w:r>
        <w:rPr>
          <w:rFonts w:hint="eastAsia"/>
        </w:rPr>
        <w:t>（2）水源地突发环境事件发生地所属行政区域的市、县级人民政府有关部门在发现或得知水源地突发环境事件信息后，应立即进行核实，了解有关情况。经过核实后，第一时间向本级人民政府应急组织指挥机构和上级人民政府主管部门报告。</w:t>
      </w:r>
    </w:p>
    <w:p>
      <w:r>
        <w:rPr>
          <w:rFonts w:hint="eastAsia"/>
        </w:rPr>
        <w:t>（3）上级人民政府主管部门先于下级人民政府主管部门获悉水源地突发环境事件信息的，可要求下级人民政府主管部门核实并报告相应信息。</w:t>
      </w:r>
    </w:p>
    <w:p>
      <w:r>
        <w:rPr>
          <w:rFonts w:hint="eastAsia"/>
        </w:rPr>
        <w:t>（4）特殊情况下，若遇到敏感事件或发生在重点地区、特殊时期，或可能演化为重大、特别重大突发环境事件的信息，有关责任单位和部门应立即向本级人民政府应急组织指挥机构报告。</w:t>
      </w:r>
    </w:p>
    <w:p>
      <w:pPr>
        <w:pStyle w:val="5"/>
      </w:pPr>
      <w:r>
        <w:rPr>
          <w:rFonts w:hint="eastAsia"/>
        </w:rPr>
        <w:t>3</w:t>
      </w:r>
      <w:r>
        <w:t>.2.</w:t>
      </w:r>
      <w:r>
        <w:rPr>
          <w:rFonts w:hint="eastAsia"/>
        </w:rPr>
        <w:t>2</w:t>
      </w:r>
      <w:r>
        <w:t xml:space="preserve"> </w:t>
      </w:r>
      <w:r>
        <w:rPr>
          <w:rFonts w:hint="eastAsia"/>
        </w:rPr>
        <w:t>信息通报</w:t>
      </w:r>
      <w:r>
        <w:t>程序</w:t>
      </w:r>
    </w:p>
    <w:p>
      <w:r>
        <w:rPr>
          <w:rFonts w:hint="eastAsia"/>
        </w:rPr>
        <w:t>经核实的水源地突发环境事件，接报的有关部门应向本级人民政府和有关部门通报。通报的部门至少应包括环保局、水务局、疾控中心、自来水公司等部门；根据水源地突发环境事件的类型和情景，还应通报消防（遇火灾爆炸）、交通（遇水上运输事故）、公安（遇火灾爆炸、道路运输事故）、安监、农业（遇大面积死鱼）等部门。</w:t>
      </w:r>
    </w:p>
    <w:p>
      <w:r>
        <w:rPr>
          <w:rFonts w:hint="eastAsia"/>
        </w:rPr>
        <w:t>水源地突发环境事件已经或可能影响相邻行政区域的，事件发生地人民政府及有关部门应及时通报相邻区域同级人民政府及有关部门。</w:t>
      </w:r>
    </w:p>
    <w:p>
      <w:pPr>
        <w:pStyle w:val="5"/>
      </w:pPr>
      <w:r>
        <w:rPr>
          <w:rFonts w:hint="eastAsia"/>
        </w:rPr>
        <w:t>3</w:t>
      </w:r>
      <w:r>
        <w:t>.2.</w:t>
      </w:r>
      <w:r>
        <w:rPr>
          <w:rFonts w:hint="eastAsia"/>
        </w:rPr>
        <w:t>3信息报告和通报内容</w:t>
      </w:r>
    </w:p>
    <w:p>
      <w:r>
        <w:rPr>
          <w:rFonts w:hint="eastAsia" w:cs="宋体"/>
          <w:szCs w:val="24"/>
        </w:rPr>
        <w:t>根据不同的时间节点，水源地突发环境事件报告分为初报、续保和处理结果报告三种。初报是发现或得知突发环境事件后的首次报告；续报是查清有关基本情况、事件发展情况后的报告，可随时报告；处理结果报告是突发环境事件处理完毕后的报告。</w:t>
      </w:r>
    </w:p>
    <w:p>
      <w:r>
        <w:rPr>
          <w:rFonts w:hint="eastAsia" w:cs="宋体"/>
          <w:szCs w:val="24"/>
        </w:rPr>
        <w:t>（</w:t>
      </w:r>
      <w:r>
        <w:rPr>
          <w:szCs w:val="24"/>
        </w:rPr>
        <w:t>1</w:t>
      </w:r>
      <w:r>
        <w:rPr>
          <w:rFonts w:hint="eastAsia" w:cs="宋体"/>
          <w:szCs w:val="24"/>
        </w:rPr>
        <w:t>）初报应报告水源地突发环境事件的发生时间、地点、信息来源、事件起因和性质、基本过程、主要污染物和数量、监测结果、人员伤亡情况、水源地受影响情况、事件发展趋势、处置情况、拟采取的措施以及下一步工作建议等初步情况。</w:t>
      </w:r>
    </w:p>
    <w:p>
      <w:r>
        <w:rPr>
          <w:rFonts w:hint="eastAsia" w:cs="宋体"/>
          <w:szCs w:val="24"/>
        </w:rPr>
        <w:t>（</w:t>
      </w:r>
      <w:r>
        <w:rPr>
          <w:szCs w:val="24"/>
        </w:rPr>
        <w:t>2</w:t>
      </w:r>
      <w:r>
        <w:rPr>
          <w:rFonts w:hint="eastAsia" w:cs="宋体"/>
          <w:szCs w:val="24"/>
        </w:rPr>
        <w:t>）续报应在初报的基础上，报告事件及有关处置措施的进展情况。</w:t>
      </w:r>
    </w:p>
    <w:p>
      <w:r>
        <w:rPr>
          <w:rFonts w:hint="eastAsia" w:cs="宋体"/>
          <w:szCs w:val="24"/>
        </w:rPr>
        <w:t>（</w:t>
      </w:r>
      <w:r>
        <w:rPr>
          <w:szCs w:val="24"/>
        </w:rPr>
        <w:t>3</w:t>
      </w:r>
      <w:r>
        <w:rPr>
          <w:rFonts w:hint="eastAsia" w:cs="宋体"/>
          <w:szCs w:val="24"/>
        </w:rPr>
        <w:t>）处理结果报告应在初报、续报的基础上，报告突发环境事件的处置措施、过程和结果等详细情况。</w:t>
      </w:r>
    </w:p>
    <w:p>
      <w:r>
        <w:rPr>
          <w:rFonts w:hint="eastAsia" w:cs="宋体"/>
          <w:szCs w:val="24"/>
        </w:rPr>
        <w:t>应采用传真、网络、邮寄或面呈等方式书面报告，情况紧急时，可通过电话报告，但应及时补充书面报告。书面报告应说明突发环境事件报告单位、报告签发人、联系人及联系电话等内容，并尽可能提供地图、图片以及有关的多媒体资料。</w:t>
      </w:r>
    </w:p>
    <w:bookmarkEnd w:id="111"/>
    <w:bookmarkEnd w:id="112"/>
    <w:p>
      <w:pPr>
        <w:pStyle w:val="3"/>
        <w:widowControl/>
        <w:rPr>
          <w:color w:val="000000" w:themeColor="text1"/>
          <w:szCs w:val="28"/>
        </w:rPr>
      </w:pPr>
      <w:bookmarkStart w:id="113" w:name="_Toc535851311"/>
      <w:r>
        <w:rPr>
          <w:rFonts w:hint="eastAsia"/>
          <w:color w:val="000000" w:themeColor="text1"/>
          <w:szCs w:val="28"/>
        </w:rPr>
        <w:t>3.3事态研判</w:t>
      </w:r>
      <w:bookmarkEnd w:id="113"/>
    </w:p>
    <w:p>
      <w:r>
        <w:rPr>
          <w:rFonts w:hint="eastAsia" w:cs="宋体"/>
          <w:szCs w:val="24"/>
        </w:rPr>
        <w:t>现场应急指挥部明确发布预警后，由总指挥、副总指挥、协调办公室、专项工作组迅速组件现场应急指挥的各个工作组，跟踪开展事态研判。</w:t>
      </w:r>
    </w:p>
    <w:p>
      <w:r>
        <w:rPr>
          <w:rFonts w:hint="eastAsia" w:cs="宋体"/>
          <w:szCs w:val="24"/>
        </w:rPr>
        <w:t>事态研判主要包括如下内容：水利设施工程情况、污染物进入水源地的数量及种类性质、事故点距离取水口的距离及可能造成的危害、供水区域是否能够紧急供水等。</w:t>
      </w:r>
    </w:p>
    <w:p>
      <w:pPr>
        <w:widowControl/>
        <w:jc w:val="left"/>
      </w:pPr>
      <w:r>
        <w:rPr>
          <w:rFonts w:hint="eastAsia"/>
          <w:szCs w:val="24"/>
        </w:rPr>
        <w:t>事态研判的结果作为制定和动态调整应急响应有关方案、实施应急监测、污染源排查与处置和应急处置的重要基础。</w:t>
      </w:r>
    </w:p>
    <w:p>
      <w:pPr>
        <w:pStyle w:val="3"/>
        <w:widowControl/>
        <w:rPr>
          <w:color w:val="000000" w:themeColor="text1"/>
          <w:szCs w:val="28"/>
        </w:rPr>
      </w:pPr>
      <w:bookmarkStart w:id="114" w:name="_Toc535851312"/>
      <w:r>
        <w:rPr>
          <w:rFonts w:hint="eastAsia"/>
          <w:color w:val="000000" w:themeColor="text1"/>
          <w:szCs w:val="28"/>
        </w:rPr>
        <w:t>3.4应急监测</w:t>
      </w:r>
      <w:bookmarkEnd w:id="114"/>
    </w:p>
    <w:p>
      <w:pPr>
        <w:pStyle w:val="5"/>
      </w:pPr>
      <w:r>
        <w:rPr>
          <w:rFonts w:hint="eastAsia"/>
        </w:rPr>
        <w:t>3</w:t>
      </w:r>
      <w:r>
        <w:t>.</w:t>
      </w:r>
      <w:r>
        <w:rPr>
          <w:rFonts w:hint="eastAsia"/>
        </w:rPr>
        <w:t>4</w:t>
      </w:r>
      <w:r>
        <w:t>.</w:t>
      </w:r>
      <w:r>
        <w:rPr>
          <w:rFonts w:hint="eastAsia"/>
        </w:rPr>
        <w:t>1</w:t>
      </w:r>
      <w:r>
        <w:t xml:space="preserve"> </w:t>
      </w:r>
      <w:r>
        <w:rPr>
          <w:rFonts w:hint="eastAsia"/>
        </w:rPr>
        <w:t>开展应急监测程序</w:t>
      </w:r>
    </w:p>
    <w:p>
      <w:r>
        <w:rPr>
          <w:rFonts w:hint="eastAsia" w:cs="宋体"/>
          <w:szCs w:val="24"/>
        </w:rPr>
        <w:t>发布预警后，由各水厂和岳阳市环境监测站负责应急监测。</w:t>
      </w:r>
    </w:p>
    <w:p>
      <w:r>
        <w:rPr>
          <w:rFonts w:hint="eastAsia" w:cs="宋体"/>
          <w:szCs w:val="24"/>
        </w:rPr>
        <w:t>事件处置初期，监测部门按照现场应急指挥部的命令及现场实际情况制定监测方案，确定监测点位、频次，然后组织开展监测，最终形成监测报告。第一时间向现场应急指挥部报告监测过程和污染物浓度变化态势，并安排人员对突发环境事件监测情况进行全过程记录。</w:t>
      </w:r>
    </w:p>
    <w:p>
      <w:r>
        <w:rPr>
          <w:rFonts w:hint="eastAsia" w:cs="宋体"/>
          <w:szCs w:val="24"/>
        </w:rPr>
        <w:t>事件处置中期，根据事态发展，如应急处置措施效果情况，适时调整监测点位和监测频次。</w:t>
      </w:r>
    </w:p>
    <w:p>
      <w:pPr>
        <w:widowControl/>
        <w:jc w:val="left"/>
      </w:pPr>
      <w:r>
        <w:rPr>
          <w:rFonts w:hint="eastAsia"/>
          <w:szCs w:val="24"/>
        </w:rPr>
        <w:t>事件处置末期，按现场应急指挥部命令，停止应急监测，并向应急指挥部提交应急监测报告。</w:t>
      </w:r>
    </w:p>
    <w:p>
      <w:pPr>
        <w:pStyle w:val="5"/>
      </w:pPr>
      <w:r>
        <w:rPr>
          <w:rFonts w:hint="eastAsia"/>
        </w:rPr>
        <w:t>3</w:t>
      </w:r>
      <w:r>
        <w:t>.</w:t>
      </w:r>
      <w:r>
        <w:rPr>
          <w:rFonts w:hint="eastAsia"/>
        </w:rPr>
        <w:t>4</w:t>
      </w:r>
      <w:r>
        <w:t>.</w:t>
      </w:r>
      <w:r>
        <w:rPr>
          <w:rFonts w:hint="eastAsia"/>
        </w:rPr>
        <w:t>2</w:t>
      </w:r>
      <w:r>
        <w:t xml:space="preserve"> </w:t>
      </w:r>
      <w:r>
        <w:rPr>
          <w:rFonts w:hint="eastAsia"/>
        </w:rPr>
        <w:t>制定应急监测方案</w:t>
      </w:r>
    </w:p>
    <w:p>
      <w:r>
        <w:rPr>
          <w:rFonts w:hint="eastAsia" w:cs="宋体"/>
          <w:szCs w:val="24"/>
        </w:rPr>
        <w:t>应急监测方案主要包括技术规范、实施人员、监测布点、监测因子、采样频次和注意事项、监测结果记录和报告方式等内容。应急监测的目的是确定污染带污染物浓度峰值、移动过程形成动态监测；污染来源不明时，可通过应急监测确定特征污染物成分，再进行污染源排查和限期处置。</w:t>
      </w:r>
    </w:p>
    <w:p>
      <w:r>
        <w:rPr>
          <w:rFonts w:hint="eastAsia" w:cs="宋体"/>
          <w:szCs w:val="24"/>
        </w:rPr>
        <w:t>应急监测原则和注意事项包括以下内容。</w:t>
      </w:r>
    </w:p>
    <w:p>
      <w:r>
        <w:rPr>
          <w:rFonts w:hint="eastAsia" w:cs="宋体"/>
          <w:szCs w:val="24"/>
        </w:rPr>
        <w:t>（</w:t>
      </w:r>
      <w:r>
        <w:rPr>
          <w:szCs w:val="24"/>
        </w:rPr>
        <w:t>1</w:t>
      </w:r>
      <w:r>
        <w:rPr>
          <w:rFonts w:hint="eastAsia" w:cs="宋体"/>
          <w:szCs w:val="24"/>
        </w:rPr>
        <w:t>）监测范围。应尽量涵盖水源地突发环境事件的污染范围，并包括事件可能影响区域和污染物本底浓度的监测区域。</w:t>
      </w:r>
    </w:p>
    <w:p>
      <w:r>
        <w:rPr>
          <w:rFonts w:hint="eastAsia" w:cs="宋体"/>
          <w:szCs w:val="24"/>
        </w:rPr>
        <w:t>（</w:t>
      </w:r>
      <w:r>
        <w:rPr>
          <w:szCs w:val="24"/>
        </w:rPr>
        <w:t>2</w:t>
      </w:r>
      <w:r>
        <w:rPr>
          <w:rFonts w:hint="eastAsia" w:cs="宋体"/>
          <w:szCs w:val="24"/>
        </w:rPr>
        <w:t>）监测布点和频次。以突发环境事件发生地点为中心或源头，结合水文和气象条件，在其扩散方向及可能受到影响的水源地位置合理布点，必要时在事故影响区域内水源取水口设置监测点位。应采取不同点位相同间隔时间（</w:t>
      </w:r>
      <w:r>
        <w:rPr>
          <w:szCs w:val="24"/>
        </w:rPr>
        <w:t>1</w:t>
      </w:r>
      <w:r>
        <w:rPr>
          <w:rFonts w:hint="eastAsia" w:cs="宋体"/>
          <w:szCs w:val="24"/>
        </w:rPr>
        <w:t>小时）同步采样监测方式，动态监控污染带移动过程。</w:t>
      </w:r>
    </w:p>
    <w:p>
      <w:r>
        <w:rPr>
          <w:rFonts w:hint="eastAsia" w:cs="宋体"/>
          <w:szCs w:val="24"/>
        </w:rPr>
        <w:t>①针对固定源突发环境事件，应对固定源排放口附近水域、下游水源地附近水域进行加密跟踪监测。</w:t>
      </w:r>
    </w:p>
    <w:p>
      <w:r>
        <w:rPr>
          <w:rFonts w:hint="eastAsia" w:cs="宋体"/>
          <w:szCs w:val="24"/>
        </w:rPr>
        <w:t>②针对流动源、非点源突发环境事件，应对事发区域下游水域、下游水源地附近进行加密跟踪监测。</w:t>
      </w:r>
    </w:p>
    <w:p>
      <w:r>
        <w:rPr>
          <w:rFonts w:hint="eastAsia" w:cs="宋体"/>
          <w:szCs w:val="24"/>
        </w:rPr>
        <w:t>③水华灾害突发事件若发生在一级、二级保护区范围，应对取水口不同水层进行加密跟踪监测。</w:t>
      </w:r>
    </w:p>
    <w:p>
      <w:r>
        <w:rPr>
          <w:rFonts w:hint="eastAsia" w:cs="宋体"/>
          <w:szCs w:val="24"/>
        </w:rPr>
        <w:t>（</w:t>
      </w:r>
      <w:r>
        <w:rPr>
          <w:szCs w:val="24"/>
        </w:rPr>
        <w:t>3</w:t>
      </w:r>
      <w:r>
        <w:rPr>
          <w:rFonts w:hint="eastAsia" w:cs="宋体"/>
          <w:szCs w:val="24"/>
        </w:rPr>
        <w:t>）现场采样。应制定采样计划和准备采样器材。采样量应同时满足快速监测、实验室监测和留样的需要。采样频次应考虑污染程度和现场水文条件，按照应急专家组的意见确定。</w:t>
      </w:r>
    </w:p>
    <w:p>
      <w:r>
        <w:rPr>
          <w:rFonts w:hint="eastAsia" w:cs="宋体"/>
          <w:szCs w:val="24"/>
        </w:rPr>
        <w:t>（</w:t>
      </w:r>
      <w:r>
        <w:rPr>
          <w:szCs w:val="24"/>
        </w:rPr>
        <w:t>4</w:t>
      </w:r>
      <w:r>
        <w:rPr>
          <w:rFonts w:hint="eastAsia" w:cs="宋体"/>
          <w:szCs w:val="24"/>
        </w:rPr>
        <w:t>）监测项目。通过现场信息收集、信息研判、代表性样品分析等途径，确定主要污染物及监测项目。监测项目应考虑主要污染物在环境中可能产生的化学反应、衍生成其他有毒有害物质，有条件的地区可同时开展水生生物指标的监测，为后期损害评估提供第一手资料。</w:t>
      </w:r>
    </w:p>
    <w:p>
      <w:r>
        <w:rPr>
          <w:rFonts w:hint="eastAsia" w:cs="宋体"/>
          <w:szCs w:val="24"/>
        </w:rPr>
        <w:t>（</w:t>
      </w:r>
      <w:r>
        <w:rPr>
          <w:szCs w:val="24"/>
        </w:rPr>
        <w:t>5</w:t>
      </w:r>
      <w:r>
        <w:rPr>
          <w:rFonts w:hint="eastAsia" w:cs="宋体"/>
          <w:szCs w:val="24"/>
        </w:rPr>
        <w:t>）分析方法。具备现场监测条件的监测项目，应尽量在现场监测。必要时，备份样品送实验室监（复）测，以确认现场定性或定量监测结果的准确性。</w:t>
      </w:r>
    </w:p>
    <w:p>
      <w:pPr>
        <w:rPr>
          <w:color w:val="0000FF"/>
        </w:rPr>
      </w:pPr>
      <w:r>
        <w:rPr>
          <w:rFonts w:hint="eastAsia" w:cs="宋体"/>
          <w:szCs w:val="24"/>
        </w:rPr>
        <w:t>岳阳市饮用水源保护区（铁山水库-北干渠-金凤水库）主要风险源为流动源风险源和非点源风险源，其应急事件发生时可能引发的污染物为</w:t>
      </w:r>
      <w:r>
        <w:rPr>
          <w:szCs w:val="24"/>
        </w:rPr>
        <w:t>pH</w:t>
      </w:r>
      <w:r>
        <w:rPr>
          <w:rFonts w:hint="eastAsia" w:cs="宋体"/>
          <w:szCs w:val="24"/>
        </w:rPr>
        <w:t>、</w:t>
      </w:r>
      <w:r>
        <w:rPr>
          <w:szCs w:val="24"/>
        </w:rPr>
        <w:t>COD</w:t>
      </w:r>
      <w:r>
        <w:rPr>
          <w:rFonts w:hint="eastAsia" w:cs="宋体"/>
          <w:szCs w:val="24"/>
        </w:rPr>
        <w:t>、</w:t>
      </w:r>
      <w:r>
        <w:rPr>
          <w:bCs/>
          <w:szCs w:val="24"/>
        </w:rPr>
        <w:t>NH</w:t>
      </w:r>
      <w:r>
        <w:rPr>
          <w:bCs/>
          <w:szCs w:val="24"/>
          <w:vertAlign w:val="subscript"/>
        </w:rPr>
        <w:t>3</w:t>
      </w:r>
      <w:r>
        <w:rPr>
          <w:bCs/>
          <w:szCs w:val="24"/>
        </w:rPr>
        <w:t>-N</w:t>
      </w:r>
      <w:r>
        <w:rPr>
          <w:rFonts w:hint="eastAsia" w:cs="宋体"/>
          <w:bCs/>
          <w:szCs w:val="24"/>
        </w:rPr>
        <w:t>、石油类、</w:t>
      </w:r>
      <w:r>
        <w:rPr>
          <w:rFonts w:hint="eastAsia" w:hAnsi="宋体" w:cs="宋体"/>
          <w:spacing w:val="-4"/>
          <w:szCs w:val="24"/>
        </w:rPr>
        <w:t>总磷、总氮、粪大肠菌群数等</w:t>
      </w:r>
      <w:r>
        <w:rPr>
          <w:rFonts w:hint="eastAsia" w:cs="宋体"/>
          <w:szCs w:val="24"/>
        </w:rPr>
        <w:t>。污染物监测方法见下表。</w:t>
      </w:r>
    </w:p>
    <w:p>
      <w:pPr>
        <w:ind w:firstLine="438"/>
        <w:jc w:val="center"/>
        <w:rPr>
          <w:b/>
          <w:spacing w:val="4"/>
          <w:kern w:val="0"/>
          <w:sz w:val="21"/>
          <w:szCs w:val="21"/>
        </w:rPr>
      </w:pPr>
      <w:r>
        <w:rPr>
          <w:rFonts w:hint="eastAsia" w:hAnsi="宋体" w:cs="宋体"/>
          <w:b/>
          <w:spacing w:val="4"/>
          <w:kern w:val="0"/>
          <w:sz w:val="21"/>
          <w:szCs w:val="21"/>
        </w:rPr>
        <w:t>表</w:t>
      </w:r>
      <w:r>
        <w:rPr>
          <w:rFonts w:hint="eastAsia"/>
          <w:b/>
          <w:spacing w:val="4"/>
          <w:kern w:val="0"/>
          <w:sz w:val="21"/>
          <w:szCs w:val="21"/>
        </w:rPr>
        <w:t>3-</w:t>
      </w:r>
      <w:r>
        <w:rPr>
          <w:b/>
          <w:spacing w:val="4"/>
          <w:kern w:val="0"/>
          <w:sz w:val="21"/>
          <w:szCs w:val="21"/>
        </w:rPr>
        <w:t xml:space="preserve">1  </w:t>
      </w:r>
      <w:r>
        <w:rPr>
          <w:rFonts w:hint="eastAsia" w:hAnsi="宋体" w:cs="宋体"/>
          <w:b/>
          <w:spacing w:val="4"/>
          <w:kern w:val="0"/>
          <w:sz w:val="21"/>
          <w:szCs w:val="21"/>
        </w:rPr>
        <w:t>监测项目和监测方法一览表</w:t>
      </w:r>
    </w:p>
    <w:tbl>
      <w:tblPr>
        <w:tblStyle w:val="47"/>
        <w:tblW w:w="9571" w:type="dxa"/>
        <w:jc w:val="center"/>
        <w:tblInd w:w="0" w:type="dxa"/>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
      <w:tblGrid>
        <w:gridCol w:w="1555"/>
        <w:gridCol w:w="2068"/>
        <w:gridCol w:w="2548"/>
        <w:gridCol w:w="3400"/>
      </w:tblGrid>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Ex>
        <w:trPr>
          <w:trHeight w:val="397" w:hRule="exact"/>
          <w:jc w:val="center"/>
        </w:trPr>
        <w:tc>
          <w:tcPr>
            <w:tcW w:w="1555" w:type="dxa"/>
            <w:tcBorders>
              <w:top w:val="single" w:color="auto" w:sz="12" w:space="0"/>
              <w:left w:val="single" w:color="auto" w:sz="12" w:space="0"/>
              <w:bottom w:val="single" w:color="auto" w:sz="6" w:space="0"/>
              <w:right w:val="single" w:color="auto" w:sz="6" w:space="0"/>
            </w:tcBorders>
            <w:shd w:val="clear" w:color="auto" w:fill="auto"/>
            <w:vAlign w:val="center"/>
          </w:tcPr>
          <w:p>
            <w:pPr>
              <w:widowControl/>
              <w:spacing w:line="240" w:lineRule="auto"/>
              <w:ind w:firstLine="0" w:firstLineChars="0"/>
              <w:jc w:val="center"/>
              <w:rPr>
                <w:b/>
                <w:sz w:val="21"/>
                <w:szCs w:val="21"/>
              </w:rPr>
            </w:pPr>
            <w:r>
              <w:rPr>
                <w:rFonts w:hint="eastAsia" w:cs="宋体"/>
                <w:b/>
                <w:sz w:val="21"/>
                <w:szCs w:val="21"/>
              </w:rPr>
              <w:t>监测对象</w:t>
            </w:r>
          </w:p>
        </w:tc>
        <w:tc>
          <w:tcPr>
            <w:tcW w:w="2068" w:type="dxa"/>
            <w:tcBorders>
              <w:top w:val="single" w:color="auto" w:sz="12" w:space="0"/>
              <w:left w:val="single" w:color="auto" w:sz="6" w:space="0"/>
              <w:bottom w:val="single" w:color="auto" w:sz="6" w:space="0"/>
              <w:right w:val="single" w:color="auto" w:sz="6" w:space="0"/>
            </w:tcBorders>
            <w:shd w:val="clear" w:color="auto" w:fill="auto"/>
            <w:vAlign w:val="center"/>
          </w:tcPr>
          <w:p>
            <w:pPr>
              <w:widowControl/>
              <w:spacing w:line="240" w:lineRule="auto"/>
              <w:ind w:firstLine="0" w:firstLineChars="0"/>
              <w:jc w:val="center"/>
              <w:rPr>
                <w:b/>
                <w:sz w:val="21"/>
                <w:szCs w:val="21"/>
              </w:rPr>
            </w:pPr>
            <w:r>
              <w:rPr>
                <w:rFonts w:hint="eastAsia" w:cs="宋体"/>
                <w:b/>
                <w:sz w:val="21"/>
                <w:szCs w:val="21"/>
              </w:rPr>
              <w:t>监测项目</w:t>
            </w:r>
          </w:p>
        </w:tc>
        <w:tc>
          <w:tcPr>
            <w:tcW w:w="2548" w:type="dxa"/>
            <w:tcBorders>
              <w:top w:val="single" w:color="auto" w:sz="12" w:space="0"/>
              <w:left w:val="single" w:color="auto" w:sz="6" w:space="0"/>
              <w:bottom w:val="single" w:color="auto" w:sz="6" w:space="0"/>
              <w:right w:val="single" w:color="auto" w:sz="6" w:space="0"/>
            </w:tcBorders>
            <w:shd w:val="clear" w:color="auto" w:fill="auto"/>
            <w:vAlign w:val="center"/>
          </w:tcPr>
          <w:p>
            <w:pPr>
              <w:widowControl/>
              <w:spacing w:line="240" w:lineRule="auto"/>
              <w:ind w:firstLine="0" w:firstLineChars="0"/>
              <w:jc w:val="center"/>
              <w:rPr>
                <w:b/>
                <w:sz w:val="21"/>
                <w:szCs w:val="21"/>
              </w:rPr>
            </w:pPr>
            <w:r>
              <w:rPr>
                <w:rFonts w:hint="eastAsia" w:cs="宋体"/>
                <w:b/>
                <w:sz w:val="21"/>
                <w:szCs w:val="21"/>
              </w:rPr>
              <w:t>推荐监测方法</w:t>
            </w:r>
          </w:p>
        </w:tc>
        <w:tc>
          <w:tcPr>
            <w:tcW w:w="3400" w:type="dxa"/>
            <w:tcBorders>
              <w:top w:val="single" w:color="auto" w:sz="12" w:space="0"/>
              <w:left w:val="single" w:color="auto" w:sz="6" w:space="0"/>
              <w:bottom w:val="single" w:color="auto" w:sz="6" w:space="0"/>
              <w:right w:val="single" w:color="auto" w:sz="12" w:space="0"/>
            </w:tcBorders>
            <w:shd w:val="clear" w:color="auto" w:fill="auto"/>
            <w:vAlign w:val="center"/>
          </w:tcPr>
          <w:p>
            <w:pPr>
              <w:widowControl/>
              <w:spacing w:line="240" w:lineRule="auto"/>
              <w:ind w:firstLine="0" w:firstLineChars="0"/>
              <w:jc w:val="center"/>
              <w:rPr>
                <w:b/>
                <w:sz w:val="21"/>
                <w:szCs w:val="21"/>
              </w:rPr>
            </w:pPr>
            <w:r>
              <w:rPr>
                <w:rFonts w:hint="eastAsia" w:cs="宋体"/>
                <w:b/>
                <w:sz w:val="21"/>
                <w:szCs w:val="21"/>
              </w:rPr>
              <w:t>方法来源</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Ex>
        <w:trPr>
          <w:trHeight w:val="397" w:hRule="exact"/>
          <w:jc w:val="center"/>
        </w:trPr>
        <w:tc>
          <w:tcPr>
            <w:tcW w:w="1555" w:type="dxa"/>
            <w:vMerge w:val="restart"/>
            <w:tcBorders>
              <w:top w:val="single" w:color="auto" w:sz="6" w:space="0"/>
              <w:left w:val="single" w:color="auto" w:sz="12" w:space="0"/>
              <w:bottom w:val="single" w:color="auto" w:sz="12" w:space="0"/>
              <w:right w:val="single" w:color="auto" w:sz="6" w:space="0"/>
            </w:tcBorders>
            <w:shd w:val="clear" w:color="auto" w:fill="auto"/>
            <w:vAlign w:val="center"/>
          </w:tcPr>
          <w:p>
            <w:pPr>
              <w:widowControl/>
              <w:spacing w:line="240" w:lineRule="auto"/>
              <w:ind w:firstLine="0" w:firstLineChars="0"/>
              <w:jc w:val="center"/>
              <w:rPr>
                <w:bCs/>
                <w:sz w:val="21"/>
                <w:szCs w:val="21"/>
              </w:rPr>
            </w:pPr>
            <w:r>
              <w:rPr>
                <w:rFonts w:hint="eastAsia" w:cs="宋体"/>
                <w:bCs/>
                <w:sz w:val="21"/>
                <w:szCs w:val="21"/>
              </w:rPr>
              <w:t>废水</w:t>
            </w:r>
          </w:p>
        </w:tc>
        <w:tc>
          <w:tcPr>
            <w:tcW w:w="2068" w:type="dxa"/>
            <w:tcBorders>
              <w:top w:val="single" w:color="auto" w:sz="6" w:space="0"/>
              <w:left w:val="single" w:color="auto" w:sz="6" w:space="0"/>
              <w:bottom w:val="single" w:color="auto" w:sz="6" w:space="0"/>
              <w:right w:val="single" w:color="auto" w:sz="6" w:space="0"/>
            </w:tcBorders>
            <w:shd w:val="clear" w:color="auto" w:fill="auto"/>
            <w:vAlign w:val="center"/>
          </w:tcPr>
          <w:p>
            <w:pPr>
              <w:widowControl/>
              <w:spacing w:line="240" w:lineRule="auto"/>
              <w:ind w:firstLine="0" w:firstLineChars="0"/>
              <w:jc w:val="center"/>
              <w:rPr>
                <w:bCs/>
                <w:sz w:val="21"/>
                <w:szCs w:val="21"/>
              </w:rPr>
            </w:pPr>
            <w:r>
              <w:rPr>
                <w:bCs/>
                <w:sz w:val="21"/>
                <w:szCs w:val="21"/>
              </w:rPr>
              <w:t>pH</w:t>
            </w:r>
          </w:p>
        </w:tc>
        <w:tc>
          <w:tcPr>
            <w:tcW w:w="2548" w:type="dxa"/>
            <w:tcBorders>
              <w:top w:val="single" w:color="auto" w:sz="6" w:space="0"/>
              <w:left w:val="single" w:color="auto" w:sz="6" w:space="0"/>
              <w:bottom w:val="single" w:color="auto" w:sz="6" w:space="0"/>
              <w:right w:val="single" w:color="auto" w:sz="6" w:space="0"/>
            </w:tcBorders>
            <w:shd w:val="clear" w:color="auto" w:fill="auto"/>
            <w:vAlign w:val="center"/>
          </w:tcPr>
          <w:p>
            <w:pPr>
              <w:widowControl/>
              <w:spacing w:line="240" w:lineRule="auto"/>
              <w:ind w:firstLine="0" w:firstLineChars="0"/>
              <w:jc w:val="center"/>
              <w:rPr>
                <w:bCs/>
                <w:sz w:val="21"/>
                <w:szCs w:val="21"/>
              </w:rPr>
            </w:pPr>
            <w:r>
              <w:rPr>
                <w:rFonts w:hint="eastAsia" w:cs="宋体"/>
                <w:bCs/>
                <w:sz w:val="21"/>
                <w:szCs w:val="21"/>
              </w:rPr>
              <w:t>玻璃电极法</w:t>
            </w:r>
          </w:p>
        </w:tc>
        <w:tc>
          <w:tcPr>
            <w:tcW w:w="3400" w:type="dxa"/>
            <w:tcBorders>
              <w:top w:val="single" w:color="auto" w:sz="6" w:space="0"/>
              <w:left w:val="single" w:color="auto" w:sz="6" w:space="0"/>
              <w:bottom w:val="single" w:color="auto" w:sz="6" w:space="0"/>
              <w:right w:val="single" w:color="auto" w:sz="12" w:space="0"/>
            </w:tcBorders>
            <w:shd w:val="clear" w:color="auto" w:fill="auto"/>
            <w:vAlign w:val="center"/>
          </w:tcPr>
          <w:p>
            <w:pPr>
              <w:widowControl/>
              <w:spacing w:line="240" w:lineRule="auto"/>
              <w:ind w:firstLine="0" w:firstLineChars="0"/>
              <w:jc w:val="center"/>
              <w:rPr>
                <w:bCs/>
                <w:sz w:val="21"/>
                <w:szCs w:val="21"/>
              </w:rPr>
            </w:pPr>
            <w:r>
              <w:rPr>
                <w:bCs/>
                <w:sz w:val="21"/>
                <w:szCs w:val="21"/>
              </w:rPr>
              <w:t>GB 6920-86</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Ex>
        <w:trPr>
          <w:trHeight w:val="397" w:hRule="exact"/>
          <w:jc w:val="center"/>
        </w:trPr>
        <w:tc>
          <w:tcPr>
            <w:tcW w:w="1555" w:type="dxa"/>
            <w:vMerge w:val="continue"/>
            <w:tcBorders>
              <w:top w:val="single" w:color="auto" w:sz="6" w:space="0"/>
              <w:left w:val="single" w:color="auto" w:sz="12" w:space="0"/>
              <w:bottom w:val="single" w:color="auto" w:sz="12" w:space="0"/>
              <w:right w:val="single" w:color="auto" w:sz="6" w:space="0"/>
            </w:tcBorders>
            <w:shd w:val="clear" w:color="auto" w:fill="auto"/>
            <w:vAlign w:val="center"/>
          </w:tcPr>
          <w:p>
            <w:pPr>
              <w:ind w:firstLine="420"/>
              <w:rPr>
                <w:rFonts w:ascii="Calibri" w:hAnsi="Calibri"/>
                <w:sz w:val="21"/>
              </w:rPr>
            </w:pPr>
          </w:p>
        </w:tc>
        <w:tc>
          <w:tcPr>
            <w:tcW w:w="2068" w:type="dxa"/>
            <w:tcBorders>
              <w:top w:val="single" w:color="auto" w:sz="6" w:space="0"/>
              <w:left w:val="single" w:color="auto" w:sz="6" w:space="0"/>
              <w:bottom w:val="single" w:color="auto" w:sz="6" w:space="0"/>
              <w:right w:val="single" w:color="auto" w:sz="6" w:space="0"/>
            </w:tcBorders>
            <w:shd w:val="clear" w:color="auto" w:fill="auto"/>
            <w:vAlign w:val="center"/>
          </w:tcPr>
          <w:p>
            <w:pPr>
              <w:widowControl/>
              <w:spacing w:line="240" w:lineRule="auto"/>
              <w:ind w:firstLine="0" w:firstLineChars="0"/>
              <w:jc w:val="center"/>
              <w:rPr>
                <w:bCs/>
                <w:sz w:val="21"/>
                <w:szCs w:val="21"/>
              </w:rPr>
            </w:pPr>
            <w:r>
              <w:rPr>
                <w:bCs/>
                <w:sz w:val="21"/>
                <w:szCs w:val="21"/>
              </w:rPr>
              <w:t>COD</w:t>
            </w:r>
          </w:p>
        </w:tc>
        <w:tc>
          <w:tcPr>
            <w:tcW w:w="2548" w:type="dxa"/>
            <w:tcBorders>
              <w:top w:val="single" w:color="auto" w:sz="6" w:space="0"/>
              <w:left w:val="single" w:color="auto" w:sz="6" w:space="0"/>
              <w:bottom w:val="single" w:color="auto" w:sz="6" w:space="0"/>
              <w:right w:val="single" w:color="auto" w:sz="6" w:space="0"/>
            </w:tcBorders>
            <w:shd w:val="clear" w:color="auto" w:fill="auto"/>
            <w:vAlign w:val="center"/>
          </w:tcPr>
          <w:p>
            <w:pPr>
              <w:widowControl/>
              <w:spacing w:line="240" w:lineRule="auto"/>
              <w:ind w:firstLine="0" w:firstLineChars="0"/>
              <w:jc w:val="center"/>
              <w:rPr>
                <w:bCs/>
                <w:sz w:val="21"/>
                <w:szCs w:val="21"/>
              </w:rPr>
            </w:pPr>
            <w:r>
              <w:rPr>
                <w:rFonts w:hint="eastAsia" w:cs="宋体"/>
                <w:bCs/>
                <w:sz w:val="21"/>
                <w:szCs w:val="21"/>
              </w:rPr>
              <w:t>重铬酸盐法</w:t>
            </w:r>
          </w:p>
        </w:tc>
        <w:tc>
          <w:tcPr>
            <w:tcW w:w="3400" w:type="dxa"/>
            <w:tcBorders>
              <w:top w:val="single" w:color="auto" w:sz="6" w:space="0"/>
              <w:left w:val="single" w:color="auto" w:sz="6" w:space="0"/>
              <w:bottom w:val="single" w:color="auto" w:sz="6" w:space="0"/>
              <w:right w:val="single" w:color="auto" w:sz="12" w:space="0"/>
            </w:tcBorders>
            <w:shd w:val="clear" w:color="auto" w:fill="auto"/>
            <w:vAlign w:val="center"/>
          </w:tcPr>
          <w:p>
            <w:pPr>
              <w:widowControl/>
              <w:spacing w:line="240" w:lineRule="auto"/>
              <w:ind w:firstLine="0" w:firstLineChars="0"/>
              <w:jc w:val="center"/>
              <w:rPr>
                <w:bCs/>
                <w:sz w:val="21"/>
                <w:szCs w:val="21"/>
              </w:rPr>
            </w:pPr>
            <w:r>
              <w:rPr>
                <w:bCs/>
                <w:sz w:val="21"/>
                <w:szCs w:val="21"/>
              </w:rPr>
              <w:t>GB 11914-89</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Ex>
        <w:trPr>
          <w:trHeight w:val="397" w:hRule="exact"/>
          <w:jc w:val="center"/>
        </w:trPr>
        <w:tc>
          <w:tcPr>
            <w:tcW w:w="1555" w:type="dxa"/>
            <w:vMerge w:val="continue"/>
            <w:tcBorders>
              <w:top w:val="single" w:color="auto" w:sz="6" w:space="0"/>
              <w:left w:val="single" w:color="auto" w:sz="12" w:space="0"/>
              <w:bottom w:val="single" w:color="auto" w:sz="12" w:space="0"/>
              <w:right w:val="single" w:color="auto" w:sz="6" w:space="0"/>
            </w:tcBorders>
            <w:shd w:val="clear" w:color="auto" w:fill="auto"/>
            <w:vAlign w:val="center"/>
          </w:tcPr>
          <w:p>
            <w:pPr>
              <w:ind w:firstLine="420"/>
              <w:rPr>
                <w:rFonts w:ascii="Calibri" w:hAnsi="Calibri"/>
                <w:sz w:val="21"/>
              </w:rPr>
            </w:pPr>
          </w:p>
        </w:tc>
        <w:tc>
          <w:tcPr>
            <w:tcW w:w="2068" w:type="dxa"/>
            <w:tcBorders>
              <w:top w:val="single" w:color="auto" w:sz="6" w:space="0"/>
              <w:left w:val="single" w:color="auto" w:sz="6" w:space="0"/>
              <w:bottom w:val="single" w:color="auto" w:sz="6" w:space="0"/>
              <w:right w:val="single" w:color="auto" w:sz="6" w:space="0"/>
            </w:tcBorders>
            <w:shd w:val="clear" w:color="auto" w:fill="auto"/>
            <w:vAlign w:val="center"/>
          </w:tcPr>
          <w:p>
            <w:pPr>
              <w:widowControl/>
              <w:spacing w:line="240" w:lineRule="auto"/>
              <w:ind w:firstLine="0" w:firstLineChars="0"/>
              <w:jc w:val="center"/>
              <w:rPr>
                <w:bCs/>
                <w:sz w:val="21"/>
                <w:szCs w:val="21"/>
              </w:rPr>
            </w:pPr>
            <w:r>
              <w:rPr>
                <w:bCs/>
                <w:sz w:val="21"/>
                <w:szCs w:val="21"/>
              </w:rPr>
              <w:t>NH</w:t>
            </w:r>
            <w:r>
              <w:rPr>
                <w:bCs/>
                <w:sz w:val="21"/>
                <w:szCs w:val="21"/>
                <w:vertAlign w:val="subscript"/>
              </w:rPr>
              <w:t>3</w:t>
            </w:r>
            <w:r>
              <w:rPr>
                <w:bCs/>
                <w:sz w:val="21"/>
                <w:szCs w:val="21"/>
              </w:rPr>
              <w:t>-N</w:t>
            </w:r>
          </w:p>
        </w:tc>
        <w:tc>
          <w:tcPr>
            <w:tcW w:w="2548" w:type="dxa"/>
            <w:tcBorders>
              <w:top w:val="single" w:color="auto" w:sz="6" w:space="0"/>
              <w:left w:val="single" w:color="auto" w:sz="6" w:space="0"/>
              <w:bottom w:val="single" w:color="auto" w:sz="6" w:space="0"/>
              <w:right w:val="single" w:color="auto" w:sz="6" w:space="0"/>
            </w:tcBorders>
            <w:shd w:val="clear" w:color="auto" w:fill="auto"/>
            <w:vAlign w:val="center"/>
          </w:tcPr>
          <w:p>
            <w:pPr>
              <w:widowControl/>
              <w:spacing w:line="240" w:lineRule="auto"/>
              <w:ind w:firstLine="0" w:firstLineChars="0"/>
              <w:jc w:val="center"/>
              <w:rPr>
                <w:bCs/>
                <w:sz w:val="21"/>
                <w:szCs w:val="21"/>
              </w:rPr>
            </w:pPr>
            <w:r>
              <w:rPr>
                <w:rFonts w:hint="eastAsia" w:cs="宋体"/>
                <w:bCs/>
                <w:sz w:val="21"/>
                <w:szCs w:val="21"/>
              </w:rPr>
              <w:t>纳氏试剂比色法</w:t>
            </w:r>
          </w:p>
        </w:tc>
        <w:tc>
          <w:tcPr>
            <w:tcW w:w="3400" w:type="dxa"/>
            <w:tcBorders>
              <w:top w:val="single" w:color="auto" w:sz="6" w:space="0"/>
              <w:left w:val="single" w:color="auto" w:sz="6" w:space="0"/>
              <w:bottom w:val="single" w:color="auto" w:sz="6" w:space="0"/>
              <w:right w:val="single" w:color="auto" w:sz="12" w:space="0"/>
            </w:tcBorders>
            <w:shd w:val="clear" w:color="auto" w:fill="auto"/>
            <w:vAlign w:val="center"/>
          </w:tcPr>
          <w:p>
            <w:pPr>
              <w:widowControl/>
              <w:spacing w:line="240" w:lineRule="auto"/>
              <w:ind w:firstLine="0" w:firstLineChars="0"/>
              <w:jc w:val="center"/>
              <w:rPr>
                <w:bCs/>
                <w:sz w:val="21"/>
                <w:szCs w:val="21"/>
              </w:rPr>
            </w:pPr>
            <w:r>
              <w:rPr>
                <w:bCs/>
                <w:sz w:val="21"/>
                <w:szCs w:val="21"/>
              </w:rPr>
              <w:t>HJ 535-2009</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Ex>
        <w:trPr>
          <w:trHeight w:val="397" w:hRule="exact"/>
          <w:jc w:val="center"/>
        </w:trPr>
        <w:tc>
          <w:tcPr>
            <w:tcW w:w="1555" w:type="dxa"/>
            <w:vMerge w:val="continue"/>
            <w:tcBorders>
              <w:top w:val="single" w:color="auto" w:sz="6" w:space="0"/>
              <w:left w:val="single" w:color="auto" w:sz="12" w:space="0"/>
              <w:bottom w:val="single" w:color="auto" w:sz="12" w:space="0"/>
              <w:right w:val="single" w:color="auto" w:sz="6" w:space="0"/>
            </w:tcBorders>
            <w:shd w:val="clear" w:color="auto" w:fill="auto"/>
            <w:vAlign w:val="center"/>
          </w:tcPr>
          <w:p>
            <w:pPr>
              <w:ind w:firstLine="420"/>
              <w:rPr>
                <w:rFonts w:ascii="Calibri" w:hAnsi="Calibri"/>
                <w:sz w:val="21"/>
              </w:rPr>
            </w:pPr>
          </w:p>
        </w:tc>
        <w:tc>
          <w:tcPr>
            <w:tcW w:w="2068" w:type="dxa"/>
            <w:tcBorders>
              <w:top w:val="single" w:color="auto" w:sz="6" w:space="0"/>
              <w:left w:val="single" w:color="auto" w:sz="6" w:space="0"/>
              <w:bottom w:val="single" w:color="auto" w:sz="6" w:space="0"/>
              <w:right w:val="single" w:color="auto" w:sz="6" w:space="0"/>
            </w:tcBorders>
            <w:shd w:val="clear" w:color="auto" w:fill="auto"/>
            <w:vAlign w:val="center"/>
          </w:tcPr>
          <w:p>
            <w:pPr>
              <w:widowControl/>
              <w:spacing w:line="240" w:lineRule="auto"/>
              <w:ind w:firstLine="0" w:firstLineChars="0"/>
              <w:jc w:val="center"/>
              <w:rPr>
                <w:bCs/>
                <w:sz w:val="21"/>
                <w:szCs w:val="21"/>
              </w:rPr>
            </w:pPr>
            <w:r>
              <w:rPr>
                <w:rFonts w:hint="eastAsia" w:cs="宋体"/>
                <w:bCs/>
                <w:sz w:val="21"/>
                <w:szCs w:val="21"/>
              </w:rPr>
              <w:t>石油类</w:t>
            </w:r>
          </w:p>
        </w:tc>
        <w:tc>
          <w:tcPr>
            <w:tcW w:w="2548" w:type="dxa"/>
            <w:tcBorders>
              <w:top w:val="single" w:color="auto" w:sz="6" w:space="0"/>
              <w:left w:val="single" w:color="auto" w:sz="6" w:space="0"/>
              <w:bottom w:val="single" w:color="auto" w:sz="6" w:space="0"/>
              <w:right w:val="single" w:color="auto" w:sz="6" w:space="0"/>
            </w:tcBorders>
            <w:shd w:val="clear" w:color="auto" w:fill="auto"/>
            <w:vAlign w:val="center"/>
          </w:tcPr>
          <w:p>
            <w:pPr>
              <w:widowControl/>
              <w:spacing w:line="240" w:lineRule="auto"/>
              <w:ind w:firstLine="0" w:firstLineChars="0"/>
              <w:jc w:val="center"/>
              <w:rPr>
                <w:bCs/>
                <w:sz w:val="21"/>
                <w:szCs w:val="21"/>
              </w:rPr>
            </w:pPr>
            <w:r>
              <w:rPr>
                <w:rFonts w:hint="eastAsia" w:cs="宋体"/>
                <w:bCs/>
                <w:sz w:val="21"/>
                <w:szCs w:val="21"/>
              </w:rPr>
              <w:t>红外分光光度法</w:t>
            </w:r>
          </w:p>
        </w:tc>
        <w:tc>
          <w:tcPr>
            <w:tcW w:w="3400" w:type="dxa"/>
            <w:tcBorders>
              <w:top w:val="single" w:color="auto" w:sz="6" w:space="0"/>
              <w:left w:val="single" w:color="auto" w:sz="6" w:space="0"/>
              <w:bottom w:val="single" w:color="auto" w:sz="6" w:space="0"/>
              <w:right w:val="single" w:color="auto" w:sz="12" w:space="0"/>
            </w:tcBorders>
            <w:shd w:val="clear" w:color="auto" w:fill="auto"/>
            <w:vAlign w:val="center"/>
          </w:tcPr>
          <w:p>
            <w:pPr>
              <w:widowControl/>
              <w:spacing w:line="240" w:lineRule="auto"/>
              <w:ind w:firstLine="0" w:firstLineChars="0"/>
              <w:jc w:val="center"/>
              <w:rPr>
                <w:bCs/>
                <w:sz w:val="21"/>
                <w:szCs w:val="21"/>
              </w:rPr>
            </w:pPr>
            <w:r>
              <w:rPr>
                <w:bCs/>
                <w:sz w:val="21"/>
                <w:szCs w:val="21"/>
              </w:rPr>
              <w:t>HJ 637-2012</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Ex>
        <w:trPr>
          <w:trHeight w:val="397" w:hRule="exact"/>
          <w:jc w:val="center"/>
        </w:trPr>
        <w:tc>
          <w:tcPr>
            <w:tcW w:w="1555" w:type="dxa"/>
            <w:vMerge w:val="continue"/>
            <w:tcBorders>
              <w:top w:val="single" w:color="auto" w:sz="6" w:space="0"/>
              <w:left w:val="single" w:color="auto" w:sz="12" w:space="0"/>
              <w:bottom w:val="single" w:color="auto" w:sz="12" w:space="0"/>
              <w:right w:val="single" w:color="auto" w:sz="6" w:space="0"/>
            </w:tcBorders>
            <w:shd w:val="clear" w:color="auto" w:fill="auto"/>
            <w:vAlign w:val="center"/>
          </w:tcPr>
          <w:p>
            <w:pPr>
              <w:ind w:firstLine="420"/>
              <w:rPr>
                <w:rFonts w:ascii="Calibri" w:hAnsi="Calibri"/>
                <w:sz w:val="21"/>
              </w:rPr>
            </w:pPr>
          </w:p>
        </w:tc>
        <w:tc>
          <w:tcPr>
            <w:tcW w:w="2068" w:type="dxa"/>
            <w:tcBorders>
              <w:top w:val="single" w:color="auto" w:sz="6" w:space="0"/>
              <w:left w:val="single" w:color="auto" w:sz="6" w:space="0"/>
              <w:bottom w:val="single" w:color="auto" w:sz="6" w:space="0"/>
              <w:right w:val="single" w:color="auto" w:sz="6" w:space="0"/>
            </w:tcBorders>
            <w:shd w:val="clear" w:color="auto" w:fill="auto"/>
            <w:vAlign w:val="center"/>
          </w:tcPr>
          <w:p>
            <w:pPr>
              <w:widowControl/>
              <w:spacing w:line="240" w:lineRule="auto"/>
              <w:ind w:firstLine="0" w:firstLineChars="0"/>
              <w:jc w:val="center"/>
              <w:rPr>
                <w:bCs/>
                <w:sz w:val="21"/>
                <w:szCs w:val="21"/>
              </w:rPr>
            </w:pPr>
            <w:r>
              <w:rPr>
                <w:rFonts w:hint="eastAsia" w:cs="宋体"/>
                <w:spacing w:val="-4"/>
                <w:sz w:val="21"/>
                <w:szCs w:val="21"/>
              </w:rPr>
              <w:t>总磷</w:t>
            </w:r>
          </w:p>
        </w:tc>
        <w:tc>
          <w:tcPr>
            <w:tcW w:w="2548" w:type="dxa"/>
            <w:tcBorders>
              <w:top w:val="single" w:color="auto" w:sz="6" w:space="0"/>
              <w:left w:val="single" w:color="auto" w:sz="6" w:space="0"/>
              <w:bottom w:val="single" w:color="auto" w:sz="6" w:space="0"/>
              <w:right w:val="single" w:color="auto" w:sz="6" w:space="0"/>
            </w:tcBorders>
            <w:shd w:val="clear" w:color="auto" w:fill="auto"/>
            <w:vAlign w:val="center"/>
          </w:tcPr>
          <w:p>
            <w:pPr>
              <w:widowControl/>
              <w:spacing w:line="240" w:lineRule="auto"/>
              <w:ind w:firstLine="0" w:firstLineChars="0"/>
              <w:jc w:val="center"/>
              <w:rPr>
                <w:bCs/>
                <w:sz w:val="21"/>
                <w:szCs w:val="21"/>
              </w:rPr>
            </w:pPr>
            <w:r>
              <w:rPr>
                <w:rFonts w:hint="eastAsia" w:cs="宋体"/>
                <w:bCs/>
                <w:sz w:val="21"/>
                <w:szCs w:val="21"/>
              </w:rPr>
              <w:t>钼酸铵分光光度法</w:t>
            </w:r>
          </w:p>
        </w:tc>
        <w:tc>
          <w:tcPr>
            <w:tcW w:w="3400" w:type="dxa"/>
            <w:tcBorders>
              <w:top w:val="single" w:color="auto" w:sz="6" w:space="0"/>
              <w:left w:val="single" w:color="auto" w:sz="6" w:space="0"/>
              <w:bottom w:val="single" w:color="auto" w:sz="6" w:space="0"/>
              <w:right w:val="single" w:color="auto" w:sz="12" w:space="0"/>
            </w:tcBorders>
            <w:shd w:val="clear" w:color="auto" w:fill="auto"/>
            <w:vAlign w:val="center"/>
          </w:tcPr>
          <w:p>
            <w:pPr>
              <w:widowControl/>
              <w:spacing w:line="240" w:lineRule="auto"/>
              <w:ind w:firstLine="0" w:firstLineChars="0"/>
              <w:jc w:val="center"/>
              <w:rPr>
                <w:bCs/>
                <w:sz w:val="21"/>
                <w:szCs w:val="21"/>
              </w:rPr>
            </w:pPr>
            <w:r>
              <w:rPr>
                <w:bCs/>
                <w:sz w:val="21"/>
                <w:szCs w:val="21"/>
              </w:rPr>
              <w:t xml:space="preserve">GB 11893-89 </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Ex>
        <w:trPr>
          <w:trHeight w:val="397" w:hRule="exact"/>
          <w:jc w:val="center"/>
        </w:trPr>
        <w:tc>
          <w:tcPr>
            <w:tcW w:w="1555" w:type="dxa"/>
            <w:vMerge w:val="continue"/>
            <w:tcBorders>
              <w:top w:val="single" w:color="auto" w:sz="6" w:space="0"/>
              <w:left w:val="single" w:color="auto" w:sz="12" w:space="0"/>
              <w:bottom w:val="single" w:color="auto" w:sz="12" w:space="0"/>
              <w:right w:val="single" w:color="auto" w:sz="6" w:space="0"/>
            </w:tcBorders>
            <w:shd w:val="clear" w:color="auto" w:fill="auto"/>
            <w:vAlign w:val="center"/>
          </w:tcPr>
          <w:p>
            <w:pPr>
              <w:ind w:firstLine="420"/>
              <w:rPr>
                <w:rFonts w:ascii="Calibri" w:hAnsi="Calibri"/>
                <w:sz w:val="21"/>
              </w:rPr>
            </w:pPr>
          </w:p>
        </w:tc>
        <w:tc>
          <w:tcPr>
            <w:tcW w:w="2068" w:type="dxa"/>
            <w:tcBorders>
              <w:top w:val="single" w:color="auto" w:sz="6" w:space="0"/>
              <w:left w:val="single" w:color="auto" w:sz="6" w:space="0"/>
              <w:bottom w:val="single" w:color="auto" w:sz="6" w:space="0"/>
              <w:right w:val="single" w:color="auto" w:sz="6" w:space="0"/>
            </w:tcBorders>
            <w:shd w:val="clear" w:color="auto" w:fill="auto"/>
            <w:vAlign w:val="center"/>
          </w:tcPr>
          <w:p>
            <w:pPr>
              <w:widowControl/>
              <w:spacing w:line="240" w:lineRule="auto"/>
              <w:ind w:firstLine="0" w:firstLineChars="0"/>
              <w:jc w:val="center"/>
              <w:rPr>
                <w:bCs/>
                <w:sz w:val="21"/>
                <w:szCs w:val="21"/>
              </w:rPr>
            </w:pPr>
            <w:r>
              <w:rPr>
                <w:rFonts w:hint="eastAsia" w:cs="宋体"/>
                <w:spacing w:val="-4"/>
                <w:sz w:val="21"/>
                <w:szCs w:val="21"/>
              </w:rPr>
              <w:t>总氮</w:t>
            </w:r>
          </w:p>
        </w:tc>
        <w:tc>
          <w:tcPr>
            <w:tcW w:w="2548" w:type="dxa"/>
            <w:tcBorders>
              <w:top w:val="single" w:color="auto" w:sz="6" w:space="0"/>
              <w:left w:val="single" w:color="auto" w:sz="6" w:space="0"/>
              <w:bottom w:val="single" w:color="auto" w:sz="6" w:space="0"/>
              <w:right w:val="single" w:color="auto" w:sz="6" w:space="0"/>
            </w:tcBorders>
            <w:shd w:val="clear" w:color="auto" w:fill="auto"/>
            <w:vAlign w:val="center"/>
          </w:tcPr>
          <w:p>
            <w:pPr>
              <w:widowControl/>
              <w:spacing w:line="240" w:lineRule="auto"/>
              <w:ind w:firstLine="0" w:firstLineChars="0"/>
              <w:jc w:val="center"/>
              <w:rPr>
                <w:bCs/>
                <w:sz w:val="21"/>
                <w:szCs w:val="21"/>
              </w:rPr>
            </w:pPr>
            <w:r>
              <w:rPr>
                <w:rFonts w:hint="eastAsia" w:cs="宋体"/>
                <w:bCs/>
                <w:sz w:val="21"/>
                <w:szCs w:val="21"/>
              </w:rPr>
              <w:t>气相分子吸收光谱法</w:t>
            </w:r>
          </w:p>
        </w:tc>
        <w:tc>
          <w:tcPr>
            <w:tcW w:w="3400" w:type="dxa"/>
            <w:tcBorders>
              <w:top w:val="single" w:color="auto" w:sz="6" w:space="0"/>
              <w:left w:val="single" w:color="auto" w:sz="6" w:space="0"/>
              <w:bottom w:val="single" w:color="auto" w:sz="6" w:space="0"/>
              <w:right w:val="single" w:color="auto" w:sz="12" w:space="0"/>
            </w:tcBorders>
            <w:shd w:val="clear" w:color="auto" w:fill="auto"/>
            <w:vAlign w:val="center"/>
          </w:tcPr>
          <w:p>
            <w:pPr>
              <w:widowControl/>
              <w:spacing w:line="240" w:lineRule="auto"/>
              <w:ind w:firstLine="0" w:firstLineChars="0"/>
              <w:jc w:val="center"/>
              <w:rPr>
                <w:bCs/>
                <w:sz w:val="21"/>
                <w:szCs w:val="21"/>
              </w:rPr>
            </w:pPr>
            <w:r>
              <w:rPr>
                <w:bCs/>
                <w:sz w:val="21"/>
                <w:szCs w:val="21"/>
              </w:rPr>
              <w:t>HJ/T 199-2005</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Ex>
        <w:trPr>
          <w:trHeight w:val="637" w:hRule="exact"/>
          <w:jc w:val="center"/>
        </w:trPr>
        <w:tc>
          <w:tcPr>
            <w:tcW w:w="1555" w:type="dxa"/>
            <w:vMerge w:val="continue"/>
            <w:tcBorders>
              <w:top w:val="single" w:color="auto" w:sz="6" w:space="0"/>
              <w:left w:val="single" w:color="auto" w:sz="12" w:space="0"/>
              <w:bottom w:val="single" w:color="auto" w:sz="12" w:space="0"/>
              <w:right w:val="single" w:color="auto" w:sz="6" w:space="0"/>
            </w:tcBorders>
            <w:shd w:val="clear" w:color="auto" w:fill="auto"/>
            <w:vAlign w:val="center"/>
          </w:tcPr>
          <w:p>
            <w:pPr>
              <w:ind w:firstLine="420"/>
              <w:rPr>
                <w:rFonts w:ascii="Calibri" w:hAnsi="Calibri"/>
                <w:sz w:val="21"/>
              </w:rPr>
            </w:pPr>
          </w:p>
        </w:tc>
        <w:tc>
          <w:tcPr>
            <w:tcW w:w="2068" w:type="dxa"/>
            <w:tcBorders>
              <w:top w:val="single" w:color="auto" w:sz="6" w:space="0"/>
              <w:left w:val="single" w:color="auto" w:sz="6" w:space="0"/>
              <w:bottom w:val="single" w:color="auto" w:sz="12" w:space="0"/>
              <w:right w:val="single" w:color="auto" w:sz="6" w:space="0"/>
            </w:tcBorders>
            <w:shd w:val="clear" w:color="auto" w:fill="auto"/>
            <w:vAlign w:val="center"/>
          </w:tcPr>
          <w:p>
            <w:pPr>
              <w:widowControl/>
              <w:spacing w:line="240" w:lineRule="auto"/>
              <w:ind w:firstLine="0" w:firstLineChars="0"/>
              <w:jc w:val="center"/>
              <w:rPr>
                <w:bCs/>
                <w:sz w:val="21"/>
                <w:szCs w:val="21"/>
              </w:rPr>
            </w:pPr>
            <w:r>
              <w:rPr>
                <w:rFonts w:hint="eastAsia" w:cs="宋体"/>
                <w:spacing w:val="-4"/>
                <w:sz w:val="21"/>
                <w:szCs w:val="21"/>
              </w:rPr>
              <w:t>粪大肠菌群数</w:t>
            </w:r>
          </w:p>
        </w:tc>
        <w:tc>
          <w:tcPr>
            <w:tcW w:w="2548" w:type="dxa"/>
            <w:tcBorders>
              <w:top w:val="single" w:color="auto" w:sz="6" w:space="0"/>
              <w:left w:val="single" w:color="auto" w:sz="6" w:space="0"/>
              <w:bottom w:val="single" w:color="auto" w:sz="12" w:space="0"/>
              <w:right w:val="single" w:color="auto" w:sz="6" w:space="0"/>
            </w:tcBorders>
            <w:shd w:val="clear" w:color="auto" w:fill="auto"/>
            <w:vAlign w:val="center"/>
          </w:tcPr>
          <w:p>
            <w:pPr>
              <w:widowControl/>
              <w:spacing w:line="240" w:lineRule="auto"/>
              <w:ind w:firstLine="0" w:firstLineChars="0"/>
              <w:jc w:val="center"/>
              <w:rPr>
                <w:bCs/>
                <w:sz w:val="21"/>
                <w:szCs w:val="21"/>
              </w:rPr>
            </w:pPr>
            <w:r>
              <w:rPr>
                <w:rFonts w:hint="eastAsia" w:cs="宋体"/>
                <w:bCs/>
                <w:sz w:val="21"/>
                <w:szCs w:val="21"/>
              </w:rPr>
              <w:t>多管发酵法</w:t>
            </w:r>
          </w:p>
        </w:tc>
        <w:tc>
          <w:tcPr>
            <w:tcW w:w="3400" w:type="dxa"/>
            <w:tcBorders>
              <w:top w:val="single" w:color="auto" w:sz="6" w:space="0"/>
              <w:left w:val="single" w:color="auto" w:sz="6" w:space="0"/>
              <w:bottom w:val="single" w:color="auto" w:sz="12" w:space="0"/>
              <w:right w:val="single" w:color="auto" w:sz="12" w:space="0"/>
            </w:tcBorders>
            <w:shd w:val="clear" w:color="auto" w:fill="auto"/>
            <w:vAlign w:val="center"/>
          </w:tcPr>
          <w:p>
            <w:pPr>
              <w:widowControl/>
              <w:spacing w:line="240" w:lineRule="auto"/>
              <w:ind w:firstLine="0" w:firstLineChars="0"/>
              <w:jc w:val="center"/>
              <w:rPr>
                <w:bCs/>
                <w:sz w:val="21"/>
                <w:szCs w:val="21"/>
              </w:rPr>
            </w:pPr>
            <w:r>
              <w:rPr>
                <w:rFonts w:hint="eastAsia" w:cs="宋体"/>
                <w:bCs/>
                <w:sz w:val="21"/>
                <w:szCs w:val="21"/>
              </w:rPr>
              <w:t>《水和废水监测分析方法》（第四版增补版）第五篇</w:t>
            </w:r>
            <w:r>
              <w:rPr>
                <w:bCs/>
                <w:sz w:val="21"/>
                <w:szCs w:val="21"/>
              </w:rPr>
              <w:t xml:space="preserve"> </w:t>
            </w:r>
            <w:r>
              <w:rPr>
                <w:rFonts w:hint="eastAsia" w:cs="宋体"/>
                <w:bCs/>
                <w:sz w:val="21"/>
                <w:szCs w:val="21"/>
              </w:rPr>
              <w:t>第二章</w:t>
            </w:r>
          </w:p>
        </w:tc>
      </w:tr>
    </w:tbl>
    <w:p>
      <w:pPr>
        <w:snapToGrid w:val="0"/>
        <w:ind w:firstLine="200"/>
        <w:rPr>
          <w:sz w:val="10"/>
          <w:szCs w:val="10"/>
        </w:rPr>
      </w:pPr>
    </w:p>
    <w:p>
      <w:r>
        <w:rPr>
          <w:rFonts w:hint="eastAsia" w:cs="宋体"/>
          <w:szCs w:val="24"/>
        </w:rPr>
        <w:t>（</w:t>
      </w:r>
      <w:r>
        <w:rPr>
          <w:szCs w:val="24"/>
        </w:rPr>
        <w:t>6</w:t>
      </w:r>
      <w:r>
        <w:rPr>
          <w:rFonts w:hint="eastAsia" w:cs="宋体"/>
          <w:szCs w:val="24"/>
        </w:rPr>
        <w:t>）监测结果与数据报告。应按照有关监测技术规范进行数据处理。监测结果可用定性、半定量或定量方式报出。监测结果可采用电话、传真、快报、简报、监测报告等形式第一时间报告现场应急指挥部。</w:t>
      </w:r>
    </w:p>
    <w:p>
      <w:r>
        <w:rPr>
          <w:rFonts w:hint="eastAsia" w:cs="宋体"/>
          <w:szCs w:val="24"/>
        </w:rPr>
        <w:t>（</w:t>
      </w:r>
      <w:r>
        <w:rPr>
          <w:szCs w:val="24"/>
        </w:rPr>
        <w:t>7</w:t>
      </w:r>
      <w:r>
        <w:rPr>
          <w:rFonts w:hint="eastAsia" w:cs="宋体"/>
          <w:szCs w:val="24"/>
        </w:rPr>
        <w:t>）监测数据的质量保证。应急监测过程中的样品采集、现场监测、实验室监测、数据统计等环节，都应有质量控制措施，并对应急监测报告实行三级审核。</w:t>
      </w:r>
    </w:p>
    <w:p>
      <w:r>
        <w:rPr>
          <w:rFonts w:hint="eastAsia" w:cs="宋体"/>
          <w:szCs w:val="24"/>
        </w:rPr>
        <w:t>（</w:t>
      </w:r>
      <w:r>
        <w:rPr>
          <w:szCs w:val="24"/>
        </w:rPr>
        <w:t>8</w:t>
      </w:r>
      <w:r>
        <w:rPr>
          <w:rFonts w:hint="eastAsia" w:cs="宋体"/>
          <w:szCs w:val="24"/>
        </w:rPr>
        <w:t>）监测人员的安全防护措施；</w:t>
      </w:r>
    </w:p>
    <w:p>
      <w:r>
        <w:rPr>
          <w:rFonts w:hint="eastAsia" w:cs="宋体"/>
          <w:szCs w:val="24"/>
        </w:rPr>
        <w:t>应急监测，至少二人同行；进入事故现场进行采样监测，需经现场指挥</w:t>
      </w:r>
      <w:r>
        <w:rPr>
          <w:szCs w:val="24"/>
        </w:rPr>
        <w:t>/</w:t>
      </w:r>
      <w:r>
        <w:rPr>
          <w:rFonts w:hint="eastAsia" w:cs="宋体"/>
          <w:szCs w:val="24"/>
        </w:rPr>
        <w:t>警戒人员许可，在确认安全的情况下，按规定佩戴必须的防护设备（包括防护服、防护手套、安全帽等）。</w:t>
      </w:r>
    </w:p>
    <w:p>
      <w:r>
        <w:rPr>
          <w:rFonts w:hint="eastAsia" w:cs="宋体"/>
          <w:szCs w:val="24"/>
        </w:rPr>
        <w:t>以上监测方案仅供参考，污染事故发生后，具体监测方案应与岳阳市环境监测站协商，并根据不同形式的环境事故，确定监测对象、监测点位、监测方法、监测频次、质控要求等。</w:t>
      </w:r>
    </w:p>
    <w:p>
      <w:pPr>
        <w:rPr>
          <w:highlight w:val="yellow"/>
        </w:rPr>
      </w:pPr>
      <w:r>
        <w:rPr>
          <w:rFonts w:hint="eastAsia" w:cs="宋体"/>
          <w:szCs w:val="24"/>
        </w:rPr>
        <w:t>应急监测组配合岳阳市环境监测站进行环境污染情况的调查、取证及环境跟踪监测工作，并提供防护材料。</w:t>
      </w:r>
    </w:p>
    <w:p>
      <w:pPr>
        <w:pStyle w:val="3"/>
        <w:widowControl/>
        <w:rPr>
          <w:color w:val="000000" w:themeColor="text1"/>
          <w:szCs w:val="28"/>
        </w:rPr>
      </w:pPr>
      <w:bookmarkStart w:id="115" w:name="_Toc535851313"/>
      <w:r>
        <w:rPr>
          <w:rFonts w:hint="eastAsia"/>
          <w:color w:val="000000" w:themeColor="text1"/>
          <w:szCs w:val="28"/>
        </w:rPr>
        <w:t>3.5污染源排查与处置</w:t>
      </w:r>
      <w:bookmarkEnd w:id="115"/>
    </w:p>
    <w:p>
      <w:pPr>
        <w:pStyle w:val="5"/>
      </w:pPr>
      <w:r>
        <w:rPr>
          <w:rFonts w:hint="eastAsia"/>
        </w:rPr>
        <w:t>3.5.1明确排查对象</w:t>
      </w:r>
    </w:p>
    <w:p>
      <w:r>
        <w:rPr>
          <w:rFonts w:hint="eastAsia"/>
        </w:rPr>
        <w:t>当水质监测发现异常、污染物来源不确定时，应根据特征污染物种类、浓度变化、释放总量、释放路径、释放时间，以及当时的水文和气象条件，迅速组织开展污染源排查。</w:t>
      </w:r>
    </w:p>
    <w:p>
      <w:r>
        <w:rPr>
          <w:rFonts w:hint="eastAsia"/>
        </w:rPr>
        <w:t>针对不同类型污染物的排查重点和对象如下。</w:t>
      </w:r>
    </w:p>
    <w:p>
      <w:r>
        <w:rPr>
          <w:rFonts w:hint="eastAsia"/>
        </w:rPr>
        <w:t>（1）有机类污染：重点排查城镇生活污水处理厂、工业企业，调查污水处理设施运行、尾水排放的异常情况。</w:t>
      </w:r>
    </w:p>
    <w:p>
      <w:r>
        <w:rPr>
          <w:rFonts w:hint="eastAsia"/>
        </w:rPr>
        <w:t>（2）营养盐类污染：重点排查城镇生活污水处理厂、工业企业、畜禽养殖场（户）、农田种植户、农村居民点、医疗场所等，调查污水处理设施运行、养殖废物处理处置、农药化肥施用、农村生活污染、医疗废水处理及消毒设施的异常情况。</w:t>
      </w:r>
    </w:p>
    <w:p>
      <w:r>
        <w:rPr>
          <w:rFonts w:hint="eastAsia"/>
        </w:rPr>
        <w:t>（3）细菌类污染：重点排查城镇生活污水处理厂、畜禽养殖场（户）、农村居民点，调查污水处理设施运行、养殖废物处理处置、医疗场所、农村生活污染的异常情况。</w:t>
      </w:r>
    </w:p>
    <w:p>
      <w:r>
        <w:rPr>
          <w:rFonts w:hint="eastAsia"/>
        </w:rPr>
        <w:t>（4）农药类污染：重点排查果园种植园（户）、农田种植户、农灌退水排放口，调查农药施用和流失的异常情况。</w:t>
      </w:r>
    </w:p>
    <w:p>
      <w:r>
        <w:rPr>
          <w:rFonts w:hint="eastAsia"/>
        </w:rPr>
        <w:t>（5）石油类污染：重点排查加油站、运输车辆、加工和存贮的工业企业，调查上述企业和单位的异常情况。</w:t>
      </w:r>
    </w:p>
    <w:p>
      <w:r>
        <w:rPr>
          <w:rFonts w:hint="eastAsia"/>
        </w:rPr>
        <w:t>（6）重金属及其他有毒有害物质污染：危险废物储存单位、危化品运输车辆等，调查上述企业和单位的异常情况。</w:t>
      </w:r>
    </w:p>
    <w:p>
      <w:pPr>
        <w:pStyle w:val="5"/>
      </w:pPr>
      <w:r>
        <w:rPr>
          <w:rFonts w:hint="eastAsia"/>
        </w:rPr>
        <w:t>3.5.2切断污染源</w:t>
      </w:r>
    </w:p>
    <w:p>
      <w:pPr>
        <w:pStyle w:val="11"/>
        <w:widowControl/>
        <w:ind w:firstLine="480"/>
      </w:pPr>
      <w:r>
        <w:rPr>
          <w:rFonts w:hint="eastAsia" w:cs="宋体"/>
        </w:rPr>
        <w:t>对本应急预案适用地域范围内的污染源，在现场环境应急指挥部成立前，负责开展现场调查分析的部门应迅速地实施先期处置，果断控制或切断污染源，全力控制事件态势，严防二次污染和次生、衍生事件发生；对水源地应急预案适用地域范围外的污染源，按有关突发环境事件应急预案要求进行处置。</w:t>
      </w:r>
    </w:p>
    <w:p>
      <w:r>
        <w:rPr>
          <w:rFonts w:hint="eastAsia" w:cs="宋体"/>
          <w:szCs w:val="24"/>
        </w:rPr>
        <w:t>处置措施主要采取切断污染源、收集和围堵污染物等，包括但不限于以下内容。</w:t>
      </w:r>
    </w:p>
    <w:p>
      <w:r>
        <w:rPr>
          <w:rFonts w:hint="eastAsia"/>
        </w:rPr>
        <w:t>（1）对发生非正常排放或有毒有害物质泄漏的固定源突发环境事件，应尽快采取关闭、封堵、收集、转移等措施，切断污染源或泄漏源。</w:t>
      </w:r>
    </w:p>
    <w:p>
      <w:r>
        <w:rPr>
          <w:rFonts w:hint="eastAsia"/>
        </w:rPr>
        <w:t>（2）对道路交通运输过程中发生的流动源突发事件，可启动路面系统的导流槽、应急池或紧急设置围堰、闸坝等，对污染源进行围堵并收集污染物。</w:t>
      </w:r>
    </w:p>
    <w:p>
      <w:r>
        <w:rPr>
          <w:rFonts w:hint="eastAsia"/>
        </w:rPr>
        <w:t>（3）启动应急收集系统集中收集陆域污染物，设立拦截设施，防止污染物在陆域漫延，组织有关部门对污染物进行回收处置。</w:t>
      </w:r>
    </w:p>
    <w:p>
      <w:r>
        <w:rPr>
          <w:rFonts w:hint="eastAsia"/>
        </w:rPr>
        <w:t>（4）根据现场事态发展对扩散至水体的污染物进行处置。</w:t>
      </w:r>
    </w:p>
    <w:p>
      <w:pPr>
        <w:pStyle w:val="3"/>
        <w:widowControl/>
        <w:rPr>
          <w:color w:val="000000" w:themeColor="text1"/>
          <w:szCs w:val="28"/>
        </w:rPr>
      </w:pPr>
      <w:bookmarkStart w:id="116" w:name="_Toc535851314"/>
      <w:r>
        <w:rPr>
          <w:rFonts w:hint="eastAsia"/>
          <w:color w:val="000000" w:themeColor="text1"/>
          <w:szCs w:val="28"/>
        </w:rPr>
        <w:t>3.6应急处置</w:t>
      </w:r>
      <w:bookmarkEnd w:id="116"/>
    </w:p>
    <w:p>
      <w:pPr>
        <w:pStyle w:val="5"/>
      </w:pPr>
      <w:r>
        <w:rPr>
          <w:rFonts w:hint="eastAsia"/>
        </w:rPr>
        <w:t>3.6</w:t>
      </w:r>
      <w:r>
        <w:t xml:space="preserve">.1 </w:t>
      </w:r>
      <w:r>
        <w:rPr>
          <w:rFonts w:hint="eastAsia"/>
        </w:rPr>
        <w:t>制定现场处置方案</w:t>
      </w:r>
    </w:p>
    <w:p>
      <w:r>
        <w:rPr>
          <w:rFonts w:hint="eastAsia" w:cs="宋体"/>
          <w:szCs w:val="24"/>
        </w:rPr>
        <w:t>根据不同事件情景，确定现场处置方案的制定程序、基本内容、责任单位和时限等具体要求。现场应急指挥部指挥专项工作组进行现场处置。本预案主要针对水源地流动源和非点源突发环境事件进行应急处置。</w:t>
      </w:r>
    </w:p>
    <w:p>
      <w:r>
        <w:rPr>
          <w:rFonts w:hint="eastAsia" w:cs="宋体"/>
          <w:szCs w:val="24"/>
        </w:rPr>
        <w:t>现场处置包括以下内容：应急监测、污染处置措施、物资调集、应急队伍和人员安排、供水单位应对等。</w:t>
      </w:r>
    </w:p>
    <w:p>
      <w:r>
        <w:rPr>
          <w:rFonts w:hint="eastAsia" w:cs="宋体"/>
          <w:szCs w:val="24"/>
        </w:rPr>
        <w:t>根据污染特征，水源地突发环境事件的污染处置措施如下。</w:t>
      </w:r>
    </w:p>
    <w:p>
      <w:r>
        <w:rPr>
          <w:rFonts w:hint="eastAsia" w:cs="宋体"/>
          <w:szCs w:val="24"/>
        </w:rPr>
        <w:t>（</w:t>
      </w:r>
      <w:r>
        <w:rPr>
          <w:szCs w:val="24"/>
        </w:rPr>
        <w:t>1</w:t>
      </w:r>
      <w:r>
        <w:rPr>
          <w:rFonts w:hint="eastAsia" w:cs="宋体"/>
          <w:szCs w:val="24"/>
        </w:rPr>
        <w:t>）水华灾害突发事件。对一级、二级水源保护区的水华发生区域，采取增氧机、藻类打捞等方式减少和控制藻类生长和扩散；有条件的，可采用生态调水的方式，通过增加水体扰动控制水华灾害。</w:t>
      </w:r>
    </w:p>
    <w:p>
      <w:r>
        <w:rPr>
          <w:rFonts w:hint="eastAsia" w:cs="宋体"/>
          <w:szCs w:val="24"/>
        </w:rPr>
        <w:t>（</w:t>
      </w:r>
      <w:r>
        <w:rPr>
          <w:szCs w:val="24"/>
        </w:rPr>
        <w:t>2</w:t>
      </w:r>
      <w:r>
        <w:rPr>
          <w:rFonts w:hint="eastAsia" w:cs="宋体"/>
          <w:szCs w:val="24"/>
        </w:rPr>
        <w:t>）水体内污染物治理、总量或浓度削减。根据应急专家组等意见，制定综合处置方案，经现场应急指挥部确认后实施。一般采取隔离、吸附、打捞、扰动等物理方法，氧化、沉淀等化学方法，利用湿地生物群消解等生物方法和上游调水等稀释方法，可以采取一种或多种方式，力争短时间内削减污染物浓度。现场应急指挥部可根据需要，对水源地汇水区域内的污染物排放企业实施停产、减产、限产等措施，削减水域污染物总量或浓度。</w:t>
      </w:r>
    </w:p>
    <w:p>
      <w:r>
        <w:rPr>
          <w:rFonts w:hint="eastAsia" w:cs="宋体"/>
          <w:szCs w:val="24"/>
        </w:rPr>
        <w:t>（</w:t>
      </w:r>
      <w:r>
        <w:rPr>
          <w:szCs w:val="24"/>
        </w:rPr>
        <w:t>3</w:t>
      </w:r>
      <w:r>
        <w:rPr>
          <w:rFonts w:hint="eastAsia" w:cs="宋体"/>
          <w:szCs w:val="24"/>
        </w:rPr>
        <w:t>）应急工程设施拦截污染水体。在汇水渠道内启用或修建拦截坝、节制闸等工程设施拦截污染水体；通过导流渠将未受污染水体导流至污染水体下游，通过分流沟将污染水体分流至水源保护区外进行收集处置；利用前置库、缓冲池等工程设施，降低污染水体的污染物浓度，为应急处置争取时间。</w:t>
      </w:r>
    </w:p>
    <w:p>
      <w:r>
        <w:rPr>
          <w:rFonts w:hint="eastAsia" w:cs="宋体"/>
          <w:szCs w:val="24"/>
        </w:rPr>
        <w:t>针对污染物可采取的物理、化学、生物处理技术如下表所示。</w:t>
      </w:r>
    </w:p>
    <w:p>
      <w:pPr>
        <w:ind w:firstLine="0" w:firstLineChars="0"/>
        <w:jc w:val="center"/>
        <w:rPr>
          <w:b/>
          <w:sz w:val="21"/>
          <w:szCs w:val="21"/>
        </w:rPr>
      </w:pPr>
      <w:r>
        <w:rPr>
          <w:rFonts w:hint="eastAsia" w:cs="宋体"/>
          <w:b/>
          <w:sz w:val="21"/>
          <w:szCs w:val="21"/>
        </w:rPr>
        <w:t>表</w:t>
      </w:r>
      <w:r>
        <w:rPr>
          <w:rFonts w:hint="eastAsia"/>
          <w:b/>
          <w:sz w:val="21"/>
          <w:szCs w:val="21"/>
        </w:rPr>
        <w:t>3-2</w:t>
      </w:r>
      <w:r>
        <w:rPr>
          <w:b/>
          <w:sz w:val="21"/>
          <w:szCs w:val="21"/>
        </w:rPr>
        <w:t xml:space="preserve">  </w:t>
      </w:r>
      <w:r>
        <w:rPr>
          <w:rFonts w:hint="eastAsia" w:cs="宋体"/>
          <w:b/>
          <w:sz w:val="21"/>
          <w:szCs w:val="21"/>
        </w:rPr>
        <w:t>适用于处理不同超标项目的推荐技术</w:t>
      </w:r>
    </w:p>
    <w:tbl>
      <w:tblPr>
        <w:tblStyle w:val="47"/>
        <w:tblW w:w="9570" w:type="dxa"/>
        <w:jc w:val="center"/>
        <w:tblInd w:w="0" w:type="dxa"/>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Layout w:type="fixed"/>
        <w:tblCellMar>
          <w:top w:w="0" w:type="dxa"/>
          <w:left w:w="108" w:type="dxa"/>
          <w:bottom w:w="0" w:type="dxa"/>
          <w:right w:w="108" w:type="dxa"/>
        </w:tblCellMar>
      </w:tblPr>
      <w:tblGrid>
        <w:gridCol w:w="2030"/>
        <w:gridCol w:w="7540"/>
      </w:tblGrid>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Layout w:type="fixed"/>
          <w:tblCellMar>
            <w:top w:w="0" w:type="dxa"/>
            <w:left w:w="108" w:type="dxa"/>
            <w:bottom w:w="0" w:type="dxa"/>
            <w:right w:w="108" w:type="dxa"/>
          </w:tblCellMar>
        </w:tblPrEx>
        <w:trPr>
          <w:trHeight w:val="397" w:hRule="atLeast"/>
          <w:jc w:val="center"/>
        </w:trPr>
        <w:tc>
          <w:tcPr>
            <w:tcW w:w="2030" w:type="dxa"/>
            <w:tcBorders>
              <w:top w:val="single" w:color="auto" w:sz="12" w:space="0"/>
              <w:left w:val="single" w:color="auto" w:sz="12" w:space="0"/>
              <w:bottom w:val="single" w:color="auto" w:sz="8" w:space="0"/>
              <w:right w:val="single" w:color="auto" w:sz="8" w:space="0"/>
            </w:tcBorders>
            <w:shd w:val="clear" w:color="auto" w:fill="auto"/>
            <w:vAlign w:val="center"/>
          </w:tcPr>
          <w:p>
            <w:pPr>
              <w:spacing w:line="240" w:lineRule="auto"/>
              <w:ind w:firstLine="0" w:firstLineChars="0"/>
              <w:jc w:val="center"/>
              <w:rPr>
                <w:b/>
                <w:sz w:val="21"/>
                <w:szCs w:val="24"/>
              </w:rPr>
            </w:pPr>
            <w:r>
              <w:rPr>
                <w:rFonts w:hint="eastAsia" w:cs="宋体"/>
                <w:b/>
                <w:sz w:val="21"/>
                <w:szCs w:val="24"/>
              </w:rPr>
              <w:t>超标项目</w:t>
            </w:r>
          </w:p>
        </w:tc>
        <w:tc>
          <w:tcPr>
            <w:tcW w:w="7540" w:type="dxa"/>
            <w:tcBorders>
              <w:top w:val="single" w:color="auto" w:sz="12" w:space="0"/>
              <w:left w:val="single" w:color="auto" w:sz="8" w:space="0"/>
              <w:bottom w:val="single" w:color="auto" w:sz="8" w:space="0"/>
              <w:right w:val="single" w:color="auto" w:sz="12" w:space="0"/>
            </w:tcBorders>
            <w:shd w:val="clear" w:color="auto" w:fill="auto"/>
            <w:vAlign w:val="center"/>
          </w:tcPr>
          <w:p>
            <w:pPr>
              <w:spacing w:line="240" w:lineRule="auto"/>
              <w:ind w:firstLine="0" w:firstLineChars="0"/>
              <w:jc w:val="center"/>
              <w:rPr>
                <w:b/>
                <w:sz w:val="21"/>
                <w:szCs w:val="24"/>
              </w:rPr>
            </w:pPr>
            <w:r>
              <w:rPr>
                <w:rFonts w:hint="eastAsia" w:cs="宋体"/>
                <w:b/>
                <w:sz w:val="21"/>
                <w:szCs w:val="24"/>
              </w:rPr>
              <w:t>推荐技术</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Layout w:type="fixed"/>
          <w:tblCellMar>
            <w:top w:w="0" w:type="dxa"/>
            <w:left w:w="108" w:type="dxa"/>
            <w:bottom w:w="0" w:type="dxa"/>
            <w:right w:w="108" w:type="dxa"/>
          </w:tblCellMar>
        </w:tblPrEx>
        <w:trPr>
          <w:trHeight w:val="397" w:hRule="atLeast"/>
          <w:jc w:val="center"/>
        </w:trPr>
        <w:tc>
          <w:tcPr>
            <w:tcW w:w="2030" w:type="dxa"/>
            <w:tcBorders>
              <w:top w:val="single" w:color="auto" w:sz="8" w:space="0"/>
              <w:left w:val="single" w:color="auto" w:sz="12" w:space="0"/>
              <w:bottom w:val="single" w:color="auto" w:sz="8" w:space="0"/>
              <w:right w:val="single" w:color="auto" w:sz="8" w:space="0"/>
            </w:tcBorders>
            <w:shd w:val="clear" w:color="auto" w:fill="auto"/>
            <w:vAlign w:val="center"/>
          </w:tcPr>
          <w:p>
            <w:pPr>
              <w:spacing w:line="240" w:lineRule="auto"/>
              <w:ind w:firstLine="0" w:firstLineChars="0"/>
              <w:jc w:val="center"/>
              <w:rPr>
                <w:sz w:val="21"/>
                <w:szCs w:val="24"/>
              </w:rPr>
            </w:pPr>
            <w:r>
              <w:rPr>
                <w:rFonts w:hint="eastAsia" w:cs="宋体"/>
                <w:sz w:val="21"/>
                <w:szCs w:val="24"/>
              </w:rPr>
              <w:t>浊度</w:t>
            </w:r>
          </w:p>
        </w:tc>
        <w:tc>
          <w:tcPr>
            <w:tcW w:w="7540" w:type="dxa"/>
            <w:tcBorders>
              <w:top w:val="single" w:color="auto" w:sz="8" w:space="0"/>
              <w:left w:val="single" w:color="auto" w:sz="8" w:space="0"/>
              <w:bottom w:val="single" w:color="auto" w:sz="8" w:space="0"/>
              <w:right w:val="single" w:color="auto" w:sz="12" w:space="0"/>
            </w:tcBorders>
            <w:shd w:val="clear" w:color="auto" w:fill="auto"/>
            <w:vAlign w:val="center"/>
          </w:tcPr>
          <w:p>
            <w:pPr>
              <w:spacing w:line="240" w:lineRule="auto"/>
              <w:ind w:firstLine="0" w:firstLineChars="0"/>
              <w:jc w:val="center"/>
              <w:rPr>
                <w:sz w:val="21"/>
                <w:szCs w:val="24"/>
              </w:rPr>
            </w:pPr>
            <w:r>
              <w:rPr>
                <w:rFonts w:hint="eastAsia" w:cs="宋体"/>
                <w:sz w:val="21"/>
                <w:szCs w:val="24"/>
              </w:rPr>
              <w:t>快速砂滤池、絮凝、沉淀、过滤</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Layout w:type="fixed"/>
          <w:tblCellMar>
            <w:top w:w="0" w:type="dxa"/>
            <w:left w:w="108" w:type="dxa"/>
            <w:bottom w:w="0" w:type="dxa"/>
            <w:right w:w="108" w:type="dxa"/>
          </w:tblCellMar>
        </w:tblPrEx>
        <w:trPr>
          <w:trHeight w:val="397" w:hRule="atLeast"/>
          <w:jc w:val="center"/>
        </w:trPr>
        <w:tc>
          <w:tcPr>
            <w:tcW w:w="2030" w:type="dxa"/>
            <w:tcBorders>
              <w:top w:val="single" w:color="auto" w:sz="8" w:space="0"/>
              <w:left w:val="single" w:color="auto" w:sz="12" w:space="0"/>
              <w:bottom w:val="single" w:color="auto" w:sz="8" w:space="0"/>
              <w:right w:val="single" w:color="auto" w:sz="8" w:space="0"/>
            </w:tcBorders>
            <w:shd w:val="clear" w:color="auto" w:fill="auto"/>
            <w:vAlign w:val="center"/>
          </w:tcPr>
          <w:p>
            <w:pPr>
              <w:spacing w:line="240" w:lineRule="auto"/>
              <w:ind w:firstLine="0" w:firstLineChars="0"/>
              <w:jc w:val="center"/>
              <w:rPr>
                <w:sz w:val="21"/>
                <w:szCs w:val="24"/>
              </w:rPr>
            </w:pPr>
            <w:r>
              <w:rPr>
                <w:rFonts w:hint="eastAsia" w:cs="宋体"/>
                <w:sz w:val="21"/>
                <w:szCs w:val="24"/>
              </w:rPr>
              <w:t>色度</w:t>
            </w:r>
          </w:p>
        </w:tc>
        <w:tc>
          <w:tcPr>
            <w:tcW w:w="7540" w:type="dxa"/>
            <w:tcBorders>
              <w:top w:val="single" w:color="auto" w:sz="8" w:space="0"/>
              <w:left w:val="single" w:color="auto" w:sz="8" w:space="0"/>
              <w:bottom w:val="single" w:color="auto" w:sz="8" w:space="0"/>
              <w:right w:val="single" w:color="auto" w:sz="12" w:space="0"/>
            </w:tcBorders>
            <w:shd w:val="clear" w:color="auto" w:fill="auto"/>
            <w:vAlign w:val="center"/>
          </w:tcPr>
          <w:p>
            <w:pPr>
              <w:spacing w:line="240" w:lineRule="auto"/>
              <w:ind w:firstLine="0" w:firstLineChars="0"/>
              <w:jc w:val="center"/>
              <w:rPr>
                <w:sz w:val="21"/>
                <w:szCs w:val="24"/>
              </w:rPr>
            </w:pPr>
            <w:r>
              <w:rPr>
                <w:rFonts w:hint="eastAsia" w:cs="宋体"/>
                <w:sz w:val="21"/>
                <w:szCs w:val="24"/>
              </w:rPr>
              <w:t>快速砂滤池、絮凝；活性炭吸附；化学氧化预处理：臭氧、氯、高锰酸钾、二氧化氯</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Layout w:type="fixed"/>
          <w:tblCellMar>
            <w:top w:w="0" w:type="dxa"/>
            <w:left w:w="108" w:type="dxa"/>
            <w:bottom w:w="0" w:type="dxa"/>
            <w:right w:w="108" w:type="dxa"/>
          </w:tblCellMar>
        </w:tblPrEx>
        <w:trPr>
          <w:trHeight w:val="397" w:hRule="atLeast"/>
          <w:jc w:val="center"/>
        </w:trPr>
        <w:tc>
          <w:tcPr>
            <w:tcW w:w="2030" w:type="dxa"/>
            <w:tcBorders>
              <w:top w:val="single" w:color="auto" w:sz="8" w:space="0"/>
              <w:left w:val="single" w:color="auto" w:sz="12" w:space="0"/>
              <w:bottom w:val="single" w:color="auto" w:sz="8" w:space="0"/>
              <w:right w:val="single" w:color="auto" w:sz="8" w:space="0"/>
            </w:tcBorders>
            <w:shd w:val="clear" w:color="auto" w:fill="auto"/>
            <w:vAlign w:val="center"/>
          </w:tcPr>
          <w:p>
            <w:pPr>
              <w:spacing w:line="240" w:lineRule="auto"/>
              <w:ind w:firstLine="0" w:firstLineChars="0"/>
              <w:jc w:val="center"/>
              <w:rPr>
                <w:sz w:val="21"/>
                <w:szCs w:val="24"/>
              </w:rPr>
            </w:pPr>
            <w:r>
              <w:rPr>
                <w:rFonts w:hint="eastAsia" w:cs="宋体"/>
                <w:sz w:val="21"/>
                <w:szCs w:val="24"/>
              </w:rPr>
              <w:t>嗅味</w:t>
            </w:r>
          </w:p>
        </w:tc>
        <w:tc>
          <w:tcPr>
            <w:tcW w:w="7540" w:type="dxa"/>
            <w:tcBorders>
              <w:top w:val="single" w:color="auto" w:sz="8" w:space="0"/>
              <w:left w:val="single" w:color="auto" w:sz="8" w:space="0"/>
              <w:bottom w:val="single" w:color="auto" w:sz="8" w:space="0"/>
              <w:right w:val="single" w:color="auto" w:sz="12" w:space="0"/>
            </w:tcBorders>
            <w:shd w:val="clear" w:color="auto" w:fill="auto"/>
            <w:vAlign w:val="center"/>
          </w:tcPr>
          <w:p>
            <w:pPr>
              <w:spacing w:line="240" w:lineRule="auto"/>
              <w:ind w:firstLine="0" w:firstLineChars="0"/>
              <w:jc w:val="center"/>
              <w:rPr>
                <w:sz w:val="21"/>
                <w:szCs w:val="24"/>
              </w:rPr>
            </w:pPr>
            <w:r>
              <w:rPr>
                <w:rFonts w:hint="eastAsia" w:cs="宋体"/>
                <w:sz w:val="21"/>
                <w:szCs w:val="24"/>
              </w:rPr>
              <w:t>化学氧化预处理：臭氧、氯、高锰酸钾、二氧化氯、活性炭</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Layout w:type="fixed"/>
          <w:tblCellMar>
            <w:top w:w="0" w:type="dxa"/>
            <w:left w:w="108" w:type="dxa"/>
            <w:bottom w:w="0" w:type="dxa"/>
            <w:right w:w="108" w:type="dxa"/>
          </w:tblCellMar>
        </w:tblPrEx>
        <w:trPr>
          <w:trHeight w:val="397" w:hRule="atLeast"/>
          <w:jc w:val="center"/>
        </w:trPr>
        <w:tc>
          <w:tcPr>
            <w:tcW w:w="2030" w:type="dxa"/>
            <w:tcBorders>
              <w:top w:val="single" w:color="auto" w:sz="8" w:space="0"/>
              <w:left w:val="single" w:color="auto" w:sz="12" w:space="0"/>
              <w:bottom w:val="single" w:color="auto" w:sz="8" w:space="0"/>
              <w:right w:val="single" w:color="auto" w:sz="8" w:space="0"/>
            </w:tcBorders>
            <w:shd w:val="clear" w:color="auto" w:fill="auto"/>
            <w:vAlign w:val="center"/>
          </w:tcPr>
          <w:p>
            <w:pPr>
              <w:spacing w:line="240" w:lineRule="auto"/>
              <w:ind w:firstLine="0" w:firstLineChars="0"/>
              <w:jc w:val="center"/>
              <w:rPr>
                <w:sz w:val="21"/>
                <w:szCs w:val="24"/>
              </w:rPr>
            </w:pPr>
            <w:r>
              <w:rPr>
                <w:rFonts w:hint="eastAsia" w:cs="宋体"/>
                <w:sz w:val="21"/>
                <w:szCs w:val="24"/>
              </w:rPr>
              <w:t>氟化物</w:t>
            </w:r>
          </w:p>
        </w:tc>
        <w:tc>
          <w:tcPr>
            <w:tcW w:w="7540" w:type="dxa"/>
            <w:tcBorders>
              <w:top w:val="single" w:color="auto" w:sz="8" w:space="0"/>
              <w:left w:val="single" w:color="auto" w:sz="8" w:space="0"/>
              <w:bottom w:val="single" w:color="auto" w:sz="8" w:space="0"/>
              <w:right w:val="single" w:color="auto" w:sz="12" w:space="0"/>
            </w:tcBorders>
            <w:shd w:val="clear" w:color="auto" w:fill="auto"/>
            <w:vAlign w:val="center"/>
          </w:tcPr>
          <w:p>
            <w:pPr>
              <w:spacing w:line="240" w:lineRule="auto"/>
              <w:ind w:firstLine="0" w:firstLineChars="0"/>
              <w:jc w:val="center"/>
              <w:rPr>
                <w:sz w:val="21"/>
                <w:szCs w:val="24"/>
              </w:rPr>
            </w:pPr>
            <w:r>
              <w:rPr>
                <w:rFonts w:hint="eastAsia" w:cs="宋体"/>
                <w:sz w:val="21"/>
                <w:szCs w:val="24"/>
              </w:rPr>
              <w:t>吸附法：氧化铝、磷酸二钙；混凝沉淀法：硫酸铝、聚合氯化铝；离子交换法；电渗析法</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Layout w:type="fixed"/>
          <w:tblCellMar>
            <w:top w:w="0" w:type="dxa"/>
            <w:left w:w="108" w:type="dxa"/>
            <w:bottom w:w="0" w:type="dxa"/>
            <w:right w:w="108" w:type="dxa"/>
          </w:tblCellMar>
        </w:tblPrEx>
        <w:trPr>
          <w:trHeight w:val="397" w:hRule="atLeast"/>
          <w:jc w:val="center"/>
        </w:trPr>
        <w:tc>
          <w:tcPr>
            <w:tcW w:w="2030" w:type="dxa"/>
            <w:tcBorders>
              <w:top w:val="single" w:color="auto" w:sz="8" w:space="0"/>
              <w:left w:val="single" w:color="auto" w:sz="12" w:space="0"/>
              <w:bottom w:val="single" w:color="auto" w:sz="8" w:space="0"/>
              <w:right w:val="single" w:color="auto" w:sz="8" w:space="0"/>
            </w:tcBorders>
            <w:shd w:val="clear" w:color="auto" w:fill="auto"/>
            <w:vAlign w:val="center"/>
          </w:tcPr>
          <w:p>
            <w:pPr>
              <w:spacing w:line="240" w:lineRule="auto"/>
              <w:ind w:firstLine="0" w:firstLineChars="0"/>
              <w:jc w:val="center"/>
              <w:rPr>
                <w:sz w:val="21"/>
                <w:szCs w:val="24"/>
              </w:rPr>
            </w:pPr>
            <w:r>
              <w:rPr>
                <w:rFonts w:hint="eastAsia" w:cs="宋体"/>
                <w:sz w:val="21"/>
                <w:szCs w:val="24"/>
              </w:rPr>
              <w:t>氨氮</w:t>
            </w:r>
          </w:p>
        </w:tc>
        <w:tc>
          <w:tcPr>
            <w:tcW w:w="7540" w:type="dxa"/>
            <w:tcBorders>
              <w:top w:val="single" w:color="auto" w:sz="8" w:space="0"/>
              <w:left w:val="single" w:color="auto" w:sz="8" w:space="0"/>
              <w:bottom w:val="single" w:color="auto" w:sz="8" w:space="0"/>
              <w:right w:val="single" w:color="auto" w:sz="12" w:space="0"/>
            </w:tcBorders>
            <w:shd w:val="clear" w:color="auto" w:fill="auto"/>
            <w:vAlign w:val="center"/>
          </w:tcPr>
          <w:p>
            <w:pPr>
              <w:spacing w:line="240" w:lineRule="auto"/>
              <w:ind w:firstLine="0" w:firstLineChars="0"/>
              <w:jc w:val="center"/>
              <w:rPr>
                <w:sz w:val="21"/>
                <w:szCs w:val="24"/>
              </w:rPr>
            </w:pPr>
            <w:r>
              <w:rPr>
                <w:rFonts w:hint="eastAsia" w:cs="宋体"/>
                <w:sz w:val="21"/>
                <w:szCs w:val="24"/>
              </w:rPr>
              <w:t>化学氧化预处理：氯、高锰酸钾；深度处理：臭氧</w:t>
            </w:r>
            <w:r>
              <w:rPr>
                <w:sz w:val="21"/>
                <w:szCs w:val="24"/>
              </w:rPr>
              <w:t>-</w:t>
            </w:r>
            <w:r>
              <w:rPr>
                <w:rFonts w:hint="eastAsia" w:cs="宋体"/>
                <w:sz w:val="21"/>
                <w:szCs w:val="24"/>
              </w:rPr>
              <w:t>生物活性碳</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Layout w:type="fixed"/>
          <w:tblCellMar>
            <w:top w:w="0" w:type="dxa"/>
            <w:left w:w="108" w:type="dxa"/>
            <w:bottom w:w="0" w:type="dxa"/>
            <w:right w:w="108" w:type="dxa"/>
          </w:tblCellMar>
        </w:tblPrEx>
        <w:trPr>
          <w:trHeight w:val="397" w:hRule="atLeast"/>
          <w:jc w:val="center"/>
        </w:trPr>
        <w:tc>
          <w:tcPr>
            <w:tcW w:w="2030" w:type="dxa"/>
            <w:tcBorders>
              <w:top w:val="single" w:color="auto" w:sz="8" w:space="0"/>
              <w:left w:val="single" w:color="auto" w:sz="12" w:space="0"/>
              <w:bottom w:val="single" w:color="auto" w:sz="8" w:space="0"/>
              <w:right w:val="single" w:color="auto" w:sz="8" w:space="0"/>
            </w:tcBorders>
            <w:shd w:val="clear" w:color="auto" w:fill="auto"/>
            <w:vAlign w:val="center"/>
          </w:tcPr>
          <w:p>
            <w:pPr>
              <w:spacing w:line="240" w:lineRule="auto"/>
              <w:ind w:firstLine="0" w:firstLineChars="0"/>
              <w:jc w:val="center"/>
              <w:rPr>
                <w:sz w:val="21"/>
                <w:szCs w:val="24"/>
              </w:rPr>
            </w:pPr>
            <w:r>
              <w:rPr>
                <w:rFonts w:hint="eastAsia" w:cs="宋体"/>
                <w:sz w:val="21"/>
                <w:szCs w:val="24"/>
              </w:rPr>
              <w:t>铁、锰</w:t>
            </w:r>
          </w:p>
        </w:tc>
        <w:tc>
          <w:tcPr>
            <w:tcW w:w="7540" w:type="dxa"/>
            <w:tcBorders>
              <w:top w:val="single" w:color="auto" w:sz="8" w:space="0"/>
              <w:left w:val="single" w:color="auto" w:sz="8" w:space="0"/>
              <w:bottom w:val="single" w:color="auto" w:sz="8" w:space="0"/>
              <w:right w:val="single" w:color="auto" w:sz="12" w:space="0"/>
            </w:tcBorders>
            <w:shd w:val="clear" w:color="auto" w:fill="auto"/>
            <w:vAlign w:val="center"/>
          </w:tcPr>
          <w:p>
            <w:pPr>
              <w:spacing w:line="240" w:lineRule="auto"/>
              <w:ind w:firstLine="0" w:firstLineChars="0"/>
              <w:jc w:val="center"/>
              <w:rPr>
                <w:sz w:val="21"/>
                <w:szCs w:val="24"/>
              </w:rPr>
            </w:pPr>
            <w:r>
              <w:rPr>
                <w:rFonts w:hint="eastAsia" w:cs="宋体"/>
                <w:sz w:val="21"/>
                <w:szCs w:val="24"/>
              </w:rPr>
              <w:t>锰砂；化学氧化预处理：氯、高锰酸钾；深度处理：臭氧</w:t>
            </w:r>
            <w:r>
              <w:rPr>
                <w:sz w:val="21"/>
                <w:szCs w:val="24"/>
              </w:rPr>
              <w:t>-</w:t>
            </w:r>
            <w:r>
              <w:rPr>
                <w:rFonts w:hint="eastAsia" w:cs="宋体"/>
                <w:sz w:val="21"/>
                <w:szCs w:val="24"/>
              </w:rPr>
              <w:t>生物活性碳</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Layout w:type="fixed"/>
          <w:tblCellMar>
            <w:top w:w="0" w:type="dxa"/>
            <w:left w:w="108" w:type="dxa"/>
            <w:bottom w:w="0" w:type="dxa"/>
            <w:right w:w="108" w:type="dxa"/>
          </w:tblCellMar>
        </w:tblPrEx>
        <w:trPr>
          <w:trHeight w:val="397" w:hRule="atLeast"/>
          <w:jc w:val="center"/>
        </w:trPr>
        <w:tc>
          <w:tcPr>
            <w:tcW w:w="2030" w:type="dxa"/>
            <w:tcBorders>
              <w:top w:val="single" w:color="auto" w:sz="8" w:space="0"/>
              <w:left w:val="single" w:color="auto" w:sz="12" w:space="0"/>
              <w:bottom w:val="single" w:color="auto" w:sz="8" w:space="0"/>
              <w:right w:val="single" w:color="auto" w:sz="8" w:space="0"/>
            </w:tcBorders>
            <w:shd w:val="clear" w:color="auto" w:fill="auto"/>
            <w:vAlign w:val="center"/>
          </w:tcPr>
          <w:p>
            <w:pPr>
              <w:spacing w:line="240" w:lineRule="auto"/>
              <w:ind w:firstLine="0" w:firstLineChars="0"/>
              <w:jc w:val="center"/>
              <w:rPr>
                <w:sz w:val="21"/>
                <w:szCs w:val="24"/>
              </w:rPr>
            </w:pPr>
            <w:r>
              <w:rPr>
                <w:rFonts w:hint="eastAsia" w:cs="宋体"/>
                <w:sz w:val="21"/>
                <w:szCs w:val="24"/>
              </w:rPr>
              <w:t>挥发性有机物</w:t>
            </w:r>
          </w:p>
        </w:tc>
        <w:tc>
          <w:tcPr>
            <w:tcW w:w="7540" w:type="dxa"/>
            <w:tcBorders>
              <w:top w:val="single" w:color="auto" w:sz="8" w:space="0"/>
              <w:left w:val="single" w:color="auto" w:sz="8" w:space="0"/>
              <w:bottom w:val="single" w:color="auto" w:sz="8" w:space="0"/>
              <w:right w:val="single" w:color="auto" w:sz="12" w:space="0"/>
            </w:tcBorders>
            <w:shd w:val="clear" w:color="auto" w:fill="auto"/>
            <w:vAlign w:val="center"/>
          </w:tcPr>
          <w:p>
            <w:pPr>
              <w:spacing w:line="240" w:lineRule="auto"/>
              <w:ind w:firstLine="0" w:firstLineChars="0"/>
              <w:jc w:val="center"/>
              <w:rPr>
                <w:sz w:val="21"/>
                <w:szCs w:val="24"/>
              </w:rPr>
            </w:pPr>
            <w:r>
              <w:rPr>
                <w:rFonts w:hint="eastAsia" w:cs="宋体"/>
                <w:sz w:val="21"/>
                <w:szCs w:val="24"/>
              </w:rPr>
              <w:t>生物活性炭吸附</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Layout w:type="fixed"/>
          <w:tblCellMar>
            <w:top w:w="0" w:type="dxa"/>
            <w:left w:w="108" w:type="dxa"/>
            <w:bottom w:w="0" w:type="dxa"/>
            <w:right w:w="108" w:type="dxa"/>
          </w:tblCellMar>
        </w:tblPrEx>
        <w:trPr>
          <w:trHeight w:val="397" w:hRule="atLeast"/>
          <w:jc w:val="center"/>
        </w:trPr>
        <w:tc>
          <w:tcPr>
            <w:tcW w:w="2030" w:type="dxa"/>
            <w:tcBorders>
              <w:top w:val="single" w:color="auto" w:sz="8" w:space="0"/>
              <w:left w:val="single" w:color="auto" w:sz="12" w:space="0"/>
              <w:bottom w:val="single" w:color="auto" w:sz="8" w:space="0"/>
              <w:right w:val="single" w:color="auto" w:sz="8" w:space="0"/>
            </w:tcBorders>
            <w:shd w:val="clear" w:color="auto" w:fill="auto"/>
            <w:vAlign w:val="center"/>
          </w:tcPr>
          <w:p>
            <w:pPr>
              <w:spacing w:line="240" w:lineRule="auto"/>
              <w:ind w:firstLine="0" w:firstLineChars="0"/>
              <w:jc w:val="center"/>
              <w:rPr>
                <w:sz w:val="21"/>
                <w:szCs w:val="24"/>
              </w:rPr>
            </w:pPr>
            <w:r>
              <w:rPr>
                <w:rFonts w:hint="eastAsia" w:cs="宋体"/>
                <w:sz w:val="21"/>
                <w:szCs w:val="24"/>
              </w:rPr>
              <w:t>三氯甲烷和腐殖酸</w:t>
            </w:r>
          </w:p>
        </w:tc>
        <w:tc>
          <w:tcPr>
            <w:tcW w:w="7540" w:type="dxa"/>
            <w:tcBorders>
              <w:top w:val="single" w:color="auto" w:sz="8" w:space="0"/>
              <w:left w:val="single" w:color="auto" w:sz="8" w:space="0"/>
              <w:bottom w:val="single" w:color="auto" w:sz="8" w:space="0"/>
              <w:right w:val="single" w:color="auto" w:sz="12" w:space="0"/>
            </w:tcBorders>
            <w:shd w:val="clear" w:color="auto" w:fill="auto"/>
            <w:vAlign w:val="center"/>
          </w:tcPr>
          <w:p>
            <w:pPr>
              <w:spacing w:line="240" w:lineRule="auto"/>
              <w:ind w:firstLine="0" w:firstLineChars="0"/>
              <w:jc w:val="center"/>
              <w:rPr>
                <w:sz w:val="21"/>
                <w:szCs w:val="24"/>
              </w:rPr>
            </w:pPr>
            <w:r>
              <w:rPr>
                <w:rFonts w:hint="eastAsia" w:cs="宋体"/>
                <w:sz w:val="21"/>
                <w:szCs w:val="24"/>
              </w:rPr>
              <w:t>前驱物的去除：强化混凝、粒状活性炭、生物活性炭；氯化副产物的去除：粒状活性炭</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Layout w:type="fixed"/>
          <w:tblCellMar>
            <w:top w:w="0" w:type="dxa"/>
            <w:left w:w="108" w:type="dxa"/>
            <w:bottom w:w="0" w:type="dxa"/>
            <w:right w:w="108" w:type="dxa"/>
          </w:tblCellMar>
        </w:tblPrEx>
        <w:trPr>
          <w:trHeight w:val="397" w:hRule="atLeast"/>
          <w:jc w:val="center"/>
        </w:trPr>
        <w:tc>
          <w:tcPr>
            <w:tcW w:w="2030" w:type="dxa"/>
            <w:tcBorders>
              <w:top w:val="single" w:color="auto" w:sz="8" w:space="0"/>
              <w:left w:val="single" w:color="auto" w:sz="12" w:space="0"/>
              <w:bottom w:val="single" w:color="auto" w:sz="8" w:space="0"/>
              <w:right w:val="single" w:color="auto" w:sz="8" w:space="0"/>
            </w:tcBorders>
            <w:shd w:val="clear" w:color="auto" w:fill="auto"/>
            <w:vAlign w:val="center"/>
          </w:tcPr>
          <w:p>
            <w:pPr>
              <w:spacing w:line="240" w:lineRule="auto"/>
              <w:ind w:firstLine="0" w:firstLineChars="0"/>
              <w:jc w:val="center"/>
              <w:rPr>
                <w:sz w:val="21"/>
                <w:szCs w:val="24"/>
              </w:rPr>
            </w:pPr>
            <w:r>
              <w:rPr>
                <w:rFonts w:hint="eastAsia" w:cs="宋体"/>
                <w:sz w:val="21"/>
                <w:szCs w:val="24"/>
              </w:rPr>
              <w:t>有机化合物</w:t>
            </w:r>
          </w:p>
        </w:tc>
        <w:tc>
          <w:tcPr>
            <w:tcW w:w="7540" w:type="dxa"/>
            <w:tcBorders>
              <w:top w:val="single" w:color="auto" w:sz="8" w:space="0"/>
              <w:left w:val="single" w:color="auto" w:sz="8" w:space="0"/>
              <w:bottom w:val="single" w:color="auto" w:sz="8" w:space="0"/>
              <w:right w:val="single" w:color="auto" w:sz="12" w:space="0"/>
            </w:tcBorders>
            <w:shd w:val="clear" w:color="auto" w:fill="auto"/>
            <w:vAlign w:val="center"/>
          </w:tcPr>
          <w:p>
            <w:pPr>
              <w:spacing w:line="240" w:lineRule="auto"/>
              <w:ind w:firstLine="0" w:firstLineChars="0"/>
              <w:jc w:val="center"/>
              <w:rPr>
                <w:sz w:val="21"/>
                <w:szCs w:val="24"/>
              </w:rPr>
            </w:pPr>
            <w:r>
              <w:rPr>
                <w:rFonts w:hint="eastAsia" w:cs="宋体"/>
                <w:sz w:val="21"/>
                <w:szCs w:val="24"/>
              </w:rPr>
              <w:t>生物活性碳、膜处理</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Layout w:type="fixed"/>
          <w:tblCellMar>
            <w:top w:w="0" w:type="dxa"/>
            <w:left w:w="108" w:type="dxa"/>
            <w:bottom w:w="0" w:type="dxa"/>
            <w:right w:w="108" w:type="dxa"/>
          </w:tblCellMar>
        </w:tblPrEx>
        <w:trPr>
          <w:trHeight w:val="397" w:hRule="atLeast"/>
          <w:jc w:val="center"/>
        </w:trPr>
        <w:tc>
          <w:tcPr>
            <w:tcW w:w="2030" w:type="dxa"/>
            <w:tcBorders>
              <w:top w:val="single" w:color="auto" w:sz="8" w:space="0"/>
              <w:left w:val="single" w:color="auto" w:sz="12" w:space="0"/>
              <w:bottom w:val="single" w:color="auto" w:sz="8" w:space="0"/>
              <w:right w:val="single" w:color="auto" w:sz="8" w:space="0"/>
            </w:tcBorders>
            <w:shd w:val="clear" w:color="auto" w:fill="auto"/>
            <w:vAlign w:val="center"/>
          </w:tcPr>
          <w:p>
            <w:pPr>
              <w:spacing w:line="240" w:lineRule="auto"/>
              <w:ind w:firstLine="0" w:firstLineChars="0"/>
              <w:jc w:val="center"/>
              <w:rPr>
                <w:sz w:val="21"/>
                <w:szCs w:val="24"/>
              </w:rPr>
            </w:pPr>
            <w:r>
              <w:rPr>
                <w:rFonts w:hint="eastAsia" w:cs="宋体"/>
                <w:sz w:val="21"/>
                <w:szCs w:val="24"/>
              </w:rPr>
              <w:t>细菌和病毒</w:t>
            </w:r>
          </w:p>
        </w:tc>
        <w:tc>
          <w:tcPr>
            <w:tcW w:w="7540" w:type="dxa"/>
            <w:tcBorders>
              <w:top w:val="single" w:color="auto" w:sz="8" w:space="0"/>
              <w:left w:val="single" w:color="auto" w:sz="8" w:space="0"/>
              <w:bottom w:val="single" w:color="auto" w:sz="8" w:space="0"/>
              <w:right w:val="single" w:color="auto" w:sz="12" w:space="0"/>
            </w:tcBorders>
            <w:shd w:val="clear" w:color="auto" w:fill="auto"/>
            <w:vAlign w:val="center"/>
          </w:tcPr>
          <w:p>
            <w:pPr>
              <w:spacing w:line="240" w:lineRule="auto"/>
              <w:ind w:firstLine="0" w:firstLineChars="0"/>
              <w:jc w:val="center"/>
              <w:rPr>
                <w:sz w:val="21"/>
                <w:szCs w:val="24"/>
              </w:rPr>
            </w:pPr>
            <w:r>
              <w:rPr>
                <w:rFonts w:hint="eastAsia" w:cs="宋体"/>
                <w:sz w:val="21"/>
                <w:szCs w:val="24"/>
              </w:rPr>
              <w:t>过滤（部分去除）；消毒处理：氯、二氧化氯、臭氧、膜处理、紫外消毒</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Layout w:type="fixed"/>
          <w:tblCellMar>
            <w:top w:w="0" w:type="dxa"/>
            <w:left w:w="108" w:type="dxa"/>
            <w:bottom w:w="0" w:type="dxa"/>
            <w:right w:w="108" w:type="dxa"/>
          </w:tblCellMar>
        </w:tblPrEx>
        <w:trPr>
          <w:trHeight w:val="397" w:hRule="atLeast"/>
          <w:jc w:val="center"/>
        </w:trPr>
        <w:tc>
          <w:tcPr>
            <w:tcW w:w="2030" w:type="dxa"/>
            <w:tcBorders>
              <w:top w:val="single" w:color="auto" w:sz="8" w:space="0"/>
              <w:left w:val="single" w:color="auto" w:sz="12" w:space="0"/>
              <w:bottom w:val="single" w:color="auto" w:sz="8" w:space="0"/>
              <w:right w:val="single" w:color="auto" w:sz="8" w:space="0"/>
            </w:tcBorders>
            <w:shd w:val="clear" w:color="auto" w:fill="auto"/>
            <w:vAlign w:val="center"/>
          </w:tcPr>
          <w:p>
            <w:pPr>
              <w:spacing w:line="240" w:lineRule="auto"/>
              <w:ind w:firstLine="0" w:firstLineChars="0"/>
              <w:jc w:val="center"/>
              <w:rPr>
                <w:sz w:val="21"/>
                <w:szCs w:val="24"/>
              </w:rPr>
            </w:pPr>
            <w:r>
              <w:rPr>
                <w:rFonts w:hint="eastAsia" w:cs="宋体"/>
                <w:sz w:val="21"/>
                <w:szCs w:val="24"/>
              </w:rPr>
              <w:t>汞、铬等部分重金属（应急状态）</w:t>
            </w:r>
          </w:p>
        </w:tc>
        <w:tc>
          <w:tcPr>
            <w:tcW w:w="7540" w:type="dxa"/>
            <w:tcBorders>
              <w:top w:val="single" w:color="auto" w:sz="8" w:space="0"/>
              <w:left w:val="single" w:color="auto" w:sz="8" w:space="0"/>
              <w:bottom w:val="single" w:color="auto" w:sz="8" w:space="0"/>
              <w:right w:val="single" w:color="auto" w:sz="12" w:space="0"/>
            </w:tcBorders>
            <w:shd w:val="clear" w:color="auto" w:fill="auto"/>
            <w:vAlign w:val="center"/>
          </w:tcPr>
          <w:p>
            <w:pPr>
              <w:spacing w:line="240" w:lineRule="auto"/>
              <w:ind w:firstLine="0" w:firstLineChars="0"/>
              <w:jc w:val="center"/>
              <w:rPr>
                <w:sz w:val="21"/>
                <w:szCs w:val="24"/>
              </w:rPr>
            </w:pPr>
            <w:r>
              <w:rPr>
                <w:rFonts w:hint="eastAsia" w:cs="宋体"/>
                <w:sz w:val="21"/>
                <w:szCs w:val="24"/>
              </w:rPr>
              <w:t>氧化法：高锰酸钾；生物活性碳吸附（部分去除）</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Layout w:type="fixed"/>
          <w:tblCellMar>
            <w:top w:w="0" w:type="dxa"/>
            <w:left w:w="108" w:type="dxa"/>
            <w:bottom w:w="0" w:type="dxa"/>
            <w:right w:w="108" w:type="dxa"/>
          </w:tblCellMar>
        </w:tblPrEx>
        <w:trPr>
          <w:trHeight w:val="397" w:hRule="atLeast"/>
          <w:jc w:val="center"/>
        </w:trPr>
        <w:tc>
          <w:tcPr>
            <w:tcW w:w="2030" w:type="dxa"/>
            <w:tcBorders>
              <w:top w:val="single" w:color="auto" w:sz="8" w:space="0"/>
              <w:left w:val="single" w:color="auto" w:sz="12" w:space="0"/>
              <w:bottom w:val="single" w:color="auto" w:sz="12" w:space="0"/>
              <w:right w:val="single" w:color="auto" w:sz="8" w:space="0"/>
            </w:tcBorders>
            <w:shd w:val="clear" w:color="auto" w:fill="auto"/>
            <w:vAlign w:val="center"/>
          </w:tcPr>
          <w:p>
            <w:pPr>
              <w:spacing w:line="240" w:lineRule="auto"/>
              <w:ind w:firstLine="0" w:firstLineChars="0"/>
              <w:jc w:val="center"/>
              <w:rPr>
                <w:sz w:val="21"/>
                <w:szCs w:val="24"/>
              </w:rPr>
            </w:pPr>
            <w:r>
              <w:rPr>
                <w:rFonts w:hint="eastAsia" w:cs="宋体"/>
                <w:sz w:val="21"/>
                <w:szCs w:val="24"/>
              </w:rPr>
              <w:t>藻类及藻毒素</w:t>
            </w:r>
          </w:p>
        </w:tc>
        <w:tc>
          <w:tcPr>
            <w:tcW w:w="7540" w:type="dxa"/>
            <w:tcBorders>
              <w:top w:val="single" w:color="auto" w:sz="8" w:space="0"/>
              <w:left w:val="single" w:color="auto" w:sz="8" w:space="0"/>
              <w:bottom w:val="single" w:color="auto" w:sz="12" w:space="0"/>
              <w:right w:val="single" w:color="auto" w:sz="12" w:space="0"/>
            </w:tcBorders>
            <w:shd w:val="clear" w:color="auto" w:fill="auto"/>
            <w:vAlign w:val="center"/>
          </w:tcPr>
          <w:p>
            <w:pPr>
              <w:spacing w:line="240" w:lineRule="auto"/>
              <w:ind w:firstLine="0" w:firstLineChars="0"/>
              <w:jc w:val="center"/>
              <w:rPr>
                <w:sz w:val="21"/>
                <w:szCs w:val="24"/>
              </w:rPr>
            </w:pPr>
            <w:r>
              <w:rPr>
                <w:rFonts w:hint="eastAsia" w:cs="宋体"/>
                <w:sz w:val="21"/>
                <w:szCs w:val="24"/>
              </w:rPr>
              <w:t>化学氧化预处理：除藻剂法、高锰酸钾、氯；微滤法；气浮法；臭氧氧化法</w:t>
            </w:r>
          </w:p>
        </w:tc>
      </w:tr>
    </w:tbl>
    <w:p>
      <w:pPr>
        <w:snapToGrid w:val="0"/>
        <w:ind w:firstLine="200"/>
        <w:rPr>
          <w:color w:val="0000FF"/>
          <w:sz w:val="10"/>
          <w:szCs w:val="10"/>
        </w:rPr>
      </w:pPr>
    </w:p>
    <w:p>
      <w:pPr>
        <w:widowControl/>
        <w:jc w:val="left"/>
      </w:pPr>
      <w:r>
        <w:rPr>
          <w:rFonts w:hint="eastAsia"/>
          <w:szCs w:val="24"/>
        </w:rPr>
        <w:t>库区污染源主要为流动源和非点源污染源，造成库区水质超标的事件类型和污染因子呈多样性。本预案根据水源保护区实际情况，结合水源保护区的污染源分布现状，以突发水环境事件的结果为导向，设置了突发环境事件应急处置卡，见附表6。</w:t>
      </w:r>
    </w:p>
    <w:p>
      <w:pPr>
        <w:pStyle w:val="5"/>
      </w:pPr>
      <w:r>
        <w:rPr>
          <w:rFonts w:hint="eastAsia"/>
        </w:rPr>
        <w:t>3.6</w:t>
      </w:r>
      <w:r>
        <w:t xml:space="preserve">.2 </w:t>
      </w:r>
      <w:r>
        <w:rPr>
          <w:rFonts w:hint="eastAsia"/>
        </w:rPr>
        <w:t>供水安全保障</w:t>
      </w:r>
    </w:p>
    <w:p>
      <w:pPr>
        <w:rPr>
          <w:highlight w:val="yellow"/>
        </w:rPr>
      </w:pPr>
      <w:r>
        <w:rPr>
          <w:rFonts w:hint="eastAsia" w:cs="宋体"/>
          <w:szCs w:val="24"/>
        </w:rPr>
        <w:t>建立向供水单位通报应急监测的信息制度，现场应急指挥部在启动预警时第一时间通知岳阳市自来水一厂、岳阳市自来水二厂等供水单位及时采取相应措施。</w:t>
      </w:r>
    </w:p>
    <w:p>
      <w:r>
        <w:rPr>
          <w:rFonts w:hint="eastAsia" w:cs="宋体"/>
          <w:szCs w:val="24"/>
        </w:rPr>
        <w:t>岳阳市自来水一厂、岳阳市自来水二厂等供水单位根据突发环境事件的具体情况，如污染物种类、浓度、可能影响取水口的时间，及时采取处理、低压供水等应急措施，加强进水污染物监测，待水质满足取水要求时恢复正常运营。</w:t>
      </w:r>
    </w:p>
    <w:p>
      <w:r>
        <w:rPr>
          <w:rFonts w:hint="eastAsia" w:cs="宋体"/>
          <w:szCs w:val="24"/>
        </w:rPr>
        <w:t>当进水污染物浓度高、毒性大，水厂处理设施不能满足供水要求时，应使用应急供水车或启动备用水源等设施</w:t>
      </w:r>
      <w:r>
        <w:rPr>
          <w:szCs w:val="24"/>
        </w:rPr>
        <w:t>/</w:t>
      </w:r>
      <w:r>
        <w:rPr>
          <w:rFonts w:hint="eastAsia" w:cs="宋体"/>
          <w:szCs w:val="24"/>
        </w:rPr>
        <w:t>措施保障居民用水。</w:t>
      </w:r>
    </w:p>
    <w:p>
      <w:pPr>
        <w:pStyle w:val="3"/>
        <w:widowControl/>
        <w:rPr>
          <w:color w:val="000000" w:themeColor="text1"/>
          <w:szCs w:val="28"/>
        </w:rPr>
      </w:pPr>
      <w:bookmarkStart w:id="117" w:name="_Toc535851315"/>
      <w:r>
        <w:rPr>
          <w:rFonts w:hint="eastAsia"/>
          <w:color w:val="000000" w:themeColor="text1"/>
          <w:szCs w:val="28"/>
        </w:rPr>
        <w:t>3.7物资调集及应急设施启用</w:t>
      </w:r>
      <w:bookmarkEnd w:id="117"/>
    </w:p>
    <w:p>
      <w:pPr>
        <w:pStyle w:val="4"/>
        <w:ind w:firstLine="480"/>
        <w:rPr>
          <w:color w:val="000000" w:themeColor="text1"/>
          <w:szCs w:val="28"/>
        </w:rPr>
      </w:pPr>
      <w:r>
        <w:rPr>
          <w:rFonts w:hint="eastAsia"/>
          <w:color w:val="000000" w:themeColor="text1"/>
          <w:szCs w:val="28"/>
        </w:rPr>
        <w:t xml:space="preserve">应急物资调集及应急设施启用由市铁山局负责，调用的应急物资主要包括以下内容。 </w:t>
      </w:r>
    </w:p>
    <w:p>
      <w:pPr>
        <w:pStyle w:val="4"/>
        <w:ind w:firstLine="480"/>
        <w:rPr>
          <w:color w:val="000000" w:themeColor="text1"/>
          <w:szCs w:val="28"/>
        </w:rPr>
      </w:pPr>
      <w:r>
        <w:rPr>
          <w:rFonts w:hint="eastAsia"/>
          <w:color w:val="000000" w:themeColor="text1"/>
          <w:szCs w:val="28"/>
        </w:rPr>
        <w:t>（1）对水体内污染物进行打捞和拦截的物资，如救援打捞设备、吸油棉、围油栏等。</w:t>
      </w:r>
    </w:p>
    <w:p>
      <w:pPr>
        <w:pStyle w:val="4"/>
        <w:ind w:firstLine="480"/>
        <w:rPr>
          <w:color w:val="000000" w:themeColor="text1"/>
          <w:szCs w:val="28"/>
        </w:rPr>
      </w:pPr>
      <w:r>
        <w:rPr>
          <w:rFonts w:hint="eastAsia"/>
          <w:color w:val="000000" w:themeColor="text1"/>
          <w:szCs w:val="28"/>
        </w:rPr>
        <w:t>（2）控制和消除污染物的物资、装备和设施，如</w:t>
      </w:r>
      <w:r>
        <w:rPr>
          <w:rFonts w:hint="eastAsia"/>
          <w:szCs w:val="24"/>
        </w:rPr>
        <w:t>如中和剂、灭火剂、解毒剂、吸收剂等。</w:t>
      </w:r>
    </w:p>
    <w:p>
      <w:pPr>
        <w:pStyle w:val="4"/>
        <w:ind w:firstLine="480"/>
        <w:rPr>
          <w:color w:val="000000" w:themeColor="text1"/>
          <w:szCs w:val="28"/>
        </w:rPr>
      </w:pPr>
      <w:r>
        <w:rPr>
          <w:rFonts w:hint="eastAsia"/>
          <w:color w:val="000000" w:themeColor="text1"/>
          <w:szCs w:val="28"/>
        </w:rPr>
        <w:t>（3）移除和拦截移动源的装备和设施，如吊车、临时围堰、导流槽、应急池等。</w:t>
      </w:r>
    </w:p>
    <w:p>
      <w:r>
        <w:rPr>
          <w:rFonts w:hint="eastAsia" w:cs="宋体"/>
          <w:szCs w:val="24"/>
        </w:rPr>
        <w:t>（</w:t>
      </w:r>
      <w:r>
        <w:rPr>
          <w:szCs w:val="24"/>
        </w:rPr>
        <w:t>4</w:t>
      </w:r>
      <w:r>
        <w:rPr>
          <w:rFonts w:hint="eastAsia" w:cs="宋体"/>
          <w:szCs w:val="24"/>
        </w:rPr>
        <w:t>）库区垃圾清运和拦截的装备和设施，如格栅、清运车、临时设置的导流槽等。</w:t>
      </w:r>
    </w:p>
    <w:p>
      <w:r>
        <w:rPr>
          <w:rFonts w:hint="eastAsia" w:cs="宋体"/>
          <w:szCs w:val="24"/>
        </w:rPr>
        <w:t>（</w:t>
      </w:r>
      <w:r>
        <w:rPr>
          <w:szCs w:val="24"/>
        </w:rPr>
        <w:t>5</w:t>
      </w:r>
      <w:r>
        <w:rPr>
          <w:rFonts w:hint="eastAsia" w:cs="宋体"/>
          <w:szCs w:val="24"/>
        </w:rPr>
        <w:t>）针对水华灾害，消除有毒有害物质产生条件、清除藻类的物资、装备和设施，如增氧机、除草船等。</w:t>
      </w:r>
    </w:p>
    <w:p>
      <w:pPr>
        <w:pStyle w:val="4"/>
        <w:ind w:firstLine="480"/>
        <w:rPr>
          <w:color w:val="000000" w:themeColor="text1"/>
          <w:szCs w:val="28"/>
        </w:rPr>
      </w:pPr>
      <w:r>
        <w:rPr>
          <w:rFonts w:hint="eastAsia"/>
          <w:color w:val="000000" w:themeColor="text1"/>
          <w:szCs w:val="28"/>
        </w:rPr>
        <w:t>（6）对污染物进行拦截、导流、分流等应急工程设施；如撞拦截坝、节制闸、导流渠等。</w:t>
      </w:r>
    </w:p>
    <w:p>
      <w:pPr>
        <w:pStyle w:val="3"/>
        <w:widowControl/>
        <w:rPr>
          <w:color w:val="000000" w:themeColor="text1"/>
          <w:szCs w:val="28"/>
        </w:rPr>
      </w:pPr>
      <w:bookmarkStart w:id="118" w:name="_Toc535851316"/>
      <w:r>
        <w:rPr>
          <w:rFonts w:hint="eastAsia"/>
          <w:color w:val="000000" w:themeColor="text1"/>
          <w:szCs w:val="28"/>
        </w:rPr>
        <w:t>3.8舆情监测与信息发布</w:t>
      </w:r>
      <w:bookmarkEnd w:id="118"/>
    </w:p>
    <w:p>
      <w:r>
        <w:t>（1）</w:t>
      </w:r>
      <w:r>
        <w:rPr>
          <w:rFonts w:hint="eastAsia"/>
        </w:rPr>
        <w:t>岳阳市人民政府</w:t>
      </w:r>
      <w:r>
        <w:t>在应急响应的同时应当及时向毗邻和可能波及或影响的周围</w:t>
      </w:r>
      <w:r>
        <w:rPr>
          <w:rFonts w:hint="eastAsia"/>
        </w:rPr>
        <w:t>县、市</w:t>
      </w:r>
      <w:r>
        <w:t>通报突发环境事件情况。</w:t>
      </w:r>
    </w:p>
    <w:p>
      <w:r>
        <w:t>（2）各级政府及其有关部门接到突发环境事件通报后，应当及时通知本行政区域内有关部门和单位采取必要措施，防止和控制事件蔓延。</w:t>
      </w:r>
    </w:p>
    <w:p>
      <w:r>
        <w:t>（3）</w:t>
      </w:r>
      <w:r>
        <w:rPr>
          <w:rFonts w:hint="eastAsia"/>
        </w:rPr>
        <w:t>现场环境应急救援指挥部</w:t>
      </w:r>
      <w:r>
        <w:t>应及时向有关</w:t>
      </w:r>
      <w:r>
        <w:rPr>
          <w:rFonts w:hint="eastAsia"/>
        </w:rPr>
        <w:t>部门、事发地及周边县、市、乡镇</w:t>
      </w:r>
      <w:r>
        <w:t>通报突发环境事件有关情况</w:t>
      </w:r>
      <w:r>
        <w:rPr>
          <w:rFonts w:hint="eastAsia"/>
        </w:rPr>
        <w:t>，包括事件原因、影响区域、已采取的措施及成效、公众应注意的防范措施、热线电话等</w:t>
      </w:r>
      <w:r>
        <w:t>。</w:t>
      </w:r>
    </w:p>
    <w:p>
      <w:pPr>
        <w:pStyle w:val="3"/>
        <w:widowControl/>
        <w:rPr>
          <w:color w:val="000000" w:themeColor="text1"/>
          <w:szCs w:val="28"/>
        </w:rPr>
      </w:pPr>
      <w:bookmarkStart w:id="119" w:name="_Toc535851317"/>
      <w:r>
        <w:rPr>
          <w:rFonts w:hint="eastAsia"/>
          <w:color w:val="000000" w:themeColor="text1"/>
          <w:szCs w:val="28"/>
        </w:rPr>
        <w:t>3.9响应终止</w:t>
      </w:r>
      <w:bookmarkEnd w:id="119"/>
    </w:p>
    <w:p>
      <w:pPr>
        <w:pStyle w:val="5"/>
      </w:pPr>
      <w:bookmarkStart w:id="120" w:name="_Toc10896"/>
      <w:bookmarkStart w:id="121" w:name="_Toc2888"/>
      <w:bookmarkStart w:id="122" w:name="_Toc22200"/>
      <w:bookmarkStart w:id="123" w:name="_Toc964"/>
      <w:bookmarkStart w:id="124" w:name="_Toc22523"/>
      <w:bookmarkStart w:id="125" w:name="_Toc3770"/>
      <w:r>
        <w:rPr>
          <w:rFonts w:hint="eastAsia"/>
        </w:rPr>
        <w:t>3.9</w:t>
      </w:r>
      <w:r>
        <w:t>.1 应急终止条件</w:t>
      </w:r>
      <w:bookmarkEnd w:id="120"/>
      <w:bookmarkEnd w:id="121"/>
      <w:bookmarkEnd w:id="122"/>
      <w:bookmarkEnd w:id="123"/>
      <w:bookmarkEnd w:id="124"/>
      <w:bookmarkEnd w:id="125"/>
    </w:p>
    <w:p>
      <w:r>
        <w:rPr>
          <w:rFonts w:hint="eastAsia" w:cs="宋体"/>
          <w:szCs w:val="24"/>
        </w:rPr>
        <w:t>由现场应急指挥部总指挥根据突发环境事件的发展、已采取应急措施的效果、专家研判结论等情况确定是否可以发布应急响应终止信息。</w:t>
      </w:r>
    </w:p>
    <w:p>
      <w:r>
        <w:rPr>
          <w:rFonts w:hint="eastAsia" w:cs="宋体"/>
          <w:szCs w:val="24"/>
        </w:rPr>
        <w:t>符合下列情形之一的，可终止应急响应：</w:t>
      </w:r>
    </w:p>
    <w:p>
      <w:r>
        <w:rPr>
          <w:rFonts w:hint="eastAsia" w:cs="宋体"/>
          <w:szCs w:val="24"/>
        </w:rPr>
        <w:t>（</w:t>
      </w:r>
      <w:r>
        <w:rPr>
          <w:szCs w:val="24"/>
        </w:rPr>
        <w:t>1</w:t>
      </w:r>
      <w:r>
        <w:rPr>
          <w:rFonts w:hint="eastAsia" w:cs="宋体"/>
          <w:szCs w:val="24"/>
        </w:rPr>
        <w:t>）进入水源保护区陆域范围的污染物已成功围堵，且清运至水源保护区外，未向水域扩散时。</w:t>
      </w:r>
    </w:p>
    <w:p>
      <w:r>
        <w:rPr>
          <w:rFonts w:hint="eastAsia" w:cs="宋体"/>
          <w:szCs w:val="24"/>
        </w:rPr>
        <w:t>（</w:t>
      </w:r>
      <w:r>
        <w:rPr>
          <w:szCs w:val="24"/>
        </w:rPr>
        <w:t>2</w:t>
      </w:r>
      <w:r>
        <w:rPr>
          <w:rFonts w:hint="eastAsia" w:cs="宋体"/>
          <w:szCs w:val="24"/>
        </w:rPr>
        <w:t>）进入水源保护区水域范围的污染团已成功拦截或导流至水源保护区外，没有向取水口扩散的风险，且水质监测结果稳定达标。</w:t>
      </w:r>
    </w:p>
    <w:p>
      <w:r>
        <w:rPr>
          <w:rFonts w:hint="eastAsia" w:cs="宋体"/>
          <w:szCs w:val="24"/>
        </w:rPr>
        <w:t>（</w:t>
      </w:r>
      <w:r>
        <w:rPr>
          <w:szCs w:val="24"/>
        </w:rPr>
        <w:t>3</w:t>
      </w:r>
      <w:r>
        <w:rPr>
          <w:rFonts w:hint="eastAsia" w:cs="宋体"/>
          <w:szCs w:val="24"/>
        </w:rPr>
        <w:t>）水质监测结果尚未稳定达标，但根据应急专家组建议可恢复正常取水时。</w:t>
      </w:r>
    </w:p>
    <w:p>
      <w:pPr>
        <w:pStyle w:val="5"/>
      </w:pPr>
      <w:bookmarkStart w:id="126" w:name="_Toc23753"/>
      <w:bookmarkStart w:id="127" w:name="_Toc30567"/>
      <w:bookmarkStart w:id="128" w:name="_Toc10743"/>
      <w:bookmarkStart w:id="129" w:name="_Toc23529"/>
      <w:bookmarkStart w:id="130" w:name="_Toc7736"/>
      <w:bookmarkStart w:id="131" w:name="_Toc16218"/>
      <w:r>
        <w:rPr>
          <w:rFonts w:hint="eastAsia"/>
        </w:rPr>
        <w:t>3.9</w:t>
      </w:r>
      <w:r>
        <w:t>.2 应急终止程序</w:t>
      </w:r>
      <w:bookmarkEnd w:id="126"/>
      <w:bookmarkEnd w:id="127"/>
      <w:bookmarkEnd w:id="128"/>
      <w:bookmarkEnd w:id="129"/>
      <w:bookmarkEnd w:id="130"/>
      <w:bookmarkEnd w:id="131"/>
    </w:p>
    <w:p>
      <w:r>
        <w:t>（1）现场环境应急救援指挥部确认终止时机，经专家组评估确认后，经现场环境应急救援指挥部批准；</w:t>
      </w:r>
    </w:p>
    <w:p>
      <w:r>
        <w:t>（2）现场环境应急救援指挥部向所属各专业应急救援队伍下达应急终止命令；</w:t>
      </w:r>
    </w:p>
    <w:p>
      <w:r>
        <w:t>（3）应急状态终止后，相关类别环境事件专业应急救援队伍应根据现场环境应急救援指挥部指挥长有关指示和现场实际情况，继续进行环境监测和评价工作，直至其他补救措施无需继续进行为止。</w:t>
      </w:r>
    </w:p>
    <w:bookmarkEnd w:id="83"/>
    <w:bookmarkEnd w:id="84"/>
    <w:bookmarkEnd w:id="85"/>
    <w:bookmarkEnd w:id="86"/>
    <w:bookmarkEnd w:id="87"/>
    <w:bookmarkEnd w:id="88"/>
    <w:bookmarkEnd w:id="89"/>
    <w:bookmarkEnd w:id="90"/>
    <w:bookmarkEnd w:id="91"/>
    <w:bookmarkEnd w:id="92"/>
    <w:bookmarkEnd w:id="93"/>
    <w:bookmarkEnd w:id="94"/>
    <w:p>
      <w:pPr>
        <w:widowControl/>
        <w:spacing w:line="240" w:lineRule="auto"/>
        <w:ind w:firstLine="0" w:firstLineChars="0"/>
        <w:jc w:val="left"/>
        <w:rPr>
          <w:color w:val="000000" w:themeColor="text1"/>
        </w:rPr>
      </w:pPr>
      <w:r>
        <w:rPr>
          <w:color w:val="000000" w:themeColor="text1"/>
        </w:rPr>
        <w:br w:type="page"/>
      </w:r>
    </w:p>
    <w:p>
      <w:pPr>
        <w:pStyle w:val="2"/>
        <w:adjustRightInd w:val="0"/>
        <w:spacing w:before="0" w:after="0" w:line="360" w:lineRule="auto"/>
        <w:ind w:firstLine="643"/>
        <w:jc w:val="center"/>
        <w:rPr>
          <w:color w:val="000000" w:themeColor="text1"/>
          <w:sz w:val="32"/>
          <w:szCs w:val="32"/>
        </w:rPr>
      </w:pPr>
      <w:bookmarkStart w:id="132" w:name="_Toc26344"/>
      <w:bookmarkStart w:id="133" w:name="_Toc485201103"/>
      <w:bookmarkStart w:id="134" w:name="_Toc8974"/>
      <w:bookmarkStart w:id="135" w:name="_Toc5105"/>
      <w:bookmarkStart w:id="136" w:name="_Toc10272"/>
      <w:bookmarkStart w:id="137" w:name="_Toc27477"/>
      <w:bookmarkStart w:id="138" w:name="_Toc16882"/>
      <w:bookmarkStart w:id="139" w:name="_Toc980"/>
      <w:bookmarkStart w:id="140" w:name="_Toc2396"/>
      <w:bookmarkStart w:id="141" w:name="_Toc1951"/>
      <w:bookmarkStart w:id="142" w:name="_Toc482605500"/>
      <w:bookmarkStart w:id="143" w:name="_Toc1698"/>
      <w:bookmarkStart w:id="144" w:name="_Toc535851318"/>
      <w:r>
        <w:rPr>
          <w:rFonts w:hint="eastAsia"/>
          <w:color w:val="000000" w:themeColor="text1"/>
          <w:sz w:val="32"/>
          <w:szCs w:val="32"/>
        </w:rPr>
        <w:t>4后期</w:t>
      </w:r>
      <w:bookmarkEnd w:id="132"/>
      <w:bookmarkEnd w:id="133"/>
      <w:bookmarkEnd w:id="134"/>
      <w:bookmarkEnd w:id="135"/>
      <w:bookmarkEnd w:id="136"/>
      <w:bookmarkEnd w:id="137"/>
      <w:bookmarkEnd w:id="138"/>
      <w:bookmarkEnd w:id="139"/>
      <w:bookmarkEnd w:id="140"/>
      <w:bookmarkEnd w:id="141"/>
      <w:bookmarkEnd w:id="142"/>
      <w:bookmarkEnd w:id="143"/>
      <w:r>
        <w:rPr>
          <w:rFonts w:hint="eastAsia"/>
          <w:color w:val="000000" w:themeColor="text1"/>
          <w:sz w:val="32"/>
          <w:szCs w:val="32"/>
        </w:rPr>
        <w:t>工作</w:t>
      </w:r>
      <w:bookmarkEnd w:id="144"/>
    </w:p>
    <w:p>
      <w:pPr>
        <w:pStyle w:val="3"/>
        <w:widowControl/>
        <w:adjustRightInd w:val="0"/>
        <w:rPr>
          <w:color w:val="000000" w:themeColor="text1"/>
          <w:szCs w:val="28"/>
        </w:rPr>
      </w:pPr>
      <w:bookmarkStart w:id="145" w:name="_Toc535851319"/>
      <w:bookmarkStart w:id="146" w:name="_Toc13038"/>
      <w:bookmarkStart w:id="147" w:name="_Toc18566"/>
      <w:bookmarkStart w:id="148" w:name="_Toc485201104"/>
      <w:bookmarkStart w:id="149" w:name="_Toc6840"/>
      <w:bookmarkStart w:id="150" w:name="_Toc31558"/>
      <w:bookmarkStart w:id="151" w:name="_Toc17233"/>
      <w:bookmarkStart w:id="152" w:name="_Toc23525"/>
      <w:bookmarkStart w:id="153" w:name="_Toc3425"/>
      <w:bookmarkStart w:id="154" w:name="_Toc27110"/>
      <w:bookmarkStart w:id="155" w:name="_Toc17932"/>
      <w:bookmarkStart w:id="156" w:name="_Toc21250"/>
      <w:bookmarkStart w:id="157" w:name="_Toc482605501"/>
      <w:bookmarkStart w:id="158" w:name="_Toc12491"/>
      <w:r>
        <w:rPr>
          <w:rFonts w:hint="eastAsia"/>
          <w:color w:val="000000" w:themeColor="text1"/>
          <w:szCs w:val="28"/>
        </w:rPr>
        <w:t>4.1后期防控</w:t>
      </w:r>
      <w:bookmarkEnd w:id="145"/>
    </w:p>
    <w:p>
      <w:r>
        <w:rPr>
          <w:rFonts w:hint="eastAsia"/>
          <w:color w:val="000000" w:themeColor="text1"/>
          <w:szCs w:val="28"/>
        </w:rPr>
        <w:t>响应终止后，应急指挥机构应进行后期污染监测和治理，</w:t>
      </w:r>
      <w:r>
        <w:rPr>
          <w:rFonts w:hint="eastAsia"/>
        </w:rPr>
        <w:t>消除投放药剂的残留毒性和后期效应，防止次生突发环境事件；事故场地及漫延区域的污染物清除完成后，对土壤或水生态系统进行修复；部分污染物导流到水源地下游或其他区域，对这些区域的污染物进行清除等。</w:t>
      </w:r>
    </w:p>
    <w:p>
      <w:pPr>
        <w:pStyle w:val="3"/>
        <w:widowControl/>
        <w:adjustRightInd w:val="0"/>
        <w:rPr>
          <w:color w:val="000000" w:themeColor="text1"/>
          <w:szCs w:val="28"/>
        </w:rPr>
      </w:pPr>
      <w:bookmarkStart w:id="159" w:name="_Toc535851320"/>
      <w:r>
        <w:rPr>
          <w:rFonts w:hint="eastAsia"/>
          <w:color w:val="000000" w:themeColor="text1"/>
          <w:szCs w:val="28"/>
        </w:rPr>
        <w:t>4.2事件调查</w:t>
      </w:r>
      <w:bookmarkEnd w:id="159"/>
    </w:p>
    <w:p>
      <w:r>
        <w:rPr>
          <w:rFonts w:hint="eastAsia" w:cs="宋体"/>
          <w:szCs w:val="24"/>
        </w:rPr>
        <w:t>突发环境事件发生后，由调查组对</w:t>
      </w:r>
      <w:r>
        <w:rPr>
          <w:rFonts w:hint="eastAsia"/>
        </w:rPr>
        <w:t>岳阳市饮用水源保护区（铁山水库-北干渠-金凤水库）</w:t>
      </w:r>
      <w:r>
        <w:rPr>
          <w:rFonts w:hint="eastAsia" w:cs="宋体"/>
          <w:szCs w:val="24"/>
        </w:rPr>
        <w:t>突发环境事件的原因、经过、性质及责任进行调查。调查组由岳阳市环保局会同岳阳市纪检监察部门、市水务局、市疾控中心等相关部门组成。</w:t>
      </w:r>
    </w:p>
    <w:p>
      <w:r>
        <w:rPr>
          <w:rFonts w:hint="eastAsia" w:cs="宋体"/>
          <w:szCs w:val="24"/>
        </w:rPr>
        <w:t>（</w:t>
      </w:r>
      <w:r>
        <w:rPr>
          <w:szCs w:val="24"/>
        </w:rPr>
        <w:t>1</w:t>
      </w:r>
      <w:r>
        <w:rPr>
          <w:rFonts w:hint="eastAsia" w:cs="宋体"/>
          <w:szCs w:val="24"/>
        </w:rPr>
        <w:t>）事件调查。查明事件发生的直接和间接原因，事件发生的过程、损失情况等，并查明</w:t>
      </w:r>
      <w:r>
        <w:rPr>
          <w:rFonts w:hint="eastAsia"/>
        </w:rPr>
        <w:t>岳阳市饮用水源保护区（铁山水库-北干渠-金凤水库）</w:t>
      </w:r>
      <w:r>
        <w:rPr>
          <w:rFonts w:hint="eastAsia" w:cs="宋体"/>
          <w:szCs w:val="24"/>
        </w:rPr>
        <w:t>范围内的肇事单位、市环保局及地方政府其他有关部门在项目立项审批、生产经营过程中污染防治、日常监督管理、饮用水安全保障以及事件发生后应急处置过程中责任履行情况。根据调查资料和事件回放情况，调查组集体对事件进行定性。</w:t>
      </w:r>
    </w:p>
    <w:p>
      <w:r>
        <w:rPr>
          <w:rFonts w:hint="eastAsia" w:cs="宋体"/>
          <w:szCs w:val="24"/>
        </w:rPr>
        <w:t>（</w:t>
      </w:r>
      <w:r>
        <w:rPr>
          <w:szCs w:val="24"/>
        </w:rPr>
        <w:t>2</w:t>
      </w:r>
      <w:r>
        <w:rPr>
          <w:rFonts w:hint="eastAsia" w:cs="宋体"/>
          <w:szCs w:val="24"/>
        </w:rPr>
        <w:t>）责任追究。对于违反党纪政要的行为，由纪检监察部门就相关责任追究提出决定或建议；对于违法行为，由有关部门予以行政处罚；涉嫌犯罪的，移交司法机关追究刑事责任。</w:t>
      </w:r>
    </w:p>
    <w:p>
      <w:pPr>
        <w:widowControl/>
        <w:jc w:val="left"/>
      </w:pPr>
      <w:r>
        <w:rPr>
          <w:rFonts w:hint="eastAsia"/>
          <w:szCs w:val="24"/>
        </w:rPr>
        <w:t>（</w:t>
      </w:r>
      <w:r>
        <w:rPr>
          <w:szCs w:val="24"/>
        </w:rPr>
        <w:t>3</w:t>
      </w:r>
      <w:r>
        <w:rPr>
          <w:rFonts w:hint="eastAsia"/>
          <w:szCs w:val="24"/>
        </w:rPr>
        <w:t>）调查报告。事件调查应形成调查报告，报告应包括事件起因、性质、损失、改进措施建议、责任认定和对责任者的处理意见等内容。</w:t>
      </w:r>
    </w:p>
    <w:p>
      <w:pPr>
        <w:pStyle w:val="3"/>
        <w:widowControl/>
        <w:adjustRightInd w:val="0"/>
        <w:rPr>
          <w:color w:val="000000" w:themeColor="text1"/>
          <w:szCs w:val="28"/>
        </w:rPr>
      </w:pPr>
      <w:bookmarkStart w:id="160" w:name="_Toc535851321"/>
      <w:r>
        <w:rPr>
          <w:rFonts w:hint="eastAsia"/>
          <w:color w:val="000000" w:themeColor="text1"/>
          <w:szCs w:val="28"/>
        </w:rPr>
        <w:t>4.3损害评估</w:t>
      </w:r>
      <w:bookmarkEnd w:id="160"/>
    </w:p>
    <w:p>
      <w:r>
        <w:rPr>
          <w:rFonts w:hint="eastAsia" w:cs="宋体"/>
          <w:szCs w:val="24"/>
          <w:lang w:val="zh-CN"/>
        </w:rPr>
        <w:t>（</w:t>
      </w:r>
      <w:r>
        <w:rPr>
          <w:szCs w:val="24"/>
        </w:rPr>
        <w:t>1</w:t>
      </w:r>
      <w:r>
        <w:rPr>
          <w:rFonts w:hint="eastAsia" w:cs="宋体"/>
          <w:szCs w:val="24"/>
          <w:lang w:val="zh-CN"/>
        </w:rPr>
        <w:t>）评估组织。评估工作由市应急指挥机构组织具备一定环境科学、环境经济和水质安全防控等学科背景的专业组织或机构开展。环保部门局配合提供事件应急处置和事件损害基本信息，配合做好与其他相关部门的协调工作。</w:t>
      </w:r>
    </w:p>
    <w:p>
      <w:r>
        <w:rPr>
          <w:rFonts w:hint="eastAsia" w:cs="宋体"/>
          <w:szCs w:val="24"/>
        </w:rPr>
        <w:t>（</w:t>
      </w:r>
      <w:r>
        <w:rPr>
          <w:szCs w:val="24"/>
        </w:rPr>
        <w:t>2</w:t>
      </w:r>
      <w:r>
        <w:rPr>
          <w:rFonts w:hint="eastAsia" w:cs="宋体"/>
          <w:szCs w:val="24"/>
        </w:rPr>
        <w:t>）开展评估。评估组织或机构应制定详细的评估工作计划，重点开展饮用水突发环境事件处置效果、事件影响以及污染修复方案的评估，分类统计突发事件造成的财产损害、事件应急处置费用、水源地环境修复费用等，综合分析水源地再次利用方案，科学量化事件造成的损失数额。</w:t>
      </w:r>
    </w:p>
    <w:p>
      <w:r>
        <w:rPr>
          <w:rFonts w:hint="eastAsia" w:cs="宋体"/>
          <w:szCs w:val="24"/>
        </w:rPr>
        <w:t>（</w:t>
      </w:r>
      <w:r>
        <w:rPr>
          <w:szCs w:val="24"/>
        </w:rPr>
        <w:t>3</w:t>
      </w:r>
      <w:r>
        <w:rPr>
          <w:rFonts w:hint="eastAsia" w:cs="宋体"/>
          <w:szCs w:val="24"/>
        </w:rPr>
        <w:t>）评估报告。评估组织或机构向应急指挥机构出具评估报告。通过科学评估，为及时消除污染隐患、恢复水源水质、尽快实现正常取水供水提供保障。</w:t>
      </w:r>
    </w:p>
    <w:p>
      <w:pPr>
        <w:pStyle w:val="3"/>
        <w:widowControl/>
        <w:adjustRightInd w:val="0"/>
        <w:rPr>
          <w:color w:val="000000" w:themeColor="text1"/>
          <w:szCs w:val="28"/>
        </w:rPr>
      </w:pPr>
      <w:bookmarkStart w:id="161" w:name="_Toc535851322"/>
      <w:r>
        <w:rPr>
          <w:rFonts w:hint="eastAsia"/>
          <w:color w:val="000000" w:themeColor="text1"/>
          <w:szCs w:val="28"/>
        </w:rPr>
        <w:t>4.4善后处置</w:t>
      </w:r>
      <w:bookmarkEnd w:id="161"/>
    </w:p>
    <w:p>
      <w:r>
        <w:t>（1）在</w:t>
      </w:r>
      <w:r>
        <w:rPr>
          <w:rFonts w:hint="eastAsia"/>
        </w:rPr>
        <w:t>应急指挥机构</w:t>
      </w:r>
      <w:r>
        <w:t>统一领导下，由有关部门负责组织实施善后处置工作，组织有关专家对受灾范围进行科学评估，提出补偿和对遭受污染的生态环境进行恢复和监管的建议。</w:t>
      </w:r>
    </w:p>
    <w:p>
      <w:r>
        <w:t>（2）参加应急行动的部门负责组织、指导环境应急队伍维护、保养应急仪器设备，使之始终保持良好的技术状态。</w:t>
      </w:r>
    </w:p>
    <w:p>
      <w:pPr>
        <w:rPr>
          <w:b/>
          <w:bCs/>
          <w:color w:val="000000" w:themeColor="text1"/>
          <w:szCs w:val="28"/>
        </w:rPr>
      </w:pPr>
      <w:r>
        <w:t>（3）继续跟踪</w:t>
      </w:r>
      <w:r>
        <w:rPr>
          <w:rFonts w:hint="eastAsia"/>
        </w:rPr>
        <w:t>岳阳市饮用水源保护区（铁山水库-北干渠-金凤水库）</w:t>
      </w:r>
      <w:r>
        <w:t>水质的监测，及时掌握情况，做好处置。</w:t>
      </w:r>
    </w:p>
    <w:p>
      <w:pPr>
        <w:pStyle w:val="3"/>
        <w:widowControl/>
        <w:adjustRightInd w:val="0"/>
        <w:rPr>
          <w:color w:val="000000" w:themeColor="text1"/>
          <w:szCs w:val="28"/>
        </w:rPr>
      </w:pPr>
    </w:p>
    <w:bookmarkEnd w:id="146"/>
    <w:bookmarkEnd w:id="147"/>
    <w:bookmarkEnd w:id="148"/>
    <w:bookmarkEnd w:id="149"/>
    <w:bookmarkEnd w:id="150"/>
    <w:bookmarkEnd w:id="151"/>
    <w:bookmarkEnd w:id="152"/>
    <w:bookmarkEnd w:id="153"/>
    <w:bookmarkEnd w:id="154"/>
    <w:bookmarkEnd w:id="155"/>
    <w:bookmarkEnd w:id="156"/>
    <w:bookmarkEnd w:id="157"/>
    <w:bookmarkEnd w:id="158"/>
    <w:p>
      <w:pPr>
        <w:pStyle w:val="32"/>
        <w:adjustRightInd w:val="0"/>
        <w:spacing w:before="0" w:beforeAutospacing="0" w:after="0" w:afterAutospacing="0" w:line="360" w:lineRule="auto"/>
        <w:ind w:firstLine="480" w:firstLineChars="200"/>
        <w:rPr>
          <w:color w:val="000000" w:themeColor="text1"/>
        </w:rPr>
      </w:pPr>
      <w:r>
        <w:rPr>
          <w:color w:val="000000" w:themeColor="text1"/>
        </w:rPr>
        <w:br w:type="page"/>
      </w:r>
    </w:p>
    <w:p>
      <w:pPr>
        <w:pStyle w:val="2"/>
        <w:spacing w:before="0" w:after="0" w:line="360" w:lineRule="auto"/>
        <w:ind w:firstLine="643"/>
        <w:jc w:val="center"/>
        <w:rPr>
          <w:color w:val="000000" w:themeColor="text1"/>
          <w:sz w:val="32"/>
          <w:szCs w:val="32"/>
        </w:rPr>
      </w:pPr>
      <w:bookmarkStart w:id="162" w:name="_Toc304816388"/>
      <w:bookmarkStart w:id="163" w:name="_Toc3563"/>
      <w:bookmarkStart w:id="164" w:name="_Toc416936729"/>
      <w:bookmarkStart w:id="165" w:name="_Toc4981"/>
      <w:bookmarkStart w:id="166" w:name="_Toc9707"/>
      <w:bookmarkStart w:id="167" w:name="_Toc2472"/>
      <w:bookmarkStart w:id="168" w:name="_Toc15836"/>
      <w:bookmarkStart w:id="169" w:name="_Toc482605503"/>
      <w:bookmarkStart w:id="170" w:name="_Toc485201106"/>
      <w:bookmarkStart w:id="171" w:name="_Toc535851323"/>
      <w:r>
        <w:rPr>
          <w:rFonts w:hint="eastAsia"/>
          <w:color w:val="000000" w:themeColor="text1"/>
          <w:sz w:val="32"/>
          <w:szCs w:val="32"/>
        </w:rPr>
        <w:t>5</w:t>
      </w:r>
      <w:r>
        <w:rPr>
          <w:color w:val="000000" w:themeColor="text1"/>
          <w:sz w:val="32"/>
          <w:szCs w:val="32"/>
        </w:rPr>
        <w:t xml:space="preserve"> 应急保障</w:t>
      </w:r>
      <w:bookmarkEnd w:id="162"/>
      <w:bookmarkEnd w:id="163"/>
      <w:bookmarkEnd w:id="164"/>
      <w:bookmarkEnd w:id="165"/>
      <w:bookmarkEnd w:id="166"/>
      <w:bookmarkEnd w:id="167"/>
      <w:bookmarkEnd w:id="168"/>
      <w:bookmarkEnd w:id="169"/>
      <w:bookmarkEnd w:id="170"/>
      <w:bookmarkEnd w:id="171"/>
    </w:p>
    <w:p>
      <w:pPr>
        <w:pStyle w:val="3"/>
        <w:widowControl/>
        <w:rPr>
          <w:color w:val="000000" w:themeColor="text1"/>
          <w:szCs w:val="28"/>
        </w:rPr>
      </w:pPr>
      <w:bookmarkStart w:id="172" w:name="_Toc535851324"/>
      <w:bookmarkStart w:id="173" w:name="_Toc416936730"/>
      <w:bookmarkStart w:id="174" w:name="_Toc4589"/>
      <w:bookmarkStart w:id="175" w:name="_Toc10096"/>
      <w:bookmarkStart w:id="176" w:name="_Toc485201107"/>
      <w:bookmarkStart w:id="177" w:name="_Toc482605504"/>
      <w:bookmarkStart w:id="178" w:name="_Toc10618"/>
      <w:bookmarkStart w:id="179" w:name="_Toc28495"/>
      <w:bookmarkStart w:id="180" w:name="_Toc23416"/>
      <w:r>
        <w:rPr>
          <w:rFonts w:hint="eastAsia"/>
          <w:color w:val="000000" w:themeColor="text1"/>
          <w:szCs w:val="28"/>
        </w:rPr>
        <w:t>5.1通讯与信息保障</w:t>
      </w:r>
      <w:bookmarkEnd w:id="172"/>
    </w:p>
    <w:p>
      <w:r>
        <w:t>应急队伍相关人员熟悉应急参与部门、人员的联系方式，以及能快速通知上级应急单位和外部应急机构的通讯信息，通过手机及内部电话通讯。当应急队伍的相关人员联系方式有变更时，应及时通知其他应急小组人员，并更新预案文本里的联系方式，确保通讯无阻。值班室人员及各小组负责人的电话保持24小时开机。</w:t>
      </w:r>
    </w:p>
    <w:p>
      <w:pPr>
        <w:pStyle w:val="3"/>
        <w:widowControl/>
        <w:rPr>
          <w:color w:val="000000" w:themeColor="text1"/>
          <w:szCs w:val="28"/>
        </w:rPr>
      </w:pPr>
      <w:bookmarkStart w:id="181" w:name="_Toc535851325"/>
      <w:r>
        <w:rPr>
          <w:rFonts w:hint="eastAsia"/>
          <w:color w:val="000000" w:themeColor="text1"/>
          <w:szCs w:val="28"/>
        </w:rPr>
        <w:t>5.2应急队伍保障</w:t>
      </w:r>
      <w:bookmarkEnd w:id="181"/>
    </w:p>
    <w:p>
      <w:r>
        <w:rPr>
          <w:rFonts w:hint="eastAsia"/>
        </w:rPr>
        <w:t>岳阳市饮用水源保护区（铁山水库-北干渠-金凤水库）突发环境人力资源保障部门</w:t>
      </w:r>
      <w:r>
        <w:t>由</w:t>
      </w:r>
      <w:r>
        <w:rPr>
          <w:rFonts w:hint="eastAsia"/>
        </w:rPr>
        <w:t>相关专业队伍、单位和部门等组成，并且成立</w:t>
      </w:r>
      <w:r>
        <w:t>应急救援队伍，包括工程技术组、环境监测组、</w:t>
      </w:r>
      <w:r>
        <w:rPr>
          <w:rFonts w:hint="eastAsia"/>
        </w:rPr>
        <w:t>应急处置组、</w:t>
      </w:r>
      <w:r>
        <w:t>安全警戒组、善后处理组等</w:t>
      </w:r>
      <w:r>
        <w:rPr>
          <w:rFonts w:hint="eastAsia"/>
        </w:rPr>
        <w:t>。</w:t>
      </w:r>
      <w:r>
        <w:t>应急</w:t>
      </w:r>
      <w:r>
        <w:rPr>
          <w:rFonts w:hint="eastAsia"/>
        </w:rPr>
        <w:t>救援队伍应经过专业的</w:t>
      </w:r>
      <w:r>
        <w:t>应急救援培训、训练及演练，熟悉环境应急知识，充分掌握各类突发环境事件处置措施的预备应急力量，保证在处置突发环境事件中能迅速参与并完成抢救、排险、消毒、监测等现场处置工作。</w:t>
      </w:r>
    </w:p>
    <w:p>
      <w:pPr>
        <w:pStyle w:val="3"/>
        <w:widowControl/>
        <w:rPr>
          <w:color w:val="000000" w:themeColor="text1"/>
          <w:szCs w:val="28"/>
        </w:rPr>
      </w:pPr>
      <w:bookmarkStart w:id="182" w:name="_Toc535851326"/>
      <w:r>
        <w:rPr>
          <w:rFonts w:hint="eastAsia"/>
          <w:color w:val="000000" w:themeColor="text1"/>
          <w:szCs w:val="28"/>
        </w:rPr>
        <w:t>5.3应急资源保障</w:t>
      </w:r>
      <w:bookmarkEnd w:id="182"/>
    </w:p>
    <w:p>
      <w:r>
        <w:rPr>
          <w:rFonts w:hint="eastAsia"/>
        </w:rPr>
        <w:t>岳阳市人民政府应急办、岳阳市环保局、岳阳市铁山局、岳阳市自来水公司、岳阳市自来水公司第一水厂、岳阳市自来水公司第二水厂等</w:t>
      </w:r>
      <w:r>
        <w:t>相关应急队伍应建立处置</w:t>
      </w:r>
      <w:r>
        <w:rPr>
          <w:rFonts w:hint="eastAsia"/>
        </w:rPr>
        <w:t>岳阳市饮用水源保护区（铁山水库-北干渠-金凤水库）</w:t>
      </w:r>
      <w:r>
        <w:t>突发环境事件的物资储备，增加储备必要的应急处置、快速机动和自身防护装备和物资，维护、保养好应急仪器和设备，保持良好的技术状态，</w:t>
      </w:r>
      <w:r>
        <w:rPr>
          <w:rFonts w:hint="eastAsia"/>
        </w:rPr>
        <w:t>发生事故时，由当应急指挥机构统一对物资进行调配，确保物资及时供应，</w:t>
      </w:r>
      <w:r>
        <w:t>确保参加处置突发环境事件时救助人员的自身安全，及时有效地防止环境污染和扩散。</w:t>
      </w:r>
    </w:p>
    <w:p>
      <w:pPr>
        <w:pStyle w:val="3"/>
        <w:widowControl/>
        <w:rPr>
          <w:color w:val="000000" w:themeColor="text1"/>
          <w:szCs w:val="28"/>
        </w:rPr>
      </w:pPr>
      <w:bookmarkStart w:id="183" w:name="_Toc535851327"/>
      <w:r>
        <w:rPr>
          <w:rFonts w:hint="eastAsia"/>
          <w:color w:val="000000" w:themeColor="text1"/>
          <w:szCs w:val="28"/>
        </w:rPr>
        <w:t>5.4经费保障</w:t>
      </w:r>
      <w:bookmarkEnd w:id="183"/>
    </w:p>
    <w:p>
      <w:r>
        <w:t>根据</w:t>
      </w:r>
      <w:r>
        <w:rPr>
          <w:rFonts w:hint="eastAsia"/>
        </w:rPr>
        <w:t>岳阳市</w:t>
      </w:r>
      <w:r>
        <w:t>饮用水源地突发环境事件应急需要，</w:t>
      </w:r>
      <w:r>
        <w:rPr>
          <w:rFonts w:hint="eastAsia"/>
        </w:rPr>
        <w:t>应急指挥机构</w:t>
      </w:r>
      <w:r>
        <w:t>提出项目支出预算报市、市县两级财政部门审批后执行，市县两级财政部门应保障资金到位。</w:t>
      </w:r>
    </w:p>
    <w:p>
      <w:pPr>
        <w:pStyle w:val="3"/>
        <w:widowControl/>
        <w:rPr>
          <w:color w:val="000000" w:themeColor="text1"/>
          <w:szCs w:val="28"/>
        </w:rPr>
      </w:pPr>
      <w:bookmarkStart w:id="184" w:name="_Toc535851328"/>
      <w:r>
        <w:rPr>
          <w:rFonts w:hint="eastAsia"/>
          <w:color w:val="000000" w:themeColor="text1"/>
          <w:szCs w:val="28"/>
        </w:rPr>
        <w:t>5.5其他保障</w:t>
      </w:r>
      <w:bookmarkEnd w:id="184"/>
    </w:p>
    <w:p>
      <w:r>
        <w:t>（1）交通运输保障：</w:t>
      </w:r>
      <w:r>
        <w:rPr>
          <w:rFonts w:hint="eastAsia"/>
        </w:rPr>
        <w:t>后勤</w:t>
      </w:r>
      <w:r>
        <w:t>保障组确保应急处置车辆</w:t>
      </w:r>
      <w:r>
        <w:rPr>
          <w:rFonts w:hint="eastAsia"/>
        </w:rPr>
        <w:t>、船只</w:t>
      </w:r>
      <w:r>
        <w:t>的落实，加强对应急处置车辆</w:t>
      </w:r>
      <w:r>
        <w:rPr>
          <w:rFonts w:hint="eastAsia"/>
        </w:rPr>
        <w:t>、船只</w:t>
      </w:r>
      <w:r>
        <w:t>的维护和管理，保证紧急情况下车辆</w:t>
      </w:r>
      <w:r>
        <w:rPr>
          <w:rFonts w:hint="eastAsia"/>
        </w:rPr>
        <w:t>、船只</w:t>
      </w:r>
      <w:r>
        <w:t>的优先调度，确保应急处置工作的顺利开展。</w:t>
      </w:r>
    </w:p>
    <w:p>
      <w:r>
        <w:t>（2）医疗保障：应急指挥</w:t>
      </w:r>
      <w:r>
        <w:rPr>
          <w:rFonts w:hint="eastAsia"/>
        </w:rPr>
        <w:t>机构</w:t>
      </w:r>
      <w:r>
        <w:t>加强与医疗救治单位的</w:t>
      </w:r>
      <w:r>
        <w:rPr>
          <w:rFonts w:hint="eastAsia"/>
        </w:rPr>
        <w:t>沟通</w:t>
      </w:r>
      <w:r>
        <w:t>联系</w:t>
      </w:r>
      <w:r>
        <w:rPr>
          <w:rFonts w:hint="eastAsia"/>
        </w:rPr>
        <w:t>，及时报告医疗救治信息，落实救治经费</w:t>
      </w:r>
      <w:r>
        <w:t>，保证受伤人员得到及时救治，</w:t>
      </w:r>
      <w:r>
        <w:rPr>
          <w:rFonts w:hint="eastAsia"/>
        </w:rPr>
        <w:t>最大限度的</w:t>
      </w:r>
      <w:r>
        <w:t>减少人员伤亡。</w:t>
      </w:r>
    </w:p>
    <w:p>
      <w:r>
        <w:t>（3）治安保障：积极协助、配合地方党委、政府及时疏散、撤离无关人员，加强事件现场周边的治安管理，维护社会治安，配合做好事件现场警戒，防止无关人员进入。</w:t>
      </w:r>
    </w:p>
    <w:p>
      <w:r>
        <w:t>（4）社会动员保障：加强相邻企业日常的沟通与协作，配合地方党委、政府，积极做好相邻区域、企业之间的联动工作</w:t>
      </w:r>
      <w:r>
        <w:rPr>
          <w:rFonts w:hint="eastAsia"/>
        </w:rPr>
        <w:t>。</w:t>
      </w:r>
      <w:r>
        <w:t xml:space="preserve"> </w:t>
      </w:r>
    </w:p>
    <w:p>
      <w:r>
        <w:t>（5）紧急避难场所保障：按照</w:t>
      </w:r>
      <w:r>
        <w:rPr>
          <w:rFonts w:hint="eastAsia"/>
        </w:rPr>
        <w:t>岳阳市饮用水源保护区（铁山水库-北干渠-金凤水库）</w:t>
      </w:r>
      <w:r>
        <w:t>突发环境事件类型，制定人员和财产的避难方案。协助配合地方党委、政府做好</w:t>
      </w:r>
      <w:r>
        <w:rPr>
          <w:rFonts w:hint="eastAsia"/>
        </w:rPr>
        <w:t>岳阳市饮用水源保护区（铁山水库-北干渠-金凤水库）</w:t>
      </w:r>
      <w:r>
        <w:t>突发环境事件发生后人员和财产的疏散、避难工作。</w:t>
      </w:r>
    </w:p>
    <w:bookmarkEnd w:id="173"/>
    <w:bookmarkEnd w:id="174"/>
    <w:bookmarkEnd w:id="175"/>
    <w:bookmarkEnd w:id="176"/>
    <w:bookmarkEnd w:id="177"/>
    <w:bookmarkEnd w:id="178"/>
    <w:bookmarkEnd w:id="179"/>
    <w:bookmarkEnd w:id="180"/>
    <w:p>
      <w:pPr>
        <w:pStyle w:val="32"/>
        <w:spacing w:before="0" w:beforeAutospacing="0" w:after="0" w:afterAutospacing="0" w:line="480" w:lineRule="exact"/>
        <w:ind w:firstLine="480" w:firstLineChars="200"/>
        <w:rPr>
          <w:highlight w:val="yellow"/>
        </w:rPr>
      </w:pPr>
    </w:p>
    <w:p>
      <w:pPr>
        <w:spacing w:line="450" w:lineRule="exact"/>
        <w:rPr>
          <w:color w:val="000000" w:themeColor="text1"/>
        </w:rPr>
      </w:pPr>
    </w:p>
    <w:p>
      <w:pPr>
        <w:rPr>
          <w:color w:val="000000" w:themeColor="text1"/>
        </w:rPr>
      </w:pPr>
      <w:r>
        <w:rPr>
          <w:color w:val="000000" w:themeColor="text1"/>
        </w:rPr>
        <w:br w:type="page"/>
      </w:r>
    </w:p>
    <w:p>
      <w:pPr>
        <w:rPr>
          <w:color w:val="000000" w:themeColor="text1"/>
        </w:rPr>
      </w:pPr>
    </w:p>
    <w:p>
      <w:pPr>
        <w:pStyle w:val="2"/>
        <w:spacing w:before="0" w:after="0" w:line="360" w:lineRule="auto"/>
        <w:ind w:firstLine="643"/>
        <w:jc w:val="center"/>
        <w:rPr>
          <w:color w:val="000000" w:themeColor="text1"/>
          <w:sz w:val="32"/>
          <w:szCs w:val="32"/>
        </w:rPr>
      </w:pPr>
      <w:bookmarkStart w:id="185" w:name="_Toc28775"/>
      <w:bookmarkStart w:id="186" w:name="_Toc19171"/>
      <w:bookmarkStart w:id="187" w:name="_Toc15394"/>
      <w:bookmarkStart w:id="188" w:name="_Toc20568"/>
      <w:bookmarkStart w:id="189" w:name="_Toc416936742"/>
      <w:bookmarkStart w:id="190" w:name="_Toc24964"/>
      <w:bookmarkStart w:id="191" w:name="_Toc482605516"/>
      <w:bookmarkStart w:id="192" w:name="_Toc485201119"/>
      <w:bookmarkStart w:id="193" w:name="_Toc535851329"/>
      <w:r>
        <w:rPr>
          <w:rFonts w:hint="eastAsia"/>
          <w:color w:val="000000" w:themeColor="text1"/>
          <w:sz w:val="32"/>
          <w:szCs w:val="32"/>
        </w:rPr>
        <w:t>6</w:t>
      </w:r>
      <w:r>
        <w:rPr>
          <w:color w:val="000000" w:themeColor="text1"/>
          <w:sz w:val="32"/>
          <w:szCs w:val="32"/>
        </w:rPr>
        <w:t xml:space="preserve"> 附则</w:t>
      </w:r>
      <w:bookmarkEnd w:id="185"/>
      <w:bookmarkEnd w:id="186"/>
      <w:bookmarkEnd w:id="187"/>
      <w:bookmarkEnd w:id="188"/>
      <w:bookmarkEnd w:id="189"/>
      <w:bookmarkEnd w:id="190"/>
      <w:bookmarkEnd w:id="191"/>
      <w:bookmarkEnd w:id="192"/>
      <w:bookmarkEnd w:id="193"/>
    </w:p>
    <w:p>
      <w:pPr>
        <w:pStyle w:val="3"/>
        <w:rPr>
          <w:color w:val="000000" w:themeColor="text1"/>
        </w:rPr>
      </w:pPr>
      <w:bookmarkStart w:id="194" w:name="_Toc485201120"/>
      <w:bookmarkStart w:id="195" w:name="_Toc482605517"/>
      <w:bookmarkStart w:id="196" w:name="_Toc14984"/>
      <w:bookmarkStart w:id="197" w:name="_Toc18893"/>
      <w:bookmarkStart w:id="198" w:name="_Toc1189"/>
      <w:bookmarkStart w:id="199" w:name="_Toc13519"/>
      <w:bookmarkStart w:id="200" w:name="_Toc416936743"/>
      <w:bookmarkStart w:id="201" w:name="_Toc304816404"/>
      <w:bookmarkStart w:id="202" w:name="_Toc11081"/>
      <w:bookmarkStart w:id="203" w:name="_Toc535851330"/>
      <w:r>
        <w:rPr>
          <w:rFonts w:hint="eastAsia"/>
          <w:color w:val="000000" w:themeColor="text1"/>
        </w:rPr>
        <w:t>6</w:t>
      </w:r>
      <w:r>
        <w:rPr>
          <w:color w:val="000000" w:themeColor="text1"/>
        </w:rPr>
        <w:t xml:space="preserve">.1 </w:t>
      </w:r>
      <w:r>
        <w:rPr>
          <w:rFonts w:hint="eastAsia"/>
          <w:color w:val="000000" w:themeColor="text1"/>
        </w:rPr>
        <w:t>名词</w:t>
      </w:r>
      <w:r>
        <w:rPr>
          <w:color w:val="000000" w:themeColor="text1"/>
        </w:rPr>
        <w:t>术语</w:t>
      </w:r>
      <w:bookmarkEnd w:id="194"/>
      <w:bookmarkEnd w:id="195"/>
      <w:bookmarkEnd w:id="196"/>
      <w:bookmarkEnd w:id="197"/>
      <w:bookmarkEnd w:id="198"/>
      <w:bookmarkEnd w:id="199"/>
      <w:bookmarkEnd w:id="200"/>
      <w:bookmarkEnd w:id="201"/>
      <w:bookmarkEnd w:id="202"/>
      <w:bookmarkEnd w:id="203"/>
    </w:p>
    <w:p>
      <w:pPr>
        <w:rPr>
          <w:color w:val="000000" w:themeColor="text1"/>
        </w:rPr>
      </w:pPr>
      <w:r>
        <w:rPr>
          <w:color w:val="000000" w:themeColor="text1"/>
        </w:rPr>
        <w:t>（1）环境事件：是指由于违反环境保护法律法规的经济、社会活动与行为，以及意外因素的影响或不可抗拒的自然灾害等原因致使环境受到污染，人体健康受到危害，社会经济与人民群众财产受到损失，造成不良社会影响的突发性事件。</w:t>
      </w:r>
    </w:p>
    <w:p>
      <w:pPr>
        <w:rPr>
          <w:color w:val="000000" w:themeColor="text1"/>
        </w:rPr>
      </w:pPr>
      <w:r>
        <w:rPr>
          <w:color w:val="000000" w:themeColor="text1"/>
        </w:rPr>
        <w:t>（2）突发环境事件：指突然发生，造成或者可能造成人员伤亡、财产损失和对当地经济社会稳定、政治安定构成重大威胁和损害，有重大社会影响的涉及公共安全的环境事件。</w:t>
      </w:r>
    </w:p>
    <w:p>
      <w:pPr>
        <w:rPr>
          <w:color w:val="000000" w:themeColor="text1"/>
        </w:rPr>
      </w:pPr>
      <w:r>
        <w:rPr>
          <w:color w:val="000000" w:themeColor="text1"/>
        </w:rPr>
        <w:t>（3）环境应急：针对可能或已发生的突发环境事件需要立即采取某些超出正常工作程序的行动，以避免事件发生或减轻事件后果的状态，也称为紧急状态；同时也泛指立即采取超出正常工作程序的行动。</w:t>
      </w:r>
    </w:p>
    <w:p>
      <w:pPr>
        <w:rPr>
          <w:color w:val="000000" w:themeColor="text1"/>
        </w:rPr>
      </w:pPr>
      <w:r>
        <w:rPr>
          <w:color w:val="000000" w:themeColor="text1"/>
        </w:rPr>
        <w:t>（4）先期处置：是指突发环境事件发生后在事发地第一时间内所采取的紧急措施。</w:t>
      </w:r>
    </w:p>
    <w:p>
      <w:pPr>
        <w:rPr>
          <w:color w:val="000000" w:themeColor="text1"/>
        </w:rPr>
      </w:pPr>
      <w:r>
        <w:rPr>
          <w:color w:val="000000" w:themeColor="text1"/>
        </w:rPr>
        <w:t>（5）后期处置：是指突发环境事件的危害和影响得到基本控制后，为使生产、工作、生活、社会秩序和生态环境恢复正常状态在事件后期所采取的一系列行动。</w:t>
      </w:r>
    </w:p>
    <w:p>
      <w:pPr>
        <w:rPr>
          <w:color w:val="000000" w:themeColor="text1"/>
        </w:rPr>
      </w:pPr>
      <w:r>
        <w:rPr>
          <w:color w:val="000000" w:themeColor="text1"/>
        </w:rPr>
        <w:t>（6）经济损失：包括环境污染行为造成的财产损毁、减少的帐面价值，为防止污染扩大以及消除污染而采取的必要的、合理的措施而发生的费用。</w:t>
      </w:r>
    </w:p>
    <w:p>
      <w:pPr>
        <w:rPr>
          <w:color w:val="000000" w:themeColor="text1"/>
        </w:rPr>
      </w:pPr>
      <w:r>
        <w:rPr>
          <w:color w:val="000000" w:themeColor="text1"/>
        </w:rPr>
        <w:t>（7）环境应急监测：是指环境应急情况下，为发现和查明环境污染情况和污染范围而进行的环境监测。包括定点监测和动态监测。</w:t>
      </w:r>
    </w:p>
    <w:p>
      <w:pPr>
        <w:rPr>
          <w:color w:val="000000" w:themeColor="text1"/>
        </w:rPr>
      </w:pPr>
      <w:r>
        <w:rPr>
          <w:color w:val="000000" w:themeColor="text1"/>
        </w:rPr>
        <w:t>（8）泄漏处理：泄漏处理是指污染源因事件发生泄漏时的所采取的应急处置措施。泄漏处理要及时、得当，避免重大事件的发生。泄漏处理一般分为泄漏源控制和泄漏物处置两部分。</w:t>
      </w:r>
    </w:p>
    <w:p>
      <w:pPr>
        <w:rPr>
          <w:color w:val="000000" w:themeColor="text1"/>
        </w:rPr>
      </w:pPr>
      <w:r>
        <w:rPr>
          <w:color w:val="000000" w:themeColor="text1"/>
        </w:rPr>
        <w:t>（9）应急演练：是指为检验应急预案的有效性、应急准备的完善性、应急响应能力的适应性和应急人员的协同性而进行的一种模拟应急响应的实践活动。根据所涉及的内容和范围的不同，可分为单项演练和综合演练。</w:t>
      </w:r>
    </w:p>
    <w:p>
      <w:pPr>
        <w:pStyle w:val="3"/>
        <w:rPr>
          <w:color w:val="000000" w:themeColor="text1"/>
        </w:rPr>
      </w:pPr>
      <w:bookmarkStart w:id="204" w:name="_Toc31785"/>
      <w:bookmarkStart w:id="205" w:name="_Toc18281"/>
      <w:bookmarkStart w:id="206" w:name="_Toc304816405"/>
      <w:bookmarkStart w:id="207" w:name="_Toc416936744"/>
      <w:bookmarkStart w:id="208" w:name="_Toc4067"/>
      <w:bookmarkStart w:id="209" w:name="_Toc485201121"/>
      <w:bookmarkStart w:id="210" w:name="_Toc482605518"/>
      <w:bookmarkStart w:id="211" w:name="_Toc3061"/>
      <w:bookmarkStart w:id="212" w:name="_Toc9395"/>
      <w:bookmarkStart w:id="213" w:name="_Toc535851331"/>
      <w:r>
        <w:rPr>
          <w:rFonts w:hint="eastAsia"/>
          <w:color w:val="000000" w:themeColor="text1"/>
        </w:rPr>
        <w:t>6</w:t>
      </w:r>
      <w:r>
        <w:rPr>
          <w:color w:val="000000" w:themeColor="text1"/>
        </w:rPr>
        <w:t>.2 预案解释</w:t>
      </w:r>
      <w:bookmarkEnd w:id="204"/>
      <w:bookmarkEnd w:id="205"/>
      <w:bookmarkEnd w:id="206"/>
      <w:bookmarkEnd w:id="207"/>
      <w:bookmarkEnd w:id="208"/>
      <w:bookmarkEnd w:id="209"/>
      <w:bookmarkEnd w:id="210"/>
      <w:bookmarkEnd w:id="211"/>
      <w:bookmarkEnd w:id="212"/>
      <w:r>
        <w:rPr>
          <w:rFonts w:hint="eastAsia"/>
          <w:color w:val="000000" w:themeColor="text1"/>
        </w:rPr>
        <w:t>权属</w:t>
      </w:r>
      <w:bookmarkEnd w:id="213"/>
    </w:p>
    <w:p>
      <w:pPr>
        <w:rPr>
          <w:color w:val="000000" w:themeColor="text1"/>
        </w:rPr>
      </w:pPr>
      <w:bookmarkStart w:id="214" w:name="_Toc482605519"/>
      <w:bookmarkStart w:id="215" w:name="_Toc9586"/>
      <w:bookmarkStart w:id="216" w:name="_Toc30422"/>
      <w:bookmarkStart w:id="217" w:name="_Toc14024"/>
      <w:bookmarkStart w:id="218" w:name="_Toc2670"/>
      <w:bookmarkStart w:id="219" w:name="_Toc3394"/>
      <w:bookmarkStart w:id="220" w:name="_Toc416936745"/>
      <w:bookmarkStart w:id="221" w:name="_Toc304816406"/>
      <w:r>
        <w:rPr>
          <w:rFonts w:hint="eastAsia"/>
          <w:color w:val="000000" w:themeColor="text1"/>
        </w:rPr>
        <w:t>本预案最终解释权归</w:t>
      </w:r>
      <w:r>
        <w:rPr>
          <w:rFonts w:hint="eastAsia"/>
          <w:color w:val="000000" w:themeColor="text1"/>
          <w:szCs w:val="24"/>
        </w:rPr>
        <w:t>岳阳市人民政府</w:t>
      </w:r>
      <w:r>
        <w:rPr>
          <w:rFonts w:hint="eastAsia"/>
          <w:color w:val="000000" w:themeColor="text1"/>
        </w:rPr>
        <w:t>。</w:t>
      </w:r>
    </w:p>
    <w:p>
      <w:pPr>
        <w:pStyle w:val="3"/>
      </w:pPr>
      <w:bookmarkStart w:id="222" w:name="_Toc485201122"/>
      <w:bookmarkStart w:id="223" w:name="_Toc535851332"/>
      <w:r>
        <w:rPr>
          <w:rFonts w:hint="eastAsia"/>
        </w:rPr>
        <w:t>6</w:t>
      </w:r>
      <w:r>
        <w:t>.3</w:t>
      </w:r>
      <w:r>
        <w:rPr>
          <w:rFonts w:hint="eastAsia"/>
        </w:rPr>
        <w:t>预案演练和</w:t>
      </w:r>
      <w:r>
        <w:t>修订</w:t>
      </w:r>
      <w:bookmarkEnd w:id="214"/>
      <w:bookmarkEnd w:id="215"/>
      <w:bookmarkEnd w:id="216"/>
      <w:bookmarkEnd w:id="217"/>
      <w:bookmarkEnd w:id="218"/>
      <w:bookmarkEnd w:id="222"/>
      <w:bookmarkEnd w:id="223"/>
    </w:p>
    <w:p>
      <w:pPr>
        <w:pStyle w:val="5"/>
      </w:pPr>
      <w:bookmarkStart w:id="224" w:name="_Toc4157"/>
      <w:bookmarkStart w:id="225" w:name="_Toc24767"/>
      <w:bookmarkStart w:id="226" w:name="_Toc21781"/>
      <w:bookmarkStart w:id="227" w:name="_Toc15523"/>
      <w:bookmarkStart w:id="228" w:name="_Toc28544"/>
      <w:bookmarkStart w:id="229" w:name="_Toc9160"/>
      <w:r>
        <w:rPr>
          <w:rFonts w:hint="eastAsia"/>
        </w:rPr>
        <w:t>6</w:t>
      </w:r>
      <w:r>
        <w:t>.3.1 应急演练的组织</w:t>
      </w:r>
      <w:bookmarkEnd w:id="224"/>
      <w:bookmarkEnd w:id="225"/>
      <w:bookmarkEnd w:id="226"/>
      <w:bookmarkEnd w:id="227"/>
      <w:bookmarkEnd w:id="228"/>
      <w:bookmarkEnd w:id="229"/>
    </w:p>
    <w:p>
      <w:r>
        <w:t>（1）一般突发环境事件应急演练的组织</w:t>
      </w:r>
    </w:p>
    <w:p>
      <w:r>
        <w:rPr>
          <w:rFonts w:hint="eastAsia"/>
        </w:rPr>
        <w:t>岳阳市人民政府、岳阳市环境保护局、岳阳市铁山供水工程管理局、岳阳市水利局、岳阳市自来水公司等以及相关的单位和部门</w:t>
      </w:r>
      <w:r>
        <w:t>应按照本预案或各种部门预案，定期（每年组</w:t>
      </w:r>
      <w:r>
        <w:rPr>
          <w:u w:val="single"/>
        </w:rPr>
        <w:t>织一次）组织</w:t>
      </w:r>
      <w:r>
        <w:rPr>
          <w:rFonts w:hint="eastAsia"/>
          <w:u w:val="single"/>
        </w:rPr>
        <w:t>岳阳市饮用水源保护区（铁山水库-北干渠-金凤水库）</w:t>
      </w:r>
      <w:r>
        <w:rPr>
          <w:u w:val="single"/>
        </w:rPr>
        <w:t>一般突发环境事件应急实战演练</w:t>
      </w:r>
      <w:r>
        <w:t>，提高防范和处置</w:t>
      </w:r>
      <w:r>
        <w:rPr>
          <w:rFonts w:hint="eastAsia"/>
        </w:rPr>
        <w:t>岳阳市饮用水源保护区（铁山水库-北干渠-金凤水库）</w:t>
      </w:r>
      <w:r>
        <w:t>突发环境事件的技能，增强实战能力。</w:t>
      </w:r>
    </w:p>
    <w:p>
      <w:r>
        <w:t>应急演习由应急办公室统一组织，确定参加演习的人员、演习时间、演习内容等，由政府相关部门及应急小组成员协助，针对应急演练系统中某个环节进行演习，由各应急部门组织，并由专人将应急演练过程以录像形式记录下来。演练组织流程见图</w:t>
      </w:r>
      <w:r>
        <w:rPr>
          <w:rFonts w:hint="eastAsia"/>
        </w:rPr>
        <w:t>6</w:t>
      </w:r>
      <w:r>
        <w:t xml:space="preserve">-1。 </w:t>
      </w:r>
    </w:p>
    <w:p>
      <w:pPr>
        <w:widowControl/>
        <w:ind w:firstLine="0" w:firstLineChars="0"/>
        <w:jc w:val="left"/>
        <w:rPr>
          <w:b/>
          <w:color w:val="000000" w:themeColor="text1"/>
          <w:sz w:val="21"/>
          <w:szCs w:val="21"/>
          <w:highlight w:val="yellow"/>
        </w:rPr>
      </w:pPr>
      <w:r>
        <w:rPr>
          <w:rFonts w:ascii="宋体" w:hAnsi="宋体" w:cs="宋体"/>
          <w:kern w:val="0"/>
          <w:szCs w:val="24"/>
        </w:rPr>
        <w:drawing>
          <wp:inline distT="0" distB="0" distL="114300" distR="114300">
            <wp:extent cx="5972175" cy="1323975"/>
            <wp:effectExtent l="0" t="0" r="9525" b="9525"/>
            <wp:docPr id="37" name="图片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1" descr="IMG_256"/>
                    <pic:cNvPicPr>
                      <a:picLocks noChangeAspect="1"/>
                    </pic:cNvPicPr>
                  </pic:nvPicPr>
                  <pic:blipFill>
                    <a:blip r:embed="rId32" cstate="print"/>
                    <a:stretch>
                      <a:fillRect/>
                    </a:stretch>
                  </pic:blipFill>
                  <pic:spPr>
                    <a:xfrm>
                      <a:off x="0" y="0"/>
                      <a:ext cx="5972175" cy="1323975"/>
                    </a:xfrm>
                    <a:prstGeom prst="rect">
                      <a:avLst/>
                    </a:prstGeom>
                    <a:noFill/>
                    <a:ln w="9525">
                      <a:noFill/>
                    </a:ln>
                  </pic:spPr>
                </pic:pic>
              </a:graphicData>
            </a:graphic>
          </wp:inline>
        </w:drawing>
      </w:r>
      <w:r>
        <w:rPr>
          <w:rFonts w:hint="eastAsia"/>
        </w:rPr>
        <w:tab/>
      </w:r>
    </w:p>
    <w:p>
      <w:pPr>
        <w:spacing w:beforeLines="50"/>
        <w:ind w:firstLine="0" w:firstLineChars="0"/>
        <w:jc w:val="center"/>
        <w:rPr>
          <w:color w:val="000000" w:themeColor="text1"/>
          <w:sz w:val="21"/>
          <w:szCs w:val="21"/>
        </w:rPr>
      </w:pPr>
      <w:r>
        <w:rPr>
          <w:b/>
          <w:color w:val="000000" w:themeColor="text1"/>
          <w:sz w:val="21"/>
          <w:szCs w:val="21"/>
        </w:rPr>
        <w:t>图</w:t>
      </w:r>
      <w:r>
        <w:rPr>
          <w:rFonts w:hint="eastAsia"/>
          <w:b/>
          <w:color w:val="000000" w:themeColor="text1"/>
          <w:sz w:val="21"/>
          <w:szCs w:val="21"/>
        </w:rPr>
        <w:t>6</w:t>
      </w:r>
      <w:r>
        <w:rPr>
          <w:b/>
          <w:color w:val="000000" w:themeColor="text1"/>
          <w:sz w:val="21"/>
          <w:szCs w:val="21"/>
        </w:rPr>
        <w:t>-1   演练组织流程</w:t>
      </w:r>
    </w:p>
    <w:p>
      <w:r>
        <w:rPr>
          <w:color w:val="000000" w:themeColor="text1"/>
        </w:rPr>
        <w:t>（</w:t>
      </w:r>
      <w:r>
        <w:t>2）较大及以上突发环境事件应急演练的组织</w:t>
      </w:r>
    </w:p>
    <w:p>
      <w:r>
        <w:rPr>
          <w:rFonts w:hint="eastAsia"/>
        </w:rPr>
        <w:t>岳阳市饮用水源保护区（铁山水库-北干渠-金凤水库）</w:t>
      </w:r>
      <w:r>
        <w:t>重大及以上突发环境事件应急演练的组织应急实战演练应由</w:t>
      </w:r>
      <w:r>
        <w:rPr>
          <w:rFonts w:hint="eastAsia"/>
        </w:rPr>
        <w:t>岳阳市</w:t>
      </w:r>
      <w:r>
        <w:t>政府牵头，由</w:t>
      </w:r>
      <w:r>
        <w:rPr>
          <w:rFonts w:hint="eastAsia"/>
        </w:rPr>
        <w:t>岳阳市铁山局</w:t>
      </w:r>
      <w:r>
        <w:t>定期组织（每年组织一次），</w:t>
      </w:r>
      <w:r>
        <w:rPr>
          <w:rFonts w:hint="eastAsia"/>
        </w:rPr>
        <w:t>岳阳市饮用水源保护区（铁山水库-北干渠-金凤水库）</w:t>
      </w:r>
      <w:r>
        <w:t>应急工作领导小组成员、单位组成，共同参与应急演练，提高各部门应急救援队伍的应急处置能力，加强部门间应急联动、协作。</w:t>
      </w:r>
    </w:p>
    <w:p>
      <w:r>
        <w:t>应急演习由</w:t>
      </w:r>
      <w:r>
        <w:rPr>
          <w:rFonts w:hint="eastAsia"/>
        </w:rPr>
        <w:t>岳阳市铁山</w:t>
      </w:r>
      <w:r>
        <w:t>局统一组织，确定参加演习的人员、演习时间、演习内容等，由水源</w:t>
      </w:r>
      <w:r>
        <w:rPr>
          <w:rFonts w:hint="eastAsia"/>
        </w:rPr>
        <w:t>保护区</w:t>
      </w:r>
      <w:r>
        <w:t>应急工作领导小组成员协助，针对应急演练系统中某个环节进行演习，由各应急部门组织，并由专人将应急演练过程以录像形式记录下来。演练组织流程见图</w:t>
      </w:r>
      <w:r>
        <w:rPr>
          <w:rFonts w:hint="eastAsia"/>
        </w:rPr>
        <w:t>6</w:t>
      </w:r>
      <w:r>
        <w:t xml:space="preserve">-2。 </w:t>
      </w:r>
    </w:p>
    <w:p>
      <w:pPr>
        <w:widowControl/>
        <w:rPr>
          <w:color w:val="000000" w:themeColor="text1"/>
          <w:szCs w:val="24"/>
        </w:rPr>
      </w:pPr>
      <w:r>
        <w:rPr>
          <w:color w:val="000000" w:themeColor="text1"/>
          <w:szCs w:val="24"/>
        </w:rPr>
        <w:br w:type="page"/>
      </w:r>
    </w:p>
    <w:p>
      <w:pPr>
        <w:widowControl/>
        <w:ind w:firstLine="0" w:firstLineChars="0"/>
        <w:jc w:val="left"/>
        <w:rPr>
          <w:b/>
          <w:color w:val="000000" w:themeColor="text1"/>
          <w:sz w:val="21"/>
          <w:szCs w:val="21"/>
          <w:highlight w:val="yellow"/>
        </w:rPr>
      </w:pPr>
      <w:r>
        <w:rPr>
          <w:rFonts w:ascii="宋体" w:hAnsi="宋体" w:cs="宋体"/>
          <w:kern w:val="0"/>
          <w:szCs w:val="24"/>
        </w:rPr>
        <w:drawing>
          <wp:inline distT="0" distB="0" distL="114300" distR="114300">
            <wp:extent cx="5953125" cy="1352550"/>
            <wp:effectExtent l="0" t="0" r="9525" b="0"/>
            <wp:docPr id="38" name="图片 2"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2" descr="IMG_256"/>
                    <pic:cNvPicPr>
                      <a:picLocks noChangeAspect="1"/>
                    </pic:cNvPicPr>
                  </pic:nvPicPr>
                  <pic:blipFill>
                    <a:blip r:embed="rId33" cstate="print"/>
                    <a:stretch>
                      <a:fillRect/>
                    </a:stretch>
                  </pic:blipFill>
                  <pic:spPr>
                    <a:xfrm>
                      <a:off x="0" y="0"/>
                      <a:ext cx="5953125" cy="1352550"/>
                    </a:xfrm>
                    <a:prstGeom prst="rect">
                      <a:avLst/>
                    </a:prstGeom>
                    <a:noFill/>
                    <a:ln w="9525">
                      <a:noFill/>
                    </a:ln>
                  </pic:spPr>
                </pic:pic>
              </a:graphicData>
            </a:graphic>
          </wp:inline>
        </w:drawing>
      </w:r>
    </w:p>
    <w:p>
      <w:pPr>
        <w:spacing w:beforeLines="50" w:line="240" w:lineRule="auto"/>
        <w:ind w:firstLine="0" w:firstLineChars="0"/>
        <w:jc w:val="center"/>
        <w:rPr>
          <w:color w:val="000000" w:themeColor="text1"/>
          <w:sz w:val="21"/>
          <w:szCs w:val="21"/>
        </w:rPr>
      </w:pPr>
      <w:r>
        <w:rPr>
          <w:b/>
          <w:color w:val="000000" w:themeColor="text1"/>
          <w:sz w:val="21"/>
          <w:szCs w:val="21"/>
        </w:rPr>
        <w:t>图</w:t>
      </w:r>
      <w:r>
        <w:rPr>
          <w:rFonts w:hint="eastAsia"/>
          <w:b/>
          <w:color w:val="000000" w:themeColor="text1"/>
          <w:sz w:val="21"/>
          <w:szCs w:val="21"/>
        </w:rPr>
        <w:t>6</w:t>
      </w:r>
      <w:r>
        <w:rPr>
          <w:b/>
          <w:color w:val="000000" w:themeColor="text1"/>
          <w:sz w:val="21"/>
          <w:szCs w:val="21"/>
        </w:rPr>
        <w:t>-2   演练组织流程</w:t>
      </w:r>
    </w:p>
    <w:p>
      <w:pPr>
        <w:pStyle w:val="5"/>
      </w:pPr>
      <w:bookmarkStart w:id="230" w:name="_Toc13612"/>
      <w:bookmarkStart w:id="231" w:name="_Toc17853"/>
      <w:bookmarkStart w:id="232" w:name="_Toc23302"/>
      <w:bookmarkStart w:id="233" w:name="_Toc22354"/>
      <w:bookmarkStart w:id="234" w:name="_Toc414542135"/>
      <w:bookmarkStart w:id="235" w:name="_Toc30695"/>
      <w:bookmarkStart w:id="236" w:name="_Toc19363"/>
      <w:r>
        <w:rPr>
          <w:rFonts w:hint="eastAsia"/>
        </w:rPr>
        <w:t>6</w:t>
      </w:r>
      <w:r>
        <w:t>.3.2 应急演练内容</w:t>
      </w:r>
      <w:bookmarkEnd w:id="230"/>
      <w:bookmarkEnd w:id="231"/>
      <w:bookmarkEnd w:id="232"/>
      <w:bookmarkEnd w:id="233"/>
    </w:p>
    <w:p>
      <w:r>
        <w:t>根据</w:t>
      </w:r>
      <w:r>
        <w:rPr>
          <w:rFonts w:hint="eastAsia"/>
        </w:rPr>
        <w:t>岳阳市饮用水源保护区（铁山水库-北干渠-金凤水库）</w:t>
      </w:r>
      <w:r>
        <w:t>潜在的事故风险，演练的内容可包括：危险化学品运输车辆发生交通事故污染</w:t>
      </w:r>
      <w:r>
        <w:rPr>
          <w:rFonts w:hint="eastAsia"/>
        </w:rPr>
        <w:t>岳阳市饮用水源保护区（铁山水库-北干渠-金凤水库）</w:t>
      </w:r>
      <w:r>
        <w:t>应急演练；居民生活污水发生泄</w:t>
      </w:r>
      <w:r>
        <w:rPr>
          <w:rFonts w:hint="eastAsia"/>
        </w:rPr>
        <w:t>漏</w:t>
      </w:r>
      <w:r>
        <w:t>排入</w:t>
      </w:r>
      <w:r>
        <w:rPr>
          <w:rFonts w:hint="eastAsia"/>
        </w:rPr>
        <w:t>岳阳市饮用水源保护区（铁山水库-北干渠-金凤水库）</w:t>
      </w:r>
      <w:r>
        <w:t>应急演练等。</w:t>
      </w:r>
    </w:p>
    <w:p>
      <w:pPr>
        <w:pStyle w:val="5"/>
      </w:pPr>
      <w:bookmarkStart w:id="237" w:name="_Toc31866"/>
      <w:bookmarkStart w:id="238" w:name="_Toc25469"/>
      <w:bookmarkStart w:id="239" w:name="_Toc21115"/>
      <w:bookmarkStart w:id="240" w:name="_Toc8354"/>
      <w:r>
        <w:rPr>
          <w:rFonts w:hint="eastAsia"/>
        </w:rPr>
        <w:t>6</w:t>
      </w:r>
      <w:r>
        <w:t>.3.3应急演练参加人员</w:t>
      </w:r>
      <w:bookmarkEnd w:id="234"/>
      <w:bookmarkEnd w:id="237"/>
      <w:bookmarkEnd w:id="238"/>
      <w:bookmarkEnd w:id="239"/>
      <w:bookmarkEnd w:id="240"/>
    </w:p>
    <w:p>
      <w:r>
        <w:t>（1）参演人员：在应急组织中承担具体任务的人员。</w:t>
      </w:r>
    </w:p>
    <w:p>
      <w:r>
        <w:t>（2）控制人员：控制时间进度的人员。</w:t>
      </w:r>
    </w:p>
    <w:p>
      <w:r>
        <w:t>（3）模拟人员：演练过程中扮演或代替应急组织和部门的人员。</w:t>
      </w:r>
    </w:p>
    <w:p>
      <w:r>
        <w:t>（4）评价人员：对演练进展情况予以记录的人员。</w:t>
      </w:r>
    </w:p>
    <w:p>
      <w:r>
        <w:t>（5）观摩人员：来自有关部门、外部机构及观众。</w:t>
      </w:r>
    </w:p>
    <w:p>
      <w:pPr>
        <w:pStyle w:val="5"/>
      </w:pPr>
      <w:bookmarkStart w:id="241" w:name="_Toc2001"/>
      <w:bookmarkStart w:id="242" w:name="_Toc7886"/>
      <w:bookmarkStart w:id="243" w:name="_Toc22465"/>
      <w:bookmarkStart w:id="244" w:name="_Toc414542136"/>
      <w:bookmarkStart w:id="245" w:name="_Toc13794"/>
      <w:r>
        <w:rPr>
          <w:rFonts w:hint="eastAsia"/>
        </w:rPr>
        <w:t>6</w:t>
      </w:r>
      <w:r>
        <w:t>.3.4演练实施的基本过程</w:t>
      </w:r>
      <w:bookmarkEnd w:id="241"/>
      <w:bookmarkEnd w:id="242"/>
      <w:bookmarkEnd w:id="243"/>
      <w:bookmarkEnd w:id="244"/>
      <w:bookmarkEnd w:id="245"/>
    </w:p>
    <w:p>
      <w:r>
        <w:t>（1）准备阶段</w:t>
      </w:r>
    </w:p>
    <w:p>
      <w:r>
        <w:t>确定演练日期，成立一个临时演练策划组。策划者编制演练方案，确定演练的目标、原则、范围、参演部门，确定演练的性质和方法，选定演练事件与地点，规定演练的时间尺度和公众参与程度；确定实施计划、设计事故情景与处置方案。其中特别要注意的是，演练情景尽可能真实，并考虑应急设备故障问题，以检测备用系统。同时，策划组应确定评价人员数量和应急办公室组织一次演练协调会，讨论演练方案，明确演练分工。应急办公室组织二次演练协调会，核对准备进度，反馈问题，筹备桌面演练进行桌面演练，应急总指挥和副总指挥点评桌面演练效果，提出重点注意的问题举行现场演练，全程摄像、拍照和记录整个演习过程。总结演练应具备的专业技能，指定评价人员，分配各自所负责评价的应急组织和演练目标。</w:t>
      </w:r>
    </w:p>
    <w:p>
      <w:r>
        <w:t>（2）实施阶段</w:t>
      </w:r>
    </w:p>
    <w:p>
      <w:r>
        <w:t>演练实施阶段是指宣布初始时间到演练结束的整个阶段。演练过程中参演应急人员应尽可能按照实际紧急事件发生时响应要求进行演示，由参演人员根据自己对最佳解决方法的理解，对事故作出响应行动。策划者的作用是宣布演练开始和结束，以及解决演练过程中的矛盾。</w:t>
      </w:r>
    </w:p>
    <w:p>
      <w:r>
        <w:t>（3）总结阶段</w:t>
      </w:r>
    </w:p>
    <w:p>
      <w:r>
        <w:t>主办演习的各级应急部门应对演习情况予以记录，并妥善保存备查。演练结束后应对演练的效果作出评价，提交演练报告，并针对演练过程中发现的问题，划分为不适项、整改项和改进项。分别进行纠正、整改、改进。</w:t>
      </w:r>
    </w:p>
    <w:p>
      <w:pPr>
        <w:pStyle w:val="5"/>
      </w:pPr>
      <w:bookmarkStart w:id="246" w:name="_Toc414542137"/>
      <w:bookmarkStart w:id="247" w:name="_Toc30541"/>
      <w:bookmarkStart w:id="248" w:name="_Toc17492"/>
      <w:bookmarkStart w:id="249" w:name="_Toc14168"/>
      <w:bookmarkStart w:id="250" w:name="_Toc1744"/>
      <w:r>
        <w:rPr>
          <w:rFonts w:hint="eastAsia"/>
        </w:rPr>
        <w:t>6</w:t>
      </w:r>
      <w:r>
        <w:t>.3.5演练结果评价</w:t>
      </w:r>
      <w:bookmarkEnd w:id="246"/>
      <w:bookmarkEnd w:id="247"/>
      <w:bookmarkEnd w:id="248"/>
      <w:bookmarkEnd w:id="249"/>
      <w:bookmarkEnd w:id="250"/>
    </w:p>
    <w:p>
      <w:r>
        <w:t>（1）通过演练观察识别出应急准备缺陷。</w:t>
      </w:r>
    </w:p>
    <w:p>
      <w:r>
        <w:t>（2）查出需要整改项。</w:t>
      </w:r>
    </w:p>
    <w:p>
      <w:r>
        <w:t>（3）改进应急项目不足部分。</w:t>
      </w:r>
    </w:p>
    <w:bookmarkEnd w:id="235"/>
    <w:bookmarkEnd w:id="236"/>
    <w:p>
      <w:pPr>
        <w:pStyle w:val="5"/>
      </w:pPr>
      <w:bookmarkStart w:id="251" w:name="_Toc8333"/>
      <w:bookmarkStart w:id="252" w:name="_Toc3733"/>
      <w:bookmarkStart w:id="253" w:name="_Toc22848"/>
      <w:bookmarkStart w:id="254" w:name="_Toc11915"/>
      <w:bookmarkStart w:id="255" w:name="_Toc13467"/>
      <w:bookmarkStart w:id="256" w:name="_Toc242"/>
      <w:r>
        <w:rPr>
          <w:rFonts w:hint="eastAsia"/>
        </w:rPr>
        <w:t>6</w:t>
      </w:r>
      <w:r>
        <w:t>.3.</w:t>
      </w:r>
      <w:r>
        <w:rPr>
          <w:rFonts w:hint="eastAsia"/>
        </w:rPr>
        <w:t>7</w:t>
      </w:r>
      <w:r>
        <w:t xml:space="preserve"> </w:t>
      </w:r>
      <w:bookmarkEnd w:id="251"/>
      <w:bookmarkEnd w:id="252"/>
      <w:bookmarkEnd w:id="253"/>
      <w:bookmarkEnd w:id="254"/>
      <w:bookmarkEnd w:id="255"/>
      <w:bookmarkEnd w:id="256"/>
      <w:r>
        <w:t>应急演练注意事项</w:t>
      </w:r>
    </w:p>
    <w:p>
      <w:r>
        <w:t>通过演练观察识别出应急准备缺陷，查出需要整改项；根据演练结果对应急预案不足部分，进行修订。应急演练中必须特别注意以下几个主要问题：</w:t>
      </w:r>
    </w:p>
    <w:p>
      <w:r>
        <w:t>（1）演练过程应尽可能模仿可能事故的真实情况，但不能采用真正的危险状态进行演练，以避免不必要的伤亡；</w:t>
      </w:r>
    </w:p>
    <w:p>
      <w:r>
        <w:t>（2）演练之前应对演练情况进行周密的方案策划。编写场景说明书是方案策划的重要内容；</w:t>
      </w:r>
    </w:p>
    <w:p>
      <w:r>
        <w:t>（3）演练前应对有关人员进行必要培训，但不应将演练的场景介绍给应急响应人员；</w:t>
      </w:r>
    </w:p>
    <w:p>
      <w:r>
        <w:t>（4）演练结束后应认真总结经验教训和整改。</w:t>
      </w:r>
    </w:p>
    <w:p>
      <w:pPr>
        <w:pStyle w:val="5"/>
      </w:pPr>
      <w:r>
        <w:rPr>
          <w:rFonts w:hint="eastAsia"/>
        </w:rPr>
        <w:t>6</w:t>
      </w:r>
      <w:r>
        <w:t>.3.</w:t>
      </w:r>
      <w:r>
        <w:rPr>
          <w:rFonts w:hint="eastAsia"/>
        </w:rPr>
        <w:t>8</w:t>
      </w:r>
      <w:r>
        <w:t xml:space="preserve"> </w:t>
      </w:r>
      <w:r>
        <w:rPr>
          <w:rFonts w:hint="eastAsia"/>
        </w:rPr>
        <w:t>预案修订</w:t>
      </w:r>
    </w:p>
    <w:p>
      <w:pPr>
        <w:pStyle w:val="4"/>
        <w:ind w:firstLine="480"/>
        <w:rPr>
          <w:color w:val="000000" w:themeColor="text1"/>
        </w:rPr>
      </w:pPr>
      <w:r>
        <w:rPr>
          <w:rFonts w:hint="eastAsia"/>
          <w:color w:val="000000" w:themeColor="text1"/>
          <w:szCs w:val="24"/>
        </w:rPr>
        <w:t>岳阳市铁山供水工程管理局</w:t>
      </w:r>
      <w:r>
        <w:rPr>
          <w:color w:val="000000" w:themeColor="text1"/>
        </w:rPr>
        <w:t>负责对本预案进行维护，根据实际需要和情势变化，依据有关预案编制</w:t>
      </w:r>
      <w:r>
        <w:rPr>
          <w:color w:val="000000" w:themeColor="text1"/>
          <w:szCs w:val="24"/>
        </w:rPr>
        <w:t>指南或者编制框架指南对</w:t>
      </w:r>
      <w:r>
        <w:rPr>
          <w:rFonts w:hint="eastAsia" w:ascii="宋体" w:hAnsi="宋体" w:cs="宋体"/>
          <w:color w:val="000000" w:themeColor="text1"/>
          <w:kern w:val="0"/>
          <w:szCs w:val="24"/>
        </w:rPr>
        <w:t>岳阳市饮用水源保护区（铁山水库-北干渠-金凤水库）</w:t>
      </w:r>
      <w:r>
        <w:rPr>
          <w:color w:val="000000" w:themeColor="text1"/>
          <w:szCs w:val="24"/>
        </w:rPr>
        <w:t>突发环境事件应急预案进行修订，</w:t>
      </w:r>
      <w:r>
        <w:rPr>
          <w:color w:val="000000" w:themeColor="text1"/>
        </w:rPr>
        <w:t>并每年对本预案进行一次检查和评估、进行一次演练，必要时对本预案进行修订。</w:t>
      </w:r>
    </w:p>
    <w:p>
      <w:pPr>
        <w:pStyle w:val="4"/>
        <w:ind w:firstLine="480"/>
        <w:rPr>
          <w:color w:val="000000" w:themeColor="text1"/>
        </w:rPr>
      </w:pPr>
      <w:r>
        <w:rPr>
          <w:color w:val="000000" w:themeColor="text1"/>
        </w:rPr>
        <w:t>维护工作的主要内容是在应急组织机构或联系方式等基本情况或主要风险源情况发生变化，应急物资品种、数量、布局等发生局部变化时，对本预案相关内容及时进行更新，并及时报送</w:t>
      </w:r>
      <w:r>
        <w:rPr>
          <w:rFonts w:hint="eastAsia"/>
          <w:color w:val="000000" w:themeColor="text1"/>
        </w:rPr>
        <w:t>岳阳市环境保护局</w:t>
      </w:r>
      <w:r>
        <w:rPr>
          <w:color w:val="000000" w:themeColor="text1"/>
        </w:rPr>
        <w:t>。</w:t>
      </w:r>
    </w:p>
    <w:p>
      <w:pPr>
        <w:pStyle w:val="3"/>
        <w:rPr>
          <w:color w:val="000000" w:themeColor="text1"/>
        </w:rPr>
      </w:pPr>
      <w:bookmarkStart w:id="257" w:name="_Toc24272"/>
      <w:bookmarkStart w:id="258" w:name="_Toc16271"/>
      <w:bookmarkStart w:id="259" w:name="_Toc482605520"/>
      <w:bookmarkStart w:id="260" w:name="_Toc8420"/>
      <w:bookmarkStart w:id="261" w:name="_Toc485201123"/>
      <w:bookmarkStart w:id="262" w:name="_Toc2606"/>
      <w:bookmarkStart w:id="263" w:name="_Toc535851333"/>
      <w:r>
        <w:rPr>
          <w:rFonts w:hint="eastAsia"/>
          <w:color w:val="000000" w:themeColor="text1"/>
        </w:rPr>
        <w:t>6</w:t>
      </w:r>
      <w:r>
        <w:rPr>
          <w:color w:val="000000" w:themeColor="text1"/>
        </w:rPr>
        <w:t>.4 实施日期</w:t>
      </w:r>
      <w:bookmarkEnd w:id="219"/>
      <w:bookmarkEnd w:id="220"/>
      <w:bookmarkEnd w:id="221"/>
      <w:bookmarkEnd w:id="257"/>
      <w:bookmarkEnd w:id="258"/>
      <w:bookmarkEnd w:id="259"/>
      <w:bookmarkEnd w:id="260"/>
      <w:bookmarkEnd w:id="261"/>
      <w:bookmarkEnd w:id="262"/>
      <w:bookmarkEnd w:id="263"/>
    </w:p>
    <w:p>
      <w:pPr>
        <w:rPr>
          <w:color w:val="000000" w:themeColor="text1"/>
        </w:rPr>
        <w:sectPr>
          <w:pgSz w:w="11907" w:h="16840"/>
          <w:pgMar w:top="1417" w:right="1134" w:bottom="1417" w:left="1418" w:header="851" w:footer="850" w:gutter="0"/>
          <w:cols w:space="720" w:num="1"/>
          <w:docGrid w:linePitch="312" w:charSpace="0"/>
        </w:sectPr>
      </w:pPr>
      <w:r>
        <w:rPr>
          <w:color w:val="000000" w:themeColor="text1"/>
        </w:rPr>
        <w:t>本预案</w:t>
      </w:r>
      <w:r>
        <w:rPr>
          <w:rFonts w:hint="eastAsia"/>
          <w:color w:val="000000" w:themeColor="text1"/>
        </w:rPr>
        <w:t>经市人民政府批准后，自公布之日起</w:t>
      </w:r>
      <w:r>
        <w:rPr>
          <w:color w:val="000000" w:themeColor="text1"/>
        </w:rPr>
        <w:t>实施。</w:t>
      </w:r>
    </w:p>
    <w:p>
      <w:pPr>
        <w:pStyle w:val="17"/>
      </w:pPr>
    </w:p>
    <w:p>
      <w:pPr>
        <w:pStyle w:val="17"/>
        <w:adjustRightInd w:val="0"/>
        <w:snapToGrid w:val="0"/>
        <w:ind w:firstLine="0" w:firstLineChars="0"/>
        <w:jc w:val="center"/>
        <w:rPr>
          <w:rFonts w:hAnsi="宋体" w:cs="宋体"/>
          <w:b/>
          <w:color w:val="000000" w:themeColor="text1"/>
          <w:sz w:val="52"/>
          <w:szCs w:val="52"/>
        </w:rPr>
      </w:pPr>
    </w:p>
    <w:p>
      <w:pPr>
        <w:pStyle w:val="17"/>
        <w:adjustRightInd w:val="0"/>
        <w:snapToGrid w:val="0"/>
        <w:ind w:firstLine="0" w:firstLineChars="0"/>
        <w:jc w:val="center"/>
        <w:rPr>
          <w:rFonts w:hAnsi="宋体" w:cs="宋体"/>
          <w:b/>
          <w:color w:val="000000" w:themeColor="text1"/>
          <w:sz w:val="52"/>
          <w:szCs w:val="52"/>
        </w:rPr>
      </w:pPr>
    </w:p>
    <w:p>
      <w:pPr>
        <w:pStyle w:val="17"/>
        <w:adjustRightInd w:val="0"/>
        <w:snapToGrid w:val="0"/>
        <w:ind w:firstLine="0" w:firstLineChars="0"/>
        <w:jc w:val="center"/>
        <w:rPr>
          <w:rFonts w:hAnsi="宋体" w:cs="宋体"/>
          <w:b/>
          <w:color w:val="000000" w:themeColor="text1"/>
          <w:sz w:val="52"/>
          <w:szCs w:val="52"/>
        </w:rPr>
      </w:pPr>
    </w:p>
    <w:p>
      <w:pPr>
        <w:pStyle w:val="17"/>
        <w:adjustRightInd w:val="0"/>
        <w:snapToGrid w:val="0"/>
        <w:ind w:firstLine="0" w:firstLineChars="0"/>
        <w:jc w:val="center"/>
        <w:rPr>
          <w:rFonts w:hAnsi="宋体" w:cs="宋体"/>
          <w:b/>
          <w:color w:val="000000" w:themeColor="text1"/>
          <w:sz w:val="52"/>
          <w:szCs w:val="52"/>
        </w:rPr>
      </w:pPr>
    </w:p>
    <w:p>
      <w:pPr>
        <w:pStyle w:val="17"/>
        <w:adjustRightInd w:val="0"/>
        <w:snapToGrid w:val="0"/>
        <w:ind w:firstLine="0" w:firstLineChars="0"/>
        <w:jc w:val="center"/>
        <w:rPr>
          <w:rFonts w:hAnsi="宋体" w:cs="宋体"/>
          <w:b/>
          <w:color w:val="000000" w:themeColor="text1"/>
          <w:sz w:val="52"/>
          <w:szCs w:val="52"/>
        </w:rPr>
      </w:pPr>
    </w:p>
    <w:p>
      <w:pPr>
        <w:pStyle w:val="2"/>
        <w:spacing w:line="579" w:lineRule="auto"/>
        <w:ind w:firstLine="0" w:firstLineChars="0"/>
        <w:jc w:val="center"/>
        <w:rPr>
          <w:rFonts w:eastAsia="黑体"/>
          <w:color w:val="000000" w:themeColor="text1"/>
        </w:rPr>
      </w:pPr>
      <w:bookmarkStart w:id="264" w:name="_Toc535851334"/>
      <w:r>
        <w:rPr>
          <w:rFonts w:hint="eastAsia"/>
        </w:rPr>
        <w:t>第三部分 水源地基础状况调查和风险评估</w:t>
      </w:r>
      <w:bookmarkEnd w:id="264"/>
      <w:r>
        <w:rPr>
          <w:rFonts w:hint="eastAsia"/>
        </w:rPr>
        <w:t xml:space="preserve"> </w:t>
      </w:r>
      <w:r>
        <w:rPr>
          <w:rFonts w:eastAsia="黑体"/>
          <w:color w:val="000000" w:themeColor="text1"/>
        </w:rPr>
        <w:br w:type="page"/>
      </w:r>
    </w:p>
    <w:p>
      <w:pPr>
        <w:pStyle w:val="85"/>
        <w:spacing w:before="156" w:after="156"/>
        <w:jc w:val="center"/>
        <w:rPr>
          <w:color w:val="000000" w:themeColor="text1"/>
        </w:rPr>
      </w:pPr>
      <w:bookmarkStart w:id="265" w:name="_Toc485201124"/>
      <w:bookmarkStart w:id="266" w:name="_Toc482605521"/>
      <w:bookmarkStart w:id="267" w:name="_Toc535851335"/>
      <w:r>
        <w:rPr>
          <w:rFonts w:hint="eastAsia"/>
          <w:color w:val="000000" w:themeColor="text1"/>
        </w:rPr>
        <w:t>1</w:t>
      </w:r>
      <w:bookmarkEnd w:id="265"/>
      <w:bookmarkEnd w:id="266"/>
      <w:r>
        <w:rPr>
          <w:rFonts w:hint="eastAsia"/>
          <w:color w:val="000000" w:themeColor="text1"/>
        </w:rPr>
        <w:t>调查范围</w:t>
      </w:r>
      <w:bookmarkEnd w:id="267"/>
    </w:p>
    <w:p>
      <w:pPr>
        <w:jc w:val="left"/>
        <w:rPr>
          <w:color w:val="000000" w:themeColor="text1"/>
        </w:rPr>
      </w:pPr>
      <w:r>
        <w:rPr>
          <w:rFonts w:hint="eastAsia"/>
          <w:color w:val="000000" w:themeColor="text1"/>
        </w:rPr>
        <w:t>根据项目所在地的实际情况，铁山水库</w:t>
      </w:r>
      <w:r>
        <w:rPr>
          <w:color w:val="000000" w:themeColor="text1"/>
        </w:rPr>
        <w:t>饮用水源保护区划分一级、二级保护区</w:t>
      </w:r>
      <w:r>
        <w:rPr>
          <w:rFonts w:hint="eastAsia"/>
          <w:color w:val="000000" w:themeColor="text1"/>
        </w:rPr>
        <w:t>及</w:t>
      </w:r>
      <w:r>
        <w:rPr>
          <w:color w:val="000000" w:themeColor="text1"/>
        </w:rPr>
        <w:t>准保护区</w:t>
      </w:r>
      <w:r>
        <w:rPr>
          <w:rFonts w:hint="eastAsia"/>
          <w:color w:val="000000" w:themeColor="text1"/>
        </w:rPr>
        <w:t>，金凤水库（含北干渠）仅划分一级、二级保护区，不划分准保护区</w:t>
      </w:r>
      <w:r>
        <w:rPr>
          <w:color w:val="000000" w:themeColor="text1"/>
        </w:rPr>
        <w:t>。</w:t>
      </w:r>
    </w:p>
    <w:p>
      <w:pPr>
        <w:rPr>
          <w:color w:val="000000" w:themeColor="text1"/>
        </w:rPr>
      </w:pPr>
      <w:r>
        <w:rPr>
          <w:color w:val="000000" w:themeColor="text1"/>
        </w:rPr>
        <w:t>根据《</w:t>
      </w:r>
      <w:r>
        <w:t>集中式地表水饮用水水源地突发环境事件应急预案编制指南（ 试 行 ）</w:t>
      </w:r>
      <w:r>
        <w:rPr>
          <w:color w:val="000000" w:themeColor="text1"/>
        </w:rPr>
        <w:t>》</w:t>
      </w:r>
      <w:r>
        <w:t>生态环境部（</w:t>
      </w:r>
      <w:r>
        <w:rPr>
          <w:color w:val="000000"/>
          <w:szCs w:val="24"/>
          <w:shd w:val="clear" w:color="auto" w:fill="FFFFFF"/>
        </w:rPr>
        <w:t>公告 2018年 第1号</w:t>
      </w:r>
      <w:r>
        <w:t>）</w:t>
      </w:r>
      <w:r>
        <w:rPr>
          <w:color w:val="000000" w:themeColor="text1"/>
        </w:rPr>
        <w:t>所界定的地表饮用水源保护区外风险源管理的一定范围：指的是包括水源保护区、水源保护区边界向上游连接水体及周边汇水区域上溯24小时流程范围内的水域和分水岭内的陆域，最大不超过汇水区域的范围。</w:t>
      </w:r>
    </w:p>
    <w:p>
      <w:pPr>
        <w:rPr>
          <w:color w:val="000000" w:themeColor="text1"/>
          <w:u w:val="single"/>
        </w:rPr>
      </w:pPr>
      <w:r>
        <w:rPr>
          <w:rFonts w:hint="eastAsia"/>
          <w:color w:val="000000" w:themeColor="text1"/>
          <w:u w:val="single"/>
        </w:rPr>
        <w:t>结合本项目的实际情况，岳阳市饮用水源保护区（铁山水库-北干渠-金凤水库）</w:t>
      </w:r>
      <w:r>
        <w:rPr>
          <w:color w:val="000000" w:themeColor="text1"/>
          <w:u w:val="single"/>
        </w:rPr>
        <w:t>风险调查范围</w:t>
      </w:r>
      <w:r>
        <w:rPr>
          <w:rFonts w:hint="eastAsia"/>
          <w:color w:val="000000" w:themeColor="text1"/>
          <w:u w:val="single"/>
        </w:rPr>
        <w:t>：铁山水库一、二级保护区及准保护区，金凤水库（含有北干渠）一、二级</w:t>
      </w:r>
      <w:r>
        <w:rPr>
          <w:color w:val="000000" w:themeColor="text1"/>
          <w:u w:val="single"/>
        </w:rPr>
        <w:t>水源保护区。</w:t>
      </w:r>
    </w:p>
    <w:p>
      <w:pPr>
        <w:jc w:val="left"/>
        <w:rPr>
          <w:color w:val="000000" w:themeColor="text1"/>
          <w:kern w:val="0"/>
          <w:szCs w:val="24"/>
        </w:rPr>
      </w:pPr>
    </w:p>
    <w:p>
      <w:pPr>
        <w:pStyle w:val="85"/>
        <w:spacing w:before="156" w:after="156"/>
        <w:jc w:val="center"/>
        <w:rPr>
          <w:color w:val="000000" w:themeColor="text1"/>
        </w:rPr>
      </w:pPr>
      <w:bookmarkStart w:id="268" w:name="_Toc1918"/>
      <w:bookmarkStart w:id="269" w:name="_Toc11264"/>
      <w:bookmarkStart w:id="270" w:name="_Toc21218"/>
      <w:bookmarkStart w:id="271" w:name="_Toc482605522"/>
      <w:bookmarkStart w:id="272" w:name="_Toc443465610"/>
      <w:bookmarkStart w:id="273" w:name="_Toc414542170"/>
      <w:bookmarkStart w:id="274" w:name="_Toc3929"/>
      <w:bookmarkStart w:id="275" w:name="_Toc485201125"/>
      <w:bookmarkStart w:id="276" w:name="_Toc28019"/>
      <w:bookmarkStart w:id="277" w:name="_Toc443465710"/>
      <w:bookmarkStart w:id="278" w:name="_Toc413931199"/>
      <w:bookmarkStart w:id="279" w:name="_Toc23897"/>
      <w:bookmarkStart w:id="280" w:name="_Toc535851336"/>
      <w:r>
        <w:rPr>
          <w:color w:val="000000" w:themeColor="text1"/>
        </w:rPr>
        <w:t>2</w:t>
      </w:r>
      <w:bookmarkEnd w:id="268"/>
      <w:bookmarkEnd w:id="269"/>
      <w:bookmarkEnd w:id="270"/>
      <w:bookmarkEnd w:id="271"/>
      <w:bookmarkEnd w:id="272"/>
      <w:bookmarkEnd w:id="273"/>
      <w:bookmarkEnd w:id="274"/>
      <w:bookmarkEnd w:id="275"/>
      <w:bookmarkEnd w:id="276"/>
      <w:bookmarkEnd w:id="277"/>
      <w:bookmarkEnd w:id="278"/>
      <w:bookmarkEnd w:id="279"/>
      <w:r>
        <w:rPr>
          <w:rFonts w:hint="eastAsia"/>
          <w:color w:val="000000" w:themeColor="text1"/>
        </w:rPr>
        <w:t>调查内容与方式</w:t>
      </w:r>
      <w:bookmarkEnd w:id="280"/>
    </w:p>
    <w:p>
      <w:pPr>
        <w:jc w:val="left"/>
        <w:rPr>
          <w:color w:val="000000" w:themeColor="text1"/>
          <w:kern w:val="0"/>
          <w:szCs w:val="24"/>
        </w:rPr>
      </w:pPr>
      <w:r>
        <w:rPr>
          <w:rFonts w:hint="eastAsia"/>
          <w:color w:val="000000" w:themeColor="text1"/>
          <w:kern w:val="0"/>
          <w:szCs w:val="24"/>
        </w:rPr>
        <w:t>调查内容包括基础环境特征调查、历史突发环境事件调查、应急资源调查、应急工程设施调查、应急预案调查等5 个方面内容。</w:t>
      </w:r>
    </w:p>
    <w:p>
      <w:pPr>
        <w:jc w:val="left"/>
        <w:rPr>
          <w:color w:val="000000" w:themeColor="text1"/>
          <w:kern w:val="0"/>
          <w:szCs w:val="24"/>
        </w:rPr>
      </w:pPr>
      <w:r>
        <w:rPr>
          <w:rFonts w:hint="eastAsia"/>
          <w:color w:val="000000" w:themeColor="text1"/>
          <w:kern w:val="0"/>
          <w:szCs w:val="24"/>
        </w:rPr>
        <w:t>调查方式有资料收集法、现场踏勘法和随机访谈法等。</w:t>
      </w:r>
    </w:p>
    <w:p>
      <w:pPr>
        <w:jc w:val="left"/>
        <w:rPr>
          <w:color w:val="000000" w:themeColor="text1"/>
          <w:kern w:val="0"/>
          <w:szCs w:val="24"/>
        </w:rPr>
      </w:pPr>
    </w:p>
    <w:p>
      <w:pPr>
        <w:widowControl/>
        <w:spacing w:line="240" w:lineRule="auto"/>
        <w:ind w:firstLine="0" w:firstLineChars="0"/>
        <w:jc w:val="left"/>
        <w:rPr>
          <w:color w:val="000000" w:themeColor="text1"/>
        </w:rPr>
      </w:pPr>
      <w:r>
        <w:rPr>
          <w:color w:val="000000" w:themeColor="text1"/>
        </w:rPr>
        <w:br w:type="page"/>
      </w:r>
    </w:p>
    <w:p>
      <w:pPr>
        <w:pStyle w:val="85"/>
        <w:spacing w:before="156" w:after="156"/>
        <w:jc w:val="center"/>
        <w:rPr>
          <w:color w:val="000000" w:themeColor="text1"/>
        </w:rPr>
      </w:pPr>
      <w:r>
        <w:rPr>
          <w:color w:val="000000" w:themeColor="text1"/>
        </w:rPr>
        <w:t xml:space="preserve">   </w:t>
      </w:r>
      <w:bookmarkStart w:id="281" w:name="_Toc485201128"/>
      <w:bookmarkStart w:id="282" w:name="_Toc482605525"/>
      <w:bookmarkStart w:id="283" w:name="_Toc535851337"/>
      <w:r>
        <w:rPr>
          <w:color w:val="000000" w:themeColor="text1"/>
        </w:rPr>
        <w:t>3</w:t>
      </w:r>
      <w:bookmarkEnd w:id="281"/>
      <w:bookmarkEnd w:id="282"/>
      <w:r>
        <w:rPr>
          <w:rFonts w:hint="eastAsia"/>
          <w:color w:val="000000" w:themeColor="text1"/>
        </w:rPr>
        <w:t>基础环境特征调查</w:t>
      </w:r>
      <w:bookmarkEnd w:id="283"/>
    </w:p>
    <w:p>
      <w:pPr>
        <w:pStyle w:val="3"/>
        <w:rPr>
          <w:color w:val="000000" w:themeColor="text1"/>
        </w:rPr>
      </w:pPr>
      <w:bookmarkStart w:id="284" w:name="_Toc535851338"/>
      <w:bookmarkStart w:id="285" w:name="_Toc485201129"/>
      <w:bookmarkStart w:id="286" w:name="_Toc482605526"/>
      <w:r>
        <w:rPr>
          <w:color w:val="000000" w:themeColor="text1"/>
        </w:rPr>
        <w:t>3.</w:t>
      </w:r>
      <w:r>
        <w:rPr>
          <w:rFonts w:hint="eastAsia"/>
          <w:color w:val="000000" w:themeColor="text1"/>
        </w:rPr>
        <w:t>1</w:t>
      </w:r>
      <w:r>
        <w:rPr>
          <w:color w:val="000000" w:themeColor="text1"/>
        </w:rPr>
        <w:t>饮用</w:t>
      </w:r>
      <w:r>
        <w:rPr>
          <w:rFonts w:hint="eastAsia"/>
          <w:color w:val="000000" w:themeColor="text1"/>
        </w:rPr>
        <w:t>水源地所在区域</w:t>
      </w:r>
      <w:r>
        <w:rPr>
          <w:color w:val="000000" w:themeColor="text1"/>
        </w:rPr>
        <w:t>环境概况</w:t>
      </w:r>
      <w:bookmarkEnd w:id="284"/>
    </w:p>
    <w:p>
      <w:pPr>
        <w:pStyle w:val="5"/>
        <w:rPr>
          <w:color w:val="000000" w:themeColor="text1"/>
        </w:rPr>
      </w:pPr>
      <w:r>
        <w:rPr>
          <w:color w:val="000000" w:themeColor="text1"/>
        </w:rPr>
        <w:t>3.</w:t>
      </w:r>
      <w:r>
        <w:rPr>
          <w:rFonts w:hint="eastAsia"/>
          <w:color w:val="000000" w:themeColor="text1"/>
        </w:rPr>
        <w:t>1</w:t>
      </w:r>
      <w:r>
        <w:rPr>
          <w:color w:val="000000" w:themeColor="text1"/>
        </w:rPr>
        <w:t>.1 地理位置</w:t>
      </w:r>
    </w:p>
    <w:p>
      <w:pPr>
        <w:rPr>
          <w:kern w:val="0"/>
          <w:szCs w:val="24"/>
        </w:rPr>
      </w:pPr>
      <w:r>
        <w:rPr>
          <w:kern w:val="0"/>
          <w:szCs w:val="24"/>
        </w:rPr>
        <w:t>岳阳市位于湖南省东北部，素称“湘北门户”，环抱洞庭，濒临长江，介于东经112°10′3″至114°9′6″，北纬28°25′33″与29°48′27″之间，东邻江西省铜鼓、修水县和湖北省通城县；南抵湖南省浏阳市、长沙市、望城区；西接湖南省沅江市、南县、安乡县；北界湖北省赤壁、洪湖、监利、石首县（市）。全市总面积15049平方公里，耕地面积527万亩。岳阳辖</w:t>
      </w:r>
      <w:r>
        <w:fldChar w:fldCharType="begin"/>
      </w:r>
      <w:r>
        <w:instrText xml:space="preserve"> HYPERLINK "http://baike.baidu.com/view/183726.htm" \t "H:铁山饮用水原应急预案岳阳应急预案_blank" </w:instrText>
      </w:r>
      <w:r>
        <w:fldChar w:fldCharType="separate"/>
      </w:r>
      <w:r>
        <w:rPr>
          <w:rStyle w:val="41"/>
          <w:color w:val="auto"/>
          <w:kern w:val="0"/>
          <w:szCs w:val="24"/>
        </w:rPr>
        <w:t>岳阳楼区</w:t>
      </w:r>
      <w:r>
        <w:rPr>
          <w:rStyle w:val="41"/>
          <w:color w:val="auto"/>
          <w:kern w:val="0"/>
          <w:szCs w:val="24"/>
        </w:rPr>
        <w:fldChar w:fldCharType="end"/>
      </w:r>
      <w:r>
        <w:rPr>
          <w:kern w:val="0"/>
          <w:szCs w:val="24"/>
        </w:rPr>
        <w:t>、</w:t>
      </w:r>
      <w:r>
        <w:fldChar w:fldCharType="begin"/>
      </w:r>
      <w:r>
        <w:instrText xml:space="preserve"> HYPERLINK "http://baike.baidu.com/view/589278.htm" \t "H:铁山饮用水原应急预案岳阳应急预案_blank" </w:instrText>
      </w:r>
      <w:r>
        <w:fldChar w:fldCharType="separate"/>
      </w:r>
      <w:r>
        <w:rPr>
          <w:rStyle w:val="41"/>
          <w:color w:val="auto"/>
          <w:kern w:val="0"/>
          <w:szCs w:val="24"/>
        </w:rPr>
        <w:t>云溪区</w:t>
      </w:r>
      <w:r>
        <w:rPr>
          <w:rStyle w:val="41"/>
          <w:color w:val="auto"/>
          <w:kern w:val="0"/>
          <w:szCs w:val="24"/>
        </w:rPr>
        <w:fldChar w:fldCharType="end"/>
      </w:r>
      <w:r>
        <w:rPr>
          <w:kern w:val="0"/>
          <w:szCs w:val="24"/>
        </w:rPr>
        <w:t>、</w:t>
      </w:r>
      <w:r>
        <w:fldChar w:fldCharType="begin"/>
      </w:r>
      <w:r>
        <w:instrText xml:space="preserve"> HYPERLINK "http://baike.baidu.com/view/589280.htm" \t "H:铁山饮用水原应急预案岳阳应急预案_blank" </w:instrText>
      </w:r>
      <w:r>
        <w:fldChar w:fldCharType="separate"/>
      </w:r>
      <w:r>
        <w:rPr>
          <w:rStyle w:val="41"/>
          <w:color w:val="auto"/>
          <w:kern w:val="0"/>
          <w:szCs w:val="24"/>
        </w:rPr>
        <w:t>君山区</w:t>
      </w:r>
      <w:r>
        <w:rPr>
          <w:rStyle w:val="41"/>
          <w:color w:val="auto"/>
          <w:kern w:val="0"/>
          <w:szCs w:val="24"/>
        </w:rPr>
        <w:fldChar w:fldCharType="end"/>
      </w:r>
      <w:r>
        <w:rPr>
          <w:kern w:val="0"/>
          <w:szCs w:val="24"/>
        </w:rPr>
        <w:t>3个区，</w:t>
      </w:r>
      <w:r>
        <w:fldChar w:fldCharType="begin"/>
      </w:r>
      <w:r>
        <w:instrText xml:space="preserve"> HYPERLINK "http://baike.baidu.com/view/589288.htm" \t "H:铁山饮用水原应急预案岳阳应急预案_blank" </w:instrText>
      </w:r>
      <w:r>
        <w:fldChar w:fldCharType="separate"/>
      </w:r>
      <w:r>
        <w:rPr>
          <w:rStyle w:val="41"/>
          <w:color w:val="auto"/>
          <w:kern w:val="0"/>
          <w:szCs w:val="24"/>
        </w:rPr>
        <w:t>湘阴县</w:t>
      </w:r>
      <w:r>
        <w:rPr>
          <w:rStyle w:val="41"/>
          <w:color w:val="auto"/>
          <w:kern w:val="0"/>
          <w:szCs w:val="24"/>
        </w:rPr>
        <w:fldChar w:fldCharType="end"/>
      </w:r>
      <w:r>
        <w:rPr>
          <w:kern w:val="0"/>
          <w:szCs w:val="24"/>
        </w:rPr>
        <w:t>、</w:t>
      </w:r>
      <w:r>
        <w:fldChar w:fldCharType="begin"/>
      </w:r>
      <w:r>
        <w:instrText xml:space="preserve"> HYPERLINK "http://baike.baidu.com/subview/575469/10175012.htm" \t "H:铁山饮用水原应急预案岳阳应急预案_blank" </w:instrText>
      </w:r>
      <w:r>
        <w:fldChar w:fldCharType="separate"/>
      </w:r>
      <w:r>
        <w:rPr>
          <w:rStyle w:val="41"/>
          <w:color w:val="auto"/>
          <w:kern w:val="0"/>
          <w:szCs w:val="24"/>
        </w:rPr>
        <w:t>岳阳县</w:t>
      </w:r>
      <w:r>
        <w:rPr>
          <w:rStyle w:val="41"/>
          <w:color w:val="auto"/>
          <w:kern w:val="0"/>
          <w:szCs w:val="24"/>
        </w:rPr>
        <w:fldChar w:fldCharType="end"/>
      </w:r>
      <w:r>
        <w:rPr>
          <w:kern w:val="0"/>
          <w:szCs w:val="24"/>
        </w:rPr>
        <w:t>、</w:t>
      </w:r>
      <w:r>
        <w:fldChar w:fldCharType="begin"/>
      </w:r>
      <w:r>
        <w:instrText xml:space="preserve"> HYPERLINK "http://baike.baidu.com/view/540542.htm" \t "H:铁山饮用水原应急预案岳阳应急预案_blank" </w:instrText>
      </w:r>
      <w:r>
        <w:fldChar w:fldCharType="separate"/>
      </w:r>
      <w:r>
        <w:rPr>
          <w:rStyle w:val="41"/>
          <w:color w:val="auto"/>
          <w:kern w:val="0"/>
          <w:szCs w:val="24"/>
        </w:rPr>
        <w:t>华容县</w:t>
      </w:r>
      <w:r>
        <w:rPr>
          <w:rStyle w:val="41"/>
          <w:color w:val="auto"/>
          <w:kern w:val="0"/>
          <w:szCs w:val="24"/>
        </w:rPr>
        <w:fldChar w:fldCharType="end"/>
      </w:r>
      <w:r>
        <w:rPr>
          <w:kern w:val="0"/>
          <w:szCs w:val="24"/>
        </w:rPr>
        <w:t>、</w:t>
      </w:r>
      <w:r>
        <w:fldChar w:fldCharType="begin"/>
      </w:r>
      <w:r>
        <w:instrText xml:space="preserve"> HYPERLINK "http://baike.baidu.com/view/282256.htm" \t "H:铁山饮用水原应急预案岳阳应急预案_blank" </w:instrText>
      </w:r>
      <w:r>
        <w:fldChar w:fldCharType="separate"/>
      </w:r>
      <w:r>
        <w:rPr>
          <w:rStyle w:val="41"/>
          <w:color w:val="auto"/>
          <w:kern w:val="0"/>
          <w:szCs w:val="24"/>
        </w:rPr>
        <w:t>平江县</w:t>
      </w:r>
      <w:r>
        <w:rPr>
          <w:rStyle w:val="41"/>
          <w:color w:val="auto"/>
          <w:kern w:val="0"/>
          <w:szCs w:val="24"/>
        </w:rPr>
        <w:fldChar w:fldCharType="end"/>
      </w:r>
      <w:r>
        <w:rPr>
          <w:kern w:val="0"/>
          <w:szCs w:val="24"/>
        </w:rPr>
        <w:t>4个县，代管</w:t>
      </w:r>
      <w:r>
        <w:fldChar w:fldCharType="begin"/>
      </w:r>
      <w:r>
        <w:instrText xml:space="preserve"> HYPERLINK "http://baike.baidu.com/view/589276.htm" \t "H:铁山饮用水原应急预案岳阳应急预案_blank" </w:instrText>
      </w:r>
      <w:r>
        <w:fldChar w:fldCharType="separate"/>
      </w:r>
      <w:r>
        <w:rPr>
          <w:rStyle w:val="41"/>
          <w:color w:val="auto"/>
          <w:kern w:val="0"/>
          <w:szCs w:val="24"/>
        </w:rPr>
        <w:t>汨罗市</w:t>
      </w:r>
      <w:r>
        <w:rPr>
          <w:rStyle w:val="41"/>
          <w:color w:val="auto"/>
          <w:kern w:val="0"/>
          <w:szCs w:val="24"/>
        </w:rPr>
        <w:fldChar w:fldCharType="end"/>
      </w:r>
      <w:r>
        <w:rPr>
          <w:kern w:val="0"/>
          <w:szCs w:val="24"/>
        </w:rPr>
        <w:t>、</w:t>
      </w:r>
      <w:r>
        <w:fldChar w:fldCharType="begin"/>
      </w:r>
      <w:r>
        <w:instrText xml:space="preserve"> HYPERLINK "http://baike.baidu.com/view/412315.htm" \t "H:铁山饮用水原应急预案岳阳应急预案_blank" </w:instrText>
      </w:r>
      <w:r>
        <w:fldChar w:fldCharType="separate"/>
      </w:r>
      <w:r>
        <w:rPr>
          <w:rStyle w:val="41"/>
          <w:color w:val="auto"/>
          <w:kern w:val="0"/>
          <w:szCs w:val="24"/>
        </w:rPr>
        <w:t>临湘市</w:t>
      </w:r>
      <w:r>
        <w:rPr>
          <w:rStyle w:val="41"/>
          <w:color w:val="auto"/>
          <w:kern w:val="0"/>
          <w:szCs w:val="24"/>
        </w:rPr>
        <w:fldChar w:fldCharType="end"/>
      </w:r>
      <w:r>
        <w:rPr>
          <w:kern w:val="0"/>
          <w:szCs w:val="24"/>
        </w:rPr>
        <w:t>2个县级市，设有</w:t>
      </w:r>
      <w:r>
        <w:fldChar w:fldCharType="begin"/>
      </w:r>
      <w:r>
        <w:instrText xml:space="preserve"> HYPERLINK "http://baike.baidu.com/view/1714361.htm" \t "H:铁山饮用水原应急预案岳阳应急预案_blank" </w:instrText>
      </w:r>
      <w:r>
        <w:fldChar w:fldCharType="separate"/>
      </w:r>
      <w:r>
        <w:rPr>
          <w:rStyle w:val="41"/>
          <w:color w:val="auto"/>
          <w:kern w:val="0"/>
          <w:szCs w:val="24"/>
        </w:rPr>
        <w:t>岳阳经济技术开发区</w:t>
      </w:r>
      <w:r>
        <w:rPr>
          <w:rStyle w:val="41"/>
          <w:color w:val="auto"/>
          <w:kern w:val="0"/>
          <w:szCs w:val="24"/>
        </w:rPr>
        <w:fldChar w:fldCharType="end"/>
      </w:r>
      <w:r>
        <w:rPr>
          <w:kern w:val="0"/>
          <w:szCs w:val="24"/>
        </w:rPr>
        <w:t>（国家级</w:t>
      </w:r>
      <w:bookmarkStart w:id="287" w:name="ref_[4]_13478994"/>
      <w:r>
        <w:rPr>
          <w:kern w:val="0"/>
          <w:szCs w:val="24"/>
        </w:rPr>
        <w:t>） </w:t>
      </w:r>
      <w:bookmarkEnd w:id="287"/>
      <w:r>
        <w:rPr>
          <w:kern w:val="0"/>
          <w:szCs w:val="24"/>
        </w:rPr>
        <w:t> 、</w:t>
      </w:r>
      <w:r>
        <w:fldChar w:fldCharType="begin"/>
      </w:r>
      <w:r>
        <w:instrText xml:space="preserve"> HYPERLINK "http://baike.baidu.com/view/128409.htm" \t "H:铁山饮用水原应急预案岳阳应急预案_blank" </w:instrText>
      </w:r>
      <w:r>
        <w:fldChar w:fldCharType="separate"/>
      </w:r>
      <w:r>
        <w:rPr>
          <w:rStyle w:val="41"/>
          <w:color w:val="auto"/>
          <w:kern w:val="0"/>
          <w:szCs w:val="24"/>
        </w:rPr>
        <w:t>城陵矶</w:t>
      </w:r>
      <w:r>
        <w:rPr>
          <w:rStyle w:val="41"/>
          <w:color w:val="auto"/>
          <w:kern w:val="0"/>
          <w:szCs w:val="24"/>
        </w:rPr>
        <w:fldChar w:fldCharType="end"/>
      </w:r>
      <w:r>
        <w:rPr>
          <w:kern w:val="0"/>
          <w:szCs w:val="24"/>
        </w:rPr>
        <w:t>临港产业新区、</w:t>
      </w:r>
      <w:r>
        <w:fldChar w:fldCharType="begin"/>
      </w:r>
      <w:r>
        <w:instrText xml:space="preserve"> HYPERLINK "http://baike.baidu.com/subview/3320127/20424490.htm" \t "H:铁山饮用水原应急预案岳阳应急预案_blank" </w:instrText>
      </w:r>
      <w:r>
        <w:fldChar w:fldCharType="separate"/>
      </w:r>
      <w:r>
        <w:rPr>
          <w:rStyle w:val="41"/>
          <w:color w:val="auto"/>
          <w:kern w:val="0"/>
          <w:szCs w:val="24"/>
        </w:rPr>
        <w:t>南湖新区</w:t>
      </w:r>
      <w:r>
        <w:rPr>
          <w:rStyle w:val="41"/>
          <w:color w:val="auto"/>
          <w:kern w:val="0"/>
          <w:szCs w:val="24"/>
        </w:rPr>
        <w:fldChar w:fldCharType="end"/>
      </w:r>
      <w:r>
        <w:rPr>
          <w:kern w:val="0"/>
          <w:szCs w:val="24"/>
        </w:rPr>
        <w:t>和</w:t>
      </w:r>
      <w:r>
        <w:fldChar w:fldCharType="begin"/>
      </w:r>
      <w:r>
        <w:instrText xml:space="preserve"> HYPERLINK "http://baike.baidu.com/view/141941.htm" \t "H:铁山饮用水原应急预案岳阳应急预案_blank" </w:instrText>
      </w:r>
      <w:r>
        <w:fldChar w:fldCharType="separate"/>
      </w:r>
      <w:r>
        <w:rPr>
          <w:rStyle w:val="41"/>
          <w:color w:val="auto"/>
          <w:kern w:val="0"/>
          <w:szCs w:val="24"/>
        </w:rPr>
        <w:t>屈原管理区</w:t>
      </w:r>
      <w:r>
        <w:rPr>
          <w:rStyle w:val="41"/>
          <w:color w:val="auto"/>
          <w:kern w:val="0"/>
          <w:szCs w:val="24"/>
        </w:rPr>
        <w:fldChar w:fldCharType="end"/>
      </w:r>
      <w:r>
        <w:rPr>
          <w:kern w:val="0"/>
          <w:szCs w:val="24"/>
        </w:rPr>
        <w:t>4个行政管理区，面积15019平方公里，总人口559.51万，其中，城镇人口为292.58万人。</w:t>
      </w:r>
    </w:p>
    <w:p>
      <w:pPr>
        <w:rPr>
          <w:kern w:val="0"/>
          <w:szCs w:val="24"/>
        </w:rPr>
      </w:pPr>
      <w:r>
        <w:rPr>
          <w:szCs w:val="24"/>
        </w:rPr>
        <w:t>金凤水库位于岳阳市经济技术开发区金凤桥村、监审桥村</w:t>
      </w:r>
      <w:r>
        <w:rPr>
          <w:rFonts w:hint="eastAsia"/>
          <w:szCs w:val="24"/>
        </w:rPr>
        <w:t>（地理位置见附图2）</w:t>
      </w:r>
      <w:r>
        <w:rPr>
          <w:szCs w:val="24"/>
        </w:rPr>
        <w:t>，周边的主要交通枢纽有岳阳东高铁站及岳阳大道。金凤水库为铁山水库的附属水库，铁山水库位于岳阳县公田镇铁山口，铁山水库通过北干渠将水源输送至金凤水库</w:t>
      </w:r>
      <w:r>
        <w:rPr>
          <w:rFonts w:hint="eastAsia"/>
          <w:szCs w:val="24"/>
        </w:rPr>
        <w:t>（地理位置见附图3）</w:t>
      </w:r>
      <w:r>
        <w:rPr>
          <w:szCs w:val="24"/>
        </w:rPr>
        <w:t>。</w:t>
      </w:r>
    </w:p>
    <w:p>
      <w:pPr>
        <w:pStyle w:val="5"/>
        <w:rPr>
          <w:color w:val="000000" w:themeColor="text1"/>
        </w:rPr>
      </w:pPr>
      <w:r>
        <w:rPr>
          <w:color w:val="000000" w:themeColor="text1"/>
        </w:rPr>
        <w:t>3.</w:t>
      </w:r>
      <w:r>
        <w:rPr>
          <w:rFonts w:hint="eastAsia"/>
          <w:color w:val="000000" w:themeColor="text1"/>
        </w:rPr>
        <w:t>1</w:t>
      </w:r>
      <w:r>
        <w:rPr>
          <w:color w:val="000000" w:themeColor="text1"/>
        </w:rPr>
        <w:t>.</w:t>
      </w:r>
      <w:r>
        <w:rPr>
          <w:rFonts w:hint="eastAsia"/>
          <w:color w:val="000000" w:themeColor="text1"/>
        </w:rPr>
        <w:t>2地形地貌</w:t>
      </w:r>
    </w:p>
    <w:p>
      <w:pPr>
        <w:widowControl/>
        <w:jc w:val="left"/>
        <w:rPr>
          <w:kern w:val="0"/>
          <w:szCs w:val="24"/>
        </w:rPr>
      </w:pPr>
      <w:r>
        <w:rPr>
          <w:kern w:val="0"/>
          <w:szCs w:val="24"/>
        </w:rPr>
        <w:t>岳阳市境内地貌多种多样，丘岗与盆地相穿插、平原与湖泊犬牙交错。山地、丘陵、岗地、平原、水面的比例大致为15：24：17：27：17。境内地势东高西低，呈阶梯状向洞庭湖盆地倾斜。东有幕阜山山脉蜿蜒其间，自东南向西北雁行排列，脊岭海拔约800m，幕阜山主峰海拔1590m；南为连云山环绕，脊岭海拔约1000m，主峰海拔1600m；西南被玉池山脉所盘踞，主峰海拔748m。全市两面环山，自东南向西北倾斜，东南为山丘区，西北为洞庭湖平原，中部为过渡性环湖浅丘地带。全市山地占14.6%，丘岗区占41.2%,平原占27%，水面占17.2%。</w:t>
      </w:r>
    </w:p>
    <w:p>
      <w:pPr>
        <w:pStyle w:val="5"/>
        <w:rPr>
          <w:color w:val="000000" w:themeColor="text1"/>
        </w:rPr>
      </w:pPr>
      <w:r>
        <w:rPr>
          <w:color w:val="000000" w:themeColor="text1"/>
        </w:rPr>
        <w:t>3.</w:t>
      </w:r>
      <w:r>
        <w:rPr>
          <w:rFonts w:hint="eastAsia"/>
          <w:color w:val="000000" w:themeColor="text1"/>
        </w:rPr>
        <w:t>1</w:t>
      </w:r>
      <w:r>
        <w:rPr>
          <w:color w:val="000000" w:themeColor="text1"/>
        </w:rPr>
        <w:t>.</w:t>
      </w:r>
      <w:r>
        <w:rPr>
          <w:rFonts w:hint="eastAsia"/>
          <w:color w:val="000000" w:themeColor="text1"/>
        </w:rPr>
        <w:t>3气候特征</w:t>
      </w:r>
    </w:p>
    <w:p>
      <w:pPr>
        <w:pStyle w:val="94"/>
        <w:ind w:firstLine="480"/>
        <w:rPr>
          <w:rFonts w:ascii="宋体" w:hAnsi="宋体" w:cs="宋体"/>
          <w:color w:val="000000" w:themeColor="text1"/>
        </w:rPr>
      </w:pPr>
      <w:r>
        <w:rPr>
          <w:rFonts w:hint="eastAsia"/>
          <w:szCs w:val="24"/>
        </w:rPr>
        <w:t>岳阳市处在东亚季风气候区中，气候带上具有中亚热带向北亚热带过渡性质，属湿润的大陆性季风气候。其主要特征：温暖湿润，四季分明，季节性强；热量丰富，严寒期短、无霜期长，春温多变，盛夏酷热；雨水充沛，雨季明显，降水集中；</w:t>
      </w:r>
      <w:r>
        <w:rPr>
          <w:rFonts w:hint="eastAsia" w:ascii="宋体" w:hAnsi="宋体" w:cs="宋体"/>
          <w:szCs w:val="24"/>
        </w:rPr>
        <w:t>“湖陆风”盛行，“洞庭秋月”</w:t>
      </w:r>
      <w:r>
        <w:rPr>
          <w:rFonts w:hint="eastAsia"/>
          <w:szCs w:val="24"/>
        </w:rPr>
        <w:t>明；湖区气候均一，山地气候悬殊。年平均降水量为</w:t>
      </w:r>
      <w:r>
        <w:rPr>
          <w:szCs w:val="24"/>
        </w:rPr>
        <w:t>1289.8</w:t>
      </w:r>
      <w:r>
        <w:rPr>
          <w:rFonts w:hint="eastAsia"/>
          <w:szCs w:val="24"/>
        </w:rPr>
        <w:t>～</w:t>
      </w:r>
      <w:r>
        <w:rPr>
          <w:szCs w:val="24"/>
        </w:rPr>
        <w:t>1556.2mm</w:t>
      </w:r>
      <w:r>
        <w:rPr>
          <w:rFonts w:hint="eastAsia"/>
          <w:szCs w:val="24"/>
        </w:rPr>
        <w:t>，呈春夏多、秋冬少，东部多、西部少的格局，春夏雨量占全年的</w:t>
      </w:r>
      <w:r>
        <w:rPr>
          <w:szCs w:val="24"/>
        </w:rPr>
        <w:t>70%</w:t>
      </w:r>
      <w:r>
        <w:rPr>
          <w:rFonts w:hint="eastAsia"/>
          <w:szCs w:val="24"/>
        </w:rPr>
        <w:t>～</w:t>
      </w:r>
      <w:r>
        <w:rPr>
          <w:szCs w:val="24"/>
        </w:rPr>
        <w:t>73%</w:t>
      </w:r>
      <w:r>
        <w:rPr>
          <w:rFonts w:hint="eastAsia"/>
          <w:szCs w:val="24"/>
        </w:rPr>
        <w:t>，降雨年际分布不均，最多达</w:t>
      </w:r>
      <w:r>
        <w:rPr>
          <w:szCs w:val="24"/>
        </w:rPr>
        <w:t>2336.5mm</w:t>
      </w:r>
      <w:r>
        <w:rPr>
          <w:rFonts w:hint="eastAsia"/>
          <w:szCs w:val="24"/>
        </w:rPr>
        <w:t>，降雨少的年份只有</w:t>
      </w:r>
      <w:r>
        <w:rPr>
          <w:szCs w:val="24"/>
        </w:rPr>
        <w:t>750.9mm</w:t>
      </w:r>
      <w:r>
        <w:rPr>
          <w:rFonts w:hint="eastAsia"/>
          <w:szCs w:val="24"/>
        </w:rPr>
        <w:t>。年平均气温在</w:t>
      </w:r>
      <w:r>
        <w:rPr>
          <w:szCs w:val="24"/>
        </w:rPr>
        <w:t>16.5</w:t>
      </w:r>
      <w:r>
        <w:rPr>
          <w:rFonts w:hint="eastAsia"/>
          <w:szCs w:val="24"/>
        </w:rPr>
        <w:t>～</w:t>
      </w:r>
      <w:r>
        <w:rPr>
          <w:szCs w:val="24"/>
        </w:rPr>
        <w:t>17.2</w:t>
      </w:r>
      <w:r>
        <w:rPr>
          <w:rFonts w:hint="eastAsia"/>
          <w:szCs w:val="24"/>
        </w:rPr>
        <w:t>℃之间，极端最高气温为</w:t>
      </w:r>
      <w:r>
        <w:rPr>
          <w:szCs w:val="24"/>
        </w:rPr>
        <w:t>39.3</w:t>
      </w:r>
      <w:r>
        <w:rPr>
          <w:rFonts w:hint="eastAsia"/>
          <w:szCs w:val="24"/>
        </w:rPr>
        <w:t>～</w:t>
      </w:r>
      <w:r>
        <w:rPr>
          <w:szCs w:val="24"/>
        </w:rPr>
        <w:t>40.8</w:t>
      </w:r>
      <w:r>
        <w:rPr>
          <w:rFonts w:hint="eastAsia"/>
          <w:szCs w:val="24"/>
        </w:rPr>
        <w:t>℃，极端最低气温为</w:t>
      </w:r>
      <w:r>
        <w:rPr>
          <w:szCs w:val="24"/>
        </w:rPr>
        <w:t>-11.4</w:t>
      </w:r>
      <w:r>
        <w:rPr>
          <w:rFonts w:hint="eastAsia"/>
          <w:szCs w:val="24"/>
        </w:rPr>
        <w:t>～</w:t>
      </w:r>
      <w:r>
        <w:rPr>
          <w:szCs w:val="24"/>
        </w:rPr>
        <w:t>-18.1</w:t>
      </w:r>
      <w:r>
        <w:rPr>
          <w:rFonts w:hint="eastAsia"/>
          <w:szCs w:val="24"/>
        </w:rPr>
        <w:t>℃。城区年平均气温偏高，为</w:t>
      </w:r>
      <w:r>
        <w:rPr>
          <w:szCs w:val="24"/>
        </w:rPr>
        <w:t>17.0</w:t>
      </w:r>
      <w:r>
        <w:rPr>
          <w:rFonts w:hint="eastAsia"/>
          <w:szCs w:val="24"/>
        </w:rPr>
        <w:t>℃。年日照时数为</w:t>
      </w:r>
      <w:r>
        <w:rPr>
          <w:szCs w:val="24"/>
        </w:rPr>
        <w:t>1590.2</w:t>
      </w:r>
      <w:r>
        <w:rPr>
          <w:rFonts w:hint="eastAsia"/>
          <w:szCs w:val="24"/>
        </w:rPr>
        <w:t>～</w:t>
      </w:r>
      <w:r>
        <w:rPr>
          <w:szCs w:val="24"/>
        </w:rPr>
        <w:t>1722.3</w:t>
      </w:r>
      <w:r>
        <w:rPr>
          <w:rFonts w:hint="eastAsia"/>
          <w:szCs w:val="24"/>
        </w:rPr>
        <w:t>小时，呈北部比南部多、西部比东部多的格局。年无霜期</w:t>
      </w:r>
      <w:r>
        <w:rPr>
          <w:szCs w:val="24"/>
        </w:rPr>
        <w:t>256</w:t>
      </w:r>
      <w:r>
        <w:rPr>
          <w:rFonts w:hint="eastAsia"/>
          <w:szCs w:val="24"/>
        </w:rPr>
        <w:t>～</w:t>
      </w:r>
      <w:r>
        <w:rPr>
          <w:szCs w:val="24"/>
        </w:rPr>
        <w:t>285</w:t>
      </w:r>
      <w:r>
        <w:rPr>
          <w:rFonts w:hint="eastAsia"/>
          <w:szCs w:val="24"/>
        </w:rPr>
        <w:t>天。市境主导风向为北风和东北偏北风，年平均风速为</w:t>
      </w:r>
      <w:r>
        <w:rPr>
          <w:szCs w:val="24"/>
        </w:rPr>
        <w:t>2.0</w:t>
      </w:r>
      <w:r>
        <w:rPr>
          <w:rFonts w:hint="eastAsia"/>
          <w:szCs w:val="24"/>
        </w:rPr>
        <w:t>～</w:t>
      </w:r>
      <w:r>
        <w:rPr>
          <w:szCs w:val="24"/>
        </w:rPr>
        <w:t>2.7m/s</w:t>
      </w:r>
      <w:r>
        <w:rPr>
          <w:rFonts w:hint="eastAsia"/>
          <w:szCs w:val="24"/>
        </w:rPr>
        <w:t>。</w:t>
      </w:r>
      <w:r>
        <w:rPr>
          <w:rFonts w:hint="eastAsia" w:ascii="宋体" w:hAnsi="宋体" w:cs="宋体"/>
          <w:szCs w:val="24"/>
        </w:rPr>
        <w:t>“湖陆风”盛行，“洞庭秋月”朗；湖区气候均一，山地气候差异大；生长季中光热水充足，农业气候条件较好。</w:t>
      </w:r>
    </w:p>
    <w:p>
      <w:pPr>
        <w:pStyle w:val="5"/>
        <w:rPr>
          <w:color w:val="000000" w:themeColor="text1"/>
        </w:rPr>
      </w:pPr>
      <w:r>
        <w:rPr>
          <w:color w:val="000000" w:themeColor="text1"/>
        </w:rPr>
        <w:t>3.</w:t>
      </w:r>
      <w:r>
        <w:rPr>
          <w:rFonts w:hint="eastAsia"/>
          <w:color w:val="000000" w:themeColor="text1"/>
        </w:rPr>
        <w:t>1</w:t>
      </w:r>
      <w:r>
        <w:rPr>
          <w:color w:val="000000" w:themeColor="text1"/>
        </w:rPr>
        <w:t>.</w:t>
      </w:r>
      <w:r>
        <w:rPr>
          <w:rFonts w:hint="eastAsia"/>
          <w:color w:val="000000" w:themeColor="text1"/>
        </w:rPr>
        <w:t>4水文</w:t>
      </w:r>
    </w:p>
    <w:p>
      <w:pPr>
        <w:shd w:val="clear" w:color="auto" w:fill="FFFFFF"/>
        <w:rPr>
          <w:szCs w:val="24"/>
        </w:rPr>
      </w:pPr>
      <w:r>
        <w:rPr>
          <w:szCs w:val="24"/>
        </w:rPr>
        <w:t>岳阳市水系发达，湖泊星罗棋布，河流网织，有大小湖泊165个，280多条大小河流直接流入洞庭湖和长江。洞庭湖是长江中游最重要的调蓄湖泊，湖泊面积2691km</w:t>
      </w:r>
      <w:r>
        <w:rPr>
          <w:szCs w:val="24"/>
          <w:vertAlign w:val="superscript"/>
        </w:rPr>
        <w:t>2</w:t>
      </w:r>
      <w:r>
        <w:rPr>
          <w:szCs w:val="24"/>
        </w:rPr>
        <w:t>，总容积170亿m</w:t>
      </w:r>
      <w:r>
        <w:rPr>
          <w:szCs w:val="24"/>
          <w:vertAlign w:val="superscript"/>
        </w:rPr>
        <w:t>3</w:t>
      </w:r>
      <w:r>
        <w:rPr>
          <w:szCs w:val="24"/>
        </w:rPr>
        <w:t>，分为东、西、南洞庭湖。岳阳市境内洞庭湖面积约1328km</w:t>
      </w:r>
      <w:r>
        <w:rPr>
          <w:szCs w:val="24"/>
          <w:vertAlign w:val="superscript"/>
        </w:rPr>
        <w:t>2</w:t>
      </w:r>
      <w:r>
        <w:rPr>
          <w:szCs w:val="24"/>
        </w:rPr>
        <w:t>。东洞庭湖是</w:t>
      </w:r>
      <w:r>
        <w:fldChar w:fldCharType="begin"/>
      </w:r>
      <w:r>
        <w:instrText xml:space="preserve"> HYPERLINK "http://baike.baidu.com/view/5852.htm" \t "H:铁山饮用水原应急预案岳阳应急预案_blank" </w:instrText>
      </w:r>
      <w:r>
        <w:fldChar w:fldCharType="separate"/>
      </w:r>
      <w:r>
        <w:rPr>
          <w:rStyle w:val="41"/>
          <w:color w:val="auto"/>
          <w:kern w:val="0"/>
          <w:szCs w:val="24"/>
        </w:rPr>
        <w:t>洞庭湖</w:t>
      </w:r>
      <w:r>
        <w:rPr>
          <w:rStyle w:val="41"/>
          <w:color w:val="auto"/>
          <w:kern w:val="0"/>
          <w:szCs w:val="24"/>
        </w:rPr>
        <w:fldChar w:fldCharType="end"/>
      </w:r>
      <w:r>
        <w:rPr>
          <w:szCs w:val="24"/>
        </w:rPr>
        <w:t>泊群落中最大、保存最完好的天然季节性湖泊，占洞庭湖总水面的49.35%，其水面大部分位于岳阳境内。在洞庭湖周边，沿东、南、西、北4个方向，分别有新墙河、汨罗江、湘江、资江、沅江、澧水、松滋河、虎渡河、藕池河等九条大中江河入湖，形成以洞庭湖为中心的辐射状水系，亦被</w:t>
      </w:r>
      <w:r>
        <w:rPr>
          <w:rFonts w:hint="eastAsia" w:ascii="宋体" w:hAnsi="宋体" w:cs="宋体"/>
          <w:szCs w:val="24"/>
        </w:rPr>
        <w:t>称“九龙闹洞庭”</w:t>
      </w:r>
      <w:r>
        <w:rPr>
          <w:szCs w:val="24"/>
        </w:rPr>
        <w:t>。其中前六条统称</w:t>
      </w:r>
      <w:r>
        <w:rPr>
          <w:rFonts w:hint="eastAsia" w:ascii="宋体" w:hAnsi="宋体" w:cs="宋体"/>
          <w:szCs w:val="24"/>
        </w:rPr>
        <w:t>为“南水”，后三条统称为“北水”</w:t>
      </w:r>
      <w:r>
        <w:rPr>
          <w:szCs w:val="24"/>
        </w:rPr>
        <w:t>，南、北两水在洞庭</w:t>
      </w:r>
      <w:r>
        <w:rPr>
          <w:rFonts w:hint="eastAsia" w:ascii="宋体" w:hAnsi="宋体" w:cs="宋体"/>
          <w:szCs w:val="24"/>
        </w:rPr>
        <w:t>湖“九九归一”于</w:t>
      </w:r>
      <w:r>
        <w:rPr>
          <w:szCs w:val="24"/>
        </w:rPr>
        <w:t>城陵矶汇入长江。全市长5公里以上河流有273条，流域面积100 km</w:t>
      </w:r>
      <w:r>
        <w:rPr>
          <w:szCs w:val="24"/>
          <w:vertAlign w:val="superscript"/>
        </w:rPr>
        <w:t>2</w:t>
      </w:r>
      <w:r>
        <w:rPr>
          <w:szCs w:val="24"/>
        </w:rPr>
        <w:t>的河流有27条，流域面积2000 km</w:t>
      </w:r>
      <w:r>
        <w:rPr>
          <w:szCs w:val="24"/>
          <w:vertAlign w:val="superscript"/>
        </w:rPr>
        <w:t>2</w:t>
      </w:r>
      <w:r>
        <w:rPr>
          <w:szCs w:val="24"/>
        </w:rPr>
        <w:t>以上的河流有两条：汨罗江发源于通城、修水、平江交界的黄龙山脉，长253公里，流域面积5543 km</w:t>
      </w:r>
      <w:r>
        <w:rPr>
          <w:szCs w:val="24"/>
          <w:vertAlign w:val="superscript"/>
        </w:rPr>
        <w:t>2</w:t>
      </w:r>
      <w:r>
        <w:rPr>
          <w:szCs w:val="24"/>
        </w:rPr>
        <w:t>；新墙河长108km，流域面积2370 km</w:t>
      </w:r>
      <w:r>
        <w:rPr>
          <w:szCs w:val="24"/>
          <w:vertAlign w:val="superscript"/>
        </w:rPr>
        <w:t>2</w:t>
      </w:r>
      <w:r>
        <w:rPr>
          <w:szCs w:val="24"/>
        </w:rPr>
        <w:t>。黄盖湖位于湘鄂交界处，全流域面积1552.8平方公里，在岳阳市境内有1377.8平方公里。</w:t>
      </w:r>
    </w:p>
    <w:p>
      <w:pPr>
        <w:widowControl/>
        <w:jc w:val="left"/>
        <w:rPr>
          <w:kern w:val="0"/>
          <w:szCs w:val="24"/>
        </w:rPr>
      </w:pPr>
      <w:r>
        <w:rPr>
          <w:kern w:val="0"/>
          <w:szCs w:val="24"/>
        </w:rPr>
        <w:t>岳阳县主要河流有流向东洞庭湖的新墙河、费家河、坪桥河、铜鼓河，有直入南洞庭湖的罗水河。</w:t>
      </w:r>
    </w:p>
    <w:p>
      <w:pPr>
        <w:widowControl/>
        <w:jc w:val="left"/>
        <w:rPr>
          <w:kern w:val="0"/>
          <w:szCs w:val="24"/>
        </w:rPr>
      </w:pPr>
      <w:r>
        <w:rPr>
          <w:kern w:val="0"/>
          <w:szCs w:val="24"/>
        </w:rPr>
        <w:t>新墙河有沙港、游港两大支流，在县境主、支流全长115.4千米，流域面积1597.6平方千米。主流经新墙、城关两镇，从破岚口入东洞庭湖。</w:t>
      </w:r>
    </w:p>
    <w:p>
      <w:pPr>
        <w:widowControl/>
        <w:jc w:val="left"/>
        <w:rPr>
          <w:szCs w:val="24"/>
        </w:rPr>
      </w:pPr>
      <w:r>
        <w:rPr>
          <w:kern w:val="0"/>
          <w:szCs w:val="24"/>
        </w:rPr>
        <w:t>铁山水库属于新墙河流域，铁山水库的回水区有5条河流，分别是月田镇的月田河、吴家段河；毛田镇的毛田河、英桥河；相思乡的小港河。此外，流域内还有2条主要河流，一条是公田镇的东淇河（与铁山水库东北-西南向隧道相通），另一条是铁山水库流域最长的一条河流--沙港河，沙港河发源于平江县板江乡，流经月田镇后称为月田河，随后汇入铁山水库，从铁山水库大坝口流出进入公田镇，最终汇入新墙河支流的沙河。</w:t>
      </w:r>
    </w:p>
    <w:p>
      <w:pPr>
        <w:shd w:val="clear" w:color="auto" w:fill="FFFFFF"/>
        <w:ind w:firstLine="0" w:firstLineChars="0"/>
        <w:rPr>
          <w:sz w:val="28"/>
          <w:szCs w:val="28"/>
        </w:rPr>
      </w:pPr>
      <w:r>
        <w:drawing>
          <wp:inline distT="0" distB="0" distL="114300" distR="114300">
            <wp:extent cx="5269865" cy="4033520"/>
            <wp:effectExtent l="0" t="0" r="6985" b="5080"/>
            <wp:docPr id="2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1"/>
                    <pic:cNvPicPr>
                      <a:picLocks noChangeAspect="1"/>
                    </pic:cNvPicPr>
                  </pic:nvPicPr>
                  <pic:blipFill>
                    <a:blip r:embed="rId34" cstate="print"/>
                    <a:stretch>
                      <a:fillRect/>
                    </a:stretch>
                  </pic:blipFill>
                  <pic:spPr>
                    <a:xfrm>
                      <a:off x="0" y="0"/>
                      <a:ext cx="5269865" cy="4033520"/>
                    </a:xfrm>
                    <a:prstGeom prst="rect">
                      <a:avLst/>
                    </a:prstGeom>
                    <a:noFill/>
                    <a:ln w="9525">
                      <a:noFill/>
                    </a:ln>
                  </pic:spPr>
                </pic:pic>
              </a:graphicData>
            </a:graphic>
          </wp:inline>
        </w:drawing>
      </w:r>
    </w:p>
    <w:p>
      <w:pPr>
        <w:widowControl/>
        <w:adjustRightInd w:val="0"/>
        <w:snapToGrid w:val="0"/>
        <w:ind w:firstLine="422"/>
        <w:jc w:val="center"/>
        <w:rPr>
          <w:b/>
          <w:color w:val="000000"/>
          <w:kern w:val="0"/>
        </w:rPr>
      </w:pPr>
      <w:r>
        <w:rPr>
          <w:rFonts w:hint="eastAsia" w:cs="宋体"/>
          <w:b/>
          <w:color w:val="000000"/>
          <w:kern w:val="0"/>
          <w:sz w:val="21"/>
          <w:szCs w:val="21"/>
        </w:rPr>
        <w:t>图</w:t>
      </w:r>
      <w:r>
        <w:rPr>
          <w:rFonts w:hint="eastAsia"/>
          <w:b/>
          <w:color w:val="000000"/>
          <w:kern w:val="0"/>
          <w:sz w:val="21"/>
          <w:szCs w:val="21"/>
        </w:rPr>
        <w:t>3-1</w:t>
      </w:r>
      <w:r>
        <w:rPr>
          <w:rFonts w:hint="eastAsia" w:cs="宋体"/>
          <w:b/>
          <w:color w:val="000000"/>
          <w:kern w:val="0"/>
          <w:sz w:val="21"/>
          <w:szCs w:val="21"/>
        </w:rPr>
        <w:t>岳阳市河流水系图</w:t>
      </w:r>
    </w:p>
    <w:p>
      <w:pPr>
        <w:pStyle w:val="3"/>
        <w:spacing w:beforeLines="50" w:line="480" w:lineRule="exact"/>
        <w:jc w:val="left"/>
        <w:rPr>
          <w:szCs w:val="28"/>
        </w:rPr>
      </w:pPr>
      <w:bookmarkStart w:id="288" w:name="_Toc29383"/>
      <w:bookmarkStart w:id="289" w:name="_Toc478397659"/>
      <w:bookmarkStart w:id="290" w:name="_Toc23158"/>
      <w:bookmarkStart w:id="291" w:name="_Toc10749"/>
      <w:bookmarkStart w:id="292" w:name="_Toc3231"/>
      <w:bookmarkStart w:id="293" w:name="_Toc535851339"/>
      <w:r>
        <w:rPr>
          <w:rFonts w:hint="eastAsia"/>
          <w:szCs w:val="28"/>
        </w:rPr>
        <w:t>3</w:t>
      </w:r>
      <w:r>
        <w:rPr>
          <w:szCs w:val="28"/>
        </w:rPr>
        <w:t>.2社会经济条件</w:t>
      </w:r>
      <w:bookmarkEnd w:id="288"/>
      <w:bookmarkEnd w:id="289"/>
      <w:bookmarkEnd w:id="290"/>
      <w:bookmarkEnd w:id="291"/>
      <w:bookmarkEnd w:id="292"/>
      <w:bookmarkEnd w:id="293"/>
    </w:p>
    <w:p>
      <w:pPr>
        <w:pStyle w:val="32"/>
        <w:spacing w:before="0" w:beforeAutospacing="0" w:after="0" w:afterAutospacing="0" w:line="360" w:lineRule="auto"/>
        <w:ind w:firstLine="480" w:firstLineChars="200"/>
        <w:jc w:val="both"/>
        <w:rPr>
          <w:rFonts w:ascii="Calibri" w:hAnsi="Calibri" w:cs="Calibri"/>
          <w:sz w:val="21"/>
          <w:szCs w:val="21"/>
        </w:rPr>
      </w:pPr>
      <w:r>
        <w:rPr>
          <w:rFonts w:ascii="Times New Roman" w:hAnsi="Times New Roman" w:cs="Times New Roman"/>
        </w:rPr>
        <w:t>根据《岳阳市2017年国民经济和社会发展统计公报》，2017年岳阳市全年国内生产总值（GDP）3258.03亿元，总量居全省第二，比上年增长7.0%，高于全国平均水平0.1个百分点。其中，第一产业增加值362.35亿元，增长3.6%；第二产业增加值1424.93亿元，增长5.3%；第三产业增加值1470.75亿元，增长10.1%。第一产业增加值占国内生产总值的比重为11.1%，第二产业增加值比重为43.8%，第三产业增加值比重为45.1%。全市三次产业结构比调整为11.1:43.8:45.1，产业结构首次转化为三、二、一，服务业成为岳阳经济新的主导力量。全年城镇新增就业5.49万人。年末城镇登记失业率为3.48%。失业人员再就业2.78万人。</w:t>
      </w:r>
    </w:p>
    <w:p>
      <w:pPr>
        <w:pStyle w:val="3"/>
        <w:rPr>
          <w:color w:val="000000" w:themeColor="text1"/>
          <w:spacing w:val="-17"/>
        </w:rPr>
      </w:pPr>
      <w:bookmarkStart w:id="294" w:name="_Toc535851340"/>
      <w:r>
        <w:rPr>
          <w:color w:val="000000" w:themeColor="text1"/>
          <w:spacing w:val="-17"/>
        </w:rPr>
        <w:t>3.</w:t>
      </w:r>
      <w:r>
        <w:rPr>
          <w:rFonts w:hint="eastAsia"/>
          <w:color w:val="000000" w:themeColor="text1"/>
          <w:spacing w:val="-17"/>
        </w:rPr>
        <w:t>3岳阳市饮用水源保护区（铁山水库-北干渠-金凤水库）划定</w:t>
      </w:r>
      <w:r>
        <w:rPr>
          <w:color w:val="000000" w:themeColor="text1"/>
          <w:spacing w:val="-17"/>
        </w:rPr>
        <w:t>相关情况</w:t>
      </w:r>
      <w:bookmarkEnd w:id="294"/>
    </w:p>
    <w:p>
      <w:pPr>
        <w:autoSpaceDE w:val="0"/>
        <w:autoSpaceDN w:val="0"/>
        <w:adjustRightInd w:val="0"/>
        <w:jc w:val="left"/>
        <w:rPr>
          <w:color w:val="000000" w:themeColor="text1"/>
        </w:rPr>
      </w:pPr>
      <w:r>
        <w:rPr>
          <w:rFonts w:hint="eastAsia"/>
          <w:color w:val="000000" w:themeColor="text1"/>
        </w:rPr>
        <w:t>根据湘政函（2016）176号文关于《湖南省县级以上地表水集中式饮用水水源保护区划定方案》相关规定可知，2016年12月31日湖南省人民政府划定的岳阳市饮用水源保护区（铁山水库-北干渠-金凤水库）划定方案如下表3-1、3-2所示：</w:t>
      </w:r>
    </w:p>
    <w:p>
      <w:pPr>
        <w:autoSpaceDE w:val="0"/>
        <w:ind w:firstLine="0" w:firstLineChars="0"/>
        <w:jc w:val="center"/>
        <w:rPr>
          <w:b/>
          <w:color w:val="000000"/>
          <w:sz w:val="21"/>
          <w:szCs w:val="21"/>
        </w:rPr>
      </w:pPr>
      <w:r>
        <w:rPr>
          <w:rFonts w:hint="eastAsia" w:ascii="宋体" w:hAnsi="宋体" w:cs="宋体"/>
          <w:b/>
          <w:color w:val="000000"/>
          <w:sz w:val="21"/>
          <w:szCs w:val="21"/>
        </w:rPr>
        <w:t>表</w:t>
      </w:r>
      <w:r>
        <w:rPr>
          <w:rFonts w:hint="eastAsia"/>
          <w:b/>
          <w:color w:val="000000"/>
          <w:sz w:val="21"/>
          <w:szCs w:val="21"/>
        </w:rPr>
        <w:t>3</w:t>
      </w:r>
      <w:r>
        <w:rPr>
          <w:b/>
          <w:color w:val="000000"/>
          <w:sz w:val="21"/>
          <w:szCs w:val="21"/>
        </w:rPr>
        <w:t xml:space="preserve">-1  </w:t>
      </w:r>
      <w:r>
        <w:rPr>
          <w:rFonts w:hint="eastAsia" w:ascii="宋体" w:hAnsi="宋体" w:cs="宋体"/>
          <w:b/>
          <w:color w:val="000000"/>
          <w:sz w:val="21"/>
          <w:szCs w:val="21"/>
        </w:rPr>
        <w:t>铁山水库饮用水源保护区范围</w:t>
      </w:r>
    </w:p>
    <w:tbl>
      <w:tblPr>
        <w:tblStyle w:val="47"/>
        <w:tblW w:w="8518" w:type="dxa"/>
        <w:jc w:val="center"/>
        <w:tblInd w:w="0" w:type="dxa"/>
        <w:tblLayout w:type="fixed"/>
        <w:tblCellMar>
          <w:top w:w="85" w:type="dxa"/>
          <w:left w:w="108" w:type="dxa"/>
          <w:bottom w:w="85" w:type="dxa"/>
          <w:right w:w="108" w:type="dxa"/>
        </w:tblCellMar>
      </w:tblPr>
      <w:tblGrid>
        <w:gridCol w:w="1414"/>
        <w:gridCol w:w="806"/>
        <w:gridCol w:w="6298"/>
      </w:tblGrid>
      <w:tr>
        <w:tblPrEx>
          <w:tblLayout w:type="fixed"/>
          <w:tblCellMar>
            <w:top w:w="85" w:type="dxa"/>
            <w:left w:w="108" w:type="dxa"/>
            <w:bottom w:w="85" w:type="dxa"/>
            <w:right w:w="108" w:type="dxa"/>
          </w:tblCellMar>
        </w:tblPrEx>
        <w:trPr>
          <w:trHeight w:val="397" w:hRule="atLeast"/>
          <w:jc w:val="center"/>
        </w:trPr>
        <w:tc>
          <w:tcPr>
            <w:tcW w:w="1414" w:type="dxa"/>
            <w:tcBorders>
              <w:top w:val="single" w:color="auto" w:sz="8" w:space="0"/>
              <w:left w:val="single" w:color="auto" w:sz="8" w:space="0"/>
              <w:bottom w:val="single" w:color="auto" w:sz="4" w:space="0"/>
              <w:right w:val="single" w:color="auto" w:sz="4" w:space="0"/>
            </w:tcBorders>
            <w:shd w:val="clear" w:color="auto" w:fill="auto"/>
            <w:vAlign w:val="center"/>
          </w:tcPr>
          <w:p>
            <w:pPr>
              <w:widowControl/>
              <w:autoSpaceDE w:val="0"/>
              <w:autoSpaceDN w:val="0"/>
              <w:adjustRightInd w:val="0"/>
              <w:snapToGrid w:val="0"/>
              <w:spacing w:line="240" w:lineRule="auto"/>
              <w:ind w:firstLine="0" w:firstLineChars="0"/>
              <w:jc w:val="center"/>
              <w:rPr>
                <w:b/>
                <w:bCs/>
                <w:color w:val="000000"/>
                <w:kern w:val="0"/>
                <w:sz w:val="21"/>
                <w:szCs w:val="21"/>
              </w:rPr>
            </w:pPr>
            <w:r>
              <w:rPr>
                <w:rFonts w:hint="eastAsia" w:cs="宋体"/>
                <w:b/>
                <w:bCs/>
                <w:color w:val="000000"/>
                <w:kern w:val="0"/>
                <w:sz w:val="21"/>
                <w:szCs w:val="21"/>
              </w:rPr>
              <w:t>保护区级别</w:t>
            </w:r>
          </w:p>
        </w:tc>
        <w:tc>
          <w:tcPr>
            <w:tcW w:w="7104" w:type="dxa"/>
            <w:gridSpan w:val="2"/>
            <w:tcBorders>
              <w:top w:val="single" w:color="auto" w:sz="8" w:space="0"/>
              <w:left w:val="single" w:color="auto" w:sz="4" w:space="0"/>
              <w:bottom w:val="single" w:color="auto" w:sz="4" w:space="0"/>
              <w:right w:val="single" w:color="auto" w:sz="8" w:space="0"/>
            </w:tcBorders>
            <w:shd w:val="clear" w:color="auto" w:fill="auto"/>
            <w:vAlign w:val="center"/>
          </w:tcPr>
          <w:p>
            <w:pPr>
              <w:widowControl/>
              <w:autoSpaceDE w:val="0"/>
              <w:autoSpaceDN w:val="0"/>
              <w:adjustRightInd w:val="0"/>
              <w:snapToGrid w:val="0"/>
              <w:spacing w:line="240" w:lineRule="auto"/>
              <w:ind w:firstLine="0" w:firstLineChars="0"/>
              <w:jc w:val="center"/>
              <w:rPr>
                <w:b/>
                <w:bCs/>
                <w:color w:val="000000"/>
                <w:kern w:val="0"/>
                <w:sz w:val="21"/>
                <w:szCs w:val="21"/>
              </w:rPr>
            </w:pPr>
            <w:r>
              <w:rPr>
                <w:rFonts w:hint="eastAsia" w:cs="宋体"/>
                <w:b/>
                <w:bCs/>
                <w:color w:val="000000"/>
                <w:kern w:val="0"/>
                <w:sz w:val="21"/>
                <w:szCs w:val="21"/>
              </w:rPr>
              <w:t>范围</w:t>
            </w:r>
          </w:p>
        </w:tc>
      </w:tr>
      <w:tr>
        <w:tblPrEx>
          <w:tblLayout w:type="fixed"/>
          <w:tblCellMar>
            <w:top w:w="85" w:type="dxa"/>
            <w:left w:w="108" w:type="dxa"/>
            <w:bottom w:w="85" w:type="dxa"/>
            <w:right w:w="108" w:type="dxa"/>
          </w:tblCellMar>
        </w:tblPrEx>
        <w:trPr>
          <w:trHeight w:val="397" w:hRule="atLeast"/>
          <w:jc w:val="center"/>
        </w:trPr>
        <w:tc>
          <w:tcPr>
            <w:tcW w:w="1414" w:type="dxa"/>
            <w:vMerge w:val="restart"/>
            <w:tcBorders>
              <w:top w:val="single" w:color="auto" w:sz="4" w:space="0"/>
              <w:left w:val="single" w:color="auto" w:sz="8" w:space="0"/>
              <w:bottom w:val="single" w:color="auto" w:sz="4" w:space="0"/>
              <w:right w:val="single" w:color="auto" w:sz="4" w:space="0"/>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s="宋体"/>
                <w:color w:val="000000"/>
                <w:kern w:val="0"/>
                <w:sz w:val="21"/>
                <w:szCs w:val="21"/>
              </w:rPr>
              <w:t>一级保护区</w:t>
            </w:r>
          </w:p>
        </w:tc>
        <w:tc>
          <w:tcPr>
            <w:tcW w:w="806" w:type="dxa"/>
            <w:tcBorders>
              <w:top w:val="single" w:color="auto" w:sz="4" w:space="0"/>
              <w:left w:val="single" w:color="auto" w:sz="4" w:space="0"/>
              <w:bottom w:val="single" w:color="auto" w:sz="4" w:space="0"/>
              <w:right w:val="single" w:color="auto" w:sz="4" w:space="0"/>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s="宋体"/>
                <w:color w:val="000000"/>
                <w:kern w:val="0"/>
                <w:sz w:val="21"/>
                <w:szCs w:val="21"/>
              </w:rPr>
              <w:t>水域</w:t>
            </w:r>
          </w:p>
        </w:tc>
        <w:tc>
          <w:tcPr>
            <w:tcW w:w="6298" w:type="dxa"/>
            <w:tcBorders>
              <w:top w:val="single" w:color="auto" w:sz="4" w:space="0"/>
              <w:left w:val="single" w:color="auto" w:sz="4" w:space="0"/>
              <w:bottom w:val="single" w:color="auto" w:sz="4" w:space="0"/>
              <w:right w:val="single" w:color="auto" w:sz="8" w:space="0"/>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s="宋体"/>
                <w:color w:val="000000"/>
                <w:kern w:val="0"/>
                <w:sz w:val="21"/>
                <w:szCs w:val="21"/>
              </w:rPr>
              <w:t>铁山水库以北干渠取水口为中心，半径</w:t>
            </w:r>
            <w:r>
              <w:rPr>
                <w:rFonts w:hint="eastAsia"/>
                <w:color w:val="000000"/>
                <w:kern w:val="0"/>
                <w:sz w:val="21"/>
                <w:szCs w:val="21"/>
              </w:rPr>
              <w:t>2000 米</w:t>
            </w:r>
            <w:r>
              <w:rPr>
                <w:rFonts w:hint="eastAsia" w:ascii="宋体" w:hAnsi="宋体" w:cs="宋体"/>
                <w:color w:val="000000"/>
                <w:kern w:val="0"/>
                <w:sz w:val="21"/>
                <w:szCs w:val="21"/>
              </w:rPr>
              <w:t>范围内的水域；小饶港水库为取水口半径</w:t>
            </w:r>
            <w:r>
              <w:rPr>
                <w:rFonts w:hint="eastAsia"/>
                <w:color w:val="000000"/>
                <w:kern w:val="0"/>
                <w:sz w:val="21"/>
                <w:szCs w:val="21"/>
              </w:rPr>
              <w:t>500</w:t>
            </w:r>
            <w:r>
              <w:rPr>
                <w:rFonts w:hint="eastAsia" w:ascii="宋体" w:hAnsi="宋体" w:cs="宋体"/>
                <w:color w:val="000000"/>
                <w:kern w:val="0"/>
                <w:sz w:val="21"/>
                <w:szCs w:val="21"/>
              </w:rPr>
              <w:t>米范围内的水域</w:t>
            </w:r>
          </w:p>
        </w:tc>
      </w:tr>
      <w:tr>
        <w:tblPrEx>
          <w:tblLayout w:type="fixed"/>
          <w:tblCellMar>
            <w:top w:w="85" w:type="dxa"/>
            <w:left w:w="108" w:type="dxa"/>
            <w:bottom w:w="85" w:type="dxa"/>
            <w:right w:w="108" w:type="dxa"/>
          </w:tblCellMar>
        </w:tblPrEx>
        <w:trPr>
          <w:trHeight w:val="397" w:hRule="atLeast"/>
          <w:jc w:val="center"/>
        </w:trPr>
        <w:tc>
          <w:tcPr>
            <w:tcW w:w="1414" w:type="dxa"/>
            <w:vMerge w:val="continue"/>
            <w:tcBorders>
              <w:top w:val="single" w:color="auto" w:sz="4" w:space="0"/>
              <w:left w:val="single" w:color="auto" w:sz="8" w:space="0"/>
              <w:bottom w:val="single" w:color="auto" w:sz="4" w:space="0"/>
              <w:right w:val="single" w:color="auto" w:sz="4" w:space="0"/>
            </w:tcBorders>
            <w:shd w:val="clear" w:color="auto" w:fill="auto"/>
            <w:vAlign w:val="center"/>
          </w:tcPr>
          <w:p>
            <w:pPr>
              <w:widowControl/>
              <w:spacing w:line="240" w:lineRule="auto"/>
              <w:ind w:firstLine="0" w:firstLineChars="0"/>
              <w:rPr>
                <w:rFonts w:ascii="Calibri" w:hAnsi="Calibri" w:cs="Calibri"/>
                <w:sz w:val="21"/>
              </w:rPr>
            </w:pPr>
          </w:p>
        </w:tc>
        <w:tc>
          <w:tcPr>
            <w:tcW w:w="806" w:type="dxa"/>
            <w:tcBorders>
              <w:top w:val="single" w:color="auto" w:sz="4" w:space="0"/>
              <w:left w:val="single" w:color="auto" w:sz="4" w:space="0"/>
              <w:bottom w:val="single" w:color="auto" w:sz="4" w:space="0"/>
              <w:right w:val="single" w:color="auto" w:sz="4" w:space="0"/>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s="宋体"/>
                <w:color w:val="000000"/>
                <w:kern w:val="0"/>
                <w:sz w:val="21"/>
                <w:szCs w:val="21"/>
              </w:rPr>
              <w:t>陆域</w:t>
            </w:r>
          </w:p>
        </w:tc>
        <w:tc>
          <w:tcPr>
            <w:tcW w:w="6298" w:type="dxa"/>
            <w:tcBorders>
              <w:top w:val="single" w:color="auto" w:sz="4" w:space="0"/>
              <w:left w:val="single" w:color="auto" w:sz="4" w:space="0"/>
              <w:bottom w:val="single" w:color="auto" w:sz="4" w:space="0"/>
              <w:right w:val="single" w:color="auto" w:sz="8" w:space="0"/>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s="宋体"/>
                <w:color w:val="000000"/>
                <w:kern w:val="0"/>
                <w:sz w:val="21"/>
                <w:szCs w:val="21"/>
              </w:rPr>
              <w:t>铁山水库取水口侧正常水位线以上</w:t>
            </w:r>
            <w:r>
              <w:rPr>
                <w:rFonts w:hint="eastAsia"/>
                <w:color w:val="000000"/>
                <w:kern w:val="0"/>
                <w:sz w:val="21"/>
                <w:szCs w:val="21"/>
              </w:rPr>
              <w:t>200</w:t>
            </w:r>
            <w:r>
              <w:rPr>
                <w:rFonts w:hint="eastAsia" w:ascii="宋体" w:hAnsi="宋体" w:cs="宋体"/>
                <w:color w:val="000000"/>
                <w:kern w:val="0"/>
                <w:sz w:val="21"/>
                <w:szCs w:val="21"/>
              </w:rPr>
              <w:t>米陆域，小饶港水库取水口侧正常水位线以上</w:t>
            </w:r>
            <w:r>
              <w:rPr>
                <w:rFonts w:hint="eastAsia"/>
                <w:color w:val="000000"/>
                <w:kern w:val="0"/>
                <w:sz w:val="21"/>
                <w:szCs w:val="21"/>
              </w:rPr>
              <w:t>200 米</w:t>
            </w:r>
            <w:r>
              <w:rPr>
                <w:rFonts w:hint="eastAsia" w:ascii="宋体" w:hAnsi="宋体" w:cs="宋体"/>
                <w:color w:val="000000"/>
                <w:kern w:val="0"/>
                <w:sz w:val="21"/>
                <w:szCs w:val="21"/>
              </w:rPr>
              <w:t>陆域，不超过第一重山脊线的范围。</w:t>
            </w:r>
          </w:p>
        </w:tc>
      </w:tr>
      <w:tr>
        <w:tblPrEx>
          <w:tblLayout w:type="fixed"/>
          <w:tblCellMar>
            <w:top w:w="85" w:type="dxa"/>
            <w:left w:w="108" w:type="dxa"/>
            <w:bottom w:w="85" w:type="dxa"/>
            <w:right w:w="108" w:type="dxa"/>
          </w:tblCellMar>
        </w:tblPrEx>
        <w:trPr>
          <w:trHeight w:val="397" w:hRule="atLeast"/>
          <w:jc w:val="center"/>
        </w:trPr>
        <w:tc>
          <w:tcPr>
            <w:tcW w:w="1414" w:type="dxa"/>
            <w:vMerge w:val="restart"/>
            <w:tcBorders>
              <w:top w:val="single" w:color="auto" w:sz="4" w:space="0"/>
              <w:left w:val="single" w:color="auto" w:sz="8" w:space="0"/>
              <w:bottom w:val="single" w:color="auto" w:sz="4" w:space="0"/>
              <w:right w:val="single" w:color="auto" w:sz="4" w:space="0"/>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s="宋体"/>
                <w:color w:val="000000"/>
                <w:kern w:val="0"/>
                <w:sz w:val="21"/>
                <w:szCs w:val="21"/>
              </w:rPr>
              <w:t>二级保护区</w:t>
            </w:r>
          </w:p>
        </w:tc>
        <w:tc>
          <w:tcPr>
            <w:tcW w:w="806" w:type="dxa"/>
            <w:tcBorders>
              <w:top w:val="single" w:color="auto" w:sz="4" w:space="0"/>
              <w:left w:val="single" w:color="auto" w:sz="4" w:space="0"/>
              <w:bottom w:val="single" w:color="auto" w:sz="4" w:space="0"/>
              <w:right w:val="single" w:color="auto" w:sz="4" w:space="0"/>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s="宋体"/>
                <w:color w:val="000000"/>
                <w:kern w:val="0"/>
                <w:sz w:val="21"/>
                <w:szCs w:val="21"/>
              </w:rPr>
              <w:t>水域</w:t>
            </w:r>
          </w:p>
        </w:tc>
        <w:tc>
          <w:tcPr>
            <w:tcW w:w="6298" w:type="dxa"/>
            <w:tcBorders>
              <w:top w:val="single" w:color="auto" w:sz="4" w:space="0"/>
              <w:left w:val="single" w:color="auto" w:sz="4" w:space="0"/>
              <w:bottom w:val="single" w:color="auto" w:sz="4" w:space="0"/>
              <w:right w:val="single" w:color="auto" w:sz="8" w:space="0"/>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s="宋体"/>
                <w:color w:val="000000"/>
                <w:kern w:val="0"/>
                <w:sz w:val="21"/>
                <w:szCs w:val="21"/>
              </w:rPr>
              <w:t>正常水位以下的全部水域范围（一级保护区除外）</w:t>
            </w:r>
          </w:p>
        </w:tc>
      </w:tr>
      <w:tr>
        <w:tblPrEx>
          <w:tblLayout w:type="fixed"/>
          <w:tblCellMar>
            <w:top w:w="85" w:type="dxa"/>
            <w:left w:w="108" w:type="dxa"/>
            <w:bottom w:w="85" w:type="dxa"/>
            <w:right w:w="108" w:type="dxa"/>
          </w:tblCellMar>
        </w:tblPrEx>
        <w:trPr>
          <w:trHeight w:val="397" w:hRule="atLeast"/>
          <w:jc w:val="center"/>
        </w:trPr>
        <w:tc>
          <w:tcPr>
            <w:tcW w:w="1414" w:type="dxa"/>
            <w:vMerge w:val="continue"/>
            <w:tcBorders>
              <w:top w:val="single" w:color="auto" w:sz="4" w:space="0"/>
              <w:left w:val="single" w:color="auto" w:sz="8" w:space="0"/>
              <w:bottom w:val="single" w:color="auto" w:sz="4" w:space="0"/>
              <w:right w:val="single" w:color="auto" w:sz="4" w:space="0"/>
            </w:tcBorders>
            <w:shd w:val="clear" w:color="auto" w:fill="auto"/>
            <w:vAlign w:val="center"/>
          </w:tcPr>
          <w:p>
            <w:pPr>
              <w:widowControl/>
              <w:spacing w:line="240" w:lineRule="auto"/>
              <w:ind w:firstLine="0" w:firstLineChars="0"/>
              <w:rPr>
                <w:rFonts w:ascii="Calibri" w:hAnsi="Calibri" w:cs="Calibri"/>
                <w:sz w:val="21"/>
              </w:rPr>
            </w:pPr>
          </w:p>
        </w:tc>
        <w:tc>
          <w:tcPr>
            <w:tcW w:w="806" w:type="dxa"/>
            <w:tcBorders>
              <w:top w:val="single" w:color="auto" w:sz="4" w:space="0"/>
              <w:left w:val="single" w:color="auto" w:sz="4" w:space="0"/>
              <w:bottom w:val="single" w:color="auto" w:sz="4" w:space="0"/>
              <w:right w:val="single" w:color="auto" w:sz="4" w:space="0"/>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s="宋体"/>
                <w:color w:val="000000"/>
                <w:kern w:val="0"/>
                <w:sz w:val="21"/>
                <w:szCs w:val="21"/>
              </w:rPr>
              <w:t>陆域</w:t>
            </w:r>
          </w:p>
        </w:tc>
        <w:tc>
          <w:tcPr>
            <w:tcW w:w="6298" w:type="dxa"/>
            <w:tcBorders>
              <w:top w:val="single" w:color="auto" w:sz="4" w:space="0"/>
              <w:left w:val="single" w:color="auto" w:sz="4" w:space="0"/>
              <w:bottom w:val="single" w:color="auto" w:sz="4" w:space="0"/>
              <w:right w:val="single" w:color="auto" w:sz="8" w:space="0"/>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s="宋体"/>
                <w:color w:val="000000"/>
                <w:kern w:val="0"/>
                <w:sz w:val="21"/>
                <w:szCs w:val="21"/>
              </w:rPr>
              <w:t>铁山水库一级保护区外</w:t>
            </w:r>
            <w:r>
              <w:rPr>
                <w:rFonts w:hint="eastAsia"/>
                <w:color w:val="000000"/>
                <w:kern w:val="0"/>
                <w:sz w:val="21"/>
                <w:szCs w:val="21"/>
              </w:rPr>
              <w:t>3000</w:t>
            </w:r>
            <w:r>
              <w:rPr>
                <w:rFonts w:hint="eastAsia" w:ascii="宋体" w:hAnsi="宋体" w:cs="宋体"/>
                <w:color w:val="000000"/>
                <w:kern w:val="0"/>
                <w:sz w:val="21"/>
                <w:szCs w:val="21"/>
              </w:rPr>
              <w:t>米内，不超过山脊线的陆域范围。小饶港水库正常水位线以上水平距离</w:t>
            </w:r>
            <w:r>
              <w:rPr>
                <w:rFonts w:hint="eastAsia"/>
                <w:color w:val="000000"/>
                <w:kern w:val="0"/>
                <w:sz w:val="21"/>
                <w:szCs w:val="21"/>
              </w:rPr>
              <w:t xml:space="preserve">2000 </w:t>
            </w:r>
            <w:r>
              <w:rPr>
                <w:rFonts w:hint="eastAsia" w:ascii="宋体" w:hAnsi="宋体" w:cs="宋体"/>
                <w:color w:val="000000"/>
                <w:kern w:val="0"/>
                <w:sz w:val="21"/>
                <w:szCs w:val="21"/>
              </w:rPr>
              <w:t>米陆域</w:t>
            </w:r>
          </w:p>
        </w:tc>
      </w:tr>
      <w:tr>
        <w:tblPrEx>
          <w:tblLayout w:type="fixed"/>
          <w:tblCellMar>
            <w:top w:w="85" w:type="dxa"/>
            <w:left w:w="108" w:type="dxa"/>
            <w:bottom w:w="85" w:type="dxa"/>
            <w:right w:w="108" w:type="dxa"/>
          </w:tblCellMar>
        </w:tblPrEx>
        <w:trPr>
          <w:trHeight w:val="397" w:hRule="atLeast"/>
          <w:jc w:val="center"/>
        </w:trPr>
        <w:tc>
          <w:tcPr>
            <w:tcW w:w="1414" w:type="dxa"/>
            <w:tcBorders>
              <w:top w:val="single" w:color="auto" w:sz="4" w:space="0"/>
              <w:left w:val="single" w:color="auto" w:sz="8" w:space="0"/>
              <w:bottom w:val="single" w:color="auto" w:sz="8" w:space="0"/>
              <w:right w:val="single" w:color="auto" w:sz="4" w:space="0"/>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s="宋体"/>
                <w:color w:val="000000"/>
                <w:kern w:val="0"/>
                <w:sz w:val="21"/>
                <w:szCs w:val="21"/>
              </w:rPr>
              <w:t>准保护区</w:t>
            </w:r>
          </w:p>
        </w:tc>
        <w:tc>
          <w:tcPr>
            <w:tcW w:w="7104" w:type="dxa"/>
            <w:gridSpan w:val="2"/>
            <w:tcBorders>
              <w:top w:val="single" w:color="auto" w:sz="4" w:space="0"/>
              <w:left w:val="single" w:color="auto" w:sz="4" w:space="0"/>
              <w:bottom w:val="single" w:color="auto" w:sz="8" w:space="0"/>
              <w:right w:val="single" w:color="auto" w:sz="8" w:space="0"/>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s="宋体"/>
                <w:color w:val="000000"/>
                <w:kern w:val="0"/>
                <w:sz w:val="21"/>
                <w:szCs w:val="21"/>
              </w:rPr>
              <w:t>铁山水库一、二级保护区外的集雨区范围</w:t>
            </w:r>
          </w:p>
        </w:tc>
      </w:tr>
    </w:tbl>
    <w:p>
      <w:pPr>
        <w:autoSpaceDE w:val="0"/>
        <w:ind w:firstLine="0" w:firstLineChars="0"/>
        <w:jc w:val="center"/>
        <w:rPr>
          <w:b/>
          <w:color w:val="000000"/>
          <w:sz w:val="21"/>
          <w:szCs w:val="21"/>
        </w:rPr>
      </w:pPr>
      <w:r>
        <w:rPr>
          <w:rFonts w:hint="eastAsia" w:ascii="宋体" w:hAnsi="宋体" w:cs="宋体"/>
          <w:b/>
          <w:color w:val="000000"/>
          <w:sz w:val="21"/>
          <w:szCs w:val="21"/>
        </w:rPr>
        <w:t>表</w:t>
      </w:r>
      <w:r>
        <w:rPr>
          <w:rFonts w:hint="eastAsia"/>
          <w:b/>
          <w:color w:val="000000"/>
          <w:sz w:val="21"/>
          <w:szCs w:val="21"/>
        </w:rPr>
        <w:t>3</w:t>
      </w:r>
      <w:r>
        <w:rPr>
          <w:b/>
          <w:color w:val="000000"/>
          <w:sz w:val="21"/>
          <w:szCs w:val="21"/>
        </w:rPr>
        <w:t xml:space="preserve">-2  </w:t>
      </w:r>
      <w:r>
        <w:rPr>
          <w:rFonts w:hint="eastAsia" w:ascii="宋体" w:hAnsi="宋体" w:cs="宋体"/>
          <w:b/>
          <w:color w:val="000000"/>
          <w:sz w:val="21"/>
          <w:szCs w:val="21"/>
        </w:rPr>
        <w:t>金凤水库（含北干渠）水源保护区划分范围</w:t>
      </w:r>
    </w:p>
    <w:tbl>
      <w:tblPr>
        <w:tblStyle w:val="47"/>
        <w:tblW w:w="8518" w:type="dxa"/>
        <w:tblInd w:w="0" w:type="dxa"/>
        <w:tblLayout w:type="fixed"/>
        <w:tblCellMar>
          <w:top w:w="85" w:type="dxa"/>
          <w:left w:w="108" w:type="dxa"/>
          <w:bottom w:w="85" w:type="dxa"/>
          <w:right w:w="108" w:type="dxa"/>
        </w:tblCellMar>
      </w:tblPr>
      <w:tblGrid>
        <w:gridCol w:w="1524"/>
        <w:gridCol w:w="991"/>
        <w:gridCol w:w="6003"/>
      </w:tblGrid>
      <w:tr>
        <w:tblPrEx>
          <w:tblLayout w:type="fixed"/>
          <w:tblCellMar>
            <w:top w:w="85" w:type="dxa"/>
            <w:left w:w="108" w:type="dxa"/>
            <w:bottom w:w="85" w:type="dxa"/>
            <w:right w:w="108" w:type="dxa"/>
          </w:tblCellMar>
        </w:tblPrEx>
        <w:trPr>
          <w:trHeight w:val="397" w:hRule="atLeast"/>
        </w:trPr>
        <w:tc>
          <w:tcPr>
            <w:tcW w:w="1524" w:type="dxa"/>
            <w:tcBorders>
              <w:top w:val="single" w:color="auto" w:sz="8" w:space="0"/>
              <w:left w:val="single" w:color="auto" w:sz="8" w:space="0"/>
              <w:bottom w:val="single" w:color="auto" w:sz="4" w:space="0"/>
              <w:right w:val="single" w:color="auto" w:sz="4" w:space="0"/>
            </w:tcBorders>
            <w:shd w:val="clear" w:color="auto" w:fill="auto"/>
            <w:vAlign w:val="center"/>
          </w:tcPr>
          <w:p>
            <w:pPr>
              <w:widowControl/>
              <w:autoSpaceDE w:val="0"/>
              <w:autoSpaceDN w:val="0"/>
              <w:adjustRightInd w:val="0"/>
              <w:snapToGrid w:val="0"/>
              <w:spacing w:line="240" w:lineRule="auto"/>
              <w:ind w:firstLine="0" w:firstLineChars="0"/>
              <w:jc w:val="center"/>
              <w:rPr>
                <w:b/>
                <w:color w:val="000000"/>
                <w:kern w:val="0"/>
              </w:rPr>
            </w:pPr>
            <w:r>
              <w:rPr>
                <w:rFonts w:hint="eastAsia" w:cs="宋体"/>
                <w:b/>
                <w:color w:val="000000"/>
                <w:kern w:val="0"/>
                <w:sz w:val="21"/>
                <w:szCs w:val="21"/>
              </w:rPr>
              <w:t>保护区级别</w:t>
            </w:r>
          </w:p>
        </w:tc>
        <w:tc>
          <w:tcPr>
            <w:tcW w:w="6994" w:type="dxa"/>
            <w:gridSpan w:val="2"/>
            <w:tcBorders>
              <w:top w:val="single" w:color="auto" w:sz="8" w:space="0"/>
              <w:left w:val="single" w:color="auto" w:sz="4" w:space="0"/>
              <w:bottom w:val="single" w:color="auto" w:sz="4" w:space="0"/>
              <w:right w:val="single" w:color="auto" w:sz="8" w:space="0"/>
            </w:tcBorders>
            <w:shd w:val="clear" w:color="auto" w:fill="auto"/>
            <w:vAlign w:val="center"/>
          </w:tcPr>
          <w:p>
            <w:pPr>
              <w:widowControl/>
              <w:autoSpaceDE w:val="0"/>
              <w:autoSpaceDN w:val="0"/>
              <w:adjustRightInd w:val="0"/>
              <w:snapToGrid w:val="0"/>
              <w:spacing w:line="240" w:lineRule="auto"/>
              <w:ind w:firstLine="0" w:firstLineChars="0"/>
              <w:jc w:val="center"/>
              <w:rPr>
                <w:b/>
                <w:color w:val="000000"/>
                <w:kern w:val="0"/>
              </w:rPr>
            </w:pPr>
            <w:r>
              <w:rPr>
                <w:rFonts w:hint="eastAsia" w:cs="宋体"/>
                <w:b/>
                <w:color w:val="000000"/>
                <w:kern w:val="0"/>
                <w:sz w:val="21"/>
                <w:szCs w:val="21"/>
              </w:rPr>
              <w:t>范围</w:t>
            </w:r>
          </w:p>
        </w:tc>
      </w:tr>
      <w:tr>
        <w:tblPrEx>
          <w:tblLayout w:type="fixed"/>
          <w:tblCellMar>
            <w:top w:w="85" w:type="dxa"/>
            <w:left w:w="108" w:type="dxa"/>
            <w:bottom w:w="85" w:type="dxa"/>
            <w:right w:w="108" w:type="dxa"/>
          </w:tblCellMar>
        </w:tblPrEx>
        <w:trPr>
          <w:trHeight w:val="397" w:hRule="atLeast"/>
        </w:trPr>
        <w:tc>
          <w:tcPr>
            <w:tcW w:w="1524" w:type="dxa"/>
            <w:vMerge w:val="restart"/>
            <w:tcBorders>
              <w:top w:val="single" w:color="auto" w:sz="4" w:space="0"/>
              <w:left w:val="single" w:color="auto" w:sz="8" w:space="0"/>
              <w:bottom w:val="single" w:color="auto" w:sz="4" w:space="0"/>
              <w:right w:val="single" w:color="auto" w:sz="4" w:space="0"/>
            </w:tcBorders>
            <w:shd w:val="clear" w:color="auto" w:fill="auto"/>
            <w:vAlign w:val="center"/>
          </w:tcPr>
          <w:p>
            <w:pPr>
              <w:widowControl/>
              <w:autoSpaceDE w:val="0"/>
              <w:autoSpaceDN w:val="0"/>
              <w:adjustRightInd w:val="0"/>
              <w:snapToGrid w:val="0"/>
              <w:spacing w:line="240" w:lineRule="auto"/>
              <w:ind w:firstLine="0" w:firstLineChars="0"/>
              <w:jc w:val="center"/>
              <w:rPr>
                <w:kern w:val="0"/>
              </w:rPr>
            </w:pPr>
            <w:r>
              <w:rPr>
                <w:rFonts w:hint="eastAsia" w:cs="宋体"/>
                <w:kern w:val="0"/>
                <w:sz w:val="21"/>
                <w:szCs w:val="21"/>
              </w:rPr>
              <w:t>一级保护区</w:t>
            </w:r>
          </w:p>
        </w:tc>
        <w:tc>
          <w:tcPr>
            <w:tcW w:w="991" w:type="dxa"/>
            <w:tcBorders>
              <w:top w:val="single" w:color="auto" w:sz="4" w:space="0"/>
              <w:left w:val="single" w:color="auto" w:sz="4" w:space="0"/>
              <w:bottom w:val="single" w:color="auto" w:sz="4" w:space="0"/>
              <w:right w:val="single" w:color="auto" w:sz="4" w:space="0"/>
            </w:tcBorders>
            <w:shd w:val="clear" w:color="auto" w:fill="auto"/>
            <w:vAlign w:val="center"/>
          </w:tcPr>
          <w:p>
            <w:pPr>
              <w:widowControl/>
              <w:autoSpaceDE w:val="0"/>
              <w:autoSpaceDN w:val="0"/>
              <w:adjustRightInd w:val="0"/>
              <w:snapToGrid w:val="0"/>
              <w:spacing w:line="240" w:lineRule="auto"/>
              <w:ind w:firstLine="0" w:firstLineChars="0"/>
              <w:jc w:val="center"/>
              <w:rPr>
                <w:kern w:val="0"/>
              </w:rPr>
            </w:pPr>
            <w:r>
              <w:rPr>
                <w:rFonts w:hint="eastAsia" w:cs="宋体"/>
                <w:kern w:val="0"/>
                <w:sz w:val="21"/>
                <w:szCs w:val="21"/>
              </w:rPr>
              <w:t>水域</w:t>
            </w:r>
          </w:p>
        </w:tc>
        <w:tc>
          <w:tcPr>
            <w:tcW w:w="6003" w:type="dxa"/>
            <w:tcBorders>
              <w:top w:val="single" w:color="auto" w:sz="4" w:space="0"/>
              <w:left w:val="single" w:color="auto" w:sz="4" w:space="0"/>
              <w:bottom w:val="single" w:color="auto" w:sz="4" w:space="0"/>
              <w:right w:val="single" w:color="auto" w:sz="8" w:space="0"/>
            </w:tcBorders>
            <w:shd w:val="clear" w:color="auto" w:fill="auto"/>
            <w:vAlign w:val="center"/>
          </w:tcPr>
          <w:p>
            <w:pPr>
              <w:widowControl/>
              <w:autoSpaceDE w:val="0"/>
              <w:autoSpaceDN w:val="0"/>
              <w:adjustRightInd w:val="0"/>
              <w:snapToGrid w:val="0"/>
              <w:spacing w:line="240" w:lineRule="auto"/>
              <w:ind w:firstLine="0" w:firstLineChars="0"/>
              <w:jc w:val="left"/>
              <w:rPr>
                <w:kern w:val="0"/>
              </w:rPr>
            </w:pPr>
            <w:r>
              <w:rPr>
                <w:rFonts w:hint="eastAsia" w:cs="宋体"/>
                <w:kern w:val="0"/>
                <w:sz w:val="21"/>
                <w:szCs w:val="21"/>
              </w:rPr>
              <w:t>金凤水库正常水位线以下的全部水域及</w:t>
            </w:r>
            <w:r>
              <w:rPr>
                <w:rFonts w:hint="eastAsia"/>
                <w:kern w:val="0"/>
                <w:sz w:val="21"/>
                <w:szCs w:val="21"/>
              </w:rPr>
              <w:t>48.8</w:t>
            </w:r>
            <w:r>
              <w:rPr>
                <w:rFonts w:hint="eastAsia" w:cs="宋体"/>
                <w:kern w:val="0"/>
                <w:sz w:val="21"/>
                <w:szCs w:val="21"/>
              </w:rPr>
              <w:t>千米北干渠（铁山水库至金凤水库）。</w:t>
            </w:r>
          </w:p>
        </w:tc>
      </w:tr>
      <w:tr>
        <w:tblPrEx>
          <w:tblLayout w:type="fixed"/>
          <w:tblCellMar>
            <w:top w:w="85" w:type="dxa"/>
            <w:left w:w="108" w:type="dxa"/>
            <w:bottom w:w="85" w:type="dxa"/>
            <w:right w:w="108" w:type="dxa"/>
          </w:tblCellMar>
        </w:tblPrEx>
        <w:trPr>
          <w:trHeight w:val="397" w:hRule="atLeast"/>
        </w:trPr>
        <w:tc>
          <w:tcPr>
            <w:tcW w:w="1524" w:type="dxa"/>
            <w:vMerge w:val="continue"/>
            <w:tcBorders>
              <w:top w:val="single" w:color="auto" w:sz="4" w:space="0"/>
              <w:left w:val="single" w:color="auto" w:sz="8" w:space="0"/>
              <w:bottom w:val="single" w:color="auto" w:sz="4" w:space="0"/>
              <w:right w:val="single" w:color="auto" w:sz="4" w:space="0"/>
            </w:tcBorders>
            <w:shd w:val="clear" w:color="auto" w:fill="auto"/>
            <w:vAlign w:val="center"/>
          </w:tcPr>
          <w:p>
            <w:pPr>
              <w:widowControl/>
              <w:spacing w:line="240" w:lineRule="auto"/>
              <w:ind w:firstLine="0" w:firstLineChars="0"/>
              <w:rPr>
                <w:rFonts w:ascii="Calibri" w:hAnsi="Calibri" w:cs="Calibri"/>
                <w:sz w:val="21"/>
              </w:rPr>
            </w:pPr>
          </w:p>
        </w:tc>
        <w:tc>
          <w:tcPr>
            <w:tcW w:w="991" w:type="dxa"/>
            <w:tcBorders>
              <w:top w:val="single" w:color="auto" w:sz="4" w:space="0"/>
              <w:left w:val="single" w:color="auto" w:sz="4" w:space="0"/>
              <w:bottom w:val="single" w:color="auto" w:sz="4" w:space="0"/>
              <w:right w:val="single" w:color="auto" w:sz="4" w:space="0"/>
            </w:tcBorders>
            <w:shd w:val="clear" w:color="auto" w:fill="auto"/>
            <w:vAlign w:val="center"/>
          </w:tcPr>
          <w:p>
            <w:pPr>
              <w:widowControl/>
              <w:autoSpaceDE w:val="0"/>
              <w:autoSpaceDN w:val="0"/>
              <w:adjustRightInd w:val="0"/>
              <w:snapToGrid w:val="0"/>
              <w:spacing w:line="240" w:lineRule="auto"/>
              <w:ind w:firstLine="0" w:firstLineChars="0"/>
              <w:jc w:val="center"/>
              <w:rPr>
                <w:kern w:val="0"/>
              </w:rPr>
            </w:pPr>
            <w:r>
              <w:rPr>
                <w:rFonts w:hint="eastAsia" w:cs="宋体"/>
                <w:kern w:val="0"/>
                <w:sz w:val="21"/>
                <w:szCs w:val="21"/>
              </w:rPr>
              <w:t>陆域</w:t>
            </w:r>
          </w:p>
        </w:tc>
        <w:tc>
          <w:tcPr>
            <w:tcW w:w="6003" w:type="dxa"/>
            <w:tcBorders>
              <w:top w:val="single" w:color="auto" w:sz="4" w:space="0"/>
              <w:left w:val="single" w:color="auto" w:sz="4" w:space="0"/>
              <w:bottom w:val="single" w:color="auto" w:sz="4" w:space="0"/>
              <w:right w:val="single" w:color="auto" w:sz="8" w:space="0"/>
            </w:tcBorders>
            <w:shd w:val="clear" w:color="auto" w:fill="auto"/>
            <w:vAlign w:val="center"/>
          </w:tcPr>
          <w:p>
            <w:pPr>
              <w:widowControl/>
              <w:autoSpaceDE w:val="0"/>
              <w:autoSpaceDN w:val="0"/>
              <w:adjustRightInd w:val="0"/>
              <w:snapToGrid w:val="0"/>
              <w:spacing w:line="240" w:lineRule="auto"/>
              <w:ind w:firstLine="0" w:firstLineChars="0"/>
              <w:jc w:val="left"/>
              <w:rPr>
                <w:kern w:val="0"/>
              </w:rPr>
            </w:pPr>
            <w:r>
              <w:rPr>
                <w:rFonts w:hint="eastAsia" w:cs="宋体"/>
                <w:kern w:val="0"/>
                <w:sz w:val="21"/>
                <w:szCs w:val="21"/>
              </w:rPr>
              <w:t>金凤水库南面以大坝坝顶为界，其它区域以环库公路路肩和山脊线为界，即水库集雨区范围内的陆域。北干渠物理隔离区、封闭段两侧纵深</w:t>
            </w:r>
            <w:r>
              <w:rPr>
                <w:rFonts w:hint="eastAsia"/>
                <w:kern w:val="0"/>
                <w:sz w:val="21"/>
                <w:szCs w:val="21"/>
              </w:rPr>
              <w:t>30</w:t>
            </w:r>
            <w:r>
              <w:rPr>
                <w:rFonts w:hint="eastAsia" w:cs="宋体"/>
                <w:kern w:val="0"/>
                <w:sz w:val="21"/>
                <w:szCs w:val="21"/>
              </w:rPr>
              <w:t>米内的陆域（不超过分水岭），北干渠非封闭段（不含渡槽）两侧纵深</w:t>
            </w:r>
            <w:r>
              <w:rPr>
                <w:rFonts w:hint="eastAsia"/>
                <w:kern w:val="0"/>
                <w:sz w:val="21"/>
                <w:szCs w:val="21"/>
              </w:rPr>
              <w:t>50</w:t>
            </w:r>
            <w:r>
              <w:rPr>
                <w:rFonts w:hint="eastAsia" w:cs="宋体"/>
                <w:kern w:val="0"/>
                <w:sz w:val="21"/>
                <w:szCs w:val="21"/>
              </w:rPr>
              <w:t>米内的陆域（不超过分水岭）。</w:t>
            </w:r>
          </w:p>
        </w:tc>
      </w:tr>
      <w:tr>
        <w:tblPrEx>
          <w:tblLayout w:type="fixed"/>
          <w:tblCellMar>
            <w:top w:w="85" w:type="dxa"/>
            <w:left w:w="108" w:type="dxa"/>
            <w:bottom w:w="85" w:type="dxa"/>
            <w:right w:w="108" w:type="dxa"/>
          </w:tblCellMar>
        </w:tblPrEx>
        <w:trPr>
          <w:trHeight w:val="397" w:hRule="atLeast"/>
        </w:trPr>
        <w:tc>
          <w:tcPr>
            <w:tcW w:w="1524" w:type="dxa"/>
            <w:vMerge w:val="restart"/>
            <w:tcBorders>
              <w:top w:val="single" w:color="auto" w:sz="4" w:space="0"/>
              <w:left w:val="single" w:color="auto" w:sz="8" w:space="0"/>
              <w:bottom w:val="single" w:color="auto" w:sz="4" w:space="0"/>
              <w:right w:val="single" w:color="auto" w:sz="4" w:space="0"/>
            </w:tcBorders>
            <w:shd w:val="clear" w:color="auto" w:fill="auto"/>
            <w:vAlign w:val="center"/>
          </w:tcPr>
          <w:p>
            <w:pPr>
              <w:widowControl/>
              <w:autoSpaceDE w:val="0"/>
              <w:autoSpaceDN w:val="0"/>
              <w:adjustRightInd w:val="0"/>
              <w:snapToGrid w:val="0"/>
              <w:spacing w:line="240" w:lineRule="auto"/>
              <w:ind w:firstLine="0" w:firstLineChars="0"/>
              <w:jc w:val="center"/>
              <w:rPr>
                <w:kern w:val="0"/>
              </w:rPr>
            </w:pPr>
            <w:r>
              <w:rPr>
                <w:rFonts w:hint="eastAsia" w:cs="宋体"/>
                <w:kern w:val="0"/>
                <w:sz w:val="21"/>
                <w:szCs w:val="21"/>
              </w:rPr>
              <w:t>二级保护区</w:t>
            </w:r>
          </w:p>
        </w:tc>
        <w:tc>
          <w:tcPr>
            <w:tcW w:w="991" w:type="dxa"/>
            <w:tcBorders>
              <w:top w:val="single" w:color="auto" w:sz="4" w:space="0"/>
              <w:left w:val="single" w:color="auto" w:sz="4" w:space="0"/>
              <w:bottom w:val="single" w:color="auto" w:sz="4" w:space="0"/>
              <w:right w:val="single" w:color="auto" w:sz="4" w:space="0"/>
            </w:tcBorders>
            <w:shd w:val="clear" w:color="auto" w:fill="auto"/>
            <w:vAlign w:val="center"/>
          </w:tcPr>
          <w:p>
            <w:pPr>
              <w:widowControl/>
              <w:autoSpaceDE w:val="0"/>
              <w:autoSpaceDN w:val="0"/>
              <w:adjustRightInd w:val="0"/>
              <w:snapToGrid w:val="0"/>
              <w:spacing w:line="240" w:lineRule="auto"/>
              <w:ind w:firstLine="0" w:firstLineChars="0"/>
              <w:jc w:val="center"/>
              <w:rPr>
                <w:kern w:val="0"/>
              </w:rPr>
            </w:pPr>
            <w:r>
              <w:rPr>
                <w:rFonts w:hint="eastAsia" w:cs="宋体"/>
                <w:kern w:val="0"/>
                <w:sz w:val="21"/>
                <w:szCs w:val="21"/>
              </w:rPr>
              <w:t>水域</w:t>
            </w:r>
          </w:p>
        </w:tc>
        <w:tc>
          <w:tcPr>
            <w:tcW w:w="6003" w:type="dxa"/>
            <w:tcBorders>
              <w:top w:val="single" w:color="auto" w:sz="4" w:space="0"/>
              <w:left w:val="single" w:color="auto" w:sz="4" w:space="0"/>
              <w:bottom w:val="single" w:color="auto" w:sz="4" w:space="0"/>
              <w:right w:val="single" w:color="auto" w:sz="8" w:space="0"/>
            </w:tcBorders>
            <w:shd w:val="clear" w:color="auto" w:fill="auto"/>
            <w:vAlign w:val="center"/>
          </w:tcPr>
          <w:p>
            <w:pPr>
              <w:widowControl/>
              <w:autoSpaceDE w:val="0"/>
              <w:autoSpaceDN w:val="0"/>
              <w:adjustRightInd w:val="0"/>
              <w:snapToGrid w:val="0"/>
              <w:spacing w:line="240" w:lineRule="auto"/>
              <w:ind w:firstLine="0" w:firstLineChars="0"/>
              <w:jc w:val="left"/>
              <w:rPr>
                <w:kern w:val="0"/>
              </w:rPr>
            </w:pPr>
            <w:r>
              <w:rPr>
                <w:rFonts w:hint="eastAsia" w:cs="宋体"/>
                <w:kern w:val="0"/>
                <w:sz w:val="21"/>
                <w:szCs w:val="21"/>
              </w:rPr>
              <w:t>二级保护区陆域范围内的水体。</w:t>
            </w:r>
          </w:p>
        </w:tc>
      </w:tr>
      <w:tr>
        <w:tblPrEx>
          <w:tblLayout w:type="fixed"/>
          <w:tblCellMar>
            <w:top w:w="85" w:type="dxa"/>
            <w:left w:w="108" w:type="dxa"/>
            <w:bottom w:w="85" w:type="dxa"/>
            <w:right w:w="108" w:type="dxa"/>
          </w:tblCellMar>
        </w:tblPrEx>
        <w:trPr>
          <w:trHeight w:val="397" w:hRule="atLeast"/>
        </w:trPr>
        <w:tc>
          <w:tcPr>
            <w:tcW w:w="1524" w:type="dxa"/>
            <w:vMerge w:val="continue"/>
            <w:tcBorders>
              <w:top w:val="single" w:color="auto" w:sz="4" w:space="0"/>
              <w:left w:val="single" w:color="auto" w:sz="8" w:space="0"/>
              <w:bottom w:val="single" w:color="auto" w:sz="4" w:space="0"/>
              <w:right w:val="single" w:color="auto" w:sz="4" w:space="0"/>
            </w:tcBorders>
            <w:shd w:val="clear" w:color="auto" w:fill="auto"/>
            <w:vAlign w:val="center"/>
          </w:tcPr>
          <w:p>
            <w:pPr>
              <w:widowControl/>
              <w:spacing w:line="240" w:lineRule="auto"/>
              <w:ind w:firstLine="0" w:firstLineChars="0"/>
              <w:rPr>
                <w:rFonts w:ascii="Calibri" w:hAnsi="Calibri" w:cs="Calibri"/>
                <w:sz w:val="21"/>
              </w:rPr>
            </w:pPr>
          </w:p>
        </w:tc>
        <w:tc>
          <w:tcPr>
            <w:tcW w:w="991" w:type="dxa"/>
            <w:tcBorders>
              <w:top w:val="single" w:color="auto" w:sz="4" w:space="0"/>
              <w:left w:val="single" w:color="auto" w:sz="4" w:space="0"/>
              <w:bottom w:val="single" w:color="auto" w:sz="4" w:space="0"/>
              <w:right w:val="single" w:color="auto" w:sz="4" w:space="0"/>
            </w:tcBorders>
            <w:shd w:val="clear" w:color="auto" w:fill="auto"/>
            <w:vAlign w:val="center"/>
          </w:tcPr>
          <w:p>
            <w:pPr>
              <w:widowControl/>
              <w:autoSpaceDE w:val="0"/>
              <w:autoSpaceDN w:val="0"/>
              <w:adjustRightInd w:val="0"/>
              <w:snapToGrid w:val="0"/>
              <w:spacing w:line="240" w:lineRule="auto"/>
              <w:ind w:firstLine="0" w:firstLineChars="0"/>
              <w:jc w:val="center"/>
              <w:rPr>
                <w:kern w:val="0"/>
              </w:rPr>
            </w:pPr>
            <w:r>
              <w:rPr>
                <w:rFonts w:hint="eastAsia" w:cs="宋体"/>
                <w:kern w:val="0"/>
                <w:sz w:val="21"/>
                <w:szCs w:val="21"/>
              </w:rPr>
              <w:t>陆域</w:t>
            </w:r>
          </w:p>
        </w:tc>
        <w:tc>
          <w:tcPr>
            <w:tcW w:w="6003" w:type="dxa"/>
            <w:tcBorders>
              <w:top w:val="single" w:color="auto" w:sz="4" w:space="0"/>
              <w:left w:val="single" w:color="auto" w:sz="4" w:space="0"/>
              <w:bottom w:val="single" w:color="auto" w:sz="4" w:space="0"/>
              <w:right w:val="single" w:color="auto" w:sz="8" w:space="0"/>
            </w:tcBorders>
            <w:shd w:val="clear" w:color="auto" w:fill="auto"/>
            <w:vAlign w:val="center"/>
          </w:tcPr>
          <w:p>
            <w:pPr>
              <w:widowControl/>
              <w:autoSpaceDE w:val="0"/>
              <w:autoSpaceDN w:val="0"/>
              <w:adjustRightInd w:val="0"/>
              <w:snapToGrid w:val="0"/>
              <w:spacing w:line="240" w:lineRule="auto"/>
              <w:ind w:firstLine="0" w:firstLineChars="0"/>
              <w:jc w:val="left"/>
              <w:rPr>
                <w:kern w:val="0"/>
              </w:rPr>
            </w:pPr>
            <w:r>
              <w:rPr>
                <w:rFonts w:hint="eastAsia" w:cs="宋体"/>
                <w:kern w:val="0"/>
                <w:sz w:val="21"/>
                <w:szCs w:val="21"/>
              </w:rPr>
              <w:t>北干渠物理隔离区、封闭段二级保护区陆域与一级保护区陆域重合，非封闭段（不含渡槽）两侧纵深</w:t>
            </w:r>
            <w:r>
              <w:rPr>
                <w:rFonts w:hint="eastAsia"/>
                <w:kern w:val="0"/>
                <w:sz w:val="21"/>
                <w:szCs w:val="21"/>
              </w:rPr>
              <w:t>1000</w:t>
            </w:r>
            <w:r>
              <w:rPr>
                <w:rFonts w:hint="eastAsia" w:cs="宋体"/>
                <w:kern w:val="0"/>
                <w:sz w:val="21"/>
                <w:szCs w:val="21"/>
              </w:rPr>
              <w:t>米内的陆域（不超过分水岭、一级保护区陆域除外）。</w:t>
            </w:r>
          </w:p>
        </w:tc>
      </w:tr>
      <w:tr>
        <w:tblPrEx>
          <w:tblLayout w:type="fixed"/>
          <w:tblCellMar>
            <w:top w:w="85" w:type="dxa"/>
            <w:left w:w="108" w:type="dxa"/>
            <w:bottom w:w="85" w:type="dxa"/>
            <w:right w:w="108" w:type="dxa"/>
          </w:tblCellMar>
        </w:tblPrEx>
        <w:trPr>
          <w:trHeight w:val="397" w:hRule="atLeast"/>
        </w:trPr>
        <w:tc>
          <w:tcPr>
            <w:tcW w:w="1524" w:type="dxa"/>
            <w:tcBorders>
              <w:top w:val="single" w:color="auto" w:sz="4" w:space="0"/>
              <w:left w:val="single" w:color="auto" w:sz="8" w:space="0"/>
              <w:bottom w:val="single" w:color="auto" w:sz="8" w:space="0"/>
              <w:right w:val="single" w:color="auto" w:sz="4" w:space="0"/>
            </w:tcBorders>
            <w:shd w:val="clear" w:color="auto" w:fill="auto"/>
            <w:vAlign w:val="center"/>
          </w:tcPr>
          <w:p>
            <w:pPr>
              <w:widowControl/>
              <w:autoSpaceDE w:val="0"/>
              <w:autoSpaceDN w:val="0"/>
              <w:adjustRightInd w:val="0"/>
              <w:snapToGrid w:val="0"/>
              <w:spacing w:line="240" w:lineRule="auto"/>
              <w:ind w:firstLine="0" w:firstLineChars="0"/>
              <w:jc w:val="center"/>
              <w:rPr>
                <w:kern w:val="0"/>
              </w:rPr>
            </w:pPr>
            <w:r>
              <w:rPr>
                <w:rFonts w:hint="eastAsia" w:cs="宋体"/>
                <w:kern w:val="0"/>
                <w:sz w:val="21"/>
                <w:szCs w:val="21"/>
              </w:rPr>
              <w:t>准保护区</w:t>
            </w:r>
          </w:p>
        </w:tc>
        <w:tc>
          <w:tcPr>
            <w:tcW w:w="6994" w:type="dxa"/>
            <w:gridSpan w:val="2"/>
            <w:tcBorders>
              <w:top w:val="single" w:color="auto" w:sz="4" w:space="0"/>
              <w:left w:val="single" w:color="auto" w:sz="4" w:space="0"/>
              <w:bottom w:val="single" w:color="auto" w:sz="8" w:space="0"/>
              <w:right w:val="single" w:color="auto" w:sz="8" w:space="0"/>
            </w:tcBorders>
            <w:shd w:val="clear" w:color="auto" w:fill="auto"/>
            <w:vAlign w:val="center"/>
          </w:tcPr>
          <w:p>
            <w:pPr>
              <w:widowControl/>
              <w:autoSpaceDE w:val="0"/>
              <w:autoSpaceDN w:val="0"/>
              <w:adjustRightInd w:val="0"/>
              <w:snapToGrid w:val="0"/>
              <w:spacing w:line="240" w:lineRule="auto"/>
              <w:ind w:firstLine="0" w:firstLineChars="0"/>
              <w:jc w:val="left"/>
              <w:rPr>
                <w:kern w:val="0"/>
              </w:rPr>
            </w:pPr>
            <w:r>
              <w:rPr>
                <w:rFonts w:hint="eastAsia" w:cs="宋体"/>
                <w:kern w:val="0"/>
                <w:sz w:val="21"/>
                <w:szCs w:val="21"/>
              </w:rPr>
              <w:t>无</w:t>
            </w:r>
          </w:p>
        </w:tc>
      </w:tr>
    </w:tbl>
    <w:p>
      <w:pPr>
        <w:pStyle w:val="3"/>
        <w:rPr>
          <w:color w:val="000000" w:themeColor="text1"/>
          <w:spacing w:val="-6"/>
        </w:rPr>
      </w:pPr>
      <w:bookmarkStart w:id="295" w:name="_Toc535851341"/>
      <w:r>
        <w:rPr>
          <w:color w:val="000000" w:themeColor="text1"/>
          <w:spacing w:val="-6"/>
        </w:rPr>
        <w:t>3.</w:t>
      </w:r>
      <w:r>
        <w:rPr>
          <w:rFonts w:hint="eastAsia"/>
          <w:color w:val="000000" w:themeColor="text1"/>
          <w:spacing w:val="-6"/>
        </w:rPr>
        <w:t>4岳阳市饮用水源保护区（铁山水库-北干渠-金凤水库）</w:t>
      </w:r>
      <w:r>
        <w:rPr>
          <w:color w:val="000000" w:themeColor="text1"/>
          <w:spacing w:val="-6"/>
        </w:rPr>
        <w:t>基本情况</w:t>
      </w:r>
      <w:bookmarkEnd w:id="285"/>
      <w:bookmarkEnd w:id="286"/>
      <w:bookmarkEnd w:id="295"/>
    </w:p>
    <w:p>
      <w:pPr>
        <w:pStyle w:val="5"/>
        <w:rPr>
          <w:color w:val="000000" w:themeColor="text1"/>
        </w:rPr>
      </w:pPr>
      <w:r>
        <w:rPr>
          <w:rFonts w:hint="eastAsia"/>
          <w:color w:val="000000" w:themeColor="text1"/>
        </w:rPr>
        <w:t>3</w:t>
      </w:r>
      <w:r>
        <w:rPr>
          <w:color w:val="000000" w:themeColor="text1"/>
        </w:rPr>
        <w:t>.</w:t>
      </w:r>
      <w:r>
        <w:rPr>
          <w:rFonts w:hint="eastAsia"/>
          <w:color w:val="000000" w:themeColor="text1"/>
        </w:rPr>
        <w:t>4</w:t>
      </w:r>
      <w:r>
        <w:rPr>
          <w:color w:val="000000" w:themeColor="text1"/>
        </w:rPr>
        <w:t>.1</w:t>
      </w:r>
      <w:r>
        <w:rPr>
          <w:rFonts w:hint="eastAsia"/>
          <w:color w:val="000000" w:themeColor="text1"/>
        </w:rPr>
        <w:t>铁山水库基本情况</w:t>
      </w:r>
    </w:p>
    <w:p>
      <w:pPr>
        <w:widowControl/>
        <w:jc w:val="left"/>
        <w:rPr>
          <w:kern w:val="0"/>
          <w:szCs w:val="24"/>
        </w:rPr>
      </w:pPr>
      <w:r>
        <w:rPr>
          <w:kern w:val="0"/>
          <w:szCs w:val="24"/>
        </w:rPr>
        <w:t>铁山水库位于湖南省岳阳县公田镇铁山口，总库容6.35亿立方米，正常库容5.46亿立方米，多年平均产水量3.67亿立方米，水岸线长328公里，水面面积44.47平方公里，集雨面积493平方公里，平均河宽20米，平均水深10米，年平均径流量11.64 m</w:t>
      </w:r>
      <w:r>
        <w:rPr>
          <w:kern w:val="0"/>
          <w:szCs w:val="24"/>
          <w:vertAlign w:val="superscript"/>
        </w:rPr>
        <w:t>3</w:t>
      </w:r>
      <w:r>
        <w:rPr>
          <w:kern w:val="0"/>
          <w:szCs w:val="24"/>
        </w:rPr>
        <w:t>/s，平水期平均径流量11.05 m</w:t>
      </w:r>
      <w:r>
        <w:rPr>
          <w:kern w:val="0"/>
          <w:szCs w:val="24"/>
          <w:vertAlign w:val="superscript"/>
        </w:rPr>
        <w:t>3</w:t>
      </w:r>
      <w:r>
        <w:rPr>
          <w:kern w:val="0"/>
          <w:szCs w:val="24"/>
        </w:rPr>
        <w:t>/s，枯水期平均径流量3.99 m</w:t>
      </w:r>
      <w:r>
        <w:rPr>
          <w:kern w:val="0"/>
          <w:szCs w:val="24"/>
          <w:vertAlign w:val="superscript"/>
        </w:rPr>
        <w:t>3</w:t>
      </w:r>
      <w:r>
        <w:rPr>
          <w:kern w:val="0"/>
          <w:szCs w:val="24"/>
        </w:rPr>
        <w:t>/s，最枯月平均径流量0.36 m</w:t>
      </w:r>
      <w:r>
        <w:rPr>
          <w:kern w:val="0"/>
          <w:szCs w:val="24"/>
          <w:vertAlign w:val="superscript"/>
        </w:rPr>
        <w:t>3</w:t>
      </w:r>
      <w:r>
        <w:rPr>
          <w:kern w:val="0"/>
          <w:szCs w:val="24"/>
        </w:rPr>
        <w:t>/s。水库大坝为黏土斜墙沙石混合坝，高44 m，底长70 m，宽272 m，顶长206.5 m，宽10 m，设计洪水位93.38米，正常蓄水位92.2米，死水位80.00米。</w:t>
      </w:r>
    </w:p>
    <w:p>
      <w:pPr>
        <w:widowControl/>
        <w:jc w:val="left"/>
        <w:rPr>
          <w:kern w:val="0"/>
          <w:szCs w:val="24"/>
        </w:rPr>
      </w:pPr>
      <w:r>
        <w:rPr>
          <w:kern w:val="0"/>
          <w:szCs w:val="24"/>
        </w:rPr>
        <w:t>小饶港水库为中型水库，与铁山水库通过隧洞相连，来水面积约28平方公里。小饶港水库不仅为岳阳县提供水资源，还是公田镇、甘田乡和杨林乡的灌溉用水，灌溉面积为4.5万亩。此外，小饶港水库还有防洪发电的功能。</w:t>
      </w:r>
    </w:p>
    <w:p>
      <w:pPr>
        <w:widowControl/>
        <w:jc w:val="left"/>
        <w:rPr>
          <w:kern w:val="0"/>
          <w:szCs w:val="24"/>
          <w:u w:val="single"/>
        </w:rPr>
      </w:pPr>
      <w:r>
        <w:rPr>
          <w:kern w:val="0"/>
          <w:szCs w:val="24"/>
          <w:u w:val="single"/>
        </w:rPr>
        <w:t>铁山水库分别建有南、北两个专用饮水渠道，</w:t>
      </w:r>
      <w:r>
        <w:rPr>
          <w:rFonts w:hint="eastAsia"/>
          <w:kern w:val="0"/>
          <w:szCs w:val="24"/>
          <w:u w:val="single"/>
        </w:rPr>
        <w:t>铁山水库设有一个取水口与北干渠相通，通过48.8km的饮水渠道汇入</w:t>
      </w:r>
      <w:r>
        <w:rPr>
          <w:kern w:val="0"/>
          <w:szCs w:val="24"/>
          <w:u w:val="single"/>
        </w:rPr>
        <w:t>金凤水库</w:t>
      </w:r>
      <w:r>
        <w:rPr>
          <w:rFonts w:hint="eastAsia"/>
          <w:kern w:val="0"/>
          <w:szCs w:val="24"/>
          <w:u w:val="single"/>
        </w:rPr>
        <w:t>；小饶港水库设有一个取水口，与南干渠</w:t>
      </w:r>
      <w:r>
        <w:rPr>
          <w:kern w:val="0"/>
          <w:szCs w:val="24"/>
          <w:u w:val="single"/>
        </w:rPr>
        <w:t>相通，通过长约35.44 km的饮水渠道汇入新墙水库。</w:t>
      </w:r>
    </w:p>
    <w:p>
      <w:pPr>
        <w:widowControl/>
        <w:jc w:val="left"/>
        <w:rPr>
          <w:szCs w:val="24"/>
        </w:rPr>
      </w:pPr>
      <w:r>
        <w:rPr>
          <w:szCs w:val="24"/>
        </w:rPr>
        <w:t>铁山水库是一座大型水库，具有重要的饮用水源功能，是岳阳市的饮用水源地，2011年被列入全国重要饮用水源地名录，承担着岳阳市近百万城镇居民的生活用水。同时还具有防洪、农业灌溉和旅游休闲等功能。以铁山水库为骨干水源的铁山灌区是湖南省第二大灌区和商品粮生产基地，控灌农田面积85.41万亩。</w:t>
      </w:r>
    </w:p>
    <w:p>
      <w:pPr>
        <w:pStyle w:val="5"/>
      </w:pPr>
      <w:r>
        <w:rPr>
          <w:rFonts w:hint="eastAsia"/>
        </w:rPr>
        <w:t>3</w:t>
      </w:r>
      <w:r>
        <w:t>.</w:t>
      </w:r>
      <w:r>
        <w:rPr>
          <w:rFonts w:hint="eastAsia"/>
        </w:rPr>
        <w:t>4</w:t>
      </w:r>
      <w:r>
        <w:t>.</w:t>
      </w:r>
      <w:r>
        <w:rPr>
          <w:rFonts w:hint="eastAsia"/>
        </w:rPr>
        <w:t>2金凤水库（含北干渠）基本情况</w:t>
      </w:r>
    </w:p>
    <w:p>
      <w:pPr>
        <w:widowControl/>
        <w:rPr>
          <w:kern w:val="0"/>
          <w:szCs w:val="24"/>
        </w:rPr>
      </w:pPr>
      <w:r>
        <w:rPr>
          <w:rFonts w:hint="eastAsia" w:cs="宋体"/>
          <w:kern w:val="0"/>
          <w:szCs w:val="24"/>
        </w:rPr>
        <w:t>金凤水库位于岳阳市经济技术开发区金凤桥村、监审桥村，建于</w:t>
      </w:r>
      <w:r>
        <w:rPr>
          <w:kern w:val="0"/>
          <w:szCs w:val="24"/>
        </w:rPr>
        <w:t>1992</w:t>
      </w:r>
      <w:r>
        <w:rPr>
          <w:rFonts w:hint="eastAsia" w:cs="宋体"/>
          <w:kern w:val="0"/>
          <w:szCs w:val="24"/>
        </w:rPr>
        <w:t>年至</w:t>
      </w:r>
      <w:r>
        <w:rPr>
          <w:kern w:val="0"/>
          <w:szCs w:val="24"/>
        </w:rPr>
        <w:t>1994</w:t>
      </w:r>
      <w:r>
        <w:rPr>
          <w:rFonts w:hint="eastAsia" w:cs="宋体"/>
          <w:kern w:val="0"/>
          <w:szCs w:val="24"/>
        </w:rPr>
        <w:t>年，属于洞庭湖水系。水库总库容</w:t>
      </w:r>
      <w:r>
        <w:rPr>
          <w:kern w:val="0"/>
          <w:szCs w:val="24"/>
        </w:rPr>
        <w:t>1172</w:t>
      </w:r>
      <w:r>
        <w:rPr>
          <w:rFonts w:hint="eastAsia" w:cs="宋体"/>
          <w:kern w:val="0"/>
          <w:szCs w:val="24"/>
        </w:rPr>
        <w:t>万立方米，水库面积</w:t>
      </w:r>
      <w:r>
        <w:rPr>
          <w:kern w:val="0"/>
          <w:szCs w:val="24"/>
        </w:rPr>
        <w:t>0.67</w:t>
      </w:r>
      <w:r>
        <w:rPr>
          <w:rFonts w:hint="eastAsia" w:cs="宋体"/>
          <w:kern w:val="0"/>
          <w:szCs w:val="24"/>
        </w:rPr>
        <w:t>平方公里，集雨面积约</w:t>
      </w:r>
      <w:r>
        <w:rPr>
          <w:kern w:val="0"/>
          <w:szCs w:val="24"/>
        </w:rPr>
        <w:t>2.25</w:t>
      </w:r>
      <w:r>
        <w:rPr>
          <w:rFonts w:hint="eastAsia" w:cs="宋体"/>
          <w:kern w:val="0"/>
          <w:szCs w:val="24"/>
        </w:rPr>
        <w:t>平方公里，水库总投资</w:t>
      </w:r>
      <w:r>
        <w:rPr>
          <w:kern w:val="0"/>
          <w:szCs w:val="24"/>
        </w:rPr>
        <w:t>1600</w:t>
      </w:r>
      <w:r>
        <w:rPr>
          <w:rFonts w:hint="eastAsia" w:cs="宋体"/>
          <w:kern w:val="0"/>
          <w:szCs w:val="24"/>
        </w:rPr>
        <w:t>万元。金凤水库作为铁山水库的附属水库，主要功能是调蓄北干渠输送的饮用水，不作防洪、灌溉等其他用途。同时如果北干渠需要维修或发生水质被污染等紧急状况时，金凤水库的储水可以暂时满足岳阳市的供水要求。</w:t>
      </w:r>
    </w:p>
    <w:p>
      <w:pPr>
        <w:rPr>
          <w:szCs w:val="24"/>
        </w:rPr>
      </w:pPr>
      <w:r>
        <w:rPr>
          <w:rFonts w:hint="eastAsia"/>
          <w:szCs w:val="24"/>
        </w:rPr>
        <w:t>北干渠起点位于铁山水库的北面，接口处坐标为东经</w:t>
      </w:r>
      <w:r>
        <w:rPr>
          <w:szCs w:val="24"/>
        </w:rPr>
        <w:t>113°30'32.81"</w:t>
      </w:r>
      <w:r>
        <w:rPr>
          <w:rFonts w:hint="eastAsia"/>
          <w:szCs w:val="24"/>
        </w:rPr>
        <w:t>，北纬</w:t>
      </w:r>
      <w:r>
        <w:rPr>
          <w:szCs w:val="24"/>
        </w:rPr>
        <w:t>29°10'12.50"</w:t>
      </w:r>
      <w:r>
        <w:rPr>
          <w:rFonts w:hint="eastAsia"/>
          <w:szCs w:val="24"/>
        </w:rPr>
        <w:t>，（详见图</w:t>
      </w:r>
      <w:r>
        <w:rPr>
          <w:szCs w:val="24"/>
        </w:rPr>
        <w:t>2-4</w:t>
      </w:r>
      <w:r>
        <w:rPr>
          <w:rFonts w:hint="eastAsia"/>
          <w:szCs w:val="24"/>
        </w:rPr>
        <w:t>）。北干渠全程约为</w:t>
      </w:r>
      <w:r>
        <w:rPr>
          <w:szCs w:val="24"/>
        </w:rPr>
        <w:t>48.8km</w:t>
      </w:r>
      <w:r>
        <w:rPr>
          <w:rFonts w:hint="eastAsia"/>
          <w:szCs w:val="24"/>
        </w:rPr>
        <w:t>，途径岳阳县、临湘市、岳阳市经济技术开发区，最终汇入金凤水库内，接入口位于金凤水库的南面，坐标为东经</w:t>
      </w:r>
      <w:r>
        <w:rPr>
          <w:szCs w:val="24"/>
        </w:rPr>
        <w:t>113°12'56.11"</w:t>
      </w:r>
      <w:r>
        <w:rPr>
          <w:rFonts w:hint="eastAsia"/>
          <w:szCs w:val="24"/>
        </w:rPr>
        <w:t>，北纬</w:t>
      </w:r>
      <w:r>
        <w:rPr>
          <w:szCs w:val="24"/>
        </w:rPr>
        <w:t>29°21'10.55"</w:t>
      </w:r>
      <w:r>
        <w:rPr>
          <w:rFonts w:hint="eastAsia"/>
          <w:szCs w:val="24"/>
        </w:rPr>
        <w:t>。</w:t>
      </w:r>
    </w:p>
    <w:p>
      <w:pPr>
        <w:rPr>
          <w:kern w:val="0"/>
          <w:szCs w:val="24"/>
        </w:rPr>
      </w:pPr>
      <w:r>
        <w:rPr>
          <w:rFonts w:hint="eastAsia"/>
          <w:szCs w:val="24"/>
        </w:rPr>
        <w:t>北干渠平均渠槽面宽约</w:t>
      </w:r>
      <w:r>
        <w:rPr>
          <w:szCs w:val="24"/>
        </w:rPr>
        <w:t>10</w:t>
      </w:r>
      <w:r>
        <w:rPr>
          <w:rFonts w:hint="eastAsia"/>
          <w:szCs w:val="24"/>
        </w:rPr>
        <w:t>米，设计过水流量为</w:t>
      </w:r>
      <w:r>
        <w:rPr>
          <w:szCs w:val="24"/>
        </w:rPr>
        <w:t>19.5</w:t>
      </w:r>
      <w:r>
        <w:rPr>
          <w:rFonts w:hint="eastAsia"/>
          <w:szCs w:val="24"/>
        </w:rPr>
        <w:t>立方米</w:t>
      </w:r>
      <w:r>
        <w:rPr>
          <w:szCs w:val="24"/>
        </w:rPr>
        <w:t>/</w:t>
      </w:r>
      <w:r>
        <w:rPr>
          <w:rFonts w:hint="eastAsia"/>
          <w:szCs w:val="24"/>
        </w:rPr>
        <w:t>秒。北干渠主要以明渠输送方式为主，部分输送区域为隧洞和渡槽，北干渠共有隧洞</w:t>
      </w:r>
      <w:r>
        <w:rPr>
          <w:szCs w:val="24"/>
        </w:rPr>
        <w:t>30</w:t>
      </w:r>
      <w:r>
        <w:rPr>
          <w:rFonts w:hint="eastAsia"/>
          <w:szCs w:val="24"/>
        </w:rPr>
        <w:t>个（总长度</w:t>
      </w:r>
      <w:r>
        <w:rPr>
          <w:szCs w:val="24"/>
        </w:rPr>
        <w:t>8600</w:t>
      </w:r>
      <w:r>
        <w:rPr>
          <w:rFonts w:hint="eastAsia"/>
          <w:szCs w:val="24"/>
        </w:rPr>
        <w:t>米），渡槽</w:t>
      </w:r>
      <w:r>
        <w:rPr>
          <w:szCs w:val="24"/>
        </w:rPr>
        <w:t>16</w:t>
      </w:r>
      <w:r>
        <w:rPr>
          <w:rFonts w:hint="eastAsia"/>
          <w:szCs w:val="24"/>
        </w:rPr>
        <w:t>座（总长度</w:t>
      </w:r>
      <w:r>
        <w:rPr>
          <w:szCs w:val="24"/>
        </w:rPr>
        <w:t>4500</w:t>
      </w:r>
      <w:r>
        <w:rPr>
          <w:rFonts w:hint="eastAsia"/>
          <w:szCs w:val="24"/>
        </w:rPr>
        <w:t>米），其余部分均为明渠。</w:t>
      </w:r>
      <w:r>
        <w:rPr>
          <w:rFonts w:hint="eastAsia" w:cs="宋体"/>
          <w:kern w:val="0"/>
          <w:szCs w:val="24"/>
        </w:rPr>
        <w:t>输送形式及距离统计数据见下表：</w:t>
      </w:r>
    </w:p>
    <w:p>
      <w:pPr>
        <w:widowControl/>
        <w:adjustRightInd w:val="0"/>
        <w:snapToGrid w:val="0"/>
        <w:ind w:firstLine="0" w:firstLineChars="0"/>
        <w:jc w:val="center"/>
        <w:rPr>
          <w:sz w:val="21"/>
          <w:szCs w:val="21"/>
          <w:shd w:val="clear" w:color="auto" w:fill="FFFFFF"/>
        </w:rPr>
      </w:pPr>
      <w:r>
        <w:rPr>
          <w:rFonts w:hint="eastAsia" w:cs="宋体"/>
          <w:b/>
          <w:kern w:val="0"/>
          <w:sz w:val="21"/>
          <w:szCs w:val="21"/>
        </w:rPr>
        <w:t>表</w:t>
      </w:r>
      <w:r>
        <w:rPr>
          <w:rFonts w:hint="eastAsia"/>
          <w:b/>
          <w:kern w:val="0"/>
          <w:sz w:val="21"/>
          <w:szCs w:val="21"/>
        </w:rPr>
        <w:t>3</w:t>
      </w:r>
      <w:r>
        <w:rPr>
          <w:b/>
          <w:kern w:val="0"/>
          <w:sz w:val="21"/>
          <w:szCs w:val="21"/>
        </w:rPr>
        <w:t xml:space="preserve">-3 </w:t>
      </w:r>
      <w:r>
        <w:rPr>
          <w:rFonts w:hint="eastAsia" w:cs="宋体"/>
          <w:b/>
          <w:kern w:val="0"/>
          <w:sz w:val="21"/>
          <w:szCs w:val="21"/>
        </w:rPr>
        <w:t>北干渠输送形式统计表</w:t>
      </w:r>
    </w:p>
    <w:tbl>
      <w:tblPr>
        <w:tblStyle w:val="47"/>
        <w:tblW w:w="8522" w:type="dxa"/>
        <w:tblInd w:w="0" w:type="dxa"/>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
      <w:tblGrid>
        <w:gridCol w:w="958"/>
        <w:gridCol w:w="3683"/>
        <w:gridCol w:w="3881"/>
      </w:tblGrid>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trPr>
        <w:tc>
          <w:tcPr>
            <w:tcW w:w="958" w:type="dxa"/>
            <w:tcBorders>
              <w:tl2br w:val="nil"/>
              <w:tr2bl w:val="nil"/>
            </w:tcBorders>
            <w:shd w:val="clear" w:color="auto" w:fill="auto"/>
            <w:vAlign w:val="center"/>
          </w:tcPr>
          <w:p>
            <w:pPr>
              <w:widowControl/>
              <w:spacing w:line="240" w:lineRule="auto"/>
              <w:ind w:firstLine="0" w:firstLineChars="0"/>
              <w:jc w:val="center"/>
              <w:rPr>
                <w:rFonts w:ascii="宋体" w:hAnsi="宋体" w:cs="宋体"/>
                <w:b/>
                <w:kern w:val="0"/>
              </w:rPr>
            </w:pPr>
            <w:r>
              <w:rPr>
                <w:rFonts w:hint="eastAsia" w:ascii="宋体" w:hAnsi="宋体" w:cs="宋体"/>
                <w:b/>
                <w:kern w:val="0"/>
                <w:sz w:val="21"/>
                <w:szCs w:val="21"/>
              </w:rPr>
              <w:t>序号</w:t>
            </w:r>
          </w:p>
        </w:tc>
        <w:tc>
          <w:tcPr>
            <w:tcW w:w="3683" w:type="dxa"/>
            <w:tcBorders>
              <w:tl2br w:val="nil"/>
              <w:tr2bl w:val="nil"/>
            </w:tcBorders>
            <w:shd w:val="clear" w:color="auto" w:fill="auto"/>
            <w:vAlign w:val="center"/>
          </w:tcPr>
          <w:p>
            <w:pPr>
              <w:widowControl/>
              <w:spacing w:line="240" w:lineRule="auto"/>
              <w:ind w:firstLine="0" w:firstLineChars="0"/>
              <w:jc w:val="center"/>
              <w:rPr>
                <w:rFonts w:ascii="宋体" w:hAnsi="宋体" w:cs="宋体"/>
                <w:b/>
                <w:kern w:val="0"/>
              </w:rPr>
            </w:pPr>
            <w:r>
              <w:rPr>
                <w:rFonts w:hint="eastAsia" w:ascii="宋体" w:hAnsi="宋体" w:cs="宋体"/>
                <w:b/>
                <w:kern w:val="0"/>
                <w:sz w:val="21"/>
                <w:szCs w:val="21"/>
              </w:rPr>
              <w:t>输送形式</w:t>
            </w:r>
          </w:p>
        </w:tc>
        <w:tc>
          <w:tcPr>
            <w:tcW w:w="3881" w:type="dxa"/>
            <w:tcBorders>
              <w:tl2br w:val="nil"/>
              <w:tr2bl w:val="nil"/>
            </w:tcBorders>
            <w:shd w:val="clear" w:color="auto" w:fill="auto"/>
            <w:vAlign w:val="center"/>
          </w:tcPr>
          <w:p>
            <w:pPr>
              <w:widowControl/>
              <w:spacing w:line="240" w:lineRule="auto"/>
              <w:ind w:firstLine="0" w:firstLineChars="0"/>
              <w:jc w:val="center"/>
              <w:rPr>
                <w:rFonts w:ascii="宋体" w:hAnsi="宋体" w:cs="宋体"/>
                <w:b/>
                <w:kern w:val="0"/>
              </w:rPr>
            </w:pPr>
            <w:r>
              <w:rPr>
                <w:rFonts w:hint="eastAsia" w:ascii="宋体" w:hAnsi="宋体" w:cs="宋体"/>
                <w:b/>
                <w:kern w:val="0"/>
                <w:sz w:val="21"/>
                <w:szCs w:val="21"/>
              </w:rPr>
              <w:t>输送距离(单位：km)</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trPr>
        <w:tc>
          <w:tcPr>
            <w:tcW w:w="958" w:type="dxa"/>
            <w:tcBorders>
              <w:tl2br w:val="nil"/>
              <w:tr2bl w:val="nil"/>
            </w:tcBorders>
            <w:shd w:val="clear" w:color="auto" w:fill="auto"/>
            <w:vAlign w:val="center"/>
          </w:tcPr>
          <w:p>
            <w:pPr>
              <w:widowControl/>
              <w:spacing w:line="240" w:lineRule="auto"/>
              <w:ind w:firstLine="0" w:firstLineChars="0"/>
              <w:jc w:val="center"/>
              <w:rPr>
                <w:rFonts w:ascii="宋体" w:hAnsi="宋体" w:cs="宋体"/>
                <w:kern w:val="0"/>
              </w:rPr>
            </w:pPr>
            <w:r>
              <w:rPr>
                <w:rFonts w:hint="eastAsia" w:ascii="宋体" w:hAnsi="宋体" w:cs="宋体"/>
                <w:kern w:val="0"/>
                <w:sz w:val="21"/>
                <w:szCs w:val="21"/>
              </w:rPr>
              <w:t>1</w:t>
            </w:r>
          </w:p>
        </w:tc>
        <w:tc>
          <w:tcPr>
            <w:tcW w:w="3683" w:type="dxa"/>
            <w:tcBorders>
              <w:tl2br w:val="nil"/>
              <w:tr2bl w:val="nil"/>
            </w:tcBorders>
            <w:shd w:val="clear" w:color="auto" w:fill="auto"/>
            <w:vAlign w:val="center"/>
          </w:tcPr>
          <w:p>
            <w:pPr>
              <w:widowControl/>
              <w:spacing w:line="240" w:lineRule="auto"/>
              <w:ind w:firstLine="0" w:firstLineChars="0"/>
              <w:jc w:val="center"/>
              <w:rPr>
                <w:rFonts w:ascii="宋体" w:hAnsi="宋体" w:cs="宋体"/>
                <w:kern w:val="0"/>
              </w:rPr>
            </w:pPr>
            <w:r>
              <w:rPr>
                <w:rFonts w:hint="eastAsia" w:ascii="宋体" w:hAnsi="宋体" w:cs="宋体"/>
                <w:kern w:val="0"/>
                <w:sz w:val="21"/>
                <w:szCs w:val="21"/>
              </w:rPr>
              <w:t>渡槽</w:t>
            </w:r>
          </w:p>
        </w:tc>
        <w:tc>
          <w:tcPr>
            <w:tcW w:w="3881" w:type="dxa"/>
            <w:tcBorders>
              <w:tl2br w:val="nil"/>
              <w:tr2bl w:val="nil"/>
            </w:tcBorders>
            <w:shd w:val="clear" w:color="auto" w:fill="auto"/>
            <w:vAlign w:val="center"/>
          </w:tcPr>
          <w:p>
            <w:pPr>
              <w:widowControl/>
              <w:spacing w:line="240" w:lineRule="auto"/>
              <w:ind w:firstLine="0" w:firstLineChars="0"/>
              <w:jc w:val="center"/>
              <w:rPr>
                <w:rFonts w:ascii="宋体" w:hAnsi="宋体" w:cs="宋体"/>
                <w:kern w:val="0"/>
              </w:rPr>
            </w:pPr>
            <w:r>
              <w:rPr>
                <w:rFonts w:hint="eastAsia" w:ascii="宋体" w:hAnsi="宋体" w:cs="宋体"/>
                <w:kern w:val="0"/>
                <w:sz w:val="21"/>
                <w:szCs w:val="21"/>
              </w:rPr>
              <w:t>4.5</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trPr>
        <w:tc>
          <w:tcPr>
            <w:tcW w:w="958" w:type="dxa"/>
            <w:tcBorders>
              <w:tl2br w:val="nil"/>
              <w:tr2bl w:val="nil"/>
            </w:tcBorders>
            <w:shd w:val="clear" w:color="auto" w:fill="auto"/>
            <w:vAlign w:val="center"/>
          </w:tcPr>
          <w:p>
            <w:pPr>
              <w:widowControl/>
              <w:spacing w:line="240" w:lineRule="auto"/>
              <w:ind w:firstLine="0" w:firstLineChars="0"/>
              <w:jc w:val="center"/>
              <w:rPr>
                <w:rFonts w:ascii="宋体" w:hAnsi="宋体" w:cs="宋体"/>
                <w:kern w:val="0"/>
              </w:rPr>
            </w:pPr>
            <w:r>
              <w:rPr>
                <w:rFonts w:hint="eastAsia" w:ascii="宋体" w:hAnsi="宋体" w:cs="宋体"/>
                <w:kern w:val="0"/>
                <w:sz w:val="21"/>
                <w:szCs w:val="21"/>
              </w:rPr>
              <w:t>2</w:t>
            </w:r>
          </w:p>
        </w:tc>
        <w:tc>
          <w:tcPr>
            <w:tcW w:w="3683" w:type="dxa"/>
            <w:tcBorders>
              <w:tl2br w:val="nil"/>
              <w:tr2bl w:val="nil"/>
            </w:tcBorders>
            <w:shd w:val="clear" w:color="auto" w:fill="auto"/>
            <w:vAlign w:val="center"/>
          </w:tcPr>
          <w:p>
            <w:pPr>
              <w:widowControl/>
              <w:spacing w:line="240" w:lineRule="auto"/>
              <w:ind w:firstLine="0" w:firstLineChars="0"/>
              <w:jc w:val="center"/>
              <w:rPr>
                <w:rFonts w:ascii="宋体" w:hAnsi="宋体" w:cs="宋体"/>
                <w:kern w:val="0"/>
              </w:rPr>
            </w:pPr>
            <w:r>
              <w:rPr>
                <w:rFonts w:hint="eastAsia" w:ascii="宋体" w:hAnsi="宋体" w:cs="宋体"/>
                <w:kern w:val="0"/>
                <w:sz w:val="21"/>
                <w:szCs w:val="21"/>
              </w:rPr>
              <w:t>隧道</w:t>
            </w:r>
          </w:p>
        </w:tc>
        <w:tc>
          <w:tcPr>
            <w:tcW w:w="3881" w:type="dxa"/>
            <w:tcBorders>
              <w:tl2br w:val="nil"/>
              <w:tr2bl w:val="nil"/>
            </w:tcBorders>
            <w:shd w:val="clear" w:color="auto" w:fill="auto"/>
            <w:vAlign w:val="center"/>
          </w:tcPr>
          <w:p>
            <w:pPr>
              <w:widowControl/>
              <w:spacing w:line="240" w:lineRule="auto"/>
              <w:ind w:firstLine="0" w:firstLineChars="0"/>
              <w:jc w:val="center"/>
              <w:rPr>
                <w:rFonts w:ascii="宋体" w:hAnsi="宋体" w:cs="宋体"/>
                <w:kern w:val="0"/>
              </w:rPr>
            </w:pPr>
            <w:r>
              <w:rPr>
                <w:rFonts w:hint="eastAsia" w:ascii="宋体" w:hAnsi="宋体" w:cs="宋体"/>
                <w:kern w:val="0"/>
                <w:sz w:val="21"/>
                <w:szCs w:val="21"/>
              </w:rPr>
              <w:t>8.6</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trPr>
        <w:tc>
          <w:tcPr>
            <w:tcW w:w="958" w:type="dxa"/>
            <w:tcBorders>
              <w:tl2br w:val="nil"/>
              <w:tr2bl w:val="nil"/>
            </w:tcBorders>
            <w:shd w:val="clear" w:color="auto" w:fill="auto"/>
            <w:vAlign w:val="center"/>
          </w:tcPr>
          <w:p>
            <w:pPr>
              <w:widowControl/>
              <w:spacing w:line="240" w:lineRule="auto"/>
              <w:ind w:firstLine="0" w:firstLineChars="0"/>
              <w:jc w:val="center"/>
              <w:rPr>
                <w:rFonts w:ascii="宋体" w:hAnsi="宋体" w:cs="宋体"/>
                <w:kern w:val="0"/>
              </w:rPr>
            </w:pPr>
            <w:r>
              <w:rPr>
                <w:rFonts w:hint="eastAsia" w:ascii="宋体" w:hAnsi="宋体" w:cs="宋体"/>
                <w:kern w:val="0"/>
                <w:sz w:val="21"/>
                <w:szCs w:val="21"/>
              </w:rPr>
              <w:t>3</w:t>
            </w:r>
          </w:p>
        </w:tc>
        <w:tc>
          <w:tcPr>
            <w:tcW w:w="3683" w:type="dxa"/>
            <w:tcBorders>
              <w:tl2br w:val="nil"/>
              <w:tr2bl w:val="nil"/>
            </w:tcBorders>
            <w:shd w:val="clear" w:color="auto" w:fill="auto"/>
            <w:vAlign w:val="center"/>
          </w:tcPr>
          <w:p>
            <w:pPr>
              <w:widowControl/>
              <w:spacing w:line="240" w:lineRule="auto"/>
              <w:ind w:firstLine="0" w:firstLineChars="0"/>
              <w:jc w:val="center"/>
              <w:rPr>
                <w:rFonts w:ascii="宋体" w:hAnsi="宋体" w:cs="宋体"/>
                <w:kern w:val="0"/>
              </w:rPr>
            </w:pPr>
            <w:r>
              <w:rPr>
                <w:rFonts w:hint="eastAsia" w:ascii="宋体" w:hAnsi="宋体" w:cs="宋体"/>
                <w:kern w:val="0"/>
                <w:sz w:val="21"/>
                <w:szCs w:val="21"/>
              </w:rPr>
              <w:t>明渠</w:t>
            </w:r>
          </w:p>
        </w:tc>
        <w:tc>
          <w:tcPr>
            <w:tcW w:w="3881" w:type="dxa"/>
            <w:tcBorders>
              <w:tl2br w:val="nil"/>
              <w:tr2bl w:val="nil"/>
            </w:tcBorders>
            <w:shd w:val="clear" w:color="auto" w:fill="auto"/>
            <w:vAlign w:val="center"/>
          </w:tcPr>
          <w:p>
            <w:pPr>
              <w:widowControl/>
              <w:spacing w:line="240" w:lineRule="auto"/>
              <w:ind w:firstLine="0" w:firstLineChars="0"/>
              <w:jc w:val="center"/>
              <w:rPr>
                <w:rFonts w:ascii="宋体" w:hAnsi="宋体" w:cs="宋体"/>
                <w:kern w:val="0"/>
              </w:rPr>
            </w:pPr>
            <w:r>
              <w:rPr>
                <w:rFonts w:hint="eastAsia" w:ascii="宋体" w:hAnsi="宋体" w:cs="宋体"/>
                <w:kern w:val="0"/>
                <w:sz w:val="21"/>
                <w:szCs w:val="21"/>
              </w:rPr>
              <w:t>35.7</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trPr>
        <w:tc>
          <w:tcPr>
            <w:tcW w:w="4641" w:type="dxa"/>
            <w:gridSpan w:val="2"/>
            <w:tcBorders>
              <w:tl2br w:val="nil"/>
              <w:tr2bl w:val="nil"/>
            </w:tcBorders>
            <w:shd w:val="clear" w:color="auto" w:fill="auto"/>
            <w:vAlign w:val="center"/>
          </w:tcPr>
          <w:p>
            <w:pPr>
              <w:widowControl/>
              <w:spacing w:line="240" w:lineRule="auto"/>
              <w:ind w:firstLine="0" w:firstLineChars="0"/>
              <w:jc w:val="center"/>
              <w:rPr>
                <w:rFonts w:ascii="宋体" w:hAnsi="宋体" w:cs="宋体"/>
                <w:kern w:val="0"/>
              </w:rPr>
            </w:pPr>
            <w:r>
              <w:rPr>
                <w:rFonts w:hint="eastAsia" w:ascii="宋体" w:hAnsi="宋体" w:cs="宋体"/>
                <w:kern w:val="0"/>
                <w:sz w:val="21"/>
                <w:szCs w:val="21"/>
              </w:rPr>
              <w:t>总计</w:t>
            </w:r>
          </w:p>
        </w:tc>
        <w:tc>
          <w:tcPr>
            <w:tcW w:w="3881" w:type="dxa"/>
            <w:tcBorders>
              <w:tl2br w:val="nil"/>
              <w:tr2bl w:val="nil"/>
            </w:tcBorders>
            <w:shd w:val="clear" w:color="auto" w:fill="auto"/>
            <w:vAlign w:val="center"/>
          </w:tcPr>
          <w:p>
            <w:pPr>
              <w:widowControl/>
              <w:spacing w:line="240" w:lineRule="auto"/>
              <w:ind w:firstLine="0" w:firstLineChars="0"/>
              <w:jc w:val="center"/>
              <w:rPr>
                <w:rFonts w:ascii="宋体" w:hAnsi="宋体" w:cs="宋体"/>
                <w:kern w:val="0"/>
              </w:rPr>
            </w:pPr>
            <w:r>
              <w:rPr>
                <w:rFonts w:hint="eastAsia" w:ascii="宋体" w:hAnsi="宋体" w:cs="宋体"/>
                <w:kern w:val="0"/>
                <w:sz w:val="21"/>
                <w:szCs w:val="21"/>
              </w:rPr>
              <w:fldChar w:fldCharType="begin"/>
            </w:r>
            <w:r>
              <w:rPr>
                <w:rFonts w:hint="eastAsia" w:ascii="宋体" w:hAnsi="宋体" w:cs="宋体"/>
                <w:kern w:val="0"/>
                <w:sz w:val="21"/>
                <w:szCs w:val="21"/>
              </w:rPr>
              <w:instrText xml:space="preserve">=SUM(ABOVE)</w:instrText>
            </w:r>
            <w:r>
              <w:rPr>
                <w:rFonts w:hint="eastAsia" w:ascii="宋体" w:hAnsi="宋体" w:cs="宋体"/>
                <w:kern w:val="0"/>
                <w:sz w:val="21"/>
                <w:szCs w:val="21"/>
              </w:rPr>
              <w:fldChar w:fldCharType="separate"/>
            </w:r>
            <w:r>
              <w:rPr>
                <w:rFonts w:hint="eastAsia" w:ascii="宋体" w:hAnsi="宋体" w:cs="宋体"/>
                <w:kern w:val="0"/>
                <w:sz w:val="21"/>
                <w:szCs w:val="21"/>
              </w:rPr>
              <w:t>48.8</w:t>
            </w:r>
            <w:r>
              <w:rPr>
                <w:rFonts w:hint="eastAsia" w:ascii="宋体" w:hAnsi="宋体" w:cs="宋体"/>
                <w:kern w:val="0"/>
                <w:sz w:val="21"/>
                <w:szCs w:val="21"/>
              </w:rPr>
              <w:fldChar w:fldCharType="end"/>
            </w:r>
          </w:p>
        </w:tc>
      </w:tr>
    </w:tbl>
    <w:p>
      <w:pPr>
        <w:widowControl/>
        <w:rPr>
          <w:kern w:val="0"/>
          <w:szCs w:val="24"/>
        </w:rPr>
      </w:pPr>
      <w:r>
        <w:rPr>
          <w:rFonts w:hint="eastAsia" w:cs="宋体"/>
          <w:kern w:val="0"/>
          <w:szCs w:val="24"/>
        </w:rPr>
        <w:t>北干渠途径岳阳市经济技术开发区、临湘市以及岳阳县，输送总距离为</w:t>
      </w:r>
      <w:r>
        <w:rPr>
          <w:kern w:val="0"/>
          <w:szCs w:val="24"/>
        </w:rPr>
        <w:t>48.8km,</w:t>
      </w:r>
      <w:r>
        <w:rPr>
          <w:rFonts w:hint="eastAsia" w:cs="宋体"/>
          <w:kern w:val="0"/>
          <w:szCs w:val="24"/>
        </w:rPr>
        <w:t>其中分别经过这三个行政区域的输送距离数据见下表：</w:t>
      </w:r>
    </w:p>
    <w:p>
      <w:pPr>
        <w:widowControl/>
        <w:adjustRightInd w:val="0"/>
        <w:snapToGrid w:val="0"/>
        <w:ind w:firstLine="0" w:firstLineChars="0"/>
        <w:jc w:val="center"/>
        <w:rPr>
          <w:kern w:val="0"/>
          <w:sz w:val="21"/>
          <w:szCs w:val="21"/>
        </w:rPr>
      </w:pPr>
      <w:r>
        <w:rPr>
          <w:rFonts w:hint="eastAsia" w:cs="宋体"/>
          <w:b/>
          <w:kern w:val="0"/>
          <w:sz w:val="21"/>
          <w:szCs w:val="21"/>
        </w:rPr>
        <w:t>表</w:t>
      </w:r>
      <w:r>
        <w:rPr>
          <w:rFonts w:hint="eastAsia"/>
          <w:b/>
          <w:kern w:val="0"/>
          <w:sz w:val="21"/>
          <w:szCs w:val="21"/>
        </w:rPr>
        <w:t>3</w:t>
      </w:r>
      <w:r>
        <w:rPr>
          <w:b/>
          <w:kern w:val="0"/>
          <w:sz w:val="21"/>
          <w:szCs w:val="21"/>
        </w:rPr>
        <w:t xml:space="preserve">-4 </w:t>
      </w:r>
      <w:r>
        <w:rPr>
          <w:rFonts w:hint="eastAsia" w:cs="宋体"/>
          <w:b/>
          <w:kern w:val="0"/>
          <w:sz w:val="21"/>
          <w:szCs w:val="21"/>
        </w:rPr>
        <w:t>北干渠途径行政区域距离统计表</w:t>
      </w:r>
    </w:p>
    <w:tbl>
      <w:tblPr>
        <w:tblStyle w:val="47"/>
        <w:tblW w:w="8522" w:type="dxa"/>
        <w:tblInd w:w="0" w:type="dxa"/>
        <w:tblLayout w:type="fixed"/>
        <w:tblCellMar>
          <w:top w:w="0" w:type="dxa"/>
          <w:left w:w="108" w:type="dxa"/>
          <w:bottom w:w="0" w:type="dxa"/>
          <w:right w:w="108" w:type="dxa"/>
        </w:tblCellMar>
      </w:tblPr>
      <w:tblGrid>
        <w:gridCol w:w="1121"/>
        <w:gridCol w:w="3817"/>
        <w:gridCol w:w="3584"/>
      </w:tblGrid>
      <w:tr>
        <w:tblPrEx>
          <w:tblLayout w:type="fixed"/>
          <w:tblCellMar>
            <w:top w:w="0" w:type="dxa"/>
            <w:left w:w="108" w:type="dxa"/>
            <w:bottom w:w="0" w:type="dxa"/>
            <w:right w:w="108" w:type="dxa"/>
          </w:tblCellMar>
        </w:tblPrEx>
        <w:trPr>
          <w:trHeight w:val="397" w:hRule="atLeast"/>
        </w:trPr>
        <w:tc>
          <w:tcPr>
            <w:tcW w:w="1121" w:type="dxa"/>
            <w:tcBorders>
              <w:top w:val="single" w:color="auto" w:sz="4" w:space="0"/>
              <w:left w:val="single" w:color="auto" w:sz="4" w:space="0"/>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b/>
                <w:kern w:val="0"/>
              </w:rPr>
            </w:pPr>
            <w:r>
              <w:rPr>
                <w:rFonts w:hint="eastAsia" w:ascii="宋体" w:hAnsi="宋体" w:cs="宋体"/>
                <w:b/>
                <w:kern w:val="0"/>
                <w:sz w:val="21"/>
                <w:szCs w:val="21"/>
              </w:rPr>
              <w:t>汇总</w:t>
            </w:r>
          </w:p>
        </w:tc>
        <w:tc>
          <w:tcPr>
            <w:tcW w:w="3817" w:type="dxa"/>
            <w:tcBorders>
              <w:top w:val="single" w:color="auto" w:sz="4" w:space="0"/>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b/>
                <w:kern w:val="0"/>
              </w:rPr>
            </w:pPr>
            <w:r>
              <w:rPr>
                <w:rFonts w:hint="eastAsia" w:ascii="宋体" w:hAnsi="宋体" w:cs="宋体"/>
                <w:b/>
                <w:kern w:val="0"/>
                <w:sz w:val="21"/>
                <w:szCs w:val="21"/>
              </w:rPr>
              <w:t>行政区域</w:t>
            </w:r>
          </w:p>
        </w:tc>
        <w:tc>
          <w:tcPr>
            <w:tcW w:w="3584" w:type="dxa"/>
            <w:tcBorders>
              <w:top w:val="single" w:color="auto" w:sz="4" w:space="0"/>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b/>
                <w:kern w:val="0"/>
              </w:rPr>
            </w:pPr>
            <w:r>
              <w:rPr>
                <w:rFonts w:hint="eastAsia" w:ascii="宋体" w:hAnsi="宋体" w:cs="宋体"/>
                <w:b/>
                <w:kern w:val="0"/>
                <w:sz w:val="21"/>
                <w:szCs w:val="21"/>
              </w:rPr>
              <w:t>距离（km)</w:t>
            </w:r>
          </w:p>
        </w:tc>
      </w:tr>
      <w:tr>
        <w:tblPrEx>
          <w:tblLayout w:type="fixed"/>
          <w:tblCellMar>
            <w:top w:w="0" w:type="dxa"/>
            <w:left w:w="108" w:type="dxa"/>
            <w:bottom w:w="0" w:type="dxa"/>
            <w:right w:w="108" w:type="dxa"/>
          </w:tblCellMar>
        </w:tblPrEx>
        <w:trPr>
          <w:trHeight w:val="397" w:hRule="atLeast"/>
        </w:trPr>
        <w:tc>
          <w:tcPr>
            <w:tcW w:w="1121" w:type="dxa"/>
            <w:tcBorders>
              <w:top w:val="nil"/>
              <w:left w:val="single" w:color="auto" w:sz="4" w:space="0"/>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rPr>
            </w:pPr>
            <w:r>
              <w:rPr>
                <w:rFonts w:hint="eastAsia" w:ascii="宋体" w:hAnsi="宋体" w:cs="宋体"/>
                <w:kern w:val="0"/>
                <w:sz w:val="21"/>
                <w:szCs w:val="21"/>
              </w:rPr>
              <w:t>1</w:t>
            </w:r>
          </w:p>
        </w:tc>
        <w:tc>
          <w:tcPr>
            <w:tcW w:w="3817"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rPr>
            </w:pPr>
            <w:r>
              <w:rPr>
                <w:rFonts w:hint="eastAsia" w:ascii="宋体" w:hAnsi="宋体" w:cs="宋体"/>
                <w:kern w:val="0"/>
                <w:sz w:val="21"/>
                <w:szCs w:val="21"/>
              </w:rPr>
              <w:t>经开区内</w:t>
            </w:r>
          </w:p>
        </w:tc>
        <w:tc>
          <w:tcPr>
            <w:tcW w:w="3584"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rPr>
            </w:pPr>
            <w:r>
              <w:rPr>
                <w:rFonts w:hint="eastAsia" w:ascii="宋体" w:hAnsi="宋体" w:cs="宋体"/>
                <w:kern w:val="0"/>
                <w:sz w:val="21"/>
                <w:szCs w:val="21"/>
              </w:rPr>
              <w:t>14.3</w:t>
            </w:r>
          </w:p>
        </w:tc>
      </w:tr>
      <w:tr>
        <w:tblPrEx>
          <w:tblLayout w:type="fixed"/>
          <w:tblCellMar>
            <w:top w:w="0" w:type="dxa"/>
            <w:left w:w="108" w:type="dxa"/>
            <w:bottom w:w="0" w:type="dxa"/>
            <w:right w:w="108" w:type="dxa"/>
          </w:tblCellMar>
        </w:tblPrEx>
        <w:trPr>
          <w:trHeight w:val="397" w:hRule="atLeast"/>
        </w:trPr>
        <w:tc>
          <w:tcPr>
            <w:tcW w:w="1121" w:type="dxa"/>
            <w:tcBorders>
              <w:top w:val="nil"/>
              <w:left w:val="single" w:color="auto" w:sz="4" w:space="0"/>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rPr>
            </w:pPr>
            <w:r>
              <w:rPr>
                <w:rFonts w:hint="eastAsia" w:ascii="宋体" w:hAnsi="宋体" w:cs="宋体"/>
                <w:kern w:val="0"/>
                <w:sz w:val="21"/>
                <w:szCs w:val="21"/>
              </w:rPr>
              <w:t>2</w:t>
            </w:r>
          </w:p>
        </w:tc>
        <w:tc>
          <w:tcPr>
            <w:tcW w:w="3817"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rPr>
            </w:pPr>
            <w:r>
              <w:rPr>
                <w:rFonts w:hint="eastAsia" w:ascii="宋体" w:hAnsi="宋体" w:cs="宋体"/>
                <w:kern w:val="0"/>
                <w:sz w:val="21"/>
                <w:szCs w:val="21"/>
              </w:rPr>
              <w:t>临湘市内</w:t>
            </w:r>
          </w:p>
        </w:tc>
        <w:tc>
          <w:tcPr>
            <w:tcW w:w="3584"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rPr>
            </w:pPr>
            <w:r>
              <w:rPr>
                <w:rFonts w:hint="eastAsia" w:ascii="宋体" w:hAnsi="宋体" w:cs="宋体"/>
                <w:kern w:val="0"/>
                <w:sz w:val="21"/>
                <w:szCs w:val="21"/>
              </w:rPr>
              <w:t>23</w:t>
            </w:r>
          </w:p>
        </w:tc>
      </w:tr>
      <w:tr>
        <w:tblPrEx>
          <w:tblLayout w:type="fixed"/>
          <w:tblCellMar>
            <w:top w:w="0" w:type="dxa"/>
            <w:left w:w="108" w:type="dxa"/>
            <w:bottom w:w="0" w:type="dxa"/>
            <w:right w:w="108" w:type="dxa"/>
          </w:tblCellMar>
        </w:tblPrEx>
        <w:trPr>
          <w:trHeight w:val="397" w:hRule="atLeast"/>
        </w:trPr>
        <w:tc>
          <w:tcPr>
            <w:tcW w:w="1121" w:type="dxa"/>
            <w:tcBorders>
              <w:top w:val="nil"/>
              <w:left w:val="single" w:color="auto" w:sz="4" w:space="0"/>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rPr>
            </w:pPr>
            <w:r>
              <w:rPr>
                <w:rFonts w:hint="eastAsia" w:ascii="宋体" w:hAnsi="宋体" w:cs="宋体"/>
                <w:kern w:val="0"/>
                <w:sz w:val="21"/>
                <w:szCs w:val="21"/>
              </w:rPr>
              <w:t>3</w:t>
            </w:r>
          </w:p>
        </w:tc>
        <w:tc>
          <w:tcPr>
            <w:tcW w:w="3817"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rPr>
            </w:pPr>
            <w:r>
              <w:rPr>
                <w:rFonts w:hint="eastAsia" w:ascii="宋体" w:hAnsi="宋体" w:cs="宋体"/>
                <w:kern w:val="0"/>
                <w:sz w:val="21"/>
                <w:szCs w:val="21"/>
              </w:rPr>
              <w:t>岳阳县内</w:t>
            </w:r>
          </w:p>
        </w:tc>
        <w:tc>
          <w:tcPr>
            <w:tcW w:w="3584"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rPr>
            </w:pPr>
            <w:r>
              <w:rPr>
                <w:rFonts w:hint="eastAsia" w:ascii="宋体" w:hAnsi="宋体" w:cs="宋体"/>
                <w:kern w:val="0"/>
                <w:sz w:val="21"/>
                <w:szCs w:val="21"/>
              </w:rPr>
              <w:t>11.5</w:t>
            </w:r>
          </w:p>
        </w:tc>
      </w:tr>
      <w:tr>
        <w:tblPrEx>
          <w:tblLayout w:type="fixed"/>
          <w:tblCellMar>
            <w:top w:w="0" w:type="dxa"/>
            <w:left w:w="108" w:type="dxa"/>
            <w:bottom w:w="0" w:type="dxa"/>
            <w:right w:w="108" w:type="dxa"/>
          </w:tblCellMar>
        </w:tblPrEx>
        <w:trPr>
          <w:trHeight w:val="397" w:hRule="atLeast"/>
        </w:trPr>
        <w:tc>
          <w:tcPr>
            <w:tcW w:w="4938" w:type="dxa"/>
            <w:gridSpan w:val="2"/>
            <w:tcBorders>
              <w:top w:val="nil"/>
              <w:left w:val="single" w:color="auto" w:sz="4" w:space="0"/>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rPr>
            </w:pPr>
            <w:r>
              <w:rPr>
                <w:rFonts w:hint="eastAsia" w:ascii="宋体" w:hAnsi="宋体" w:cs="宋体"/>
                <w:kern w:val="0"/>
                <w:sz w:val="21"/>
                <w:szCs w:val="21"/>
              </w:rPr>
              <w:t>总计</w:t>
            </w:r>
          </w:p>
        </w:tc>
        <w:tc>
          <w:tcPr>
            <w:tcW w:w="3584"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ascii="宋体" w:hAnsi="宋体" w:cs="宋体"/>
                <w:kern w:val="0"/>
              </w:rPr>
            </w:pPr>
            <w:r>
              <w:rPr>
                <w:rFonts w:hint="eastAsia" w:ascii="宋体" w:hAnsi="宋体" w:cs="宋体"/>
                <w:kern w:val="0"/>
                <w:sz w:val="21"/>
                <w:szCs w:val="21"/>
              </w:rPr>
              <w:fldChar w:fldCharType="begin"/>
            </w:r>
            <w:r>
              <w:rPr>
                <w:rFonts w:hint="eastAsia" w:ascii="宋体" w:hAnsi="宋体" w:cs="宋体"/>
                <w:kern w:val="0"/>
                <w:sz w:val="21"/>
                <w:szCs w:val="21"/>
              </w:rPr>
              <w:instrText xml:space="preserve"> =SUM(ABOVE) </w:instrText>
            </w:r>
            <w:r>
              <w:rPr>
                <w:rFonts w:hint="eastAsia" w:ascii="宋体" w:hAnsi="宋体" w:cs="宋体"/>
                <w:kern w:val="0"/>
                <w:sz w:val="21"/>
                <w:szCs w:val="21"/>
              </w:rPr>
              <w:fldChar w:fldCharType="separate"/>
            </w:r>
            <w:r>
              <w:rPr>
                <w:rFonts w:hint="eastAsia" w:ascii="宋体" w:hAnsi="宋体" w:cs="宋体"/>
                <w:kern w:val="0"/>
                <w:sz w:val="21"/>
                <w:szCs w:val="21"/>
              </w:rPr>
              <w:t>48.8</w:t>
            </w:r>
            <w:r>
              <w:rPr>
                <w:rFonts w:hint="eastAsia" w:ascii="宋体" w:hAnsi="宋体" w:cs="宋体"/>
                <w:kern w:val="0"/>
                <w:sz w:val="21"/>
                <w:szCs w:val="21"/>
              </w:rPr>
              <w:fldChar w:fldCharType="end"/>
            </w:r>
          </w:p>
        </w:tc>
      </w:tr>
    </w:tbl>
    <w:p>
      <w:pPr>
        <w:jc w:val="left"/>
        <w:rPr>
          <w:color w:val="000000" w:themeColor="text1"/>
          <w:kern w:val="0"/>
          <w:szCs w:val="24"/>
          <w:u w:val="single"/>
        </w:rPr>
      </w:pPr>
      <w:r>
        <w:rPr>
          <w:rFonts w:hint="eastAsia"/>
          <w:color w:val="000000" w:themeColor="text1"/>
          <w:kern w:val="0"/>
          <w:szCs w:val="24"/>
          <w:u w:val="single"/>
        </w:rPr>
        <w:t>铁山水库是岳阳市的重要水源地，铁山水库通过北干渠（长度约</w:t>
      </w:r>
      <w:r>
        <w:rPr>
          <w:color w:val="000000" w:themeColor="text1"/>
          <w:kern w:val="0"/>
          <w:szCs w:val="24"/>
          <w:u w:val="single"/>
        </w:rPr>
        <w:t>48.8</w:t>
      </w:r>
      <w:r>
        <w:rPr>
          <w:rFonts w:hint="eastAsia"/>
          <w:color w:val="000000" w:themeColor="text1"/>
          <w:kern w:val="0"/>
          <w:szCs w:val="24"/>
          <w:u w:val="single"/>
        </w:rPr>
        <w:t>公里）将水源输送至金凤水库，金凤水库设有一个取水口，金凤水库通过岳阳市一水厂和二水厂为岳阳市60万人供应生活用水。</w:t>
      </w:r>
    </w:p>
    <w:p>
      <w:pPr>
        <w:pStyle w:val="5"/>
        <w:rPr>
          <w:color w:val="000000" w:themeColor="text1"/>
        </w:rPr>
      </w:pPr>
      <w:r>
        <w:rPr>
          <w:rFonts w:hint="eastAsia"/>
          <w:color w:val="000000" w:themeColor="text1"/>
        </w:rPr>
        <w:t>3.4.3备用水源基本情况</w:t>
      </w:r>
    </w:p>
    <w:p>
      <w:pPr>
        <w:rPr>
          <w:color w:val="000000" w:themeColor="text1"/>
          <w:szCs w:val="24"/>
        </w:rPr>
      </w:pPr>
      <w:r>
        <w:rPr>
          <w:rFonts w:hint="eastAsia"/>
          <w:color w:val="000000" w:themeColor="text1"/>
          <w:szCs w:val="24"/>
        </w:rPr>
        <w:t>岳阳市一水厂原洞庭湖取水泵房并没有因铁山城市供水工程开通而废弃，该取水泵房一直在维护，具有完备的接入自来水厂的供水配套设施，洞庭湖也可作为岳阳市特枯年或连续干旱年的供水安全储备。</w:t>
      </w:r>
    </w:p>
    <w:p>
      <w:pPr>
        <w:rPr>
          <w:color w:val="000000" w:themeColor="text1"/>
          <w:szCs w:val="24"/>
        </w:rPr>
      </w:pPr>
      <w:r>
        <w:rPr>
          <w:rFonts w:hint="eastAsia"/>
          <w:color w:val="000000" w:themeColor="text1"/>
          <w:szCs w:val="24"/>
        </w:rPr>
        <w:t>若发生污染事故不能正常供水，则启动原洞庭湖取水泵房作为短暂备用水源，向岳阳市一水厂供水，尽可能确保生活需要。</w:t>
      </w:r>
    </w:p>
    <w:p>
      <w:pPr>
        <w:pStyle w:val="5"/>
        <w:rPr>
          <w:color w:val="000000" w:themeColor="text1"/>
          <w:u w:val="single"/>
        </w:rPr>
      </w:pPr>
      <w:r>
        <w:rPr>
          <w:rFonts w:hint="eastAsia"/>
          <w:color w:val="000000" w:themeColor="text1"/>
          <w:u w:val="single"/>
        </w:rPr>
        <w:t>3.4.4自来水厂制水工艺</w:t>
      </w:r>
    </w:p>
    <w:p>
      <w:pPr>
        <w:rPr>
          <w:u w:val="single"/>
        </w:rPr>
      </w:pPr>
      <w:r>
        <w:rPr>
          <w:rFonts w:hint="eastAsia"/>
          <w:u w:val="single"/>
        </w:rPr>
        <w:t>目前岳阳市一水厂和二水厂均采用普通制水工艺，无深度处理工艺，制水工艺如下图3-2所示。</w:t>
      </w:r>
    </w:p>
    <w:p>
      <w:pPr>
        <w:widowControl/>
        <w:spacing w:line="240" w:lineRule="auto"/>
        <w:ind w:firstLine="0" w:firstLineChars="0"/>
        <w:jc w:val="center"/>
        <w:rPr>
          <w:color w:val="000000" w:themeColor="text1"/>
          <w:u w:val="single"/>
        </w:rPr>
      </w:pPr>
      <w:r>
        <w:rPr>
          <w:rFonts w:ascii="宋体" w:hAnsi="宋体" w:cs="宋体"/>
          <w:kern w:val="0"/>
          <w:szCs w:val="24"/>
        </w:rPr>
        <w:drawing>
          <wp:inline distT="0" distB="0" distL="0" distR="0">
            <wp:extent cx="4486275" cy="438150"/>
            <wp:effectExtent l="19050" t="0" r="9525" b="0"/>
            <wp:docPr id="63" name="图片 2" descr="C:\Users\Administrator\AppData\Roaming\Tencent\Users\2682291224\QQ\WinTemp\RichOle\%U[~$E5BYZOZM39X75W}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2" descr="C:\Users\Administrator\AppData\Roaming\Tencent\Users\2682291224\QQ\WinTemp\RichOle\%U[~$E5BYZOZM39X75W}1)1.png"/>
                    <pic:cNvPicPr>
                      <a:picLocks noChangeAspect="1" noChangeArrowheads="1"/>
                    </pic:cNvPicPr>
                  </pic:nvPicPr>
                  <pic:blipFill>
                    <a:blip r:embed="rId35" cstate="print"/>
                    <a:srcRect/>
                    <a:stretch>
                      <a:fillRect/>
                    </a:stretch>
                  </pic:blipFill>
                  <pic:spPr>
                    <a:xfrm>
                      <a:off x="0" y="0"/>
                      <a:ext cx="4486275" cy="438150"/>
                    </a:xfrm>
                    <a:prstGeom prst="rect">
                      <a:avLst/>
                    </a:prstGeom>
                    <a:noFill/>
                    <a:ln w="9525">
                      <a:noFill/>
                      <a:miter lim="800000"/>
                      <a:headEnd/>
                      <a:tailEnd/>
                    </a:ln>
                  </pic:spPr>
                </pic:pic>
              </a:graphicData>
            </a:graphic>
          </wp:inline>
        </w:drawing>
      </w:r>
    </w:p>
    <w:p>
      <w:pPr>
        <w:rPr>
          <w:color w:val="000000" w:themeColor="text1"/>
          <w:u w:val="single"/>
        </w:rPr>
      </w:pPr>
    </w:p>
    <w:p>
      <w:pPr>
        <w:widowControl/>
        <w:adjustRightInd w:val="0"/>
        <w:snapToGrid w:val="0"/>
        <w:ind w:firstLine="0" w:firstLineChars="0"/>
        <w:jc w:val="center"/>
        <w:rPr>
          <w:b/>
          <w:kern w:val="0"/>
          <w:sz w:val="21"/>
          <w:szCs w:val="21"/>
          <w:u w:val="single"/>
        </w:rPr>
      </w:pPr>
      <w:r>
        <w:rPr>
          <w:rFonts w:hint="eastAsia"/>
          <w:b/>
          <w:kern w:val="0"/>
          <w:sz w:val="21"/>
          <w:szCs w:val="21"/>
          <w:u w:val="single"/>
        </w:rPr>
        <w:t>图3-2  制水工艺流程图</w:t>
      </w:r>
    </w:p>
    <w:p>
      <w:pPr>
        <w:pStyle w:val="5"/>
        <w:rPr>
          <w:u w:val="single"/>
        </w:rPr>
      </w:pPr>
      <w:r>
        <w:rPr>
          <w:rFonts w:hint="eastAsia"/>
          <w:u w:val="single"/>
        </w:rPr>
        <w:t>3.4.5突发环境事件调查</w:t>
      </w:r>
    </w:p>
    <w:p>
      <w:pPr>
        <w:rPr>
          <w:u w:val="single"/>
        </w:rPr>
      </w:pPr>
      <w:r>
        <w:rPr>
          <w:rFonts w:hint="eastAsia"/>
          <w:u w:val="single"/>
        </w:rPr>
        <w:t>根据查阅相关资料及现场调查，本水源保护区自设立以为，没有发生过突发环境事件。</w:t>
      </w:r>
    </w:p>
    <w:p>
      <w:pPr>
        <w:pStyle w:val="3"/>
        <w:rPr>
          <w:color w:val="000000" w:themeColor="text1"/>
        </w:rPr>
      </w:pPr>
      <w:bookmarkStart w:id="296" w:name="_Toc535851342"/>
      <w:r>
        <w:rPr>
          <w:rFonts w:hint="eastAsia"/>
          <w:color w:val="000000" w:themeColor="text1"/>
        </w:rPr>
        <w:t>3.5 饮用水水源地</w:t>
      </w:r>
      <w:r>
        <w:rPr>
          <w:color w:val="000000" w:themeColor="text1"/>
        </w:rPr>
        <w:t>水质情况</w:t>
      </w:r>
      <w:bookmarkEnd w:id="296"/>
    </w:p>
    <w:p>
      <w:pPr>
        <w:pStyle w:val="5"/>
        <w:rPr>
          <w:color w:val="000000" w:themeColor="text1"/>
        </w:rPr>
      </w:pPr>
      <w:bookmarkStart w:id="297" w:name="_Toc497902233"/>
      <w:r>
        <w:rPr>
          <w:rFonts w:hint="eastAsia"/>
          <w:color w:val="000000" w:themeColor="text1"/>
        </w:rPr>
        <w:t xml:space="preserve">3.5.1 </w:t>
      </w:r>
      <w:r>
        <w:rPr>
          <w:color w:val="000000" w:themeColor="text1"/>
        </w:rPr>
        <w:t>水质评价标准</w:t>
      </w:r>
      <w:bookmarkEnd w:id="297"/>
    </w:p>
    <w:p>
      <w:bookmarkStart w:id="298" w:name="_Toc14106"/>
      <w:r>
        <w:t>根据国家《地表水环境质量标准》GB3838-2002规定，一级水源保护区以II类地表水标准值为限值，二级水源保护区及准保护区以</w:t>
      </w:r>
      <w:r>
        <w:rPr>
          <w:rFonts w:hint="eastAsia" w:ascii="宋体" w:hAnsi="宋体" w:cs="宋体"/>
        </w:rPr>
        <w:t>Ⅲ</w:t>
      </w:r>
      <w:r>
        <w:t>类地表水标准值为限值，以此作为衡量依据。</w:t>
      </w:r>
      <w:bookmarkEnd w:id="298"/>
      <w:bookmarkStart w:id="299" w:name="_Toc24687"/>
    </w:p>
    <w:p>
      <w:pPr>
        <w:pStyle w:val="5"/>
        <w:rPr>
          <w:color w:val="000000" w:themeColor="text1"/>
        </w:rPr>
      </w:pPr>
      <w:bookmarkStart w:id="300" w:name="_Toc497902234"/>
      <w:r>
        <w:rPr>
          <w:rFonts w:hint="eastAsia"/>
          <w:color w:val="000000" w:themeColor="text1"/>
        </w:rPr>
        <w:t xml:space="preserve">3.5.2 </w:t>
      </w:r>
      <w:r>
        <w:rPr>
          <w:color w:val="000000" w:themeColor="text1"/>
        </w:rPr>
        <w:t>监测断面</w:t>
      </w:r>
      <w:bookmarkEnd w:id="299"/>
      <w:bookmarkEnd w:id="300"/>
    </w:p>
    <w:p>
      <w:pPr>
        <w:rPr>
          <w:rFonts w:hAnsi="宋体"/>
        </w:rPr>
      </w:pPr>
      <w:r>
        <w:rPr>
          <w:rFonts w:hint="eastAsia" w:hAnsi="宋体"/>
        </w:rPr>
        <w:t>根据铁山水库水环境功能要求，结合铁山水库来水、供水和周边环境情况，按照地表水环境监测规范，在月田河、毛田河、南、北干渠取水口等地方共设置了7个监测点位，每月监测1次。</w:t>
      </w:r>
    </w:p>
    <w:p>
      <w:pPr>
        <w:pStyle w:val="5"/>
        <w:rPr>
          <w:color w:val="000000" w:themeColor="text1"/>
        </w:rPr>
      </w:pPr>
      <w:bookmarkStart w:id="301" w:name="_Toc9776"/>
      <w:bookmarkStart w:id="302" w:name="_Toc497902237"/>
      <w:r>
        <w:rPr>
          <w:rFonts w:hint="eastAsia"/>
          <w:color w:val="000000" w:themeColor="text1"/>
        </w:rPr>
        <w:t xml:space="preserve">3.5.3 </w:t>
      </w:r>
      <w:r>
        <w:rPr>
          <w:color w:val="000000" w:themeColor="text1"/>
        </w:rPr>
        <w:t>水质</w:t>
      </w:r>
      <w:bookmarkEnd w:id="301"/>
      <w:r>
        <w:rPr>
          <w:rFonts w:hint="eastAsia"/>
          <w:color w:val="000000" w:themeColor="text1"/>
        </w:rPr>
        <w:t>监测</w:t>
      </w:r>
      <w:r>
        <w:rPr>
          <w:color w:val="000000" w:themeColor="text1"/>
        </w:rPr>
        <w:t>因子</w:t>
      </w:r>
      <w:bookmarkEnd w:id="302"/>
    </w:p>
    <w:p>
      <w:pPr>
        <w:widowControl/>
        <w:jc w:val="left"/>
        <w:rPr>
          <w:kern w:val="0"/>
          <w:szCs w:val="24"/>
        </w:rPr>
      </w:pPr>
      <w:r>
        <w:rPr>
          <w:szCs w:val="24"/>
        </w:rPr>
        <w:t>监测因子包括</w:t>
      </w:r>
      <w:r>
        <w:rPr>
          <w:kern w:val="0"/>
          <w:szCs w:val="24"/>
        </w:rPr>
        <w:t>《地表水环境质量标准》（GB3838-2002）表1的基本项目（24项）、表2的补充项目（5项）和表3中的特定项目（80项），另增加透明度、叶绿素a，共111项。</w:t>
      </w:r>
    </w:p>
    <w:p>
      <w:pPr>
        <w:pStyle w:val="5"/>
        <w:rPr>
          <w:color w:val="000000" w:themeColor="text1"/>
        </w:rPr>
      </w:pPr>
      <w:bookmarkStart w:id="303" w:name="_Toc497902238"/>
      <w:r>
        <w:rPr>
          <w:rFonts w:hint="eastAsia"/>
          <w:color w:val="000000" w:themeColor="text1"/>
        </w:rPr>
        <w:t>3.5.4水环境质量状况</w:t>
      </w:r>
      <w:bookmarkEnd w:id="303"/>
    </w:p>
    <w:p>
      <w:pPr>
        <w:autoSpaceDE w:val="0"/>
        <w:autoSpaceDN w:val="0"/>
        <w:adjustRightInd w:val="0"/>
        <w:jc w:val="left"/>
        <w:rPr>
          <w:color w:val="000000" w:themeColor="text1"/>
        </w:rPr>
      </w:pPr>
      <w:r>
        <w:rPr>
          <w:color w:val="000000" w:themeColor="text1"/>
        </w:rPr>
        <w:t>为了解水源地水水质现状，收集了</w:t>
      </w:r>
      <w:r>
        <w:rPr>
          <w:rFonts w:hint="eastAsia"/>
          <w:color w:val="000000" w:themeColor="text1"/>
        </w:rPr>
        <w:t>岳阳县环境监测站2016~2017年对铁山水库</w:t>
      </w:r>
      <w:r>
        <w:rPr>
          <w:color w:val="000000" w:themeColor="text1"/>
        </w:rPr>
        <w:t>饮用水水源保护区</w:t>
      </w:r>
      <w:r>
        <w:rPr>
          <w:rFonts w:hint="eastAsia"/>
          <w:color w:val="000000" w:themeColor="text1"/>
        </w:rPr>
        <w:t>（铁山大坝取水口）</w:t>
      </w:r>
      <w:r>
        <w:rPr>
          <w:color w:val="000000" w:themeColor="text1"/>
        </w:rPr>
        <w:t>水质监测数据</w:t>
      </w:r>
      <w:r>
        <w:rPr>
          <w:rFonts w:hint="eastAsia"/>
          <w:color w:val="000000" w:themeColor="text1"/>
        </w:rPr>
        <w:t>和岳阳市环保局环境监测科2016~2017年对金凤水库饮用水水源保护区（取水口）水质监测数据</w:t>
      </w:r>
      <w:r>
        <w:rPr>
          <w:color w:val="000000" w:themeColor="text1"/>
        </w:rPr>
        <w:t>。具体水质监测数据见表3-</w:t>
      </w:r>
      <w:r>
        <w:rPr>
          <w:rFonts w:hint="eastAsia"/>
          <w:color w:val="000000" w:themeColor="text1"/>
        </w:rPr>
        <w:t>5~3-7</w:t>
      </w:r>
      <w:r>
        <w:rPr>
          <w:color w:val="000000" w:themeColor="text1"/>
        </w:rPr>
        <w:t>。</w:t>
      </w:r>
    </w:p>
    <w:p>
      <w:pPr>
        <w:widowControl/>
        <w:spacing w:line="240" w:lineRule="auto"/>
        <w:ind w:firstLine="0" w:firstLineChars="0"/>
        <w:jc w:val="left"/>
        <w:rPr>
          <w:color w:val="000000" w:themeColor="text1"/>
        </w:rPr>
      </w:pPr>
      <w:r>
        <w:rPr>
          <w:color w:val="000000" w:themeColor="text1"/>
        </w:rPr>
        <w:br w:type="page"/>
      </w:r>
    </w:p>
    <w:p>
      <w:pPr>
        <w:autoSpaceDE w:val="0"/>
        <w:autoSpaceDN w:val="0"/>
        <w:adjustRightInd w:val="0"/>
        <w:ind w:firstLine="0" w:firstLineChars="0"/>
        <w:jc w:val="center"/>
        <w:rPr>
          <w:b/>
          <w:color w:val="000000" w:themeColor="text1"/>
          <w:sz w:val="21"/>
          <w:szCs w:val="21"/>
        </w:rPr>
      </w:pPr>
      <w:r>
        <w:rPr>
          <w:rFonts w:hint="eastAsia"/>
          <w:b/>
          <w:color w:val="000000" w:themeColor="text1"/>
          <w:sz w:val="21"/>
          <w:szCs w:val="21"/>
        </w:rPr>
        <w:t>表3-5 铁山水库水质监测结果年平均值（铁山大坝取水口）</w:t>
      </w:r>
    </w:p>
    <w:tbl>
      <w:tblPr>
        <w:tblStyle w:val="47"/>
        <w:tblW w:w="8522" w:type="dxa"/>
        <w:jc w:val="center"/>
        <w:tblInd w:w="0" w:type="dxa"/>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
      <w:tblGrid>
        <w:gridCol w:w="939"/>
        <w:gridCol w:w="1905"/>
        <w:gridCol w:w="927"/>
        <w:gridCol w:w="1623"/>
        <w:gridCol w:w="1804"/>
        <w:gridCol w:w="1324"/>
      </w:tblGrid>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cantSplit/>
          <w:trHeight w:val="397" w:hRule="atLeast"/>
          <w:tblHeader/>
          <w:jc w:val="center"/>
        </w:trPr>
        <w:tc>
          <w:tcPr>
            <w:tcW w:w="939"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b/>
                <w:color w:val="000000"/>
                <w:kern w:val="0"/>
                <w:sz w:val="21"/>
                <w:szCs w:val="21"/>
              </w:rPr>
            </w:pPr>
            <w:r>
              <w:rPr>
                <w:rFonts w:hint="eastAsia"/>
                <w:b/>
                <w:color w:val="000000"/>
                <w:kern w:val="0"/>
                <w:sz w:val="21"/>
                <w:szCs w:val="21"/>
              </w:rPr>
              <w:t>序号</w:t>
            </w:r>
          </w:p>
        </w:tc>
        <w:tc>
          <w:tcPr>
            <w:tcW w:w="1905"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b/>
                <w:color w:val="000000"/>
                <w:kern w:val="0"/>
                <w:sz w:val="21"/>
                <w:szCs w:val="21"/>
              </w:rPr>
            </w:pPr>
            <w:r>
              <w:rPr>
                <w:rFonts w:hint="eastAsia"/>
                <w:b/>
                <w:color w:val="000000"/>
                <w:kern w:val="0"/>
                <w:sz w:val="21"/>
                <w:szCs w:val="21"/>
              </w:rPr>
              <w:t>监测指标</w:t>
            </w:r>
          </w:p>
        </w:tc>
        <w:tc>
          <w:tcPr>
            <w:tcW w:w="927"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b/>
                <w:color w:val="000000"/>
                <w:kern w:val="0"/>
                <w:sz w:val="21"/>
                <w:szCs w:val="21"/>
              </w:rPr>
            </w:pPr>
            <w:r>
              <w:rPr>
                <w:rFonts w:hint="eastAsia"/>
                <w:b/>
                <w:color w:val="000000"/>
                <w:kern w:val="0"/>
                <w:sz w:val="21"/>
                <w:szCs w:val="21"/>
              </w:rPr>
              <w:t>单 位</w:t>
            </w:r>
          </w:p>
        </w:tc>
        <w:tc>
          <w:tcPr>
            <w:tcW w:w="1623" w:type="dxa"/>
            <w:tcBorders>
              <w:right w:val="single" w:color="000000" w:sz="8" w:space="0"/>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b/>
                <w:color w:val="000000"/>
                <w:kern w:val="0"/>
                <w:sz w:val="21"/>
                <w:szCs w:val="21"/>
              </w:rPr>
            </w:pPr>
            <w:r>
              <w:rPr>
                <w:rFonts w:hint="eastAsia"/>
                <w:b/>
                <w:color w:val="000000"/>
                <w:kern w:val="0"/>
                <w:sz w:val="21"/>
                <w:szCs w:val="21"/>
              </w:rPr>
              <w:t>2016年</w:t>
            </w:r>
          </w:p>
        </w:tc>
        <w:tc>
          <w:tcPr>
            <w:tcW w:w="1804" w:type="dxa"/>
            <w:tcBorders>
              <w:left w:val="single" w:color="000000" w:sz="8" w:space="0"/>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b/>
                <w:color w:val="000000"/>
                <w:kern w:val="0"/>
                <w:sz w:val="21"/>
                <w:szCs w:val="21"/>
              </w:rPr>
            </w:pPr>
            <w:r>
              <w:rPr>
                <w:rFonts w:hint="eastAsia"/>
                <w:b/>
                <w:color w:val="000000"/>
                <w:kern w:val="0"/>
                <w:sz w:val="21"/>
                <w:szCs w:val="21"/>
              </w:rPr>
              <w:t>2017年</w:t>
            </w:r>
          </w:p>
        </w:tc>
        <w:tc>
          <w:tcPr>
            <w:tcW w:w="1324"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b/>
                <w:color w:val="000000"/>
                <w:kern w:val="0"/>
                <w:sz w:val="21"/>
                <w:szCs w:val="21"/>
              </w:rPr>
            </w:pPr>
            <w:r>
              <w:rPr>
                <w:rFonts w:hint="eastAsia"/>
                <w:b/>
                <w:color w:val="000000"/>
                <w:kern w:val="0"/>
                <w:sz w:val="21"/>
                <w:szCs w:val="21"/>
              </w:rPr>
              <w:t>Ⅱ类标准</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cantSplit/>
          <w:trHeight w:val="397" w:hRule="atLeast"/>
          <w:jc w:val="center"/>
        </w:trPr>
        <w:tc>
          <w:tcPr>
            <w:tcW w:w="939"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1</w:t>
            </w:r>
          </w:p>
        </w:tc>
        <w:tc>
          <w:tcPr>
            <w:tcW w:w="1905"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水温</w:t>
            </w:r>
          </w:p>
        </w:tc>
        <w:tc>
          <w:tcPr>
            <w:tcW w:w="927"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w:t>
            </w:r>
          </w:p>
        </w:tc>
        <w:tc>
          <w:tcPr>
            <w:tcW w:w="1623"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 xml:space="preserve">15.75 </w:t>
            </w:r>
          </w:p>
        </w:tc>
        <w:tc>
          <w:tcPr>
            <w:tcW w:w="1804"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 xml:space="preserve">15.07 </w:t>
            </w:r>
          </w:p>
        </w:tc>
        <w:tc>
          <w:tcPr>
            <w:tcW w:w="1324"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cantSplit/>
          <w:trHeight w:val="397" w:hRule="atLeast"/>
          <w:jc w:val="center"/>
        </w:trPr>
        <w:tc>
          <w:tcPr>
            <w:tcW w:w="939"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2</w:t>
            </w:r>
          </w:p>
        </w:tc>
        <w:tc>
          <w:tcPr>
            <w:tcW w:w="1905"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pH</w:t>
            </w:r>
          </w:p>
        </w:tc>
        <w:tc>
          <w:tcPr>
            <w:tcW w:w="927"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无量纲</w:t>
            </w:r>
          </w:p>
        </w:tc>
        <w:tc>
          <w:tcPr>
            <w:tcW w:w="1623"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 xml:space="preserve">7.33 </w:t>
            </w:r>
          </w:p>
        </w:tc>
        <w:tc>
          <w:tcPr>
            <w:tcW w:w="1804"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 xml:space="preserve">7.48 </w:t>
            </w:r>
          </w:p>
        </w:tc>
        <w:tc>
          <w:tcPr>
            <w:tcW w:w="1324"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6~9</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cantSplit/>
          <w:trHeight w:val="397" w:hRule="atLeast"/>
          <w:jc w:val="center"/>
        </w:trPr>
        <w:tc>
          <w:tcPr>
            <w:tcW w:w="939"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3</w:t>
            </w:r>
          </w:p>
        </w:tc>
        <w:tc>
          <w:tcPr>
            <w:tcW w:w="1905"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溶解氧</w:t>
            </w:r>
          </w:p>
        </w:tc>
        <w:tc>
          <w:tcPr>
            <w:tcW w:w="927"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mg/L</w:t>
            </w:r>
          </w:p>
        </w:tc>
        <w:tc>
          <w:tcPr>
            <w:tcW w:w="1623"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 xml:space="preserve">8.02 </w:t>
            </w:r>
          </w:p>
        </w:tc>
        <w:tc>
          <w:tcPr>
            <w:tcW w:w="1804"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 xml:space="preserve">7.82 </w:t>
            </w:r>
          </w:p>
        </w:tc>
        <w:tc>
          <w:tcPr>
            <w:tcW w:w="1324"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≥6</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cantSplit/>
          <w:trHeight w:val="397" w:hRule="atLeast"/>
          <w:jc w:val="center"/>
        </w:trPr>
        <w:tc>
          <w:tcPr>
            <w:tcW w:w="939"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4</w:t>
            </w:r>
          </w:p>
        </w:tc>
        <w:tc>
          <w:tcPr>
            <w:tcW w:w="1905"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高锰酸盐指数</w:t>
            </w:r>
          </w:p>
        </w:tc>
        <w:tc>
          <w:tcPr>
            <w:tcW w:w="927"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mg/L</w:t>
            </w:r>
          </w:p>
        </w:tc>
        <w:tc>
          <w:tcPr>
            <w:tcW w:w="1623"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 xml:space="preserve">1.92 </w:t>
            </w:r>
          </w:p>
        </w:tc>
        <w:tc>
          <w:tcPr>
            <w:tcW w:w="1804"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 xml:space="preserve">2.25 </w:t>
            </w:r>
          </w:p>
        </w:tc>
        <w:tc>
          <w:tcPr>
            <w:tcW w:w="1324"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4</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cantSplit/>
          <w:trHeight w:val="397" w:hRule="atLeast"/>
          <w:jc w:val="center"/>
        </w:trPr>
        <w:tc>
          <w:tcPr>
            <w:tcW w:w="939"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5</w:t>
            </w:r>
          </w:p>
        </w:tc>
        <w:tc>
          <w:tcPr>
            <w:tcW w:w="1905"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化学需氧量</w:t>
            </w:r>
          </w:p>
        </w:tc>
        <w:tc>
          <w:tcPr>
            <w:tcW w:w="927"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mg/L</w:t>
            </w:r>
          </w:p>
        </w:tc>
        <w:tc>
          <w:tcPr>
            <w:tcW w:w="1623"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 xml:space="preserve">5.71 </w:t>
            </w:r>
          </w:p>
        </w:tc>
        <w:tc>
          <w:tcPr>
            <w:tcW w:w="1804"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 xml:space="preserve">6.18 </w:t>
            </w:r>
          </w:p>
        </w:tc>
        <w:tc>
          <w:tcPr>
            <w:tcW w:w="1324"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15</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cantSplit/>
          <w:trHeight w:val="397" w:hRule="atLeast"/>
          <w:jc w:val="center"/>
        </w:trPr>
        <w:tc>
          <w:tcPr>
            <w:tcW w:w="939"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6</w:t>
            </w:r>
          </w:p>
        </w:tc>
        <w:tc>
          <w:tcPr>
            <w:tcW w:w="1905"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五日生化需氧量</w:t>
            </w:r>
          </w:p>
        </w:tc>
        <w:tc>
          <w:tcPr>
            <w:tcW w:w="927"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mg/L</w:t>
            </w:r>
          </w:p>
        </w:tc>
        <w:tc>
          <w:tcPr>
            <w:tcW w:w="1623"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 xml:space="preserve">2.48 </w:t>
            </w:r>
          </w:p>
        </w:tc>
        <w:tc>
          <w:tcPr>
            <w:tcW w:w="1804"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 xml:space="preserve">2.35 </w:t>
            </w:r>
          </w:p>
        </w:tc>
        <w:tc>
          <w:tcPr>
            <w:tcW w:w="1324"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3</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cantSplit/>
          <w:trHeight w:val="397" w:hRule="atLeast"/>
          <w:jc w:val="center"/>
        </w:trPr>
        <w:tc>
          <w:tcPr>
            <w:tcW w:w="939"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7</w:t>
            </w:r>
          </w:p>
        </w:tc>
        <w:tc>
          <w:tcPr>
            <w:tcW w:w="1905"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氨氮</w:t>
            </w:r>
          </w:p>
        </w:tc>
        <w:tc>
          <w:tcPr>
            <w:tcW w:w="927"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mg/L</w:t>
            </w:r>
          </w:p>
        </w:tc>
        <w:tc>
          <w:tcPr>
            <w:tcW w:w="1623"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 xml:space="preserve">0.16 </w:t>
            </w:r>
          </w:p>
        </w:tc>
        <w:tc>
          <w:tcPr>
            <w:tcW w:w="1804"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 xml:space="preserve">0.14 </w:t>
            </w:r>
          </w:p>
        </w:tc>
        <w:tc>
          <w:tcPr>
            <w:tcW w:w="1324"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0.5</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cantSplit/>
          <w:trHeight w:val="397" w:hRule="atLeast"/>
          <w:jc w:val="center"/>
        </w:trPr>
        <w:tc>
          <w:tcPr>
            <w:tcW w:w="939"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8</w:t>
            </w:r>
          </w:p>
        </w:tc>
        <w:tc>
          <w:tcPr>
            <w:tcW w:w="1905"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总磷</w:t>
            </w:r>
          </w:p>
        </w:tc>
        <w:tc>
          <w:tcPr>
            <w:tcW w:w="927"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mg/L</w:t>
            </w:r>
          </w:p>
        </w:tc>
        <w:tc>
          <w:tcPr>
            <w:tcW w:w="1623"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 xml:space="preserve">0.012 </w:t>
            </w:r>
          </w:p>
        </w:tc>
        <w:tc>
          <w:tcPr>
            <w:tcW w:w="1804"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 xml:space="preserve">0.017 </w:t>
            </w:r>
          </w:p>
        </w:tc>
        <w:tc>
          <w:tcPr>
            <w:tcW w:w="1324"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0.025</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cantSplit/>
          <w:trHeight w:val="397" w:hRule="atLeast"/>
          <w:jc w:val="center"/>
        </w:trPr>
        <w:tc>
          <w:tcPr>
            <w:tcW w:w="939"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9</w:t>
            </w:r>
          </w:p>
        </w:tc>
        <w:tc>
          <w:tcPr>
            <w:tcW w:w="1905"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总氮</w:t>
            </w:r>
          </w:p>
        </w:tc>
        <w:tc>
          <w:tcPr>
            <w:tcW w:w="927"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mg/L</w:t>
            </w:r>
          </w:p>
        </w:tc>
        <w:tc>
          <w:tcPr>
            <w:tcW w:w="1623"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0.19</w:t>
            </w:r>
          </w:p>
        </w:tc>
        <w:tc>
          <w:tcPr>
            <w:tcW w:w="1804"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0.18</w:t>
            </w:r>
          </w:p>
        </w:tc>
        <w:tc>
          <w:tcPr>
            <w:tcW w:w="1324"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0.5</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cantSplit/>
          <w:trHeight w:val="397" w:hRule="atLeast"/>
          <w:jc w:val="center"/>
        </w:trPr>
        <w:tc>
          <w:tcPr>
            <w:tcW w:w="939"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10</w:t>
            </w:r>
          </w:p>
        </w:tc>
        <w:tc>
          <w:tcPr>
            <w:tcW w:w="1905"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铜</w:t>
            </w:r>
          </w:p>
        </w:tc>
        <w:tc>
          <w:tcPr>
            <w:tcW w:w="927"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mg/L</w:t>
            </w:r>
          </w:p>
        </w:tc>
        <w:tc>
          <w:tcPr>
            <w:tcW w:w="1623"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0.01ND</w:t>
            </w:r>
          </w:p>
        </w:tc>
        <w:tc>
          <w:tcPr>
            <w:tcW w:w="1804"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0.01ND</w:t>
            </w:r>
          </w:p>
        </w:tc>
        <w:tc>
          <w:tcPr>
            <w:tcW w:w="1324"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1</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cantSplit/>
          <w:trHeight w:val="397" w:hRule="atLeast"/>
          <w:jc w:val="center"/>
        </w:trPr>
        <w:tc>
          <w:tcPr>
            <w:tcW w:w="939"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11</w:t>
            </w:r>
          </w:p>
        </w:tc>
        <w:tc>
          <w:tcPr>
            <w:tcW w:w="1905"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锌</w:t>
            </w:r>
          </w:p>
        </w:tc>
        <w:tc>
          <w:tcPr>
            <w:tcW w:w="927"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mg/L</w:t>
            </w:r>
          </w:p>
        </w:tc>
        <w:tc>
          <w:tcPr>
            <w:tcW w:w="1623"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0.01ND</w:t>
            </w:r>
          </w:p>
        </w:tc>
        <w:tc>
          <w:tcPr>
            <w:tcW w:w="1804"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0.01ND</w:t>
            </w:r>
          </w:p>
        </w:tc>
        <w:tc>
          <w:tcPr>
            <w:tcW w:w="1324"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1</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cantSplit/>
          <w:trHeight w:val="397" w:hRule="atLeast"/>
          <w:jc w:val="center"/>
        </w:trPr>
        <w:tc>
          <w:tcPr>
            <w:tcW w:w="939"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12</w:t>
            </w:r>
          </w:p>
        </w:tc>
        <w:tc>
          <w:tcPr>
            <w:tcW w:w="1905"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氟化物</w:t>
            </w:r>
          </w:p>
        </w:tc>
        <w:tc>
          <w:tcPr>
            <w:tcW w:w="927"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mg/L</w:t>
            </w:r>
          </w:p>
        </w:tc>
        <w:tc>
          <w:tcPr>
            <w:tcW w:w="1623"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0.24</w:t>
            </w:r>
          </w:p>
        </w:tc>
        <w:tc>
          <w:tcPr>
            <w:tcW w:w="1804"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0.24</w:t>
            </w:r>
          </w:p>
        </w:tc>
        <w:tc>
          <w:tcPr>
            <w:tcW w:w="1324"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1</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cantSplit/>
          <w:trHeight w:val="397" w:hRule="atLeast"/>
          <w:jc w:val="center"/>
        </w:trPr>
        <w:tc>
          <w:tcPr>
            <w:tcW w:w="939"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13</w:t>
            </w:r>
          </w:p>
        </w:tc>
        <w:tc>
          <w:tcPr>
            <w:tcW w:w="1905"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硒</w:t>
            </w:r>
          </w:p>
        </w:tc>
        <w:tc>
          <w:tcPr>
            <w:tcW w:w="927"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mg/L</w:t>
            </w:r>
          </w:p>
        </w:tc>
        <w:tc>
          <w:tcPr>
            <w:tcW w:w="1623"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0.0005ND</w:t>
            </w:r>
          </w:p>
        </w:tc>
        <w:tc>
          <w:tcPr>
            <w:tcW w:w="1804"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0.0005ND</w:t>
            </w:r>
          </w:p>
        </w:tc>
        <w:tc>
          <w:tcPr>
            <w:tcW w:w="1324"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0.01</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cantSplit/>
          <w:trHeight w:val="397" w:hRule="atLeast"/>
          <w:jc w:val="center"/>
        </w:trPr>
        <w:tc>
          <w:tcPr>
            <w:tcW w:w="939"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14</w:t>
            </w:r>
          </w:p>
        </w:tc>
        <w:tc>
          <w:tcPr>
            <w:tcW w:w="1905"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砷</w:t>
            </w:r>
          </w:p>
        </w:tc>
        <w:tc>
          <w:tcPr>
            <w:tcW w:w="927"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mg/L</w:t>
            </w:r>
          </w:p>
        </w:tc>
        <w:tc>
          <w:tcPr>
            <w:tcW w:w="1623"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0.0002ND</w:t>
            </w:r>
          </w:p>
        </w:tc>
        <w:tc>
          <w:tcPr>
            <w:tcW w:w="1804"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0.0002ND</w:t>
            </w:r>
          </w:p>
        </w:tc>
        <w:tc>
          <w:tcPr>
            <w:tcW w:w="1324"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0.05</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cantSplit/>
          <w:trHeight w:val="397" w:hRule="atLeast"/>
          <w:jc w:val="center"/>
        </w:trPr>
        <w:tc>
          <w:tcPr>
            <w:tcW w:w="939"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15</w:t>
            </w:r>
          </w:p>
        </w:tc>
        <w:tc>
          <w:tcPr>
            <w:tcW w:w="1905"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汞</w:t>
            </w:r>
          </w:p>
        </w:tc>
        <w:tc>
          <w:tcPr>
            <w:tcW w:w="927"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mg/L</w:t>
            </w:r>
          </w:p>
        </w:tc>
        <w:tc>
          <w:tcPr>
            <w:tcW w:w="1623"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0.00002ND</w:t>
            </w:r>
          </w:p>
        </w:tc>
        <w:tc>
          <w:tcPr>
            <w:tcW w:w="1804"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0.00002ND</w:t>
            </w:r>
          </w:p>
        </w:tc>
        <w:tc>
          <w:tcPr>
            <w:tcW w:w="1324"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0.00005</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cantSplit/>
          <w:trHeight w:val="397" w:hRule="atLeast"/>
          <w:jc w:val="center"/>
        </w:trPr>
        <w:tc>
          <w:tcPr>
            <w:tcW w:w="939"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16</w:t>
            </w:r>
          </w:p>
        </w:tc>
        <w:tc>
          <w:tcPr>
            <w:tcW w:w="1905"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镉</w:t>
            </w:r>
          </w:p>
        </w:tc>
        <w:tc>
          <w:tcPr>
            <w:tcW w:w="927"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mg/L</w:t>
            </w:r>
          </w:p>
        </w:tc>
        <w:tc>
          <w:tcPr>
            <w:tcW w:w="1623"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0.0001ND</w:t>
            </w:r>
          </w:p>
        </w:tc>
        <w:tc>
          <w:tcPr>
            <w:tcW w:w="1804"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0.0001ND</w:t>
            </w:r>
          </w:p>
        </w:tc>
        <w:tc>
          <w:tcPr>
            <w:tcW w:w="1324"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0.005</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cantSplit/>
          <w:trHeight w:val="397" w:hRule="atLeast"/>
          <w:jc w:val="center"/>
        </w:trPr>
        <w:tc>
          <w:tcPr>
            <w:tcW w:w="939"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17</w:t>
            </w:r>
          </w:p>
        </w:tc>
        <w:tc>
          <w:tcPr>
            <w:tcW w:w="1905"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六价铬</w:t>
            </w:r>
          </w:p>
        </w:tc>
        <w:tc>
          <w:tcPr>
            <w:tcW w:w="927"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mg/L</w:t>
            </w:r>
          </w:p>
        </w:tc>
        <w:tc>
          <w:tcPr>
            <w:tcW w:w="1623"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0.004ND</w:t>
            </w:r>
          </w:p>
        </w:tc>
        <w:tc>
          <w:tcPr>
            <w:tcW w:w="1804"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0.004ND</w:t>
            </w:r>
          </w:p>
        </w:tc>
        <w:tc>
          <w:tcPr>
            <w:tcW w:w="1324"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0.05</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cantSplit/>
          <w:trHeight w:val="397" w:hRule="atLeast"/>
          <w:jc w:val="center"/>
        </w:trPr>
        <w:tc>
          <w:tcPr>
            <w:tcW w:w="939"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18</w:t>
            </w:r>
          </w:p>
        </w:tc>
        <w:tc>
          <w:tcPr>
            <w:tcW w:w="1905"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铅</w:t>
            </w:r>
          </w:p>
        </w:tc>
        <w:tc>
          <w:tcPr>
            <w:tcW w:w="927"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mg/L</w:t>
            </w:r>
          </w:p>
        </w:tc>
        <w:tc>
          <w:tcPr>
            <w:tcW w:w="1623"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0.003ND</w:t>
            </w:r>
          </w:p>
        </w:tc>
        <w:tc>
          <w:tcPr>
            <w:tcW w:w="1804"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0.003ND</w:t>
            </w:r>
          </w:p>
        </w:tc>
        <w:tc>
          <w:tcPr>
            <w:tcW w:w="1324"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0.01</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cantSplit/>
          <w:trHeight w:val="397" w:hRule="atLeast"/>
          <w:jc w:val="center"/>
        </w:trPr>
        <w:tc>
          <w:tcPr>
            <w:tcW w:w="939"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19</w:t>
            </w:r>
          </w:p>
        </w:tc>
        <w:tc>
          <w:tcPr>
            <w:tcW w:w="1905"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氰化物</w:t>
            </w:r>
          </w:p>
        </w:tc>
        <w:tc>
          <w:tcPr>
            <w:tcW w:w="927"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mg/L</w:t>
            </w:r>
          </w:p>
        </w:tc>
        <w:tc>
          <w:tcPr>
            <w:tcW w:w="1623"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0.004ND</w:t>
            </w:r>
          </w:p>
        </w:tc>
        <w:tc>
          <w:tcPr>
            <w:tcW w:w="1804"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0.004ND</w:t>
            </w:r>
          </w:p>
        </w:tc>
        <w:tc>
          <w:tcPr>
            <w:tcW w:w="1324"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0.05</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cantSplit/>
          <w:trHeight w:val="397" w:hRule="atLeast"/>
          <w:jc w:val="center"/>
        </w:trPr>
        <w:tc>
          <w:tcPr>
            <w:tcW w:w="939"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20</w:t>
            </w:r>
          </w:p>
        </w:tc>
        <w:tc>
          <w:tcPr>
            <w:tcW w:w="1905"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挥发酚</w:t>
            </w:r>
          </w:p>
        </w:tc>
        <w:tc>
          <w:tcPr>
            <w:tcW w:w="927"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mg/L</w:t>
            </w:r>
          </w:p>
        </w:tc>
        <w:tc>
          <w:tcPr>
            <w:tcW w:w="1623"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0.0003ND</w:t>
            </w:r>
          </w:p>
        </w:tc>
        <w:tc>
          <w:tcPr>
            <w:tcW w:w="1804"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0.0003ND</w:t>
            </w:r>
          </w:p>
        </w:tc>
        <w:tc>
          <w:tcPr>
            <w:tcW w:w="1324"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0.005</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cantSplit/>
          <w:trHeight w:val="397" w:hRule="atLeast"/>
          <w:jc w:val="center"/>
        </w:trPr>
        <w:tc>
          <w:tcPr>
            <w:tcW w:w="939"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21</w:t>
            </w:r>
          </w:p>
        </w:tc>
        <w:tc>
          <w:tcPr>
            <w:tcW w:w="1905"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石油类</w:t>
            </w:r>
          </w:p>
        </w:tc>
        <w:tc>
          <w:tcPr>
            <w:tcW w:w="927"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mg/L</w:t>
            </w:r>
          </w:p>
        </w:tc>
        <w:tc>
          <w:tcPr>
            <w:tcW w:w="1623"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0.02ND</w:t>
            </w:r>
          </w:p>
        </w:tc>
        <w:tc>
          <w:tcPr>
            <w:tcW w:w="1804"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0.02ND</w:t>
            </w:r>
          </w:p>
        </w:tc>
        <w:tc>
          <w:tcPr>
            <w:tcW w:w="1324"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0.05</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cantSplit/>
          <w:trHeight w:val="397" w:hRule="atLeast"/>
          <w:jc w:val="center"/>
        </w:trPr>
        <w:tc>
          <w:tcPr>
            <w:tcW w:w="939"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22</w:t>
            </w:r>
          </w:p>
        </w:tc>
        <w:tc>
          <w:tcPr>
            <w:tcW w:w="1905"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阴离子表面活性剂</w:t>
            </w:r>
          </w:p>
        </w:tc>
        <w:tc>
          <w:tcPr>
            <w:tcW w:w="927"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mg/L</w:t>
            </w:r>
          </w:p>
        </w:tc>
        <w:tc>
          <w:tcPr>
            <w:tcW w:w="1623"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0.050ND</w:t>
            </w:r>
          </w:p>
        </w:tc>
        <w:tc>
          <w:tcPr>
            <w:tcW w:w="1804"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0.050ND</w:t>
            </w:r>
          </w:p>
        </w:tc>
        <w:tc>
          <w:tcPr>
            <w:tcW w:w="1324"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0.2</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cantSplit/>
          <w:trHeight w:val="397" w:hRule="atLeast"/>
          <w:jc w:val="center"/>
        </w:trPr>
        <w:tc>
          <w:tcPr>
            <w:tcW w:w="939"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23</w:t>
            </w:r>
          </w:p>
        </w:tc>
        <w:tc>
          <w:tcPr>
            <w:tcW w:w="1905"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硫化物</w:t>
            </w:r>
          </w:p>
        </w:tc>
        <w:tc>
          <w:tcPr>
            <w:tcW w:w="927"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mg/L</w:t>
            </w:r>
          </w:p>
        </w:tc>
        <w:tc>
          <w:tcPr>
            <w:tcW w:w="1623"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0.005ND</w:t>
            </w:r>
          </w:p>
        </w:tc>
        <w:tc>
          <w:tcPr>
            <w:tcW w:w="1804"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0.005ND</w:t>
            </w:r>
          </w:p>
        </w:tc>
        <w:tc>
          <w:tcPr>
            <w:tcW w:w="1324"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0.1</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cantSplit/>
          <w:trHeight w:val="397" w:hRule="atLeast"/>
          <w:jc w:val="center"/>
        </w:trPr>
        <w:tc>
          <w:tcPr>
            <w:tcW w:w="939"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24</w:t>
            </w:r>
          </w:p>
        </w:tc>
        <w:tc>
          <w:tcPr>
            <w:tcW w:w="1905"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粪大肠菌群</w:t>
            </w:r>
          </w:p>
        </w:tc>
        <w:tc>
          <w:tcPr>
            <w:tcW w:w="927"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个/L</w:t>
            </w:r>
          </w:p>
        </w:tc>
        <w:tc>
          <w:tcPr>
            <w:tcW w:w="1623"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 xml:space="preserve">444.17 </w:t>
            </w:r>
          </w:p>
        </w:tc>
        <w:tc>
          <w:tcPr>
            <w:tcW w:w="1804"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 xml:space="preserve">450.86 </w:t>
            </w:r>
          </w:p>
        </w:tc>
        <w:tc>
          <w:tcPr>
            <w:tcW w:w="1324"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2000</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cantSplit/>
          <w:trHeight w:val="397" w:hRule="atLeast"/>
          <w:jc w:val="center"/>
        </w:trPr>
        <w:tc>
          <w:tcPr>
            <w:tcW w:w="939"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25</w:t>
            </w:r>
          </w:p>
        </w:tc>
        <w:tc>
          <w:tcPr>
            <w:tcW w:w="1905"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硫酸盐</w:t>
            </w:r>
          </w:p>
        </w:tc>
        <w:tc>
          <w:tcPr>
            <w:tcW w:w="927"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mg/L</w:t>
            </w:r>
          </w:p>
        </w:tc>
        <w:tc>
          <w:tcPr>
            <w:tcW w:w="1623"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7.26</w:t>
            </w:r>
          </w:p>
        </w:tc>
        <w:tc>
          <w:tcPr>
            <w:tcW w:w="1804"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7.39</w:t>
            </w:r>
          </w:p>
        </w:tc>
        <w:tc>
          <w:tcPr>
            <w:tcW w:w="1324"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250</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cantSplit/>
          <w:trHeight w:val="397" w:hRule="atLeast"/>
          <w:jc w:val="center"/>
        </w:trPr>
        <w:tc>
          <w:tcPr>
            <w:tcW w:w="939"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26</w:t>
            </w:r>
          </w:p>
        </w:tc>
        <w:tc>
          <w:tcPr>
            <w:tcW w:w="1905"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氯化物</w:t>
            </w:r>
          </w:p>
        </w:tc>
        <w:tc>
          <w:tcPr>
            <w:tcW w:w="927"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mg/L</w:t>
            </w:r>
          </w:p>
        </w:tc>
        <w:tc>
          <w:tcPr>
            <w:tcW w:w="1623"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 xml:space="preserve">2.67 </w:t>
            </w:r>
          </w:p>
        </w:tc>
        <w:tc>
          <w:tcPr>
            <w:tcW w:w="1804"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 xml:space="preserve">2.28 </w:t>
            </w:r>
          </w:p>
        </w:tc>
        <w:tc>
          <w:tcPr>
            <w:tcW w:w="1324"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250</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cantSplit/>
          <w:trHeight w:val="397" w:hRule="atLeast"/>
          <w:jc w:val="center"/>
        </w:trPr>
        <w:tc>
          <w:tcPr>
            <w:tcW w:w="939"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27</w:t>
            </w:r>
          </w:p>
        </w:tc>
        <w:tc>
          <w:tcPr>
            <w:tcW w:w="1905"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硝酸盐</w:t>
            </w:r>
          </w:p>
        </w:tc>
        <w:tc>
          <w:tcPr>
            <w:tcW w:w="927"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mg/L</w:t>
            </w:r>
          </w:p>
        </w:tc>
        <w:tc>
          <w:tcPr>
            <w:tcW w:w="1623"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 xml:space="preserve">0.09 </w:t>
            </w:r>
          </w:p>
        </w:tc>
        <w:tc>
          <w:tcPr>
            <w:tcW w:w="1804"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 xml:space="preserve">0.08 </w:t>
            </w:r>
          </w:p>
        </w:tc>
        <w:tc>
          <w:tcPr>
            <w:tcW w:w="1324"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10</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cantSplit/>
          <w:trHeight w:val="397" w:hRule="atLeast"/>
          <w:jc w:val="center"/>
        </w:trPr>
        <w:tc>
          <w:tcPr>
            <w:tcW w:w="939"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28</w:t>
            </w:r>
          </w:p>
        </w:tc>
        <w:tc>
          <w:tcPr>
            <w:tcW w:w="1905"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铁</w:t>
            </w:r>
          </w:p>
        </w:tc>
        <w:tc>
          <w:tcPr>
            <w:tcW w:w="927"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mg/L</w:t>
            </w:r>
          </w:p>
        </w:tc>
        <w:tc>
          <w:tcPr>
            <w:tcW w:w="1623"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 xml:space="preserve">0.08 </w:t>
            </w:r>
          </w:p>
        </w:tc>
        <w:tc>
          <w:tcPr>
            <w:tcW w:w="1804"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 xml:space="preserve">0.04 </w:t>
            </w:r>
          </w:p>
        </w:tc>
        <w:tc>
          <w:tcPr>
            <w:tcW w:w="1324"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0.3</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cantSplit/>
          <w:trHeight w:val="397" w:hRule="atLeast"/>
          <w:jc w:val="center"/>
        </w:trPr>
        <w:tc>
          <w:tcPr>
            <w:tcW w:w="939"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29</w:t>
            </w:r>
          </w:p>
        </w:tc>
        <w:tc>
          <w:tcPr>
            <w:tcW w:w="1905"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锰</w:t>
            </w:r>
          </w:p>
        </w:tc>
        <w:tc>
          <w:tcPr>
            <w:tcW w:w="927"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mg/L</w:t>
            </w:r>
          </w:p>
        </w:tc>
        <w:tc>
          <w:tcPr>
            <w:tcW w:w="1623"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 xml:space="preserve">0.01 </w:t>
            </w:r>
          </w:p>
        </w:tc>
        <w:tc>
          <w:tcPr>
            <w:tcW w:w="1804"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 xml:space="preserve">0.01ND </w:t>
            </w:r>
          </w:p>
        </w:tc>
        <w:tc>
          <w:tcPr>
            <w:tcW w:w="1324"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0.1</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cantSplit/>
          <w:trHeight w:val="397" w:hRule="atLeast"/>
          <w:jc w:val="center"/>
        </w:trPr>
        <w:tc>
          <w:tcPr>
            <w:tcW w:w="939"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30</w:t>
            </w:r>
          </w:p>
        </w:tc>
        <w:tc>
          <w:tcPr>
            <w:tcW w:w="1905"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透明度</w:t>
            </w:r>
          </w:p>
        </w:tc>
        <w:tc>
          <w:tcPr>
            <w:tcW w:w="927"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m</w:t>
            </w:r>
          </w:p>
        </w:tc>
        <w:tc>
          <w:tcPr>
            <w:tcW w:w="1623"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1.23</w:t>
            </w:r>
          </w:p>
        </w:tc>
        <w:tc>
          <w:tcPr>
            <w:tcW w:w="1804"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1.51</w:t>
            </w:r>
          </w:p>
        </w:tc>
        <w:tc>
          <w:tcPr>
            <w:tcW w:w="1324"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cantSplit/>
          <w:trHeight w:val="397" w:hRule="atLeast"/>
          <w:jc w:val="center"/>
        </w:trPr>
        <w:tc>
          <w:tcPr>
            <w:tcW w:w="939"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31</w:t>
            </w:r>
          </w:p>
        </w:tc>
        <w:tc>
          <w:tcPr>
            <w:tcW w:w="1905"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叶绿素a</w:t>
            </w:r>
          </w:p>
        </w:tc>
        <w:tc>
          <w:tcPr>
            <w:tcW w:w="927"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mg/m</w:t>
            </w:r>
            <w:r>
              <w:rPr>
                <w:rFonts w:hint="eastAsia"/>
                <w:color w:val="000000"/>
                <w:kern w:val="0"/>
                <w:sz w:val="21"/>
                <w:szCs w:val="21"/>
                <w:vertAlign w:val="superscript"/>
              </w:rPr>
              <w:t>3</w:t>
            </w:r>
          </w:p>
        </w:tc>
        <w:tc>
          <w:tcPr>
            <w:tcW w:w="1623"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5.21</w:t>
            </w:r>
          </w:p>
        </w:tc>
        <w:tc>
          <w:tcPr>
            <w:tcW w:w="1804"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3.81</w:t>
            </w:r>
          </w:p>
        </w:tc>
        <w:tc>
          <w:tcPr>
            <w:tcW w:w="1324"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cantSplit/>
          <w:trHeight w:val="397" w:hRule="atLeast"/>
          <w:jc w:val="center"/>
        </w:trPr>
        <w:tc>
          <w:tcPr>
            <w:tcW w:w="939"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32</w:t>
            </w:r>
          </w:p>
        </w:tc>
        <w:tc>
          <w:tcPr>
            <w:tcW w:w="1905"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三氯甲烷</w:t>
            </w:r>
          </w:p>
        </w:tc>
        <w:tc>
          <w:tcPr>
            <w:tcW w:w="927"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mg/L</w:t>
            </w:r>
          </w:p>
        </w:tc>
        <w:tc>
          <w:tcPr>
            <w:tcW w:w="1623"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0.000003ND</w:t>
            </w:r>
          </w:p>
        </w:tc>
        <w:tc>
          <w:tcPr>
            <w:tcW w:w="1804"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0.000003ND</w:t>
            </w:r>
          </w:p>
        </w:tc>
        <w:tc>
          <w:tcPr>
            <w:tcW w:w="1324"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0.06</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cantSplit/>
          <w:trHeight w:val="397" w:hRule="atLeast"/>
          <w:jc w:val="center"/>
        </w:trPr>
        <w:tc>
          <w:tcPr>
            <w:tcW w:w="939"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33</w:t>
            </w:r>
          </w:p>
        </w:tc>
        <w:tc>
          <w:tcPr>
            <w:tcW w:w="1905"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四氯化碳</w:t>
            </w:r>
          </w:p>
        </w:tc>
        <w:tc>
          <w:tcPr>
            <w:tcW w:w="927"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mg/L</w:t>
            </w:r>
          </w:p>
        </w:tc>
        <w:tc>
          <w:tcPr>
            <w:tcW w:w="1623"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0.00000023ND</w:t>
            </w:r>
          </w:p>
        </w:tc>
        <w:tc>
          <w:tcPr>
            <w:tcW w:w="1804"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0.00000023ND</w:t>
            </w:r>
          </w:p>
        </w:tc>
        <w:tc>
          <w:tcPr>
            <w:tcW w:w="1324"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0.002</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cantSplit/>
          <w:trHeight w:val="397" w:hRule="atLeast"/>
          <w:jc w:val="center"/>
        </w:trPr>
        <w:tc>
          <w:tcPr>
            <w:tcW w:w="939"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34</w:t>
            </w:r>
          </w:p>
        </w:tc>
        <w:tc>
          <w:tcPr>
            <w:tcW w:w="1905"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三氯乙烯</w:t>
            </w:r>
          </w:p>
        </w:tc>
        <w:tc>
          <w:tcPr>
            <w:tcW w:w="927"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mg/L</w:t>
            </w:r>
          </w:p>
        </w:tc>
        <w:tc>
          <w:tcPr>
            <w:tcW w:w="1623"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0.000001ND</w:t>
            </w:r>
          </w:p>
        </w:tc>
        <w:tc>
          <w:tcPr>
            <w:tcW w:w="1804"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0.000001ND</w:t>
            </w:r>
          </w:p>
        </w:tc>
        <w:tc>
          <w:tcPr>
            <w:tcW w:w="1324"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0.007</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cantSplit/>
          <w:trHeight w:val="397" w:hRule="atLeast"/>
          <w:jc w:val="center"/>
        </w:trPr>
        <w:tc>
          <w:tcPr>
            <w:tcW w:w="939"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35</w:t>
            </w:r>
          </w:p>
        </w:tc>
        <w:tc>
          <w:tcPr>
            <w:tcW w:w="1905"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四氯乙烯</w:t>
            </w:r>
          </w:p>
        </w:tc>
        <w:tc>
          <w:tcPr>
            <w:tcW w:w="927"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mg/L</w:t>
            </w:r>
          </w:p>
        </w:tc>
        <w:tc>
          <w:tcPr>
            <w:tcW w:w="1623"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0.0000003ND</w:t>
            </w:r>
          </w:p>
        </w:tc>
        <w:tc>
          <w:tcPr>
            <w:tcW w:w="1804"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0.0000003ND</w:t>
            </w:r>
          </w:p>
        </w:tc>
        <w:tc>
          <w:tcPr>
            <w:tcW w:w="1324"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0.04</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cantSplit/>
          <w:trHeight w:val="397" w:hRule="atLeast"/>
          <w:jc w:val="center"/>
        </w:trPr>
        <w:tc>
          <w:tcPr>
            <w:tcW w:w="939"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36</w:t>
            </w:r>
          </w:p>
        </w:tc>
        <w:tc>
          <w:tcPr>
            <w:tcW w:w="1905"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苯乙烯</w:t>
            </w:r>
          </w:p>
        </w:tc>
        <w:tc>
          <w:tcPr>
            <w:tcW w:w="927"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mg/L</w:t>
            </w:r>
          </w:p>
        </w:tc>
        <w:tc>
          <w:tcPr>
            <w:tcW w:w="1623"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0.001ND</w:t>
            </w:r>
          </w:p>
        </w:tc>
        <w:tc>
          <w:tcPr>
            <w:tcW w:w="1804"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0.001ND</w:t>
            </w:r>
          </w:p>
        </w:tc>
        <w:tc>
          <w:tcPr>
            <w:tcW w:w="1324"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0.02</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cantSplit/>
          <w:trHeight w:val="397" w:hRule="atLeast"/>
          <w:jc w:val="center"/>
        </w:trPr>
        <w:tc>
          <w:tcPr>
            <w:tcW w:w="939"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37</w:t>
            </w:r>
          </w:p>
        </w:tc>
        <w:tc>
          <w:tcPr>
            <w:tcW w:w="1905"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甲醛</w:t>
            </w:r>
          </w:p>
        </w:tc>
        <w:tc>
          <w:tcPr>
            <w:tcW w:w="927"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mg/L</w:t>
            </w:r>
          </w:p>
        </w:tc>
        <w:tc>
          <w:tcPr>
            <w:tcW w:w="1623"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0.05ND</w:t>
            </w:r>
          </w:p>
        </w:tc>
        <w:tc>
          <w:tcPr>
            <w:tcW w:w="1804"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0.05ND</w:t>
            </w:r>
          </w:p>
        </w:tc>
        <w:tc>
          <w:tcPr>
            <w:tcW w:w="1324"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0.9</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cantSplit/>
          <w:trHeight w:val="397" w:hRule="atLeast"/>
          <w:jc w:val="center"/>
        </w:trPr>
        <w:tc>
          <w:tcPr>
            <w:tcW w:w="939"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38</w:t>
            </w:r>
          </w:p>
        </w:tc>
        <w:tc>
          <w:tcPr>
            <w:tcW w:w="1905"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苯</w:t>
            </w:r>
          </w:p>
        </w:tc>
        <w:tc>
          <w:tcPr>
            <w:tcW w:w="927"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mg/L</w:t>
            </w:r>
          </w:p>
        </w:tc>
        <w:tc>
          <w:tcPr>
            <w:tcW w:w="1623"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0.05ND</w:t>
            </w:r>
          </w:p>
        </w:tc>
        <w:tc>
          <w:tcPr>
            <w:tcW w:w="1804"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0.05ND</w:t>
            </w:r>
          </w:p>
        </w:tc>
        <w:tc>
          <w:tcPr>
            <w:tcW w:w="1324"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0.01</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cantSplit/>
          <w:trHeight w:val="397" w:hRule="atLeast"/>
          <w:jc w:val="center"/>
        </w:trPr>
        <w:tc>
          <w:tcPr>
            <w:tcW w:w="939"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39</w:t>
            </w:r>
          </w:p>
        </w:tc>
        <w:tc>
          <w:tcPr>
            <w:tcW w:w="1905"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甲苯</w:t>
            </w:r>
          </w:p>
        </w:tc>
        <w:tc>
          <w:tcPr>
            <w:tcW w:w="927"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mg/L</w:t>
            </w:r>
          </w:p>
        </w:tc>
        <w:tc>
          <w:tcPr>
            <w:tcW w:w="1623"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0.001ND</w:t>
            </w:r>
          </w:p>
        </w:tc>
        <w:tc>
          <w:tcPr>
            <w:tcW w:w="1804"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0.001ND</w:t>
            </w:r>
          </w:p>
        </w:tc>
        <w:tc>
          <w:tcPr>
            <w:tcW w:w="1324"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0.7</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cantSplit/>
          <w:trHeight w:val="397" w:hRule="atLeast"/>
          <w:jc w:val="center"/>
        </w:trPr>
        <w:tc>
          <w:tcPr>
            <w:tcW w:w="939"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40</w:t>
            </w:r>
          </w:p>
        </w:tc>
        <w:tc>
          <w:tcPr>
            <w:tcW w:w="1905"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乙苯</w:t>
            </w:r>
          </w:p>
        </w:tc>
        <w:tc>
          <w:tcPr>
            <w:tcW w:w="927"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mg/L</w:t>
            </w:r>
          </w:p>
        </w:tc>
        <w:tc>
          <w:tcPr>
            <w:tcW w:w="1623"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0.001ND</w:t>
            </w:r>
          </w:p>
        </w:tc>
        <w:tc>
          <w:tcPr>
            <w:tcW w:w="1804"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0.001ND</w:t>
            </w:r>
          </w:p>
        </w:tc>
        <w:tc>
          <w:tcPr>
            <w:tcW w:w="1324"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0.3</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cantSplit/>
          <w:trHeight w:val="397" w:hRule="atLeast"/>
          <w:jc w:val="center"/>
        </w:trPr>
        <w:tc>
          <w:tcPr>
            <w:tcW w:w="939"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41</w:t>
            </w:r>
          </w:p>
        </w:tc>
        <w:tc>
          <w:tcPr>
            <w:tcW w:w="1905"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二甲苯①</w:t>
            </w:r>
          </w:p>
        </w:tc>
        <w:tc>
          <w:tcPr>
            <w:tcW w:w="927"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mg/L</w:t>
            </w:r>
          </w:p>
        </w:tc>
        <w:tc>
          <w:tcPr>
            <w:tcW w:w="1623"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0.001ND</w:t>
            </w:r>
          </w:p>
        </w:tc>
        <w:tc>
          <w:tcPr>
            <w:tcW w:w="1804"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0.001ND</w:t>
            </w:r>
          </w:p>
        </w:tc>
        <w:tc>
          <w:tcPr>
            <w:tcW w:w="1324"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0.5</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cantSplit/>
          <w:trHeight w:val="397" w:hRule="atLeast"/>
          <w:jc w:val="center"/>
        </w:trPr>
        <w:tc>
          <w:tcPr>
            <w:tcW w:w="939"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42</w:t>
            </w:r>
          </w:p>
        </w:tc>
        <w:tc>
          <w:tcPr>
            <w:tcW w:w="1905"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异丙苯</w:t>
            </w:r>
          </w:p>
        </w:tc>
        <w:tc>
          <w:tcPr>
            <w:tcW w:w="927"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mg/L</w:t>
            </w:r>
          </w:p>
        </w:tc>
        <w:tc>
          <w:tcPr>
            <w:tcW w:w="1623"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0.001ND</w:t>
            </w:r>
          </w:p>
        </w:tc>
        <w:tc>
          <w:tcPr>
            <w:tcW w:w="1804"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0.001ND</w:t>
            </w:r>
          </w:p>
        </w:tc>
        <w:tc>
          <w:tcPr>
            <w:tcW w:w="1324"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0.25</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cantSplit/>
          <w:trHeight w:val="397" w:hRule="atLeast"/>
          <w:jc w:val="center"/>
        </w:trPr>
        <w:tc>
          <w:tcPr>
            <w:tcW w:w="939"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43</w:t>
            </w:r>
          </w:p>
        </w:tc>
        <w:tc>
          <w:tcPr>
            <w:tcW w:w="1905"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氯苯</w:t>
            </w:r>
          </w:p>
        </w:tc>
        <w:tc>
          <w:tcPr>
            <w:tcW w:w="927"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mg/L</w:t>
            </w:r>
          </w:p>
        </w:tc>
        <w:tc>
          <w:tcPr>
            <w:tcW w:w="1623"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0.001ND</w:t>
            </w:r>
          </w:p>
        </w:tc>
        <w:tc>
          <w:tcPr>
            <w:tcW w:w="1804"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0.001ND</w:t>
            </w:r>
          </w:p>
        </w:tc>
        <w:tc>
          <w:tcPr>
            <w:tcW w:w="1324"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0.3</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cantSplit/>
          <w:trHeight w:val="397" w:hRule="atLeast"/>
          <w:jc w:val="center"/>
        </w:trPr>
        <w:tc>
          <w:tcPr>
            <w:tcW w:w="939"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44</w:t>
            </w:r>
          </w:p>
        </w:tc>
        <w:tc>
          <w:tcPr>
            <w:tcW w:w="1905"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1,2-二氯苯</w:t>
            </w:r>
          </w:p>
        </w:tc>
        <w:tc>
          <w:tcPr>
            <w:tcW w:w="927"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mg/L</w:t>
            </w:r>
          </w:p>
        </w:tc>
        <w:tc>
          <w:tcPr>
            <w:tcW w:w="1623"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0.001ND</w:t>
            </w:r>
          </w:p>
        </w:tc>
        <w:tc>
          <w:tcPr>
            <w:tcW w:w="1804"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0.001ND</w:t>
            </w:r>
          </w:p>
        </w:tc>
        <w:tc>
          <w:tcPr>
            <w:tcW w:w="1324"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1</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cantSplit/>
          <w:trHeight w:val="397" w:hRule="atLeast"/>
          <w:jc w:val="center"/>
        </w:trPr>
        <w:tc>
          <w:tcPr>
            <w:tcW w:w="939"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45</w:t>
            </w:r>
          </w:p>
        </w:tc>
        <w:tc>
          <w:tcPr>
            <w:tcW w:w="1905"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1,4-二氯苯</w:t>
            </w:r>
          </w:p>
        </w:tc>
        <w:tc>
          <w:tcPr>
            <w:tcW w:w="927"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mg/L</w:t>
            </w:r>
          </w:p>
        </w:tc>
        <w:tc>
          <w:tcPr>
            <w:tcW w:w="1623"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0.0020ND</w:t>
            </w:r>
          </w:p>
        </w:tc>
        <w:tc>
          <w:tcPr>
            <w:tcW w:w="1804"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0.0020ND</w:t>
            </w:r>
          </w:p>
        </w:tc>
        <w:tc>
          <w:tcPr>
            <w:tcW w:w="1324"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0.3</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cantSplit/>
          <w:trHeight w:val="397" w:hRule="atLeast"/>
          <w:jc w:val="center"/>
        </w:trPr>
        <w:tc>
          <w:tcPr>
            <w:tcW w:w="939"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46</w:t>
            </w:r>
          </w:p>
        </w:tc>
        <w:tc>
          <w:tcPr>
            <w:tcW w:w="1905"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三氯苯②</w:t>
            </w:r>
          </w:p>
        </w:tc>
        <w:tc>
          <w:tcPr>
            <w:tcW w:w="927"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mg/L</w:t>
            </w:r>
          </w:p>
        </w:tc>
        <w:tc>
          <w:tcPr>
            <w:tcW w:w="1623"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0.00004ND</w:t>
            </w:r>
          </w:p>
        </w:tc>
        <w:tc>
          <w:tcPr>
            <w:tcW w:w="1804"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0.00004ND</w:t>
            </w:r>
          </w:p>
        </w:tc>
        <w:tc>
          <w:tcPr>
            <w:tcW w:w="1324"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0.02</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cantSplit/>
          <w:trHeight w:val="397" w:hRule="atLeast"/>
          <w:jc w:val="center"/>
        </w:trPr>
        <w:tc>
          <w:tcPr>
            <w:tcW w:w="939"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47</w:t>
            </w:r>
          </w:p>
        </w:tc>
        <w:tc>
          <w:tcPr>
            <w:tcW w:w="1905"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硝基苯</w:t>
            </w:r>
          </w:p>
        </w:tc>
        <w:tc>
          <w:tcPr>
            <w:tcW w:w="927"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mg/L</w:t>
            </w:r>
          </w:p>
        </w:tc>
        <w:tc>
          <w:tcPr>
            <w:tcW w:w="1623"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0.00004ND</w:t>
            </w:r>
          </w:p>
        </w:tc>
        <w:tc>
          <w:tcPr>
            <w:tcW w:w="1804"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0.00004ND</w:t>
            </w:r>
          </w:p>
        </w:tc>
        <w:tc>
          <w:tcPr>
            <w:tcW w:w="1324"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0.017</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cantSplit/>
          <w:trHeight w:val="397" w:hRule="atLeast"/>
          <w:jc w:val="center"/>
        </w:trPr>
        <w:tc>
          <w:tcPr>
            <w:tcW w:w="939"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48</w:t>
            </w:r>
          </w:p>
        </w:tc>
        <w:tc>
          <w:tcPr>
            <w:tcW w:w="1905"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二硝基苯④</w:t>
            </w:r>
          </w:p>
        </w:tc>
        <w:tc>
          <w:tcPr>
            <w:tcW w:w="927"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mg/L</w:t>
            </w:r>
          </w:p>
        </w:tc>
        <w:tc>
          <w:tcPr>
            <w:tcW w:w="1623"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0.00014ND</w:t>
            </w:r>
          </w:p>
        </w:tc>
        <w:tc>
          <w:tcPr>
            <w:tcW w:w="1804"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0.00014ND</w:t>
            </w:r>
          </w:p>
        </w:tc>
        <w:tc>
          <w:tcPr>
            <w:tcW w:w="1324"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0.5</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cantSplit/>
          <w:trHeight w:val="397" w:hRule="atLeast"/>
          <w:jc w:val="center"/>
        </w:trPr>
        <w:tc>
          <w:tcPr>
            <w:tcW w:w="939"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49</w:t>
            </w:r>
          </w:p>
        </w:tc>
        <w:tc>
          <w:tcPr>
            <w:tcW w:w="1905"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硝基氯苯⑤</w:t>
            </w:r>
          </w:p>
        </w:tc>
        <w:tc>
          <w:tcPr>
            <w:tcW w:w="927"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mg/L</w:t>
            </w:r>
          </w:p>
        </w:tc>
        <w:tc>
          <w:tcPr>
            <w:tcW w:w="1623"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0.00004ND</w:t>
            </w:r>
          </w:p>
        </w:tc>
        <w:tc>
          <w:tcPr>
            <w:tcW w:w="1804"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0.00004ND</w:t>
            </w:r>
          </w:p>
        </w:tc>
        <w:tc>
          <w:tcPr>
            <w:tcW w:w="1324"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0.05</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cantSplit/>
          <w:trHeight w:val="397" w:hRule="atLeast"/>
          <w:jc w:val="center"/>
        </w:trPr>
        <w:tc>
          <w:tcPr>
            <w:tcW w:w="939"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50</w:t>
            </w:r>
          </w:p>
        </w:tc>
        <w:tc>
          <w:tcPr>
            <w:tcW w:w="1905"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邻苯二甲酸二丁酯</w:t>
            </w:r>
          </w:p>
        </w:tc>
        <w:tc>
          <w:tcPr>
            <w:tcW w:w="927"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mg/L</w:t>
            </w:r>
          </w:p>
        </w:tc>
        <w:tc>
          <w:tcPr>
            <w:tcW w:w="1623"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0.00027</w:t>
            </w:r>
          </w:p>
        </w:tc>
        <w:tc>
          <w:tcPr>
            <w:tcW w:w="1804"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0.00027</w:t>
            </w:r>
          </w:p>
        </w:tc>
        <w:tc>
          <w:tcPr>
            <w:tcW w:w="1324"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0.003</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cantSplit/>
          <w:trHeight w:val="397" w:hRule="atLeast"/>
          <w:jc w:val="center"/>
        </w:trPr>
        <w:tc>
          <w:tcPr>
            <w:tcW w:w="939"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51</w:t>
            </w:r>
          </w:p>
        </w:tc>
        <w:tc>
          <w:tcPr>
            <w:tcW w:w="1905"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邻苯二甲酸二（2-乙基己基）酯</w:t>
            </w:r>
          </w:p>
        </w:tc>
        <w:tc>
          <w:tcPr>
            <w:tcW w:w="927"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mg/L</w:t>
            </w:r>
          </w:p>
        </w:tc>
        <w:tc>
          <w:tcPr>
            <w:tcW w:w="1623"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0.00004ND</w:t>
            </w:r>
          </w:p>
        </w:tc>
        <w:tc>
          <w:tcPr>
            <w:tcW w:w="1804"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0.00004ND</w:t>
            </w:r>
          </w:p>
        </w:tc>
        <w:tc>
          <w:tcPr>
            <w:tcW w:w="1324"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0.008</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cantSplit/>
          <w:trHeight w:val="397" w:hRule="atLeast"/>
          <w:jc w:val="center"/>
        </w:trPr>
        <w:tc>
          <w:tcPr>
            <w:tcW w:w="939"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52</w:t>
            </w:r>
          </w:p>
        </w:tc>
        <w:tc>
          <w:tcPr>
            <w:tcW w:w="1905"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滴滴涕</w:t>
            </w:r>
          </w:p>
        </w:tc>
        <w:tc>
          <w:tcPr>
            <w:tcW w:w="927"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mg/L</w:t>
            </w:r>
          </w:p>
        </w:tc>
        <w:tc>
          <w:tcPr>
            <w:tcW w:w="1623"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0.000000704ND</w:t>
            </w:r>
          </w:p>
        </w:tc>
        <w:tc>
          <w:tcPr>
            <w:tcW w:w="1804"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0.000000704ND</w:t>
            </w:r>
          </w:p>
        </w:tc>
        <w:tc>
          <w:tcPr>
            <w:tcW w:w="1324"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0.001</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cantSplit/>
          <w:trHeight w:val="397" w:hRule="atLeast"/>
          <w:jc w:val="center"/>
        </w:trPr>
        <w:tc>
          <w:tcPr>
            <w:tcW w:w="939"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53</w:t>
            </w:r>
          </w:p>
        </w:tc>
        <w:tc>
          <w:tcPr>
            <w:tcW w:w="1905"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林丹</w:t>
            </w:r>
          </w:p>
        </w:tc>
        <w:tc>
          <w:tcPr>
            <w:tcW w:w="927"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mg/L</w:t>
            </w:r>
          </w:p>
        </w:tc>
        <w:tc>
          <w:tcPr>
            <w:tcW w:w="1623"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0.000000394ND</w:t>
            </w:r>
          </w:p>
        </w:tc>
        <w:tc>
          <w:tcPr>
            <w:tcW w:w="1804"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0.000000394ND</w:t>
            </w:r>
          </w:p>
        </w:tc>
        <w:tc>
          <w:tcPr>
            <w:tcW w:w="1324"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0.002</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cantSplit/>
          <w:trHeight w:val="397" w:hRule="atLeast"/>
          <w:jc w:val="center"/>
        </w:trPr>
        <w:tc>
          <w:tcPr>
            <w:tcW w:w="939"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54</w:t>
            </w:r>
          </w:p>
        </w:tc>
        <w:tc>
          <w:tcPr>
            <w:tcW w:w="1905"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阿特拉津</w:t>
            </w:r>
          </w:p>
        </w:tc>
        <w:tc>
          <w:tcPr>
            <w:tcW w:w="927"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mg/L</w:t>
            </w:r>
          </w:p>
        </w:tc>
        <w:tc>
          <w:tcPr>
            <w:tcW w:w="1623"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0.0005ND</w:t>
            </w:r>
          </w:p>
        </w:tc>
        <w:tc>
          <w:tcPr>
            <w:tcW w:w="1804"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0.0005ND</w:t>
            </w:r>
          </w:p>
        </w:tc>
        <w:tc>
          <w:tcPr>
            <w:tcW w:w="1324"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0.003</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cantSplit/>
          <w:trHeight w:val="397" w:hRule="atLeast"/>
          <w:jc w:val="center"/>
        </w:trPr>
        <w:tc>
          <w:tcPr>
            <w:tcW w:w="939"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55</w:t>
            </w:r>
          </w:p>
        </w:tc>
        <w:tc>
          <w:tcPr>
            <w:tcW w:w="1905"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苯并（a）芘</w:t>
            </w:r>
          </w:p>
        </w:tc>
        <w:tc>
          <w:tcPr>
            <w:tcW w:w="927"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mg/L</w:t>
            </w:r>
          </w:p>
        </w:tc>
        <w:tc>
          <w:tcPr>
            <w:tcW w:w="1623"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0.0000001ND</w:t>
            </w:r>
          </w:p>
        </w:tc>
        <w:tc>
          <w:tcPr>
            <w:tcW w:w="1804"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0.0000001ND</w:t>
            </w:r>
          </w:p>
        </w:tc>
        <w:tc>
          <w:tcPr>
            <w:tcW w:w="1324"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2.8×10-6</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cantSplit/>
          <w:trHeight w:val="397" w:hRule="atLeast"/>
          <w:jc w:val="center"/>
        </w:trPr>
        <w:tc>
          <w:tcPr>
            <w:tcW w:w="939"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56</w:t>
            </w:r>
          </w:p>
        </w:tc>
        <w:tc>
          <w:tcPr>
            <w:tcW w:w="1905"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钼</w:t>
            </w:r>
          </w:p>
        </w:tc>
        <w:tc>
          <w:tcPr>
            <w:tcW w:w="927"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mg/L</w:t>
            </w:r>
          </w:p>
        </w:tc>
        <w:tc>
          <w:tcPr>
            <w:tcW w:w="1623"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0.010ND</w:t>
            </w:r>
          </w:p>
        </w:tc>
        <w:tc>
          <w:tcPr>
            <w:tcW w:w="1804"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0.010ND</w:t>
            </w:r>
          </w:p>
        </w:tc>
        <w:tc>
          <w:tcPr>
            <w:tcW w:w="1324"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0.07</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cantSplit/>
          <w:trHeight w:val="397" w:hRule="atLeast"/>
          <w:jc w:val="center"/>
        </w:trPr>
        <w:tc>
          <w:tcPr>
            <w:tcW w:w="939"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57</w:t>
            </w:r>
          </w:p>
        </w:tc>
        <w:tc>
          <w:tcPr>
            <w:tcW w:w="1905"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钴</w:t>
            </w:r>
          </w:p>
        </w:tc>
        <w:tc>
          <w:tcPr>
            <w:tcW w:w="927"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mg/L</w:t>
            </w:r>
          </w:p>
        </w:tc>
        <w:tc>
          <w:tcPr>
            <w:tcW w:w="1623"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0.005ND</w:t>
            </w:r>
          </w:p>
        </w:tc>
        <w:tc>
          <w:tcPr>
            <w:tcW w:w="1804"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0.005ND</w:t>
            </w:r>
          </w:p>
        </w:tc>
        <w:tc>
          <w:tcPr>
            <w:tcW w:w="1324"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1</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cantSplit/>
          <w:trHeight w:val="397" w:hRule="atLeast"/>
          <w:jc w:val="center"/>
        </w:trPr>
        <w:tc>
          <w:tcPr>
            <w:tcW w:w="939"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58</w:t>
            </w:r>
          </w:p>
        </w:tc>
        <w:tc>
          <w:tcPr>
            <w:tcW w:w="1905"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铍</w:t>
            </w:r>
          </w:p>
        </w:tc>
        <w:tc>
          <w:tcPr>
            <w:tcW w:w="927"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mg/L</w:t>
            </w:r>
          </w:p>
        </w:tc>
        <w:tc>
          <w:tcPr>
            <w:tcW w:w="1623"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0.0001ND</w:t>
            </w:r>
          </w:p>
        </w:tc>
        <w:tc>
          <w:tcPr>
            <w:tcW w:w="1804"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0.0001ND</w:t>
            </w:r>
          </w:p>
        </w:tc>
        <w:tc>
          <w:tcPr>
            <w:tcW w:w="1324"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0.002</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cantSplit/>
          <w:trHeight w:val="397" w:hRule="atLeast"/>
          <w:jc w:val="center"/>
        </w:trPr>
        <w:tc>
          <w:tcPr>
            <w:tcW w:w="939"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59</w:t>
            </w:r>
          </w:p>
        </w:tc>
        <w:tc>
          <w:tcPr>
            <w:tcW w:w="1905"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硼</w:t>
            </w:r>
          </w:p>
        </w:tc>
        <w:tc>
          <w:tcPr>
            <w:tcW w:w="927"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mg/L</w:t>
            </w:r>
          </w:p>
        </w:tc>
        <w:tc>
          <w:tcPr>
            <w:tcW w:w="1623"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0.001ND</w:t>
            </w:r>
          </w:p>
        </w:tc>
        <w:tc>
          <w:tcPr>
            <w:tcW w:w="1804"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0.001ND</w:t>
            </w:r>
          </w:p>
        </w:tc>
        <w:tc>
          <w:tcPr>
            <w:tcW w:w="1324"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0.5</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cantSplit/>
          <w:trHeight w:val="397" w:hRule="atLeast"/>
          <w:jc w:val="center"/>
        </w:trPr>
        <w:tc>
          <w:tcPr>
            <w:tcW w:w="939"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60</w:t>
            </w:r>
          </w:p>
        </w:tc>
        <w:tc>
          <w:tcPr>
            <w:tcW w:w="1905"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锑</w:t>
            </w:r>
          </w:p>
        </w:tc>
        <w:tc>
          <w:tcPr>
            <w:tcW w:w="927"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mg/L</w:t>
            </w:r>
          </w:p>
        </w:tc>
        <w:tc>
          <w:tcPr>
            <w:tcW w:w="1623"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0.0002ND</w:t>
            </w:r>
          </w:p>
        </w:tc>
        <w:tc>
          <w:tcPr>
            <w:tcW w:w="1804"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0.0002ND</w:t>
            </w:r>
          </w:p>
        </w:tc>
        <w:tc>
          <w:tcPr>
            <w:tcW w:w="1324"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0.005</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cantSplit/>
          <w:trHeight w:val="397" w:hRule="atLeast"/>
          <w:jc w:val="center"/>
        </w:trPr>
        <w:tc>
          <w:tcPr>
            <w:tcW w:w="939"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61</w:t>
            </w:r>
          </w:p>
        </w:tc>
        <w:tc>
          <w:tcPr>
            <w:tcW w:w="1905"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镍</w:t>
            </w:r>
          </w:p>
        </w:tc>
        <w:tc>
          <w:tcPr>
            <w:tcW w:w="927"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mg/L</w:t>
            </w:r>
          </w:p>
        </w:tc>
        <w:tc>
          <w:tcPr>
            <w:tcW w:w="1623"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0.002ND</w:t>
            </w:r>
          </w:p>
        </w:tc>
        <w:tc>
          <w:tcPr>
            <w:tcW w:w="1804"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0.002ND</w:t>
            </w:r>
          </w:p>
        </w:tc>
        <w:tc>
          <w:tcPr>
            <w:tcW w:w="1324"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0.02</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cantSplit/>
          <w:trHeight w:val="397" w:hRule="atLeast"/>
          <w:jc w:val="center"/>
        </w:trPr>
        <w:tc>
          <w:tcPr>
            <w:tcW w:w="939"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62</w:t>
            </w:r>
          </w:p>
        </w:tc>
        <w:tc>
          <w:tcPr>
            <w:tcW w:w="1905"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钡</w:t>
            </w:r>
          </w:p>
        </w:tc>
        <w:tc>
          <w:tcPr>
            <w:tcW w:w="927"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mg/L</w:t>
            </w:r>
          </w:p>
        </w:tc>
        <w:tc>
          <w:tcPr>
            <w:tcW w:w="1623"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0.0001ND</w:t>
            </w:r>
          </w:p>
        </w:tc>
        <w:tc>
          <w:tcPr>
            <w:tcW w:w="1804"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0.0001ND</w:t>
            </w:r>
          </w:p>
        </w:tc>
        <w:tc>
          <w:tcPr>
            <w:tcW w:w="1324"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0.7</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cantSplit/>
          <w:trHeight w:val="397" w:hRule="atLeast"/>
          <w:jc w:val="center"/>
        </w:trPr>
        <w:tc>
          <w:tcPr>
            <w:tcW w:w="939"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63</w:t>
            </w:r>
          </w:p>
        </w:tc>
        <w:tc>
          <w:tcPr>
            <w:tcW w:w="1905"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钒</w:t>
            </w:r>
          </w:p>
        </w:tc>
        <w:tc>
          <w:tcPr>
            <w:tcW w:w="927"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mg/L</w:t>
            </w:r>
          </w:p>
        </w:tc>
        <w:tc>
          <w:tcPr>
            <w:tcW w:w="1623"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0.001ND</w:t>
            </w:r>
          </w:p>
        </w:tc>
        <w:tc>
          <w:tcPr>
            <w:tcW w:w="1804"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0.001ND</w:t>
            </w:r>
          </w:p>
        </w:tc>
        <w:tc>
          <w:tcPr>
            <w:tcW w:w="1324"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0.005</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cantSplit/>
          <w:trHeight w:val="397" w:hRule="atLeast"/>
          <w:jc w:val="center"/>
        </w:trPr>
        <w:tc>
          <w:tcPr>
            <w:tcW w:w="939"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64</w:t>
            </w:r>
          </w:p>
        </w:tc>
        <w:tc>
          <w:tcPr>
            <w:tcW w:w="1905"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铊</w:t>
            </w:r>
          </w:p>
        </w:tc>
        <w:tc>
          <w:tcPr>
            <w:tcW w:w="927"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mg/L</w:t>
            </w:r>
          </w:p>
        </w:tc>
        <w:tc>
          <w:tcPr>
            <w:tcW w:w="1623"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0.00001ND</w:t>
            </w:r>
          </w:p>
        </w:tc>
        <w:tc>
          <w:tcPr>
            <w:tcW w:w="1804"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0.00001ND</w:t>
            </w:r>
          </w:p>
        </w:tc>
        <w:tc>
          <w:tcPr>
            <w:tcW w:w="1324"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0.0001</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cantSplit/>
          <w:trHeight w:val="397" w:hRule="atLeast"/>
          <w:jc w:val="center"/>
        </w:trPr>
        <w:tc>
          <w:tcPr>
            <w:tcW w:w="939"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65</w:t>
            </w:r>
          </w:p>
        </w:tc>
        <w:tc>
          <w:tcPr>
            <w:tcW w:w="1905"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三溴甲烷</w:t>
            </w:r>
          </w:p>
        </w:tc>
        <w:tc>
          <w:tcPr>
            <w:tcW w:w="927"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mg/L</w:t>
            </w:r>
          </w:p>
        </w:tc>
        <w:tc>
          <w:tcPr>
            <w:tcW w:w="1623"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p>
        </w:tc>
        <w:tc>
          <w:tcPr>
            <w:tcW w:w="1804"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ND</w:t>
            </w:r>
          </w:p>
        </w:tc>
        <w:tc>
          <w:tcPr>
            <w:tcW w:w="1324"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0.1</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cantSplit/>
          <w:trHeight w:val="397" w:hRule="atLeast"/>
          <w:jc w:val="center"/>
        </w:trPr>
        <w:tc>
          <w:tcPr>
            <w:tcW w:w="939"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66</w:t>
            </w:r>
          </w:p>
        </w:tc>
        <w:tc>
          <w:tcPr>
            <w:tcW w:w="1905"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二氯甲烷</w:t>
            </w:r>
          </w:p>
        </w:tc>
        <w:tc>
          <w:tcPr>
            <w:tcW w:w="927"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mg/L</w:t>
            </w:r>
          </w:p>
        </w:tc>
        <w:tc>
          <w:tcPr>
            <w:tcW w:w="1623"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p>
        </w:tc>
        <w:tc>
          <w:tcPr>
            <w:tcW w:w="1804"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0.00599</w:t>
            </w:r>
          </w:p>
        </w:tc>
        <w:tc>
          <w:tcPr>
            <w:tcW w:w="1324"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0.02</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cantSplit/>
          <w:trHeight w:val="397" w:hRule="atLeast"/>
          <w:jc w:val="center"/>
        </w:trPr>
        <w:tc>
          <w:tcPr>
            <w:tcW w:w="939"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67</w:t>
            </w:r>
          </w:p>
        </w:tc>
        <w:tc>
          <w:tcPr>
            <w:tcW w:w="1905"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1,2-二氯乙烷</w:t>
            </w:r>
          </w:p>
        </w:tc>
        <w:tc>
          <w:tcPr>
            <w:tcW w:w="927"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mg/L</w:t>
            </w:r>
          </w:p>
        </w:tc>
        <w:tc>
          <w:tcPr>
            <w:tcW w:w="1623"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p>
        </w:tc>
        <w:tc>
          <w:tcPr>
            <w:tcW w:w="1804"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ND</w:t>
            </w:r>
          </w:p>
        </w:tc>
        <w:tc>
          <w:tcPr>
            <w:tcW w:w="1324"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0.03</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cantSplit/>
          <w:trHeight w:val="397" w:hRule="atLeast"/>
          <w:jc w:val="center"/>
        </w:trPr>
        <w:tc>
          <w:tcPr>
            <w:tcW w:w="939"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68</w:t>
            </w:r>
          </w:p>
        </w:tc>
        <w:tc>
          <w:tcPr>
            <w:tcW w:w="1905"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环氧氯丙烷</w:t>
            </w:r>
          </w:p>
        </w:tc>
        <w:tc>
          <w:tcPr>
            <w:tcW w:w="927"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mg/L</w:t>
            </w:r>
          </w:p>
        </w:tc>
        <w:tc>
          <w:tcPr>
            <w:tcW w:w="1623"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p>
        </w:tc>
        <w:tc>
          <w:tcPr>
            <w:tcW w:w="1804"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ND</w:t>
            </w:r>
          </w:p>
        </w:tc>
        <w:tc>
          <w:tcPr>
            <w:tcW w:w="1324"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0.02</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cantSplit/>
          <w:trHeight w:val="397" w:hRule="atLeast"/>
          <w:jc w:val="center"/>
        </w:trPr>
        <w:tc>
          <w:tcPr>
            <w:tcW w:w="939"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69</w:t>
            </w:r>
          </w:p>
        </w:tc>
        <w:tc>
          <w:tcPr>
            <w:tcW w:w="1905"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氯乙烯</w:t>
            </w:r>
          </w:p>
        </w:tc>
        <w:tc>
          <w:tcPr>
            <w:tcW w:w="927"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mg/L</w:t>
            </w:r>
          </w:p>
        </w:tc>
        <w:tc>
          <w:tcPr>
            <w:tcW w:w="1623"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p>
        </w:tc>
        <w:tc>
          <w:tcPr>
            <w:tcW w:w="1804"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ND</w:t>
            </w:r>
          </w:p>
        </w:tc>
        <w:tc>
          <w:tcPr>
            <w:tcW w:w="1324"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0.005</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cantSplit/>
          <w:trHeight w:val="397" w:hRule="atLeast"/>
          <w:jc w:val="center"/>
        </w:trPr>
        <w:tc>
          <w:tcPr>
            <w:tcW w:w="939"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70</w:t>
            </w:r>
          </w:p>
        </w:tc>
        <w:tc>
          <w:tcPr>
            <w:tcW w:w="1905"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1,1-二氯乙烯</w:t>
            </w:r>
          </w:p>
        </w:tc>
        <w:tc>
          <w:tcPr>
            <w:tcW w:w="927"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mg/L</w:t>
            </w:r>
          </w:p>
        </w:tc>
        <w:tc>
          <w:tcPr>
            <w:tcW w:w="1623"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p>
        </w:tc>
        <w:tc>
          <w:tcPr>
            <w:tcW w:w="1804"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ND</w:t>
            </w:r>
          </w:p>
        </w:tc>
        <w:tc>
          <w:tcPr>
            <w:tcW w:w="1324"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0.03</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cantSplit/>
          <w:trHeight w:val="397" w:hRule="atLeast"/>
          <w:jc w:val="center"/>
        </w:trPr>
        <w:tc>
          <w:tcPr>
            <w:tcW w:w="939"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71</w:t>
            </w:r>
          </w:p>
        </w:tc>
        <w:tc>
          <w:tcPr>
            <w:tcW w:w="1905"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1,2-二氯乙烯</w:t>
            </w:r>
          </w:p>
        </w:tc>
        <w:tc>
          <w:tcPr>
            <w:tcW w:w="927"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mg/L</w:t>
            </w:r>
          </w:p>
        </w:tc>
        <w:tc>
          <w:tcPr>
            <w:tcW w:w="1623"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p>
        </w:tc>
        <w:tc>
          <w:tcPr>
            <w:tcW w:w="1804"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ND</w:t>
            </w:r>
          </w:p>
        </w:tc>
        <w:tc>
          <w:tcPr>
            <w:tcW w:w="1324"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0.05</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cantSplit/>
          <w:trHeight w:val="397" w:hRule="atLeast"/>
          <w:jc w:val="center"/>
        </w:trPr>
        <w:tc>
          <w:tcPr>
            <w:tcW w:w="939"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72</w:t>
            </w:r>
          </w:p>
        </w:tc>
        <w:tc>
          <w:tcPr>
            <w:tcW w:w="1905"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氯丁二烯</w:t>
            </w:r>
          </w:p>
        </w:tc>
        <w:tc>
          <w:tcPr>
            <w:tcW w:w="927"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mg/L</w:t>
            </w:r>
          </w:p>
        </w:tc>
        <w:tc>
          <w:tcPr>
            <w:tcW w:w="1623"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p>
        </w:tc>
        <w:tc>
          <w:tcPr>
            <w:tcW w:w="1804"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ND</w:t>
            </w:r>
          </w:p>
        </w:tc>
        <w:tc>
          <w:tcPr>
            <w:tcW w:w="1324"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0.002</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cantSplit/>
          <w:trHeight w:val="397" w:hRule="atLeast"/>
          <w:jc w:val="center"/>
        </w:trPr>
        <w:tc>
          <w:tcPr>
            <w:tcW w:w="939"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73</w:t>
            </w:r>
          </w:p>
        </w:tc>
        <w:tc>
          <w:tcPr>
            <w:tcW w:w="1905"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六氯丁二烯</w:t>
            </w:r>
          </w:p>
        </w:tc>
        <w:tc>
          <w:tcPr>
            <w:tcW w:w="927"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mg/L</w:t>
            </w:r>
          </w:p>
        </w:tc>
        <w:tc>
          <w:tcPr>
            <w:tcW w:w="1623"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p>
        </w:tc>
        <w:tc>
          <w:tcPr>
            <w:tcW w:w="1804"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ND</w:t>
            </w:r>
          </w:p>
        </w:tc>
        <w:tc>
          <w:tcPr>
            <w:tcW w:w="1324"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0.0006</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cantSplit/>
          <w:trHeight w:val="397" w:hRule="atLeast"/>
          <w:jc w:val="center"/>
        </w:trPr>
        <w:tc>
          <w:tcPr>
            <w:tcW w:w="939"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74</w:t>
            </w:r>
          </w:p>
        </w:tc>
        <w:tc>
          <w:tcPr>
            <w:tcW w:w="1905"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乙醛</w:t>
            </w:r>
          </w:p>
        </w:tc>
        <w:tc>
          <w:tcPr>
            <w:tcW w:w="927"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mg/L</w:t>
            </w:r>
          </w:p>
        </w:tc>
        <w:tc>
          <w:tcPr>
            <w:tcW w:w="1623"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p>
        </w:tc>
        <w:tc>
          <w:tcPr>
            <w:tcW w:w="1804"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ND</w:t>
            </w:r>
          </w:p>
        </w:tc>
        <w:tc>
          <w:tcPr>
            <w:tcW w:w="1324"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0.05</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cantSplit/>
          <w:trHeight w:val="397" w:hRule="atLeast"/>
          <w:jc w:val="center"/>
        </w:trPr>
        <w:tc>
          <w:tcPr>
            <w:tcW w:w="939"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75</w:t>
            </w:r>
          </w:p>
        </w:tc>
        <w:tc>
          <w:tcPr>
            <w:tcW w:w="1905"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丙烯醛</w:t>
            </w:r>
          </w:p>
        </w:tc>
        <w:tc>
          <w:tcPr>
            <w:tcW w:w="927"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mg/L</w:t>
            </w:r>
          </w:p>
        </w:tc>
        <w:tc>
          <w:tcPr>
            <w:tcW w:w="1623"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p>
        </w:tc>
        <w:tc>
          <w:tcPr>
            <w:tcW w:w="1804"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ND</w:t>
            </w:r>
          </w:p>
        </w:tc>
        <w:tc>
          <w:tcPr>
            <w:tcW w:w="1324"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0.1</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cantSplit/>
          <w:trHeight w:val="397" w:hRule="atLeast"/>
          <w:jc w:val="center"/>
        </w:trPr>
        <w:tc>
          <w:tcPr>
            <w:tcW w:w="939"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76</w:t>
            </w:r>
          </w:p>
        </w:tc>
        <w:tc>
          <w:tcPr>
            <w:tcW w:w="1905"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三氯乙醛</w:t>
            </w:r>
          </w:p>
        </w:tc>
        <w:tc>
          <w:tcPr>
            <w:tcW w:w="927"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mg/L</w:t>
            </w:r>
          </w:p>
        </w:tc>
        <w:tc>
          <w:tcPr>
            <w:tcW w:w="1623"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p>
        </w:tc>
        <w:tc>
          <w:tcPr>
            <w:tcW w:w="1804"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ND</w:t>
            </w:r>
          </w:p>
        </w:tc>
        <w:tc>
          <w:tcPr>
            <w:tcW w:w="1324"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0.01</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cantSplit/>
          <w:trHeight w:val="397" w:hRule="atLeast"/>
          <w:jc w:val="center"/>
        </w:trPr>
        <w:tc>
          <w:tcPr>
            <w:tcW w:w="939"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77</w:t>
            </w:r>
          </w:p>
        </w:tc>
        <w:tc>
          <w:tcPr>
            <w:tcW w:w="1905"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四氯苯③</w:t>
            </w:r>
          </w:p>
        </w:tc>
        <w:tc>
          <w:tcPr>
            <w:tcW w:w="927"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mg/L</w:t>
            </w:r>
          </w:p>
        </w:tc>
        <w:tc>
          <w:tcPr>
            <w:tcW w:w="1623"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p>
        </w:tc>
        <w:tc>
          <w:tcPr>
            <w:tcW w:w="1804"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ND</w:t>
            </w:r>
          </w:p>
        </w:tc>
        <w:tc>
          <w:tcPr>
            <w:tcW w:w="1324"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0.02</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cantSplit/>
          <w:trHeight w:val="397" w:hRule="atLeast"/>
          <w:jc w:val="center"/>
        </w:trPr>
        <w:tc>
          <w:tcPr>
            <w:tcW w:w="939"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78</w:t>
            </w:r>
          </w:p>
        </w:tc>
        <w:tc>
          <w:tcPr>
            <w:tcW w:w="1905"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六氯苯</w:t>
            </w:r>
          </w:p>
        </w:tc>
        <w:tc>
          <w:tcPr>
            <w:tcW w:w="927"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mg/L</w:t>
            </w:r>
          </w:p>
        </w:tc>
        <w:tc>
          <w:tcPr>
            <w:tcW w:w="1623"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p>
        </w:tc>
        <w:tc>
          <w:tcPr>
            <w:tcW w:w="1804"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ND</w:t>
            </w:r>
          </w:p>
        </w:tc>
        <w:tc>
          <w:tcPr>
            <w:tcW w:w="1324"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0.05</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cantSplit/>
          <w:trHeight w:val="397" w:hRule="atLeast"/>
          <w:jc w:val="center"/>
        </w:trPr>
        <w:tc>
          <w:tcPr>
            <w:tcW w:w="939"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79</w:t>
            </w:r>
          </w:p>
        </w:tc>
        <w:tc>
          <w:tcPr>
            <w:tcW w:w="1905"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2,4-二硝基甲苯</w:t>
            </w:r>
          </w:p>
        </w:tc>
        <w:tc>
          <w:tcPr>
            <w:tcW w:w="927"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mg/L</w:t>
            </w:r>
          </w:p>
        </w:tc>
        <w:tc>
          <w:tcPr>
            <w:tcW w:w="1623"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p>
        </w:tc>
        <w:tc>
          <w:tcPr>
            <w:tcW w:w="1804"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ND</w:t>
            </w:r>
          </w:p>
        </w:tc>
        <w:tc>
          <w:tcPr>
            <w:tcW w:w="1324"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0.0003</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cantSplit/>
          <w:trHeight w:val="397" w:hRule="atLeast"/>
          <w:jc w:val="center"/>
        </w:trPr>
        <w:tc>
          <w:tcPr>
            <w:tcW w:w="939"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80</w:t>
            </w:r>
          </w:p>
        </w:tc>
        <w:tc>
          <w:tcPr>
            <w:tcW w:w="1905"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2,4,6-三硝基甲苯</w:t>
            </w:r>
          </w:p>
        </w:tc>
        <w:tc>
          <w:tcPr>
            <w:tcW w:w="927"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mg/L</w:t>
            </w:r>
          </w:p>
        </w:tc>
        <w:tc>
          <w:tcPr>
            <w:tcW w:w="1623"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p>
        </w:tc>
        <w:tc>
          <w:tcPr>
            <w:tcW w:w="1804"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ND</w:t>
            </w:r>
          </w:p>
        </w:tc>
        <w:tc>
          <w:tcPr>
            <w:tcW w:w="1324"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0.5</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cantSplit/>
          <w:trHeight w:val="397" w:hRule="atLeast"/>
          <w:jc w:val="center"/>
        </w:trPr>
        <w:tc>
          <w:tcPr>
            <w:tcW w:w="939"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81</w:t>
            </w:r>
          </w:p>
        </w:tc>
        <w:tc>
          <w:tcPr>
            <w:tcW w:w="1905"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2,4-二硝基氯苯</w:t>
            </w:r>
          </w:p>
        </w:tc>
        <w:tc>
          <w:tcPr>
            <w:tcW w:w="927"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mg/L</w:t>
            </w:r>
          </w:p>
        </w:tc>
        <w:tc>
          <w:tcPr>
            <w:tcW w:w="1623"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p>
        </w:tc>
        <w:tc>
          <w:tcPr>
            <w:tcW w:w="1804"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ND</w:t>
            </w:r>
          </w:p>
        </w:tc>
        <w:tc>
          <w:tcPr>
            <w:tcW w:w="1324"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0.5</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cantSplit/>
          <w:trHeight w:val="397" w:hRule="atLeast"/>
          <w:jc w:val="center"/>
        </w:trPr>
        <w:tc>
          <w:tcPr>
            <w:tcW w:w="939"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82</w:t>
            </w:r>
          </w:p>
        </w:tc>
        <w:tc>
          <w:tcPr>
            <w:tcW w:w="1905"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2,4-一氯苯酚</w:t>
            </w:r>
          </w:p>
        </w:tc>
        <w:tc>
          <w:tcPr>
            <w:tcW w:w="927"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mg/L</w:t>
            </w:r>
          </w:p>
        </w:tc>
        <w:tc>
          <w:tcPr>
            <w:tcW w:w="1623"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p>
        </w:tc>
        <w:tc>
          <w:tcPr>
            <w:tcW w:w="1804"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ND</w:t>
            </w:r>
          </w:p>
        </w:tc>
        <w:tc>
          <w:tcPr>
            <w:tcW w:w="1324"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0.093</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cantSplit/>
          <w:trHeight w:val="397" w:hRule="atLeast"/>
          <w:jc w:val="center"/>
        </w:trPr>
        <w:tc>
          <w:tcPr>
            <w:tcW w:w="939"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83</w:t>
            </w:r>
          </w:p>
        </w:tc>
        <w:tc>
          <w:tcPr>
            <w:tcW w:w="1905"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2,4,6-三氯苯酚</w:t>
            </w:r>
          </w:p>
        </w:tc>
        <w:tc>
          <w:tcPr>
            <w:tcW w:w="927"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mg/L</w:t>
            </w:r>
          </w:p>
        </w:tc>
        <w:tc>
          <w:tcPr>
            <w:tcW w:w="1623"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p>
        </w:tc>
        <w:tc>
          <w:tcPr>
            <w:tcW w:w="1804"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ND</w:t>
            </w:r>
          </w:p>
        </w:tc>
        <w:tc>
          <w:tcPr>
            <w:tcW w:w="1324"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0.2</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cantSplit/>
          <w:trHeight w:val="397" w:hRule="atLeast"/>
          <w:jc w:val="center"/>
        </w:trPr>
        <w:tc>
          <w:tcPr>
            <w:tcW w:w="939"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84</w:t>
            </w:r>
          </w:p>
        </w:tc>
        <w:tc>
          <w:tcPr>
            <w:tcW w:w="1905"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五氯酚</w:t>
            </w:r>
          </w:p>
        </w:tc>
        <w:tc>
          <w:tcPr>
            <w:tcW w:w="927"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mg/L</w:t>
            </w:r>
          </w:p>
        </w:tc>
        <w:tc>
          <w:tcPr>
            <w:tcW w:w="1623"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p>
        </w:tc>
        <w:tc>
          <w:tcPr>
            <w:tcW w:w="1804"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ND</w:t>
            </w:r>
          </w:p>
        </w:tc>
        <w:tc>
          <w:tcPr>
            <w:tcW w:w="1324"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0.009</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cantSplit/>
          <w:trHeight w:val="397" w:hRule="atLeast"/>
          <w:jc w:val="center"/>
        </w:trPr>
        <w:tc>
          <w:tcPr>
            <w:tcW w:w="939"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85</w:t>
            </w:r>
          </w:p>
        </w:tc>
        <w:tc>
          <w:tcPr>
            <w:tcW w:w="1905"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苯胺</w:t>
            </w:r>
          </w:p>
        </w:tc>
        <w:tc>
          <w:tcPr>
            <w:tcW w:w="927"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mg/L</w:t>
            </w:r>
          </w:p>
        </w:tc>
        <w:tc>
          <w:tcPr>
            <w:tcW w:w="1623"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p>
        </w:tc>
        <w:tc>
          <w:tcPr>
            <w:tcW w:w="1804"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ND</w:t>
            </w:r>
          </w:p>
        </w:tc>
        <w:tc>
          <w:tcPr>
            <w:tcW w:w="1324"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0.1</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cantSplit/>
          <w:trHeight w:val="397" w:hRule="atLeast"/>
          <w:jc w:val="center"/>
        </w:trPr>
        <w:tc>
          <w:tcPr>
            <w:tcW w:w="939"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86</w:t>
            </w:r>
          </w:p>
        </w:tc>
        <w:tc>
          <w:tcPr>
            <w:tcW w:w="1905"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联苯胺</w:t>
            </w:r>
          </w:p>
        </w:tc>
        <w:tc>
          <w:tcPr>
            <w:tcW w:w="927"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mg/L</w:t>
            </w:r>
          </w:p>
        </w:tc>
        <w:tc>
          <w:tcPr>
            <w:tcW w:w="1623"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p>
        </w:tc>
        <w:tc>
          <w:tcPr>
            <w:tcW w:w="1804"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ND</w:t>
            </w:r>
          </w:p>
        </w:tc>
        <w:tc>
          <w:tcPr>
            <w:tcW w:w="1324"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0.0002</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cantSplit/>
          <w:trHeight w:val="397" w:hRule="atLeast"/>
          <w:jc w:val="center"/>
        </w:trPr>
        <w:tc>
          <w:tcPr>
            <w:tcW w:w="939"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87</w:t>
            </w:r>
          </w:p>
        </w:tc>
        <w:tc>
          <w:tcPr>
            <w:tcW w:w="1905"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丙烯酰胺</w:t>
            </w:r>
          </w:p>
        </w:tc>
        <w:tc>
          <w:tcPr>
            <w:tcW w:w="927"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mg/L</w:t>
            </w:r>
          </w:p>
        </w:tc>
        <w:tc>
          <w:tcPr>
            <w:tcW w:w="1623"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p>
        </w:tc>
        <w:tc>
          <w:tcPr>
            <w:tcW w:w="1804"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ND</w:t>
            </w:r>
          </w:p>
        </w:tc>
        <w:tc>
          <w:tcPr>
            <w:tcW w:w="1324"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0.0005</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cantSplit/>
          <w:trHeight w:val="397" w:hRule="atLeast"/>
          <w:jc w:val="center"/>
        </w:trPr>
        <w:tc>
          <w:tcPr>
            <w:tcW w:w="939"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88</w:t>
            </w:r>
          </w:p>
        </w:tc>
        <w:tc>
          <w:tcPr>
            <w:tcW w:w="1905"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丙烯腈</w:t>
            </w:r>
          </w:p>
        </w:tc>
        <w:tc>
          <w:tcPr>
            <w:tcW w:w="927"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mg/L</w:t>
            </w:r>
          </w:p>
        </w:tc>
        <w:tc>
          <w:tcPr>
            <w:tcW w:w="1623"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p>
        </w:tc>
        <w:tc>
          <w:tcPr>
            <w:tcW w:w="1804"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ND</w:t>
            </w:r>
          </w:p>
        </w:tc>
        <w:tc>
          <w:tcPr>
            <w:tcW w:w="1324"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0.1</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cantSplit/>
          <w:trHeight w:val="397" w:hRule="atLeast"/>
          <w:jc w:val="center"/>
        </w:trPr>
        <w:tc>
          <w:tcPr>
            <w:tcW w:w="939"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89</w:t>
            </w:r>
          </w:p>
        </w:tc>
        <w:tc>
          <w:tcPr>
            <w:tcW w:w="1905"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水合阱</w:t>
            </w:r>
          </w:p>
        </w:tc>
        <w:tc>
          <w:tcPr>
            <w:tcW w:w="927"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mg/L</w:t>
            </w:r>
          </w:p>
        </w:tc>
        <w:tc>
          <w:tcPr>
            <w:tcW w:w="1623"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p>
        </w:tc>
        <w:tc>
          <w:tcPr>
            <w:tcW w:w="1804"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ND</w:t>
            </w:r>
          </w:p>
        </w:tc>
        <w:tc>
          <w:tcPr>
            <w:tcW w:w="1324"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0.01</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cantSplit/>
          <w:trHeight w:val="397" w:hRule="atLeast"/>
          <w:jc w:val="center"/>
        </w:trPr>
        <w:tc>
          <w:tcPr>
            <w:tcW w:w="939"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90</w:t>
            </w:r>
          </w:p>
        </w:tc>
        <w:tc>
          <w:tcPr>
            <w:tcW w:w="1905"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四乙基铅</w:t>
            </w:r>
          </w:p>
        </w:tc>
        <w:tc>
          <w:tcPr>
            <w:tcW w:w="927"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mg/L</w:t>
            </w:r>
          </w:p>
        </w:tc>
        <w:tc>
          <w:tcPr>
            <w:tcW w:w="1623"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p>
        </w:tc>
        <w:tc>
          <w:tcPr>
            <w:tcW w:w="1804"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ND</w:t>
            </w:r>
          </w:p>
        </w:tc>
        <w:tc>
          <w:tcPr>
            <w:tcW w:w="1324"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0.0001</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cantSplit/>
          <w:trHeight w:val="397" w:hRule="atLeast"/>
          <w:jc w:val="center"/>
        </w:trPr>
        <w:tc>
          <w:tcPr>
            <w:tcW w:w="939"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91</w:t>
            </w:r>
          </w:p>
        </w:tc>
        <w:tc>
          <w:tcPr>
            <w:tcW w:w="1905"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吡啶</w:t>
            </w:r>
          </w:p>
        </w:tc>
        <w:tc>
          <w:tcPr>
            <w:tcW w:w="927"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mg/L</w:t>
            </w:r>
          </w:p>
        </w:tc>
        <w:tc>
          <w:tcPr>
            <w:tcW w:w="1623"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p>
        </w:tc>
        <w:tc>
          <w:tcPr>
            <w:tcW w:w="1804"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ND</w:t>
            </w:r>
          </w:p>
        </w:tc>
        <w:tc>
          <w:tcPr>
            <w:tcW w:w="1324"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0.2</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cantSplit/>
          <w:trHeight w:val="397" w:hRule="atLeast"/>
          <w:jc w:val="center"/>
        </w:trPr>
        <w:tc>
          <w:tcPr>
            <w:tcW w:w="939"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92</w:t>
            </w:r>
          </w:p>
        </w:tc>
        <w:tc>
          <w:tcPr>
            <w:tcW w:w="1905"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松节油</w:t>
            </w:r>
          </w:p>
        </w:tc>
        <w:tc>
          <w:tcPr>
            <w:tcW w:w="927"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mg/L</w:t>
            </w:r>
          </w:p>
        </w:tc>
        <w:tc>
          <w:tcPr>
            <w:tcW w:w="1623"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p>
        </w:tc>
        <w:tc>
          <w:tcPr>
            <w:tcW w:w="1804"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ND</w:t>
            </w:r>
          </w:p>
        </w:tc>
        <w:tc>
          <w:tcPr>
            <w:tcW w:w="1324"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0.2</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cantSplit/>
          <w:trHeight w:val="397" w:hRule="atLeast"/>
          <w:jc w:val="center"/>
        </w:trPr>
        <w:tc>
          <w:tcPr>
            <w:tcW w:w="939"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93</w:t>
            </w:r>
          </w:p>
        </w:tc>
        <w:tc>
          <w:tcPr>
            <w:tcW w:w="1905"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苦味酸</w:t>
            </w:r>
          </w:p>
        </w:tc>
        <w:tc>
          <w:tcPr>
            <w:tcW w:w="927"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mg/L</w:t>
            </w:r>
          </w:p>
        </w:tc>
        <w:tc>
          <w:tcPr>
            <w:tcW w:w="1623"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p>
        </w:tc>
        <w:tc>
          <w:tcPr>
            <w:tcW w:w="1804"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ND</w:t>
            </w:r>
          </w:p>
        </w:tc>
        <w:tc>
          <w:tcPr>
            <w:tcW w:w="1324"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0.5</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cantSplit/>
          <w:trHeight w:val="397" w:hRule="atLeast"/>
          <w:jc w:val="center"/>
        </w:trPr>
        <w:tc>
          <w:tcPr>
            <w:tcW w:w="939"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94</w:t>
            </w:r>
          </w:p>
        </w:tc>
        <w:tc>
          <w:tcPr>
            <w:tcW w:w="1905"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丁基黄原酸</w:t>
            </w:r>
          </w:p>
        </w:tc>
        <w:tc>
          <w:tcPr>
            <w:tcW w:w="927"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mg/L</w:t>
            </w:r>
          </w:p>
        </w:tc>
        <w:tc>
          <w:tcPr>
            <w:tcW w:w="1623"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p>
        </w:tc>
        <w:tc>
          <w:tcPr>
            <w:tcW w:w="1804"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0.003</w:t>
            </w:r>
          </w:p>
        </w:tc>
        <w:tc>
          <w:tcPr>
            <w:tcW w:w="1324"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0.005</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cantSplit/>
          <w:trHeight w:val="397" w:hRule="atLeast"/>
          <w:jc w:val="center"/>
        </w:trPr>
        <w:tc>
          <w:tcPr>
            <w:tcW w:w="939"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95</w:t>
            </w:r>
          </w:p>
        </w:tc>
        <w:tc>
          <w:tcPr>
            <w:tcW w:w="1905"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活性氯</w:t>
            </w:r>
          </w:p>
        </w:tc>
        <w:tc>
          <w:tcPr>
            <w:tcW w:w="927"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mg/L</w:t>
            </w:r>
          </w:p>
        </w:tc>
        <w:tc>
          <w:tcPr>
            <w:tcW w:w="1623"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p>
        </w:tc>
        <w:tc>
          <w:tcPr>
            <w:tcW w:w="1804"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ND</w:t>
            </w:r>
          </w:p>
        </w:tc>
        <w:tc>
          <w:tcPr>
            <w:tcW w:w="1324"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0.01</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cantSplit/>
          <w:trHeight w:val="397" w:hRule="atLeast"/>
          <w:jc w:val="center"/>
        </w:trPr>
        <w:tc>
          <w:tcPr>
            <w:tcW w:w="939"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96</w:t>
            </w:r>
          </w:p>
        </w:tc>
        <w:tc>
          <w:tcPr>
            <w:tcW w:w="1905"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环氧七氯</w:t>
            </w:r>
          </w:p>
        </w:tc>
        <w:tc>
          <w:tcPr>
            <w:tcW w:w="927"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mg/L</w:t>
            </w:r>
          </w:p>
        </w:tc>
        <w:tc>
          <w:tcPr>
            <w:tcW w:w="1623"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p>
        </w:tc>
        <w:tc>
          <w:tcPr>
            <w:tcW w:w="1804"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ND</w:t>
            </w:r>
          </w:p>
        </w:tc>
        <w:tc>
          <w:tcPr>
            <w:tcW w:w="1324"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0.0002</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cantSplit/>
          <w:trHeight w:val="397" w:hRule="atLeast"/>
          <w:jc w:val="center"/>
        </w:trPr>
        <w:tc>
          <w:tcPr>
            <w:tcW w:w="939"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97</w:t>
            </w:r>
          </w:p>
        </w:tc>
        <w:tc>
          <w:tcPr>
            <w:tcW w:w="1905"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对硫磷</w:t>
            </w:r>
          </w:p>
        </w:tc>
        <w:tc>
          <w:tcPr>
            <w:tcW w:w="927"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mg/L</w:t>
            </w:r>
          </w:p>
        </w:tc>
        <w:tc>
          <w:tcPr>
            <w:tcW w:w="1623"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p>
        </w:tc>
        <w:tc>
          <w:tcPr>
            <w:tcW w:w="1804"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ND</w:t>
            </w:r>
          </w:p>
        </w:tc>
        <w:tc>
          <w:tcPr>
            <w:tcW w:w="1324"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0.003</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cantSplit/>
          <w:trHeight w:val="397" w:hRule="atLeast"/>
          <w:jc w:val="center"/>
        </w:trPr>
        <w:tc>
          <w:tcPr>
            <w:tcW w:w="939"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98</w:t>
            </w:r>
          </w:p>
        </w:tc>
        <w:tc>
          <w:tcPr>
            <w:tcW w:w="1905"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甲基对硫磷</w:t>
            </w:r>
          </w:p>
        </w:tc>
        <w:tc>
          <w:tcPr>
            <w:tcW w:w="927"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mg/L</w:t>
            </w:r>
          </w:p>
        </w:tc>
        <w:tc>
          <w:tcPr>
            <w:tcW w:w="1623"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p>
        </w:tc>
        <w:tc>
          <w:tcPr>
            <w:tcW w:w="1804"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ND</w:t>
            </w:r>
          </w:p>
        </w:tc>
        <w:tc>
          <w:tcPr>
            <w:tcW w:w="1324"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0.002</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cantSplit/>
          <w:trHeight w:val="397" w:hRule="atLeast"/>
          <w:jc w:val="center"/>
        </w:trPr>
        <w:tc>
          <w:tcPr>
            <w:tcW w:w="939"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99</w:t>
            </w:r>
          </w:p>
        </w:tc>
        <w:tc>
          <w:tcPr>
            <w:tcW w:w="1905"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马拉硫磷</w:t>
            </w:r>
          </w:p>
        </w:tc>
        <w:tc>
          <w:tcPr>
            <w:tcW w:w="927"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mg/L</w:t>
            </w:r>
          </w:p>
        </w:tc>
        <w:tc>
          <w:tcPr>
            <w:tcW w:w="1623"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p>
        </w:tc>
        <w:tc>
          <w:tcPr>
            <w:tcW w:w="1804"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ND</w:t>
            </w:r>
          </w:p>
        </w:tc>
        <w:tc>
          <w:tcPr>
            <w:tcW w:w="1324"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0.05</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cantSplit/>
          <w:trHeight w:val="397" w:hRule="atLeast"/>
          <w:jc w:val="center"/>
        </w:trPr>
        <w:tc>
          <w:tcPr>
            <w:tcW w:w="939"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100</w:t>
            </w:r>
          </w:p>
        </w:tc>
        <w:tc>
          <w:tcPr>
            <w:tcW w:w="1905"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乐果</w:t>
            </w:r>
          </w:p>
        </w:tc>
        <w:tc>
          <w:tcPr>
            <w:tcW w:w="927"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mg/L</w:t>
            </w:r>
          </w:p>
        </w:tc>
        <w:tc>
          <w:tcPr>
            <w:tcW w:w="1623"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p>
        </w:tc>
        <w:tc>
          <w:tcPr>
            <w:tcW w:w="1804"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ND</w:t>
            </w:r>
          </w:p>
        </w:tc>
        <w:tc>
          <w:tcPr>
            <w:tcW w:w="1324"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0.08</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cantSplit/>
          <w:trHeight w:val="397" w:hRule="atLeast"/>
          <w:jc w:val="center"/>
        </w:trPr>
        <w:tc>
          <w:tcPr>
            <w:tcW w:w="939"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101</w:t>
            </w:r>
          </w:p>
        </w:tc>
        <w:tc>
          <w:tcPr>
            <w:tcW w:w="1905"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敌敌畏</w:t>
            </w:r>
          </w:p>
        </w:tc>
        <w:tc>
          <w:tcPr>
            <w:tcW w:w="927"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mg/L</w:t>
            </w:r>
          </w:p>
        </w:tc>
        <w:tc>
          <w:tcPr>
            <w:tcW w:w="1623"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p>
        </w:tc>
        <w:tc>
          <w:tcPr>
            <w:tcW w:w="1804"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ND</w:t>
            </w:r>
          </w:p>
        </w:tc>
        <w:tc>
          <w:tcPr>
            <w:tcW w:w="1324"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0.05</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cantSplit/>
          <w:trHeight w:val="397" w:hRule="atLeast"/>
          <w:jc w:val="center"/>
        </w:trPr>
        <w:tc>
          <w:tcPr>
            <w:tcW w:w="939"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102</w:t>
            </w:r>
          </w:p>
        </w:tc>
        <w:tc>
          <w:tcPr>
            <w:tcW w:w="1905"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敌百虫</w:t>
            </w:r>
          </w:p>
        </w:tc>
        <w:tc>
          <w:tcPr>
            <w:tcW w:w="927"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mg/L</w:t>
            </w:r>
          </w:p>
        </w:tc>
        <w:tc>
          <w:tcPr>
            <w:tcW w:w="1623"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p>
        </w:tc>
        <w:tc>
          <w:tcPr>
            <w:tcW w:w="1804"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ND</w:t>
            </w:r>
          </w:p>
        </w:tc>
        <w:tc>
          <w:tcPr>
            <w:tcW w:w="1324"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0.05</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cantSplit/>
          <w:trHeight w:val="397" w:hRule="atLeast"/>
          <w:jc w:val="center"/>
        </w:trPr>
        <w:tc>
          <w:tcPr>
            <w:tcW w:w="939"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103</w:t>
            </w:r>
          </w:p>
        </w:tc>
        <w:tc>
          <w:tcPr>
            <w:tcW w:w="1905"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内吸磷</w:t>
            </w:r>
          </w:p>
        </w:tc>
        <w:tc>
          <w:tcPr>
            <w:tcW w:w="927"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mg/L</w:t>
            </w:r>
          </w:p>
        </w:tc>
        <w:tc>
          <w:tcPr>
            <w:tcW w:w="1623"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p>
        </w:tc>
        <w:tc>
          <w:tcPr>
            <w:tcW w:w="1804"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ND</w:t>
            </w:r>
          </w:p>
        </w:tc>
        <w:tc>
          <w:tcPr>
            <w:tcW w:w="1324"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0.03</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cantSplit/>
          <w:trHeight w:val="397" w:hRule="atLeast"/>
          <w:jc w:val="center"/>
        </w:trPr>
        <w:tc>
          <w:tcPr>
            <w:tcW w:w="939"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104</w:t>
            </w:r>
          </w:p>
        </w:tc>
        <w:tc>
          <w:tcPr>
            <w:tcW w:w="1905"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百菌清</w:t>
            </w:r>
          </w:p>
        </w:tc>
        <w:tc>
          <w:tcPr>
            <w:tcW w:w="927"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mg/L</w:t>
            </w:r>
          </w:p>
        </w:tc>
        <w:tc>
          <w:tcPr>
            <w:tcW w:w="1623"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p>
        </w:tc>
        <w:tc>
          <w:tcPr>
            <w:tcW w:w="1804"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ND</w:t>
            </w:r>
          </w:p>
        </w:tc>
        <w:tc>
          <w:tcPr>
            <w:tcW w:w="1324"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0.01</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cantSplit/>
          <w:trHeight w:val="397" w:hRule="atLeast"/>
          <w:jc w:val="center"/>
        </w:trPr>
        <w:tc>
          <w:tcPr>
            <w:tcW w:w="939"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105</w:t>
            </w:r>
          </w:p>
        </w:tc>
        <w:tc>
          <w:tcPr>
            <w:tcW w:w="1905"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甲萘威</w:t>
            </w:r>
          </w:p>
        </w:tc>
        <w:tc>
          <w:tcPr>
            <w:tcW w:w="927"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mg/L</w:t>
            </w:r>
          </w:p>
        </w:tc>
        <w:tc>
          <w:tcPr>
            <w:tcW w:w="1623"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p>
        </w:tc>
        <w:tc>
          <w:tcPr>
            <w:tcW w:w="1804"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ND</w:t>
            </w:r>
          </w:p>
        </w:tc>
        <w:tc>
          <w:tcPr>
            <w:tcW w:w="1324"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0.05</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cantSplit/>
          <w:trHeight w:val="397" w:hRule="atLeast"/>
          <w:jc w:val="center"/>
        </w:trPr>
        <w:tc>
          <w:tcPr>
            <w:tcW w:w="939"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106</w:t>
            </w:r>
          </w:p>
        </w:tc>
        <w:tc>
          <w:tcPr>
            <w:tcW w:w="1905"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溴氰菊酯</w:t>
            </w:r>
          </w:p>
        </w:tc>
        <w:tc>
          <w:tcPr>
            <w:tcW w:w="927"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mg/L</w:t>
            </w:r>
          </w:p>
        </w:tc>
        <w:tc>
          <w:tcPr>
            <w:tcW w:w="1623"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p>
        </w:tc>
        <w:tc>
          <w:tcPr>
            <w:tcW w:w="1804"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ND</w:t>
            </w:r>
          </w:p>
        </w:tc>
        <w:tc>
          <w:tcPr>
            <w:tcW w:w="1324"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0.02</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cantSplit/>
          <w:trHeight w:val="397" w:hRule="atLeast"/>
          <w:jc w:val="center"/>
        </w:trPr>
        <w:tc>
          <w:tcPr>
            <w:tcW w:w="939"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107</w:t>
            </w:r>
          </w:p>
        </w:tc>
        <w:tc>
          <w:tcPr>
            <w:tcW w:w="1905"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甲基汞</w:t>
            </w:r>
          </w:p>
        </w:tc>
        <w:tc>
          <w:tcPr>
            <w:tcW w:w="927"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mg/L</w:t>
            </w:r>
          </w:p>
        </w:tc>
        <w:tc>
          <w:tcPr>
            <w:tcW w:w="1623"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p>
        </w:tc>
        <w:tc>
          <w:tcPr>
            <w:tcW w:w="1804"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ND</w:t>
            </w:r>
          </w:p>
        </w:tc>
        <w:tc>
          <w:tcPr>
            <w:tcW w:w="1324"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1.0×10-6</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cantSplit/>
          <w:trHeight w:val="397" w:hRule="atLeast"/>
          <w:jc w:val="center"/>
        </w:trPr>
        <w:tc>
          <w:tcPr>
            <w:tcW w:w="939"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108</w:t>
            </w:r>
          </w:p>
        </w:tc>
        <w:tc>
          <w:tcPr>
            <w:tcW w:w="1905"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多氯联苯⑥</w:t>
            </w:r>
          </w:p>
        </w:tc>
        <w:tc>
          <w:tcPr>
            <w:tcW w:w="927"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mg/L</w:t>
            </w:r>
          </w:p>
        </w:tc>
        <w:tc>
          <w:tcPr>
            <w:tcW w:w="1623"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p>
        </w:tc>
        <w:tc>
          <w:tcPr>
            <w:tcW w:w="1804"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ND</w:t>
            </w:r>
          </w:p>
        </w:tc>
        <w:tc>
          <w:tcPr>
            <w:tcW w:w="1324"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2.0×10-5</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cantSplit/>
          <w:trHeight w:val="397" w:hRule="atLeast"/>
          <w:jc w:val="center"/>
        </w:trPr>
        <w:tc>
          <w:tcPr>
            <w:tcW w:w="939"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109</w:t>
            </w:r>
          </w:p>
        </w:tc>
        <w:tc>
          <w:tcPr>
            <w:tcW w:w="1905"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身囊藻毒素-LR</w:t>
            </w:r>
          </w:p>
        </w:tc>
        <w:tc>
          <w:tcPr>
            <w:tcW w:w="927"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mg/L</w:t>
            </w:r>
          </w:p>
        </w:tc>
        <w:tc>
          <w:tcPr>
            <w:tcW w:w="1623"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p>
        </w:tc>
        <w:tc>
          <w:tcPr>
            <w:tcW w:w="1804"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ND</w:t>
            </w:r>
          </w:p>
        </w:tc>
        <w:tc>
          <w:tcPr>
            <w:tcW w:w="1324"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0.001</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cantSplit/>
          <w:trHeight w:val="397" w:hRule="atLeast"/>
          <w:jc w:val="center"/>
        </w:trPr>
        <w:tc>
          <w:tcPr>
            <w:tcW w:w="939"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110</w:t>
            </w:r>
          </w:p>
        </w:tc>
        <w:tc>
          <w:tcPr>
            <w:tcW w:w="1905"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黄磷</w:t>
            </w:r>
          </w:p>
        </w:tc>
        <w:tc>
          <w:tcPr>
            <w:tcW w:w="927"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mg/L</w:t>
            </w:r>
          </w:p>
        </w:tc>
        <w:tc>
          <w:tcPr>
            <w:tcW w:w="1623"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p>
        </w:tc>
        <w:tc>
          <w:tcPr>
            <w:tcW w:w="1804"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ND</w:t>
            </w:r>
          </w:p>
        </w:tc>
        <w:tc>
          <w:tcPr>
            <w:tcW w:w="1324"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0.003</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cantSplit/>
          <w:trHeight w:val="397" w:hRule="atLeast"/>
          <w:jc w:val="center"/>
        </w:trPr>
        <w:tc>
          <w:tcPr>
            <w:tcW w:w="939"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111</w:t>
            </w:r>
          </w:p>
        </w:tc>
        <w:tc>
          <w:tcPr>
            <w:tcW w:w="1905"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钛</w:t>
            </w:r>
          </w:p>
        </w:tc>
        <w:tc>
          <w:tcPr>
            <w:tcW w:w="927"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mg/L</w:t>
            </w:r>
          </w:p>
        </w:tc>
        <w:tc>
          <w:tcPr>
            <w:tcW w:w="1623"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p>
        </w:tc>
        <w:tc>
          <w:tcPr>
            <w:tcW w:w="1804"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ND</w:t>
            </w:r>
          </w:p>
        </w:tc>
        <w:tc>
          <w:tcPr>
            <w:tcW w:w="1324"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1"/>
                <w:szCs w:val="21"/>
              </w:rPr>
            </w:pPr>
            <w:r>
              <w:rPr>
                <w:rFonts w:hint="eastAsia"/>
                <w:color w:val="000000"/>
                <w:kern w:val="0"/>
                <w:sz w:val="21"/>
                <w:szCs w:val="21"/>
              </w:rPr>
              <w:t>0.1</w:t>
            </w:r>
          </w:p>
        </w:tc>
      </w:tr>
    </w:tbl>
    <w:p>
      <w:pPr>
        <w:autoSpaceDE w:val="0"/>
        <w:autoSpaceDN w:val="0"/>
        <w:adjustRightInd w:val="0"/>
        <w:ind w:firstLine="0" w:firstLineChars="0"/>
        <w:jc w:val="center"/>
        <w:rPr>
          <w:b/>
          <w:color w:val="000000" w:themeColor="text1"/>
          <w:sz w:val="21"/>
          <w:szCs w:val="21"/>
        </w:rPr>
      </w:pPr>
      <w:r>
        <w:rPr>
          <w:rFonts w:hint="eastAsia"/>
          <w:b/>
          <w:color w:val="000000" w:themeColor="text1"/>
          <w:sz w:val="21"/>
          <w:szCs w:val="21"/>
        </w:rPr>
        <w:t>表3-6 金凤水库2016年水质监测数据</w:t>
      </w:r>
    </w:p>
    <w:tbl>
      <w:tblPr>
        <w:tblStyle w:val="47"/>
        <w:tblW w:w="8331" w:type="dxa"/>
        <w:tblInd w:w="0" w:type="dxa"/>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0" w:type="dxa"/>
          <w:bottom w:w="0" w:type="dxa"/>
          <w:right w:w="0" w:type="dxa"/>
        </w:tblCellMar>
      </w:tblPr>
      <w:tblGrid>
        <w:gridCol w:w="824"/>
        <w:gridCol w:w="1913"/>
        <w:gridCol w:w="952"/>
        <w:gridCol w:w="1590"/>
        <w:gridCol w:w="1845"/>
        <w:gridCol w:w="1207"/>
      </w:tblGrid>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0" w:type="dxa"/>
            <w:bottom w:w="0" w:type="dxa"/>
            <w:right w:w="0" w:type="dxa"/>
          </w:tblCellMar>
        </w:tblPrEx>
        <w:trPr>
          <w:trHeight w:val="397" w:hRule="atLeast"/>
          <w:tblHeader/>
        </w:trPr>
        <w:tc>
          <w:tcPr>
            <w:tcW w:w="824"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b/>
                <w:color w:val="000000"/>
                <w:kern w:val="0"/>
                <w:sz w:val="20"/>
                <w:szCs w:val="20"/>
              </w:rPr>
            </w:pPr>
            <w:r>
              <w:rPr>
                <w:rFonts w:hint="eastAsia" w:cs="宋体"/>
                <w:b/>
                <w:color w:val="000000"/>
                <w:kern w:val="0"/>
                <w:sz w:val="20"/>
                <w:szCs w:val="20"/>
              </w:rPr>
              <w:t>序号</w:t>
            </w:r>
          </w:p>
        </w:tc>
        <w:tc>
          <w:tcPr>
            <w:tcW w:w="1913"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b/>
                <w:color w:val="000000"/>
                <w:kern w:val="0"/>
                <w:sz w:val="20"/>
                <w:szCs w:val="20"/>
              </w:rPr>
            </w:pPr>
            <w:r>
              <w:rPr>
                <w:rFonts w:hint="eastAsia" w:cs="宋体"/>
                <w:b/>
                <w:color w:val="000000"/>
                <w:kern w:val="0"/>
                <w:sz w:val="20"/>
                <w:szCs w:val="20"/>
              </w:rPr>
              <w:t>监测指标</w:t>
            </w:r>
          </w:p>
        </w:tc>
        <w:tc>
          <w:tcPr>
            <w:tcW w:w="952"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b/>
                <w:color w:val="000000"/>
                <w:kern w:val="0"/>
                <w:sz w:val="20"/>
                <w:szCs w:val="20"/>
              </w:rPr>
            </w:pPr>
            <w:r>
              <w:rPr>
                <w:rFonts w:hint="eastAsia" w:cs="宋体"/>
                <w:b/>
                <w:color w:val="000000"/>
                <w:kern w:val="0"/>
                <w:sz w:val="20"/>
                <w:szCs w:val="20"/>
              </w:rPr>
              <w:t>单位</w:t>
            </w:r>
          </w:p>
        </w:tc>
        <w:tc>
          <w:tcPr>
            <w:tcW w:w="1590"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b/>
                <w:color w:val="000000"/>
                <w:kern w:val="0"/>
                <w:sz w:val="20"/>
                <w:szCs w:val="20"/>
              </w:rPr>
            </w:pPr>
            <w:r>
              <w:rPr>
                <w:rFonts w:hint="eastAsia"/>
                <w:b/>
                <w:color w:val="000000"/>
                <w:kern w:val="0"/>
                <w:sz w:val="20"/>
                <w:szCs w:val="20"/>
              </w:rPr>
              <w:t>2016</w:t>
            </w:r>
            <w:r>
              <w:rPr>
                <w:rFonts w:hint="eastAsia" w:cs="宋体"/>
                <w:b/>
                <w:color w:val="000000"/>
                <w:kern w:val="0"/>
                <w:sz w:val="20"/>
                <w:szCs w:val="20"/>
              </w:rPr>
              <w:t>年</w:t>
            </w:r>
            <w:r>
              <w:rPr>
                <w:rFonts w:hint="eastAsia"/>
                <w:b/>
                <w:color w:val="000000"/>
                <w:kern w:val="0"/>
                <w:sz w:val="20"/>
                <w:szCs w:val="20"/>
              </w:rPr>
              <w:t>1-6</w:t>
            </w:r>
            <w:r>
              <w:rPr>
                <w:rFonts w:hint="eastAsia" w:cs="宋体"/>
                <w:b/>
                <w:color w:val="000000"/>
                <w:kern w:val="0"/>
                <w:sz w:val="20"/>
                <w:szCs w:val="20"/>
              </w:rPr>
              <w:t>月</w:t>
            </w:r>
          </w:p>
        </w:tc>
        <w:tc>
          <w:tcPr>
            <w:tcW w:w="1845"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b/>
                <w:color w:val="000000"/>
                <w:kern w:val="0"/>
                <w:sz w:val="20"/>
                <w:szCs w:val="20"/>
              </w:rPr>
            </w:pPr>
            <w:r>
              <w:rPr>
                <w:rFonts w:hint="eastAsia"/>
                <w:b/>
                <w:color w:val="000000"/>
                <w:kern w:val="0"/>
                <w:sz w:val="20"/>
                <w:szCs w:val="20"/>
              </w:rPr>
              <w:t>2016</w:t>
            </w:r>
            <w:r>
              <w:rPr>
                <w:rFonts w:hint="eastAsia" w:cs="宋体"/>
                <w:b/>
                <w:color w:val="000000"/>
                <w:kern w:val="0"/>
                <w:sz w:val="20"/>
                <w:szCs w:val="20"/>
              </w:rPr>
              <w:t>年</w:t>
            </w:r>
            <w:r>
              <w:rPr>
                <w:rFonts w:hint="eastAsia"/>
                <w:b/>
                <w:color w:val="000000"/>
                <w:kern w:val="0"/>
                <w:sz w:val="20"/>
                <w:szCs w:val="20"/>
              </w:rPr>
              <w:t>7-12</w:t>
            </w:r>
            <w:r>
              <w:rPr>
                <w:rFonts w:hint="eastAsia" w:cs="宋体"/>
                <w:b/>
                <w:color w:val="000000"/>
                <w:kern w:val="0"/>
                <w:sz w:val="20"/>
                <w:szCs w:val="20"/>
              </w:rPr>
              <w:t>月</w:t>
            </w:r>
          </w:p>
        </w:tc>
        <w:tc>
          <w:tcPr>
            <w:tcW w:w="1207"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b/>
                <w:color w:val="000000"/>
                <w:kern w:val="0"/>
                <w:sz w:val="20"/>
                <w:szCs w:val="20"/>
              </w:rPr>
            </w:pPr>
            <w:r>
              <w:rPr>
                <w:rFonts w:hint="eastAsia" w:cs="宋体"/>
                <w:b/>
                <w:color w:val="000000"/>
                <w:kern w:val="0"/>
                <w:sz w:val="20"/>
                <w:szCs w:val="20"/>
              </w:rPr>
              <w:t>Ⅱ类标准</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0" w:type="dxa"/>
            <w:bottom w:w="0" w:type="dxa"/>
            <w:right w:w="0" w:type="dxa"/>
          </w:tblCellMar>
        </w:tblPrEx>
        <w:trPr>
          <w:trHeight w:val="397" w:hRule="atLeast"/>
        </w:trPr>
        <w:tc>
          <w:tcPr>
            <w:tcW w:w="824"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1</w:t>
            </w:r>
          </w:p>
        </w:tc>
        <w:tc>
          <w:tcPr>
            <w:tcW w:w="1913"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s="宋体"/>
                <w:color w:val="000000"/>
                <w:kern w:val="0"/>
                <w:sz w:val="20"/>
                <w:szCs w:val="20"/>
              </w:rPr>
              <w:t>水温</w:t>
            </w:r>
          </w:p>
        </w:tc>
        <w:tc>
          <w:tcPr>
            <w:tcW w:w="952"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s="宋体"/>
                <w:color w:val="000000"/>
                <w:kern w:val="0"/>
                <w:sz w:val="20"/>
                <w:szCs w:val="20"/>
              </w:rPr>
              <w:t>度</w:t>
            </w:r>
          </w:p>
        </w:tc>
        <w:tc>
          <w:tcPr>
            <w:tcW w:w="1590"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14.4</w:t>
            </w:r>
          </w:p>
        </w:tc>
        <w:tc>
          <w:tcPr>
            <w:tcW w:w="1845"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22.6</w:t>
            </w:r>
          </w:p>
        </w:tc>
        <w:tc>
          <w:tcPr>
            <w:tcW w:w="1207"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s="宋体"/>
                <w:color w:val="000000"/>
                <w:kern w:val="0"/>
                <w:sz w:val="20"/>
                <w:szCs w:val="20"/>
              </w:rPr>
              <w:t>——</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0" w:type="dxa"/>
            <w:bottom w:w="0" w:type="dxa"/>
            <w:right w:w="0" w:type="dxa"/>
          </w:tblCellMar>
        </w:tblPrEx>
        <w:trPr>
          <w:trHeight w:val="397" w:hRule="atLeast"/>
        </w:trPr>
        <w:tc>
          <w:tcPr>
            <w:tcW w:w="824"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2</w:t>
            </w:r>
          </w:p>
        </w:tc>
        <w:tc>
          <w:tcPr>
            <w:tcW w:w="1913"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PH</w:t>
            </w:r>
            <w:r>
              <w:rPr>
                <w:rFonts w:hint="eastAsia" w:cs="宋体"/>
                <w:color w:val="000000"/>
                <w:kern w:val="0"/>
                <w:sz w:val="20"/>
                <w:szCs w:val="20"/>
              </w:rPr>
              <w:t>值</w:t>
            </w:r>
          </w:p>
        </w:tc>
        <w:tc>
          <w:tcPr>
            <w:tcW w:w="952"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s="宋体"/>
                <w:color w:val="000000"/>
                <w:kern w:val="0"/>
                <w:sz w:val="20"/>
                <w:szCs w:val="20"/>
              </w:rPr>
              <w:t>无量纲</w:t>
            </w:r>
          </w:p>
        </w:tc>
        <w:tc>
          <w:tcPr>
            <w:tcW w:w="1590"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7.6</w:t>
            </w:r>
          </w:p>
        </w:tc>
        <w:tc>
          <w:tcPr>
            <w:tcW w:w="1845"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7.4</w:t>
            </w:r>
          </w:p>
        </w:tc>
        <w:tc>
          <w:tcPr>
            <w:tcW w:w="1207"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6~9</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0" w:type="dxa"/>
            <w:bottom w:w="0" w:type="dxa"/>
            <w:right w:w="0" w:type="dxa"/>
          </w:tblCellMar>
        </w:tblPrEx>
        <w:trPr>
          <w:trHeight w:val="397" w:hRule="atLeast"/>
        </w:trPr>
        <w:tc>
          <w:tcPr>
            <w:tcW w:w="824"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3</w:t>
            </w:r>
          </w:p>
        </w:tc>
        <w:tc>
          <w:tcPr>
            <w:tcW w:w="1913"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s="宋体"/>
                <w:color w:val="000000"/>
                <w:kern w:val="0"/>
                <w:sz w:val="20"/>
                <w:szCs w:val="20"/>
              </w:rPr>
              <w:t>溶解氧</w:t>
            </w:r>
          </w:p>
        </w:tc>
        <w:tc>
          <w:tcPr>
            <w:tcW w:w="952"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mg/l</w:t>
            </w:r>
          </w:p>
        </w:tc>
        <w:tc>
          <w:tcPr>
            <w:tcW w:w="1590"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8.3</w:t>
            </w:r>
          </w:p>
        </w:tc>
        <w:tc>
          <w:tcPr>
            <w:tcW w:w="1845"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7.2</w:t>
            </w:r>
          </w:p>
        </w:tc>
        <w:tc>
          <w:tcPr>
            <w:tcW w:w="1207"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s="宋体"/>
                <w:color w:val="000000"/>
                <w:kern w:val="0"/>
                <w:sz w:val="20"/>
                <w:szCs w:val="20"/>
              </w:rPr>
              <w:t>≥</w:t>
            </w:r>
            <w:r>
              <w:rPr>
                <w:rFonts w:hint="eastAsia"/>
                <w:color w:val="000000"/>
                <w:kern w:val="0"/>
                <w:sz w:val="20"/>
                <w:szCs w:val="20"/>
              </w:rPr>
              <w:t>6</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0" w:type="dxa"/>
            <w:bottom w:w="0" w:type="dxa"/>
            <w:right w:w="0" w:type="dxa"/>
          </w:tblCellMar>
        </w:tblPrEx>
        <w:trPr>
          <w:trHeight w:val="397" w:hRule="atLeast"/>
        </w:trPr>
        <w:tc>
          <w:tcPr>
            <w:tcW w:w="824"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4</w:t>
            </w:r>
          </w:p>
        </w:tc>
        <w:tc>
          <w:tcPr>
            <w:tcW w:w="1913"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s="宋体"/>
                <w:color w:val="000000"/>
                <w:kern w:val="0"/>
                <w:sz w:val="20"/>
                <w:szCs w:val="20"/>
              </w:rPr>
              <w:t>高锰酸盐指数</w:t>
            </w:r>
          </w:p>
        </w:tc>
        <w:tc>
          <w:tcPr>
            <w:tcW w:w="952"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mg/l</w:t>
            </w:r>
          </w:p>
        </w:tc>
        <w:tc>
          <w:tcPr>
            <w:tcW w:w="1590"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2.44</w:t>
            </w:r>
          </w:p>
        </w:tc>
        <w:tc>
          <w:tcPr>
            <w:tcW w:w="1845"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2.30</w:t>
            </w:r>
          </w:p>
        </w:tc>
        <w:tc>
          <w:tcPr>
            <w:tcW w:w="1207"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4</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0" w:type="dxa"/>
            <w:bottom w:w="0" w:type="dxa"/>
            <w:right w:w="0" w:type="dxa"/>
          </w:tblCellMar>
        </w:tblPrEx>
        <w:trPr>
          <w:trHeight w:val="397" w:hRule="atLeast"/>
        </w:trPr>
        <w:tc>
          <w:tcPr>
            <w:tcW w:w="824"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5</w:t>
            </w:r>
          </w:p>
        </w:tc>
        <w:tc>
          <w:tcPr>
            <w:tcW w:w="1913"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s="宋体"/>
                <w:color w:val="000000"/>
                <w:kern w:val="0"/>
                <w:sz w:val="20"/>
                <w:szCs w:val="20"/>
              </w:rPr>
              <w:t>化学需氧量</w:t>
            </w:r>
          </w:p>
        </w:tc>
        <w:tc>
          <w:tcPr>
            <w:tcW w:w="952"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mg/l</w:t>
            </w:r>
          </w:p>
        </w:tc>
        <w:tc>
          <w:tcPr>
            <w:tcW w:w="1590"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9.82</w:t>
            </w:r>
          </w:p>
        </w:tc>
        <w:tc>
          <w:tcPr>
            <w:tcW w:w="1845"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11.15</w:t>
            </w:r>
          </w:p>
        </w:tc>
        <w:tc>
          <w:tcPr>
            <w:tcW w:w="1207"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15</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0" w:type="dxa"/>
            <w:bottom w:w="0" w:type="dxa"/>
            <w:right w:w="0" w:type="dxa"/>
          </w:tblCellMar>
        </w:tblPrEx>
        <w:trPr>
          <w:trHeight w:val="397" w:hRule="atLeast"/>
        </w:trPr>
        <w:tc>
          <w:tcPr>
            <w:tcW w:w="824"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6</w:t>
            </w:r>
          </w:p>
        </w:tc>
        <w:tc>
          <w:tcPr>
            <w:tcW w:w="1913"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s="宋体"/>
                <w:color w:val="000000"/>
                <w:kern w:val="0"/>
                <w:sz w:val="20"/>
                <w:szCs w:val="20"/>
              </w:rPr>
              <w:t>五日生化需氧量</w:t>
            </w:r>
          </w:p>
        </w:tc>
        <w:tc>
          <w:tcPr>
            <w:tcW w:w="952"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mg/l</w:t>
            </w:r>
          </w:p>
        </w:tc>
        <w:tc>
          <w:tcPr>
            <w:tcW w:w="1590"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1.7</w:t>
            </w:r>
          </w:p>
        </w:tc>
        <w:tc>
          <w:tcPr>
            <w:tcW w:w="1845"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0.8</w:t>
            </w:r>
          </w:p>
        </w:tc>
        <w:tc>
          <w:tcPr>
            <w:tcW w:w="1207"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3</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0" w:type="dxa"/>
            <w:bottom w:w="0" w:type="dxa"/>
            <w:right w:w="0" w:type="dxa"/>
          </w:tblCellMar>
        </w:tblPrEx>
        <w:trPr>
          <w:trHeight w:val="397" w:hRule="atLeast"/>
        </w:trPr>
        <w:tc>
          <w:tcPr>
            <w:tcW w:w="824"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7</w:t>
            </w:r>
          </w:p>
        </w:tc>
        <w:tc>
          <w:tcPr>
            <w:tcW w:w="1913"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s="宋体"/>
                <w:color w:val="000000"/>
                <w:kern w:val="0"/>
                <w:sz w:val="20"/>
                <w:szCs w:val="20"/>
              </w:rPr>
              <w:t>氨氮</w:t>
            </w:r>
          </w:p>
        </w:tc>
        <w:tc>
          <w:tcPr>
            <w:tcW w:w="952"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mg/l</w:t>
            </w:r>
          </w:p>
        </w:tc>
        <w:tc>
          <w:tcPr>
            <w:tcW w:w="1590"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0.06</w:t>
            </w:r>
          </w:p>
        </w:tc>
        <w:tc>
          <w:tcPr>
            <w:tcW w:w="1845"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0.09</w:t>
            </w:r>
          </w:p>
        </w:tc>
        <w:tc>
          <w:tcPr>
            <w:tcW w:w="1207"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0.5</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0" w:type="dxa"/>
            <w:bottom w:w="0" w:type="dxa"/>
            <w:right w:w="0" w:type="dxa"/>
          </w:tblCellMar>
        </w:tblPrEx>
        <w:trPr>
          <w:trHeight w:val="397" w:hRule="atLeast"/>
        </w:trPr>
        <w:tc>
          <w:tcPr>
            <w:tcW w:w="824"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kern w:val="0"/>
                <w:sz w:val="20"/>
                <w:szCs w:val="20"/>
              </w:rPr>
            </w:pPr>
            <w:r>
              <w:rPr>
                <w:rFonts w:hint="eastAsia"/>
                <w:color w:val="000000"/>
                <w:kern w:val="0"/>
                <w:sz w:val="20"/>
                <w:szCs w:val="20"/>
              </w:rPr>
              <w:t>8</w:t>
            </w:r>
          </w:p>
        </w:tc>
        <w:tc>
          <w:tcPr>
            <w:tcW w:w="1913"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kern w:val="0"/>
                <w:sz w:val="20"/>
                <w:szCs w:val="20"/>
              </w:rPr>
            </w:pPr>
            <w:r>
              <w:rPr>
                <w:rFonts w:hint="eastAsia" w:cs="宋体"/>
                <w:kern w:val="0"/>
                <w:sz w:val="20"/>
                <w:szCs w:val="20"/>
              </w:rPr>
              <w:t>总氮</w:t>
            </w:r>
          </w:p>
        </w:tc>
        <w:tc>
          <w:tcPr>
            <w:tcW w:w="952"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kern w:val="0"/>
                <w:sz w:val="20"/>
                <w:szCs w:val="20"/>
              </w:rPr>
            </w:pPr>
            <w:r>
              <w:rPr>
                <w:rFonts w:hint="eastAsia"/>
                <w:kern w:val="0"/>
                <w:sz w:val="20"/>
                <w:szCs w:val="20"/>
              </w:rPr>
              <w:t>mg/l</w:t>
            </w:r>
          </w:p>
        </w:tc>
        <w:tc>
          <w:tcPr>
            <w:tcW w:w="1590"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kern w:val="0"/>
                <w:sz w:val="20"/>
                <w:szCs w:val="20"/>
              </w:rPr>
            </w:pPr>
            <w:r>
              <w:rPr>
                <w:rFonts w:hint="eastAsia"/>
                <w:kern w:val="0"/>
                <w:sz w:val="20"/>
                <w:szCs w:val="20"/>
              </w:rPr>
              <w:t>0.65</w:t>
            </w:r>
          </w:p>
        </w:tc>
        <w:tc>
          <w:tcPr>
            <w:tcW w:w="1845"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kern w:val="0"/>
                <w:sz w:val="20"/>
                <w:szCs w:val="20"/>
              </w:rPr>
            </w:pPr>
            <w:r>
              <w:rPr>
                <w:rFonts w:hint="eastAsia"/>
                <w:kern w:val="0"/>
                <w:sz w:val="20"/>
                <w:szCs w:val="20"/>
              </w:rPr>
              <w:t>0.47</w:t>
            </w:r>
          </w:p>
        </w:tc>
        <w:tc>
          <w:tcPr>
            <w:tcW w:w="1207"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kern w:val="0"/>
                <w:sz w:val="20"/>
                <w:szCs w:val="20"/>
              </w:rPr>
            </w:pPr>
            <w:r>
              <w:rPr>
                <w:rFonts w:hint="eastAsia"/>
                <w:kern w:val="0"/>
                <w:sz w:val="20"/>
                <w:szCs w:val="20"/>
              </w:rPr>
              <w:t>0.50</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0" w:type="dxa"/>
            <w:bottom w:w="0" w:type="dxa"/>
            <w:right w:w="0" w:type="dxa"/>
          </w:tblCellMar>
        </w:tblPrEx>
        <w:trPr>
          <w:trHeight w:val="397" w:hRule="atLeast"/>
        </w:trPr>
        <w:tc>
          <w:tcPr>
            <w:tcW w:w="824"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kern w:val="0"/>
                <w:sz w:val="20"/>
                <w:szCs w:val="20"/>
              </w:rPr>
              <w:t>9</w:t>
            </w:r>
          </w:p>
        </w:tc>
        <w:tc>
          <w:tcPr>
            <w:tcW w:w="1913"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s="宋体"/>
                <w:color w:val="000000"/>
                <w:kern w:val="0"/>
                <w:sz w:val="20"/>
                <w:szCs w:val="20"/>
              </w:rPr>
              <w:t>总磷（以</w:t>
            </w:r>
            <w:r>
              <w:rPr>
                <w:rFonts w:hint="eastAsia"/>
                <w:color w:val="000000"/>
                <w:kern w:val="0"/>
                <w:sz w:val="20"/>
                <w:szCs w:val="20"/>
              </w:rPr>
              <w:t>P</w:t>
            </w:r>
            <w:r>
              <w:rPr>
                <w:rFonts w:hint="eastAsia" w:cs="宋体"/>
                <w:color w:val="000000"/>
                <w:kern w:val="0"/>
                <w:sz w:val="20"/>
                <w:szCs w:val="20"/>
              </w:rPr>
              <w:t>计）</w:t>
            </w:r>
          </w:p>
        </w:tc>
        <w:tc>
          <w:tcPr>
            <w:tcW w:w="952"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mg/l</w:t>
            </w:r>
          </w:p>
        </w:tc>
        <w:tc>
          <w:tcPr>
            <w:tcW w:w="1590"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0.024</w:t>
            </w:r>
          </w:p>
        </w:tc>
        <w:tc>
          <w:tcPr>
            <w:tcW w:w="1845"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0.024</w:t>
            </w:r>
          </w:p>
        </w:tc>
        <w:tc>
          <w:tcPr>
            <w:tcW w:w="1207"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0.025</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0" w:type="dxa"/>
            <w:bottom w:w="0" w:type="dxa"/>
            <w:right w:w="0" w:type="dxa"/>
          </w:tblCellMar>
        </w:tblPrEx>
        <w:trPr>
          <w:trHeight w:val="397" w:hRule="atLeast"/>
        </w:trPr>
        <w:tc>
          <w:tcPr>
            <w:tcW w:w="824"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10</w:t>
            </w:r>
          </w:p>
        </w:tc>
        <w:tc>
          <w:tcPr>
            <w:tcW w:w="1913"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s="宋体"/>
                <w:color w:val="000000"/>
                <w:kern w:val="0"/>
                <w:sz w:val="20"/>
                <w:szCs w:val="20"/>
              </w:rPr>
              <w:t>铜</w:t>
            </w:r>
          </w:p>
        </w:tc>
        <w:tc>
          <w:tcPr>
            <w:tcW w:w="952"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mg/l</w:t>
            </w:r>
          </w:p>
        </w:tc>
        <w:tc>
          <w:tcPr>
            <w:tcW w:w="1590"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0.005</w:t>
            </w:r>
          </w:p>
        </w:tc>
        <w:tc>
          <w:tcPr>
            <w:tcW w:w="1845"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0.005</w:t>
            </w:r>
          </w:p>
        </w:tc>
        <w:tc>
          <w:tcPr>
            <w:tcW w:w="1207"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1</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0" w:type="dxa"/>
            <w:bottom w:w="0" w:type="dxa"/>
            <w:right w:w="0" w:type="dxa"/>
          </w:tblCellMar>
        </w:tblPrEx>
        <w:trPr>
          <w:trHeight w:val="397" w:hRule="atLeast"/>
        </w:trPr>
        <w:tc>
          <w:tcPr>
            <w:tcW w:w="824"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11</w:t>
            </w:r>
          </w:p>
        </w:tc>
        <w:tc>
          <w:tcPr>
            <w:tcW w:w="1913"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s="宋体"/>
                <w:color w:val="000000"/>
                <w:kern w:val="0"/>
                <w:sz w:val="20"/>
                <w:szCs w:val="20"/>
              </w:rPr>
              <w:t>锌</w:t>
            </w:r>
          </w:p>
        </w:tc>
        <w:tc>
          <w:tcPr>
            <w:tcW w:w="952"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mg/l</w:t>
            </w:r>
          </w:p>
        </w:tc>
        <w:tc>
          <w:tcPr>
            <w:tcW w:w="1590"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0.005</w:t>
            </w:r>
          </w:p>
        </w:tc>
        <w:tc>
          <w:tcPr>
            <w:tcW w:w="1845"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0.005</w:t>
            </w:r>
          </w:p>
        </w:tc>
        <w:tc>
          <w:tcPr>
            <w:tcW w:w="1207"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1</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0" w:type="dxa"/>
            <w:bottom w:w="0" w:type="dxa"/>
            <w:right w:w="0" w:type="dxa"/>
          </w:tblCellMar>
        </w:tblPrEx>
        <w:trPr>
          <w:trHeight w:val="397" w:hRule="atLeast"/>
        </w:trPr>
        <w:tc>
          <w:tcPr>
            <w:tcW w:w="824"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12</w:t>
            </w:r>
          </w:p>
        </w:tc>
        <w:tc>
          <w:tcPr>
            <w:tcW w:w="1913"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s="宋体"/>
                <w:color w:val="000000"/>
                <w:kern w:val="0"/>
                <w:sz w:val="20"/>
                <w:szCs w:val="20"/>
              </w:rPr>
              <w:t>氟化物（以</w:t>
            </w:r>
            <w:r>
              <w:rPr>
                <w:rFonts w:hint="eastAsia"/>
                <w:color w:val="000000"/>
                <w:kern w:val="0"/>
                <w:sz w:val="20"/>
                <w:szCs w:val="20"/>
              </w:rPr>
              <w:t>F</w:t>
            </w:r>
            <w:r>
              <w:rPr>
                <w:rFonts w:hint="eastAsia" w:cs="宋体"/>
                <w:color w:val="000000"/>
                <w:kern w:val="0"/>
                <w:sz w:val="20"/>
                <w:szCs w:val="20"/>
              </w:rPr>
              <w:t>－计）</w:t>
            </w:r>
          </w:p>
        </w:tc>
        <w:tc>
          <w:tcPr>
            <w:tcW w:w="952"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mg/l</w:t>
            </w:r>
          </w:p>
        </w:tc>
        <w:tc>
          <w:tcPr>
            <w:tcW w:w="1590"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0.194</w:t>
            </w:r>
          </w:p>
        </w:tc>
        <w:tc>
          <w:tcPr>
            <w:tcW w:w="1845"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0.34</w:t>
            </w:r>
          </w:p>
        </w:tc>
        <w:tc>
          <w:tcPr>
            <w:tcW w:w="1207"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1</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0" w:type="dxa"/>
            <w:bottom w:w="0" w:type="dxa"/>
            <w:right w:w="0" w:type="dxa"/>
          </w:tblCellMar>
        </w:tblPrEx>
        <w:trPr>
          <w:trHeight w:val="397" w:hRule="atLeast"/>
        </w:trPr>
        <w:tc>
          <w:tcPr>
            <w:tcW w:w="824"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13</w:t>
            </w:r>
          </w:p>
        </w:tc>
        <w:tc>
          <w:tcPr>
            <w:tcW w:w="1913"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s="宋体"/>
                <w:color w:val="000000"/>
                <w:kern w:val="0"/>
                <w:sz w:val="20"/>
                <w:szCs w:val="20"/>
              </w:rPr>
              <w:t>硒</w:t>
            </w:r>
          </w:p>
        </w:tc>
        <w:tc>
          <w:tcPr>
            <w:tcW w:w="952"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mg/l</w:t>
            </w:r>
          </w:p>
        </w:tc>
        <w:tc>
          <w:tcPr>
            <w:tcW w:w="1590"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0.00025</w:t>
            </w:r>
          </w:p>
        </w:tc>
        <w:tc>
          <w:tcPr>
            <w:tcW w:w="1845"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0.00025</w:t>
            </w:r>
          </w:p>
        </w:tc>
        <w:tc>
          <w:tcPr>
            <w:tcW w:w="1207"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0.01</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0" w:type="dxa"/>
            <w:bottom w:w="0" w:type="dxa"/>
            <w:right w:w="0" w:type="dxa"/>
          </w:tblCellMar>
        </w:tblPrEx>
        <w:trPr>
          <w:trHeight w:val="397" w:hRule="atLeast"/>
        </w:trPr>
        <w:tc>
          <w:tcPr>
            <w:tcW w:w="824"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14</w:t>
            </w:r>
          </w:p>
        </w:tc>
        <w:tc>
          <w:tcPr>
            <w:tcW w:w="1913"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s="宋体"/>
                <w:color w:val="000000"/>
                <w:kern w:val="0"/>
                <w:sz w:val="20"/>
                <w:szCs w:val="20"/>
              </w:rPr>
              <w:t>砷</w:t>
            </w:r>
          </w:p>
        </w:tc>
        <w:tc>
          <w:tcPr>
            <w:tcW w:w="952"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mg/l</w:t>
            </w:r>
          </w:p>
        </w:tc>
        <w:tc>
          <w:tcPr>
            <w:tcW w:w="1590"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0.0001</w:t>
            </w:r>
          </w:p>
        </w:tc>
        <w:tc>
          <w:tcPr>
            <w:tcW w:w="1845"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0.0001</w:t>
            </w:r>
          </w:p>
        </w:tc>
        <w:tc>
          <w:tcPr>
            <w:tcW w:w="1207"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0.05</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0" w:type="dxa"/>
            <w:bottom w:w="0" w:type="dxa"/>
            <w:right w:w="0" w:type="dxa"/>
          </w:tblCellMar>
        </w:tblPrEx>
        <w:trPr>
          <w:trHeight w:val="397" w:hRule="atLeast"/>
        </w:trPr>
        <w:tc>
          <w:tcPr>
            <w:tcW w:w="824"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15</w:t>
            </w:r>
          </w:p>
        </w:tc>
        <w:tc>
          <w:tcPr>
            <w:tcW w:w="1913"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s="宋体"/>
                <w:color w:val="000000"/>
                <w:kern w:val="0"/>
                <w:sz w:val="20"/>
                <w:szCs w:val="20"/>
              </w:rPr>
              <w:t>汞</w:t>
            </w:r>
          </w:p>
        </w:tc>
        <w:tc>
          <w:tcPr>
            <w:tcW w:w="952"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mg/l</w:t>
            </w:r>
          </w:p>
        </w:tc>
        <w:tc>
          <w:tcPr>
            <w:tcW w:w="1590"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0.00001</w:t>
            </w:r>
          </w:p>
        </w:tc>
        <w:tc>
          <w:tcPr>
            <w:tcW w:w="1845"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0.00001</w:t>
            </w:r>
          </w:p>
        </w:tc>
        <w:tc>
          <w:tcPr>
            <w:tcW w:w="1207"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0.00005</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0" w:type="dxa"/>
            <w:bottom w:w="0" w:type="dxa"/>
            <w:right w:w="0" w:type="dxa"/>
          </w:tblCellMar>
        </w:tblPrEx>
        <w:trPr>
          <w:trHeight w:val="397" w:hRule="atLeast"/>
        </w:trPr>
        <w:tc>
          <w:tcPr>
            <w:tcW w:w="824"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16</w:t>
            </w:r>
          </w:p>
        </w:tc>
        <w:tc>
          <w:tcPr>
            <w:tcW w:w="1913"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s="宋体"/>
                <w:color w:val="000000"/>
                <w:kern w:val="0"/>
                <w:sz w:val="20"/>
                <w:szCs w:val="20"/>
              </w:rPr>
              <w:t>镉</w:t>
            </w:r>
          </w:p>
        </w:tc>
        <w:tc>
          <w:tcPr>
            <w:tcW w:w="952"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mg/l</w:t>
            </w:r>
          </w:p>
        </w:tc>
        <w:tc>
          <w:tcPr>
            <w:tcW w:w="1590"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0.00005</w:t>
            </w:r>
          </w:p>
        </w:tc>
        <w:tc>
          <w:tcPr>
            <w:tcW w:w="1845"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0.000054</w:t>
            </w:r>
          </w:p>
        </w:tc>
        <w:tc>
          <w:tcPr>
            <w:tcW w:w="1207"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0.005</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0" w:type="dxa"/>
            <w:bottom w:w="0" w:type="dxa"/>
            <w:right w:w="0" w:type="dxa"/>
          </w:tblCellMar>
        </w:tblPrEx>
        <w:trPr>
          <w:trHeight w:val="397" w:hRule="atLeast"/>
        </w:trPr>
        <w:tc>
          <w:tcPr>
            <w:tcW w:w="824"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17</w:t>
            </w:r>
          </w:p>
        </w:tc>
        <w:tc>
          <w:tcPr>
            <w:tcW w:w="1913"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s="宋体"/>
                <w:color w:val="000000"/>
                <w:kern w:val="0"/>
                <w:sz w:val="20"/>
                <w:szCs w:val="20"/>
              </w:rPr>
              <w:t>六价铬</w:t>
            </w:r>
          </w:p>
        </w:tc>
        <w:tc>
          <w:tcPr>
            <w:tcW w:w="952"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mg/l</w:t>
            </w:r>
          </w:p>
        </w:tc>
        <w:tc>
          <w:tcPr>
            <w:tcW w:w="1590"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0.002</w:t>
            </w:r>
          </w:p>
        </w:tc>
        <w:tc>
          <w:tcPr>
            <w:tcW w:w="1845"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0.002</w:t>
            </w:r>
          </w:p>
        </w:tc>
        <w:tc>
          <w:tcPr>
            <w:tcW w:w="1207"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0.05</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0" w:type="dxa"/>
            <w:bottom w:w="0" w:type="dxa"/>
            <w:right w:w="0" w:type="dxa"/>
          </w:tblCellMar>
        </w:tblPrEx>
        <w:trPr>
          <w:trHeight w:val="397" w:hRule="atLeast"/>
        </w:trPr>
        <w:tc>
          <w:tcPr>
            <w:tcW w:w="824"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18</w:t>
            </w:r>
          </w:p>
        </w:tc>
        <w:tc>
          <w:tcPr>
            <w:tcW w:w="1913"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s="宋体"/>
                <w:color w:val="000000"/>
                <w:kern w:val="0"/>
                <w:sz w:val="20"/>
                <w:szCs w:val="20"/>
              </w:rPr>
              <w:t>铅</w:t>
            </w:r>
          </w:p>
        </w:tc>
        <w:tc>
          <w:tcPr>
            <w:tcW w:w="952"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mg/l</w:t>
            </w:r>
          </w:p>
        </w:tc>
        <w:tc>
          <w:tcPr>
            <w:tcW w:w="1590"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0.0015</w:t>
            </w:r>
          </w:p>
        </w:tc>
        <w:tc>
          <w:tcPr>
            <w:tcW w:w="1845"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0.0015</w:t>
            </w:r>
          </w:p>
        </w:tc>
        <w:tc>
          <w:tcPr>
            <w:tcW w:w="1207"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0.01</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0" w:type="dxa"/>
            <w:bottom w:w="0" w:type="dxa"/>
            <w:right w:w="0" w:type="dxa"/>
          </w:tblCellMar>
        </w:tblPrEx>
        <w:trPr>
          <w:trHeight w:val="397" w:hRule="atLeast"/>
        </w:trPr>
        <w:tc>
          <w:tcPr>
            <w:tcW w:w="824"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19</w:t>
            </w:r>
          </w:p>
        </w:tc>
        <w:tc>
          <w:tcPr>
            <w:tcW w:w="1913"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s="宋体"/>
                <w:color w:val="000000"/>
                <w:kern w:val="0"/>
                <w:sz w:val="20"/>
                <w:szCs w:val="20"/>
              </w:rPr>
              <w:t>氰化物</w:t>
            </w:r>
          </w:p>
        </w:tc>
        <w:tc>
          <w:tcPr>
            <w:tcW w:w="952"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mg/l</w:t>
            </w:r>
          </w:p>
        </w:tc>
        <w:tc>
          <w:tcPr>
            <w:tcW w:w="1590"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0.002</w:t>
            </w:r>
          </w:p>
        </w:tc>
        <w:tc>
          <w:tcPr>
            <w:tcW w:w="1845"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0.002</w:t>
            </w:r>
          </w:p>
        </w:tc>
        <w:tc>
          <w:tcPr>
            <w:tcW w:w="1207"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0.05</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0" w:type="dxa"/>
            <w:bottom w:w="0" w:type="dxa"/>
            <w:right w:w="0" w:type="dxa"/>
          </w:tblCellMar>
        </w:tblPrEx>
        <w:trPr>
          <w:trHeight w:val="397" w:hRule="atLeast"/>
        </w:trPr>
        <w:tc>
          <w:tcPr>
            <w:tcW w:w="824"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20</w:t>
            </w:r>
          </w:p>
        </w:tc>
        <w:tc>
          <w:tcPr>
            <w:tcW w:w="1913"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s="宋体"/>
                <w:color w:val="000000"/>
                <w:kern w:val="0"/>
                <w:sz w:val="20"/>
                <w:szCs w:val="20"/>
              </w:rPr>
              <w:t>挥发酚</w:t>
            </w:r>
          </w:p>
        </w:tc>
        <w:tc>
          <w:tcPr>
            <w:tcW w:w="952"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mg/l</w:t>
            </w:r>
          </w:p>
        </w:tc>
        <w:tc>
          <w:tcPr>
            <w:tcW w:w="1590"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0.0012</w:t>
            </w:r>
          </w:p>
        </w:tc>
        <w:tc>
          <w:tcPr>
            <w:tcW w:w="1845"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0.0016</w:t>
            </w:r>
          </w:p>
        </w:tc>
        <w:tc>
          <w:tcPr>
            <w:tcW w:w="1207"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0.005</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0" w:type="dxa"/>
            <w:bottom w:w="0" w:type="dxa"/>
            <w:right w:w="0" w:type="dxa"/>
          </w:tblCellMar>
        </w:tblPrEx>
        <w:trPr>
          <w:trHeight w:val="397" w:hRule="atLeast"/>
        </w:trPr>
        <w:tc>
          <w:tcPr>
            <w:tcW w:w="824"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21</w:t>
            </w:r>
          </w:p>
        </w:tc>
        <w:tc>
          <w:tcPr>
            <w:tcW w:w="1913"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s="宋体"/>
                <w:color w:val="000000"/>
                <w:kern w:val="0"/>
                <w:sz w:val="20"/>
                <w:szCs w:val="20"/>
              </w:rPr>
              <w:t>石油类</w:t>
            </w:r>
          </w:p>
        </w:tc>
        <w:tc>
          <w:tcPr>
            <w:tcW w:w="952"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mg/l</w:t>
            </w:r>
          </w:p>
        </w:tc>
        <w:tc>
          <w:tcPr>
            <w:tcW w:w="1590"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0.01</w:t>
            </w:r>
          </w:p>
        </w:tc>
        <w:tc>
          <w:tcPr>
            <w:tcW w:w="1845"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0.01</w:t>
            </w:r>
          </w:p>
        </w:tc>
        <w:tc>
          <w:tcPr>
            <w:tcW w:w="1207"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0.05</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0" w:type="dxa"/>
            <w:bottom w:w="0" w:type="dxa"/>
            <w:right w:w="0" w:type="dxa"/>
          </w:tblCellMar>
        </w:tblPrEx>
        <w:trPr>
          <w:trHeight w:val="397" w:hRule="atLeast"/>
        </w:trPr>
        <w:tc>
          <w:tcPr>
            <w:tcW w:w="824"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22</w:t>
            </w:r>
          </w:p>
        </w:tc>
        <w:tc>
          <w:tcPr>
            <w:tcW w:w="1913"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s="宋体"/>
                <w:color w:val="000000"/>
                <w:kern w:val="0"/>
                <w:sz w:val="20"/>
                <w:szCs w:val="20"/>
              </w:rPr>
              <w:t>阴离子表面活性剂</w:t>
            </w:r>
          </w:p>
        </w:tc>
        <w:tc>
          <w:tcPr>
            <w:tcW w:w="952"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mg/l</w:t>
            </w:r>
          </w:p>
        </w:tc>
        <w:tc>
          <w:tcPr>
            <w:tcW w:w="1590"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0.01</w:t>
            </w:r>
          </w:p>
        </w:tc>
        <w:tc>
          <w:tcPr>
            <w:tcW w:w="1845"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0.01</w:t>
            </w:r>
          </w:p>
        </w:tc>
        <w:tc>
          <w:tcPr>
            <w:tcW w:w="1207"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0.2</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0" w:type="dxa"/>
            <w:bottom w:w="0" w:type="dxa"/>
            <w:right w:w="0" w:type="dxa"/>
          </w:tblCellMar>
        </w:tblPrEx>
        <w:trPr>
          <w:trHeight w:val="397" w:hRule="atLeast"/>
        </w:trPr>
        <w:tc>
          <w:tcPr>
            <w:tcW w:w="824"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23</w:t>
            </w:r>
          </w:p>
        </w:tc>
        <w:tc>
          <w:tcPr>
            <w:tcW w:w="1913"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s="宋体"/>
                <w:color w:val="000000"/>
                <w:kern w:val="0"/>
                <w:sz w:val="20"/>
                <w:szCs w:val="20"/>
              </w:rPr>
              <w:t>硫化物</w:t>
            </w:r>
          </w:p>
        </w:tc>
        <w:tc>
          <w:tcPr>
            <w:tcW w:w="952"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mg/l</w:t>
            </w:r>
          </w:p>
        </w:tc>
        <w:tc>
          <w:tcPr>
            <w:tcW w:w="1590"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0.0056</w:t>
            </w:r>
          </w:p>
        </w:tc>
        <w:tc>
          <w:tcPr>
            <w:tcW w:w="1845"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0.0025</w:t>
            </w:r>
          </w:p>
        </w:tc>
        <w:tc>
          <w:tcPr>
            <w:tcW w:w="1207"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0.1</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0" w:type="dxa"/>
            <w:bottom w:w="0" w:type="dxa"/>
            <w:right w:w="0" w:type="dxa"/>
          </w:tblCellMar>
        </w:tblPrEx>
        <w:trPr>
          <w:trHeight w:val="397" w:hRule="atLeast"/>
        </w:trPr>
        <w:tc>
          <w:tcPr>
            <w:tcW w:w="824"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24</w:t>
            </w:r>
          </w:p>
        </w:tc>
        <w:tc>
          <w:tcPr>
            <w:tcW w:w="1913"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s="宋体"/>
                <w:color w:val="000000"/>
                <w:kern w:val="0"/>
                <w:sz w:val="20"/>
                <w:szCs w:val="20"/>
              </w:rPr>
              <w:t>粪大肠菌群</w:t>
            </w:r>
          </w:p>
        </w:tc>
        <w:tc>
          <w:tcPr>
            <w:tcW w:w="952"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s="宋体"/>
                <w:color w:val="000000"/>
                <w:kern w:val="0"/>
                <w:sz w:val="20"/>
                <w:szCs w:val="20"/>
              </w:rPr>
              <w:t>个</w:t>
            </w:r>
            <w:r>
              <w:rPr>
                <w:rFonts w:hint="eastAsia"/>
                <w:color w:val="000000"/>
                <w:kern w:val="0"/>
                <w:sz w:val="20"/>
                <w:szCs w:val="20"/>
              </w:rPr>
              <w:t>/L</w:t>
            </w:r>
          </w:p>
        </w:tc>
        <w:tc>
          <w:tcPr>
            <w:tcW w:w="1590"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59</w:t>
            </w:r>
          </w:p>
        </w:tc>
        <w:tc>
          <w:tcPr>
            <w:tcW w:w="1845"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67</w:t>
            </w:r>
          </w:p>
        </w:tc>
        <w:tc>
          <w:tcPr>
            <w:tcW w:w="1207"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2000</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0" w:type="dxa"/>
            <w:bottom w:w="0" w:type="dxa"/>
            <w:right w:w="0" w:type="dxa"/>
          </w:tblCellMar>
        </w:tblPrEx>
        <w:trPr>
          <w:trHeight w:val="397" w:hRule="atLeast"/>
        </w:trPr>
        <w:tc>
          <w:tcPr>
            <w:tcW w:w="824"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25</w:t>
            </w:r>
          </w:p>
        </w:tc>
        <w:tc>
          <w:tcPr>
            <w:tcW w:w="1913"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s="宋体"/>
                <w:color w:val="000000"/>
                <w:kern w:val="0"/>
                <w:sz w:val="20"/>
                <w:szCs w:val="20"/>
              </w:rPr>
              <w:t>叶绿素</w:t>
            </w:r>
            <w:r>
              <w:rPr>
                <w:rFonts w:hint="eastAsia"/>
                <w:color w:val="000000"/>
                <w:kern w:val="0"/>
                <w:sz w:val="20"/>
                <w:szCs w:val="20"/>
              </w:rPr>
              <w:t>a</w:t>
            </w:r>
          </w:p>
        </w:tc>
        <w:tc>
          <w:tcPr>
            <w:tcW w:w="952"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mg/m</w:t>
            </w:r>
            <w:r>
              <w:rPr>
                <w:rFonts w:hint="eastAsia"/>
                <w:color w:val="000000"/>
                <w:kern w:val="0"/>
                <w:sz w:val="20"/>
                <w:szCs w:val="20"/>
                <w:vertAlign w:val="superscript"/>
              </w:rPr>
              <w:t>3</w:t>
            </w:r>
          </w:p>
        </w:tc>
        <w:tc>
          <w:tcPr>
            <w:tcW w:w="1590"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3.42</w:t>
            </w:r>
          </w:p>
        </w:tc>
        <w:tc>
          <w:tcPr>
            <w:tcW w:w="1845"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3.51</w:t>
            </w:r>
          </w:p>
        </w:tc>
        <w:tc>
          <w:tcPr>
            <w:tcW w:w="1207"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s="宋体"/>
                <w:color w:val="000000"/>
                <w:kern w:val="0"/>
                <w:sz w:val="20"/>
                <w:szCs w:val="20"/>
              </w:rPr>
              <w:t>——</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0" w:type="dxa"/>
            <w:bottom w:w="0" w:type="dxa"/>
            <w:right w:w="0" w:type="dxa"/>
          </w:tblCellMar>
        </w:tblPrEx>
        <w:trPr>
          <w:trHeight w:val="397" w:hRule="atLeast"/>
        </w:trPr>
        <w:tc>
          <w:tcPr>
            <w:tcW w:w="824"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26</w:t>
            </w:r>
          </w:p>
        </w:tc>
        <w:tc>
          <w:tcPr>
            <w:tcW w:w="1913"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s="宋体"/>
                <w:color w:val="000000"/>
                <w:kern w:val="0"/>
                <w:sz w:val="20"/>
                <w:szCs w:val="20"/>
              </w:rPr>
              <w:t>透明度</w:t>
            </w:r>
          </w:p>
        </w:tc>
        <w:tc>
          <w:tcPr>
            <w:tcW w:w="952"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cm</w:t>
            </w:r>
          </w:p>
        </w:tc>
        <w:tc>
          <w:tcPr>
            <w:tcW w:w="1590"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188</w:t>
            </w:r>
          </w:p>
        </w:tc>
        <w:tc>
          <w:tcPr>
            <w:tcW w:w="1845"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188</w:t>
            </w:r>
          </w:p>
        </w:tc>
        <w:tc>
          <w:tcPr>
            <w:tcW w:w="1207"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s="宋体"/>
                <w:color w:val="000000"/>
                <w:kern w:val="0"/>
                <w:sz w:val="20"/>
                <w:szCs w:val="20"/>
              </w:rPr>
              <w:t>——</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0" w:type="dxa"/>
            <w:bottom w:w="0" w:type="dxa"/>
            <w:right w:w="0" w:type="dxa"/>
          </w:tblCellMar>
        </w:tblPrEx>
        <w:trPr>
          <w:trHeight w:val="397" w:hRule="atLeast"/>
        </w:trPr>
        <w:tc>
          <w:tcPr>
            <w:tcW w:w="824"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27</w:t>
            </w:r>
          </w:p>
        </w:tc>
        <w:tc>
          <w:tcPr>
            <w:tcW w:w="1913"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s="宋体"/>
                <w:color w:val="000000"/>
                <w:kern w:val="0"/>
                <w:sz w:val="20"/>
                <w:szCs w:val="20"/>
              </w:rPr>
              <w:t>硫酸盐</w:t>
            </w:r>
          </w:p>
        </w:tc>
        <w:tc>
          <w:tcPr>
            <w:tcW w:w="952"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mg/l</w:t>
            </w:r>
          </w:p>
        </w:tc>
        <w:tc>
          <w:tcPr>
            <w:tcW w:w="1590"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9.06</w:t>
            </w:r>
          </w:p>
        </w:tc>
        <w:tc>
          <w:tcPr>
            <w:tcW w:w="1845"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9.40</w:t>
            </w:r>
          </w:p>
        </w:tc>
        <w:tc>
          <w:tcPr>
            <w:tcW w:w="1207"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250</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0" w:type="dxa"/>
            <w:bottom w:w="0" w:type="dxa"/>
            <w:right w:w="0" w:type="dxa"/>
          </w:tblCellMar>
        </w:tblPrEx>
        <w:trPr>
          <w:trHeight w:val="397" w:hRule="atLeast"/>
        </w:trPr>
        <w:tc>
          <w:tcPr>
            <w:tcW w:w="824"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28</w:t>
            </w:r>
          </w:p>
        </w:tc>
        <w:tc>
          <w:tcPr>
            <w:tcW w:w="1913"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s="宋体"/>
                <w:color w:val="000000"/>
                <w:kern w:val="0"/>
                <w:sz w:val="20"/>
                <w:szCs w:val="20"/>
              </w:rPr>
              <w:t>氯化物</w:t>
            </w:r>
          </w:p>
        </w:tc>
        <w:tc>
          <w:tcPr>
            <w:tcW w:w="952"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mg/l</w:t>
            </w:r>
          </w:p>
        </w:tc>
        <w:tc>
          <w:tcPr>
            <w:tcW w:w="1590"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2.11</w:t>
            </w:r>
          </w:p>
        </w:tc>
        <w:tc>
          <w:tcPr>
            <w:tcW w:w="1845"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1.94</w:t>
            </w:r>
          </w:p>
        </w:tc>
        <w:tc>
          <w:tcPr>
            <w:tcW w:w="1207"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250</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0" w:type="dxa"/>
            <w:bottom w:w="0" w:type="dxa"/>
            <w:right w:w="0" w:type="dxa"/>
          </w:tblCellMar>
        </w:tblPrEx>
        <w:trPr>
          <w:trHeight w:val="397" w:hRule="atLeast"/>
        </w:trPr>
        <w:tc>
          <w:tcPr>
            <w:tcW w:w="824"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29</w:t>
            </w:r>
          </w:p>
        </w:tc>
        <w:tc>
          <w:tcPr>
            <w:tcW w:w="1913"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s="宋体"/>
                <w:color w:val="000000"/>
                <w:kern w:val="0"/>
                <w:sz w:val="20"/>
                <w:szCs w:val="20"/>
              </w:rPr>
              <w:t>硝酸盐</w:t>
            </w:r>
          </w:p>
        </w:tc>
        <w:tc>
          <w:tcPr>
            <w:tcW w:w="952"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mg/l</w:t>
            </w:r>
          </w:p>
        </w:tc>
        <w:tc>
          <w:tcPr>
            <w:tcW w:w="1590"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0.37</w:t>
            </w:r>
          </w:p>
        </w:tc>
        <w:tc>
          <w:tcPr>
            <w:tcW w:w="1845"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0.24</w:t>
            </w:r>
          </w:p>
        </w:tc>
        <w:tc>
          <w:tcPr>
            <w:tcW w:w="1207"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10</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0" w:type="dxa"/>
            <w:bottom w:w="0" w:type="dxa"/>
            <w:right w:w="0" w:type="dxa"/>
          </w:tblCellMar>
        </w:tblPrEx>
        <w:trPr>
          <w:trHeight w:val="397" w:hRule="atLeast"/>
        </w:trPr>
        <w:tc>
          <w:tcPr>
            <w:tcW w:w="824"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30</w:t>
            </w:r>
          </w:p>
        </w:tc>
        <w:tc>
          <w:tcPr>
            <w:tcW w:w="1913"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s="宋体"/>
                <w:color w:val="000000"/>
                <w:kern w:val="0"/>
                <w:sz w:val="20"/>
                <w:szCs w:val="20"/>
              </w:rPr>
              <w:t>铁</w:t>
            </w:r>
          </w:p>
        </w:tc>
        <w:tc>
          <w:tcPr>
            <w:tcW w:w="952"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mg/l</w:t>
            </w:r>
          </w:p>
        </w:tc>
        <w:tc>
          <w:tcPr>
            <w:tcW w:w="1590"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0.04</w:t>
            </w:r>
          </w:p>
        </w:tc>
        <w:tc>
          <w:tcPr>
            <w:tcW w:w="1845"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0.034</w:t>
            </w:r>
          </w:p>
        </w:tc>
        <w:tc>
          <w:tcPr>
            <w:tcW w:w="1207"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0.3</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0" w:type="dxa"/>
            <w:bottom w:w="0" w:type="dxa"/>
            <w:right w:w="0" w:type="dxa"/>
          </w:tblCellMar>
        </w:tblPrEx>
        <w:trPr>
          <w:trHeight w:val="397" w:hRule="atLeast"/>
        </w:trPr>
        <w:tc>
          <w:tcPr>
            <w:tcW w:w="824"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31</w:t>
            </w:r>
          </w:p>
        </w:tc>
        <w:tc>
          <w:tcPr>
            <w:tcW w:w="1913"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s="宋体"/>
                <w:color w:val="000000"/>
                <w:kern w:val="0"/>
                <w:sz w:val="20"/>
                <w:szCs w:val="20"/>
              </w:rPr>
              <w:t>锰</w:t>
            </w:r>
          </w:p>
        </w:tc>
        <w:tc>
          <w:tcPr>
            <w:tcW w:w="952"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mg/l</w:t>
            </w:r>
          </w:p>
        </w:tc>
        <w:tc>
          <w:tcPr>
            <w:tcW w:w="1590"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0.01</w:t>
            </w:r>
          </w:p>
        </w:tc>
        <w:tc>
          <w:tcPr>
            <w:tcW w:w="1845"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0.02</w:t>
            </w:r>
          </w:p>
        </w:tc>
        <w:tc>
          <w:tcPr>
            <w:tcW w:w="1207"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0.1</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0" w:type="dxa"/>
            <w:bottom w:w="0" w:type="dxa"/>
            <w:right w:w="0" w:type="dxa"/>
          </w:tblCellMar>
        </w:tblPrEx>
        <w:trPr>
          <w:trHeight w:val="397" w:hRule="atLeast"/>
        </w:trPr>
        <w:tc>
          <w:tcPr>
            <w:tcW w:w="824"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32</w:t>
            </w:r>
          </w:p>
        </w:tc>
        <w:tc>
          <w:tcPr>
            <w:tcW w:w="1913"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s="宋体"/>
                <w:color w:val="000000"/>
                <w:kern w:val="0"/>
                <w:sz w:val="20"/>
                <w:szCs w:val="20"/>
              </w:rPr>
              <w:t>三氯甲烷</w:t>
            </w:r>
          </w:p>
        </w:tc>
        <w:tc>
          <w:tcPr>
            <w:tcW w:w="952"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mg/l</w:t>
            </w:r>
          </w:p>
        </w:tc>
        <w:tc>
          <w:tcPr>
            <w:tcW w:w="1590"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0.0000015</w:t>
            </w:r>
          </w:p>
        </w:tc>
        <w:tc>
          <w:tcPr>
            <w:tcW w:w="1845"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0.0000015</w:t>
            </w:r>
          </w:p>
        </w:tc>
        <w:tc>
          <w:tcPr>
            <w:tcW w:w="1207"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0.06</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0" w:type="dxa"/>
            <w:bottom w:w="0" w:type="dxa"/>
            <w:right w:w="0" w:type="dxa"/>
          </w:tblCellMar>
        </w:tblPrEx>
        <w:trPr>
          <w:trHeight w:val="397" w:hRule="atLeast"/>
        </w:trPr>
        <w:tc>
          <w:tcPr>
            <w:tcW w:w="824"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33</w:t>
            </w:r>
          </w:p>
        </w:tc>
        <w:tc>
          <w:tcPr>
            <w:tcW w:w="1913"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s="宋体"/>
                <w:color w:val="000000"/>
                <w:kern w:val="0"/>
                <w:sz w:val="20"/>
                <w:szCs w:val="20"/>
              </w:rPr>
              <w:t>四氯化碳</w:t>
            </w:r>
          </w:p>
        </w:tc>
        <w:tc>
          <w:tcPr>
            <w:tcW w:w="952"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mg/l</w:t>
            </w:r>
          </w:p>
        </w:tc>
        <w:tc>
          <w:tcPr>
            <w:tcW w:w="1590"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0.000000115</w:t>
            </w:r>
          </w:p>
        </w:tc>
        <w:tc>
          <w:tcPr>
            <w:tcW w:w="1845"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0.000000115</w:t>
            </w:r>
          </w:p>
        </w:tc>
        <w:tc>
          <w:tcPr>
            <w:tcW w:w="1207"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0.002</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0" w:type="dxa"/>
            <w:bottom w:w="0" w:type="dxa"/>
            <w:right w:w="0" w:type="dxa"/>
          </w:tblCellMar>
        </w:tblPrEx>
        <w:trPr>
          <w:trHeight w:val="397" w:hRule="atLeast"/>
        </w:trPr>
        <w:tc>
          <w:tcPr>
            <w:tcW w:w="824"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34</w:t>
            </w:r>
          </w:p>
        </w:tc>
        <w:tc>
          <w:tcPr>
            <w:tcW w:w="1913"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s="宋体"/>
                <w:color w:val="000000"/>
                <w:kern w:val="0"/>
                <w:sz w:val="20"/>
                <w:szCs w:val="20"/>
              </w:rPr>
              <w:t>三溴甲烷</w:t>
            </w:r>
          </w:p>
        </w:tc>
        <w:tc>
          <w:tcPr>
            <w:tcW w:w="952"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mg/l</w:t>
            </w:r>
          </w:p>
        </w:tc>
        <w:tc>
          <w:tcPr>
            <w:tcW w:w="1590"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0.0003L</w:t>
            </w:r>
          </w:p>
        </w:tc>
        <w:tc>
          <w:tcPr>
            <w:tcW w:w="1845"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0.0003L</w:t>
            </w:r>
          </w:p>
        </w:tc>
        <w:tc>
          <w:tcPr>
            <w:tcW w:w="1207"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0.1</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0" w:type="dxa"/>
            <w:bottom w:w="0" w:type="dxa"/>
            <w:right w:w="0" w:type="dxa"/>
          </w:tblCellMar>
        </w:tblPrEx>
        <w:trPr>
          <w:trHeight w:val="397" w:hRule="atLeast"/>
        </w:trPr>
        <w:tc>
          <w:tcPr>
            <w:tcW w:w="824"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35</w:t>
            </w:r>
          </w:p>
        </w:tc>
        <w:tc>
          <w:tcPr>
            <w:tcW w:w="1913"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s="宋体"/>
                <w:color w:val="000000"/>
                <w:kern w:val="0"/>
                <w:sz w:val="20"/>
                <w:szCs w:val="20"/>
              </w:rPr>
              <w:t>二氯甲烷</w:t>
            </w:r>
          </w:p>
        </w:tc>
        <w:tc>
          <w:tcPr>
            <w:tcW w:w="952"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mg/l</w:t>
            </w:r>
          </w:p>
        </w:tc>
        <w:tc>
          <w:tcPr>
            <w:tcW w:w="1590"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0.0087L</w:t>
            </w:r>
          </w:p>
        </w:tc>
        <w:tc>
          <w:tcPr>
            <w:tcW w:w="1845"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0.0087L</w:t>
            </w:r>
          </w:p>
        </w:tc>
        <w:tc>
          <w:tcPr>
            <w:tcW w:w="1207"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0.02</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0" w:type="dxa"/>
            <w:bottom w:w="0" w:type="dxa"/>
            <w:right w:w="0" w:type="dxa"/>
          </w:tblCellMar>
        </w:tblPrEx>
        <w:trPr>
          <w:trHeight w:val="397" w:hRule="atLeast"/>
        </w:trPr>
        <w:tc>
          <w:tcPr>
            <w:tcW w:w="824"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36</w:t>
            </w:r>
          </w:p>
        </w:tc>
        <w:tc>
          <w:tcPr>
            <w:tcW w:w="1913"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1</w:t>
            </w:r>
            <w:r>
              <w:rPr>
                <w:rFonts w:hint="eastAsia" w:cs="宋体"/>
                <w:color w:val="000000"/>
                <w:kern w:val="0"/>
                <w:sz w:val="20"/>
                <w:szCs w:val="20"/>
              </w:rPr>
              <w:t>，</w:t>
            </w:r>
            <w:r>
              <w:rPr>
                <w:rFonts w:hint="eastAsia"/>
                <w:color w:val="000000"/>
                <w:kern w:val="0"/>
                <w:sz w:val="20"/>
                <w:szCs w:val="20"/>
              </w:rPr>
              <w:t>2-</w:t>
            </w:r>
            <w:r>
              <w:rPr>
                <w:rFonts w:hint="eastAsia" w:cs="宋体"/>
                <w:color w:val="000000"/>
                <w:kern w:val="0"/>
                <w:sz w:val="20"/>
                <w:szCs w:val="20"/>
              </w:rPr>
              <w:t>二氯乙烷</w:t>
            </w:r>
          </w:p>
        </w:tc>
        <w:tc>
          <w:tcPr>
            <w:tcW w:w="952"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mg/l</w:t>
            </w:r>
          </w:p>
        </w:tc>
        <w:tc>
          <w:tcPr>
            <w:tcW w:w="1590"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0.0125L</w:t>
            </w:r>
          </w:p>
        </w:tc>
        <w:tc>
          <w:tcPr>
            <w:tcW w:w="1845"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0.0125L</w:t>
            </w:r>
          </w:p>
        </w:tc>
        <w:tc>
          <w:tcPr>
            <w:tcW w:w="1207"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0.03</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0" w:type="dxa"/>
            <w:bottom w:w="0" w:type="dxa"/>
            <w:right w:w="0" w:type="dxa"/>
          </w:tblCellMar>
        </w:tblPrEx>
        <w:trPr>
          <w:trHeight w:val="397" w:hRule="atLeast"/>
        </w:trPr>
        <w:tc>
          <w:tcPr>
            <w:tcW w:w="824"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37</w:t>
            </w:r>
          </w:p>
        </w:tc>
        <w:tc>
          <w:tcPr>
            <w:tcW w:w="1913"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s="宋体"/>
                <w:color w:val="000000"/>
                <w:kern w:val="0"/>
                <w:sz w:val="20"/>
                <w:szCs w:val="20"/>
              </w:rPr>
              <w:t>环氧氯丙烷</w:t>
            </w:r>
          </w:p>
        </w:tc>
        <w:tc>
          <w:tcPr>
            <w:tcW w:w="952"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mg/l</w:t>
            </w:r>
          </w:p>
        </w:tc>
        <w:tc>
          <w:tcPr>
            <w:tcW w:w="1590"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0.02L</w:t>
            </w:r>
          </w:p>
        </w:tc>
        <w:tc>
          <w:tcPr>
            <w:tcW w:w="1845"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0.02L</w:t>
            </w:r>
          </w:p>
        </w:tc>
        <w:tc>
          <w:tcPr>
            <w:tcW w:w="1207"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0.02</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0" w:type="dxa"/>
            <w:bottom w:w="0" w:type="dxa"/>
            <w:right w:w="0" w:type="dxa"/>
          </w:tblCellMar>
        </w:tblPrEx>
        <w:trPr>
          <w:trHeight w:val="397" w:hRule="atLeast"/>
        </w:trPr>
        <w:tc>
          <w:tcPr>
            <w:tcW w:w="824"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38</w:t>
            </w:r>
          </w:p>
        </w:tc>
        <w:tc>
          <w:tcPr>
            <w:tcW w:w="1913"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s="宋体"/>
                <w:color w:val="000000"/>
                <w:kern w:val="0"/>
                <w:sz w:val="20"/>
                <w:szCs w:val="20"/>
              </w:rPr>
              <w:t>氯乙烯</w:t>
            </w:r>
          </w:p>
        </w:tc>
        <w:tc>
          <w:tcPr>
            <w:tcW w:w="952"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mg/l</w:t>
            </w:r>
          </w:p>
        </w:tc>
        <w:tc>
          <w:tcPr>
            <w:tcW w:w="1590"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0.001L</w:t>
            </w:r>
          </w:p>
        </w:tc>
        <w:tc>
          <w:tcPr>
            <w:tcW w:w="1845"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0.001L</w:t>
            </w:r>
          </w:p>
        </w:tc>
        <w:tc>
          <w:tcPr>
            <w:tcW w:w="1207"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0.005</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0" w:type="dxa"/>
            <w:bottom w:w="0" w:type="dxa"/>
            <w:right w:w="0" w:type="dxa"/>
          </w:tblCellMar>
        </w:tblPrEx>
        <w:trPr>
          <w:trHeight w:val="397" w:hRule="atLeast"/>
        </w:trPr>
        <w:tc>
          <w:tcPr>
            <w:tcW w:w="824"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39</w:t>
            </w:r>
          </w:p>
        </w:tc>
        <w:tc>
          <w:tcPr>
            <w:tcW w:w="1913"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1</w:t>
            </w:r>
            <w:r>
              <w:rPr>
                <w:rFonts w:hint="eastAsia" w:cs="宋体"/>
                <w:color w:val="000000"/>
                <w:kern w:val="0"/>
                <w:sz w:val="20"/>
                <w:szCs w:val="20"/>
              </w:rPr>
              <w:t>，</w:t>
            </w:r>
            <w:r>
              <w:rPr>
                <w:rFonts w:hint="eastAsia"/>
                <w:color w:val="000000"/>
                <w:kern w:val="0"/>
                <w:sz w:val="20"/>
                <w:szCs w:val="20"/>
              </w:rPr>
              <w:t>1-</w:t>
            </w:r>
            <w:r>
              <w:rPr>
                <w:rFonts w:hint="eastAsia" w:cs="宋体"/>
                <w:color w:val="000000"/>
                <w:kern w:val="0"/>
                <w:sz w:val="20"/>
                <w:szCs w:val="20"/>
              </w:rPr>
              <w:t>二氯乙烯</w:t>
            </w:r>
          </w:p>
        </w:tc>
        <w:tc>
          <w:tcPr>
            <w:tcW w:w="952"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mg/l</w:t>
            </w:r>
          </w:p>
        </w:tc>
        <w:tc>
          <w:tcPr>
            <w:tcW w:w="1590"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0.000018L</w:t>
            </w:r>
          </w:p>
        </w:tc>
        <w:tc>
          <w:tcPr>
            <w:tcW w:w="1845"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0.000018L</w:t>
            </w:r>
          </w:p>
        </w:tc>
        <w:tc>
          <w:tcPr>
            <w:tcW w:w="1207"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0.03</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0" w:type="dxa"/>
            <w:bottom w:w="0" w:type="dxa"/>
            <w:right w:w="0" w:type="dxa"/>
          </w:tblCellMar>
        </w:tblPrEx>
        <w:trPr>
          <w:trHeight w:val="397" w:hRule="atLeast"/>
        </w:trPr>
        <w:tc>
          <w:tcPr>
            <w:tcW w:w="824"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40</w:t>
            </w:r>
          </w:p>
        </w:tc>
        <w:tc>
          <w:tcPr>
            <w:tcW w:w="1913"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1</w:t>
            </w:r>
            <w:r>
              <w:rPr>
                <w:rFonts w:hint="eastAsia" w:cs="宋体"/>
                <w:color w:val="000000"/>
                <w:kern w:val="0"/>
                <w:sz w:val="20"/>
                <w:szCs w:val="20"/>
              </w:rPr>
              <w:t>，</w:t>
            </w:r>
            <w:r>
              <w:rPr>
                <w:rFonts w:hint="eastAsia"/>
                <w:color w:val="000000"/>
                <w:kern w:val="0"/>
                <w:sz w:val="20"/>
                <w:szCs w:val="20"/>
              </w:rPr>
              <w:t>2-</w:t>
            </w:r>
            <w:r>
              <w:rPr>
                <w:rFonts w:hint="eastAsia" w:cs="宋体"/>
                <w:color w:val="000000"/>
                <w:kern w:val="0"/>
                <w:sz w:val="20"/>
                <w:szCs w:val="20"/>
              </w:rPr>
              <w:t>二氯乙烯</w:t>
            </w:r>
          </w:p>
        </w:tc>
        <w:tc>
          <w:tcPr>
            <w:tcW w:w="952"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mg/l</w:t>
            </w:r>
          </w:p>
        </w:tc>
        <w:tc>
          <w:tcPr>
            <w:tcW w:w="1590"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0.000012L</w:t>
            </w:r>
          </w:p>
        </w:tc>
        <w:tc>
          <w:tcPr>
            <w:tcW w:w="1845"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0.000012L</w:t>
            </w:r>
          </w:p>
        </w:tc>
        <w:tc>
          <w:tcPr>
            <w:tcW w:w="1207"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0.05</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0" w:type="dxa"/>
            <w:bottom w:w="0" w:type="dxa"/>
            <w:right w:w="0" w:type="dxa"/>
          </w:tblCellMar>
        </w:tblPrEx>
        <w:trPr>
          <w:trHeight w:val="397" w:hRule="atLeast"/>
        </w:trPr>
        <w:tc>
          <w:tcPr>
            <w:tcW w:w="824"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41</w:t>
            </w:r>
          </w:p>
        </w:tc>
        <w:tc>
          <w:tcPr>
            <w:tcW w:w="1913"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s="宋体"/>
                <w:color w:val="000000"/>
                <w:kern w:val="0"/>
                <w:sz w:val="20"/>
                <w:szCs w:val="20"/>
              </w:rPr>
              <w:t>三氯乙烯</w:t>
            </w:r>
          </w:p>
        </w:tc>
        <w:tc>
          <w:tcPr>
            <w:tcW w:w="952"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mg/l</w:t>
            </w:r>
          </w:p>
        </w:tc>
        <w:tc>
          <w:tcPr>
            <w:tcW w:w="1590"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0.0000005</w:t>
            </w:r>
          </w:p>
        </w:tc>
        <w:tc>
          <w:tcPr>
            <w:tcW w:w="1845"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0.0000005</w:t>
            </w:r>
          </w:p>
        </w:tc>
        <w:tc>
          <w:tcPr>
            <w:tcW w:w="1207"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0.07</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0" w:type="dxa"/>
            <w:bottom w:w="0" w:type="dxa"/>
            <w:right w:w="0" w:type="dxa"/>
          </w:tblCellMar>
        </w:tblPrEx>
        <w:trPr>
          <w:trHeight w:val="397" w:hRule="atLeast"/>
        </w:trPr>
        <w:tc>
          <w:tcPr>
            <w:tcW w:w="824"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42</w:t>
            </w:r>
          </w:p>
        </w:tc>
        <w:tc>
          <w:tcPr>
            <w:tcW w:w="1913"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s="宋体"/>
                <w:color w:val="000000"/>
                <w:kern w:val="0"/>
                <w:sz w:val="20"/>
                <w:szCs w:val="20"/>
              </w:rPr>
              <w:t>四氯乙烯</w:t>
            </w:r>
          </w:p>
        </w:tc>
        <w:tc>
          <w:tcPr>
            <w:tcW w:w="952"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mg/l</w:t>
            </w:r>
          </w:p>
        </w:tc>
        <w:tc>
          <w:tcPr>
            <w:tcW w:w="1590"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0.00000015</w:t>
            </w:r>
          </w:p>
        </w:tc>
        <w:tc>
          <w:tcPr>
            <w:tcW w:w="1845"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0.00000015</w:t>
            </w:r>
          </w:p>
        </w:tc>
        <w:tc>
          <w:tcPr>
            <w:tcW w:w="1207"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0.04</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0" w:type="dxa"/>
            <w:bottom w:w="0" w:type="dxa"/>
            <w:right w:w="0" w:type="dxa"/>
          </w:tblCellMar>
        </w:tblPrEx>
        <w:trPr>
          <w:trHeight w:val="397" w:hRule="atLeast"/>
        </w:trPr>
        <w:tc>
          <w:tcPr>
            <w:tcW w:w="824"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43</w:t>
            </w:r>
          </w:p>
        </w:tc>
        <w:tc>
          <w:tcPr>
            <w:tcW w:w="1913"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s="宋体"/>
                <w:color w:val="000000"/>
                <w:kern w:val="0"/>
                <w:sz w:val="20"/>
                <w:szCs w:val="20"/>
              </w:rPr>
              <w:t>氯丁二烯</w:t>
            </w:r>
          </w:p>
        </w:tc>
        <w:tc>
          <w:tcPr>
            <w:tcW w:w="952"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mg/l</w:t>
            </w:r>
          </w:p>
        </w:tc>
        <w:tc>
          <w:tcPr>
            <w:tcW w:w="1590"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0.002L</w:t>
            </w:r>
          </w:p>
        </w:tc>
        <w:tc>
          <w:tcPr>
            <w:tcW w:w="1845"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0.002L</w:t>
            </w:r>
          </w:p>
        </w:tc>
        <w:tc>
          <w:tcPr>
            <w:tcW w:w="1207"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0.002</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0" w:type="dxa"/>
            <w:bottom w:w="0" w:type="dxa"/>
            <w:right w:w="0" w:type="dxa"/>
          </w:tblCellMar>
        </w:tblPrEx>
        <w:trPr>
          <w:trHeight w:val="397" w:hRule="atLeast"/>
        </w:trPr>
        <w:tc>
          <w:tcPr>
            <w:tcW w:w="824"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44</w:t>
            </w:r>
          </w:p>
        </w:tc>
        <w:tc>
          <w:tcPr>
            <w:tcW w:w="1913"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s="宋体"/>
                <w:color w:val="000000"/>
                <w:kern w:val="0"/>
                <w:sz w:val="20"/>
                <w:szCs w:val="20"/>
              </w:rPr>
              <w:t>六氯丁二烯</w:t>
            </w:r>
          </w:p>
        </w:tc>
        <w:tc>
          <w:tcPr>
            <w:tcW w:w="952"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mg/l</w:t>
            </w:r>
          </w:p>
        </w:tc>
        <w:tc>
          <w:tcPr>
            <w:tcW w:w="1590"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0.00002L</w:t>
            </w:r>
          </w:p>
        </w:tc>
        <w:tc>
          <w:tcPr>
            <w:tcW w:w="1845"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0.00002L</w:t>
            </w:r>
          </w:p>
        </w:tc>
        <w:tc>
          <w:tcPr>
            <w:tcW w:w="1207"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0.0006</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0" w:type="dxa"/>
            <w:bottom w:w="0" w:type="dxa"/>
            <w:right w:w="0" w:type="dxa"/>
          </w:tblCellMar>
        </w:tblPrEx>
        <w:trPr>
          <w:trHeight w:val="397" w:hRule="atLeast"/>
        </w:trPr>
        <w:tc>
          <w:tcPr>
            <w:tcW w:w="824"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45</w:t>
            </w:r>
          </w:p>
        </w:tc>
        <w:tc>
          <w:tcPr>
            <w:tcW w:w="1913"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s="宋体"/>
                <w:color w:val="000000"/>
                <w:kern w:val="0"/>
                <w:sz w:val="20"/>
                <w:szCs w:val="20"/>
              </w:rPr>
              <w:t>苯乙烯</w:t>
            </w:r>
          </w:p>
        </w:tc>
        <w:tc>
          <w:tcPr>
            <w:tcW w:w="952"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mg/l</w:t>
            </w:r>
          </w:p>
        </w:tc>
        <w:tc>
          <w:tcPr>
            <w:tcW w:w="1590"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0.0005</w:t>
            </w:r>
          </w:p>
        </w:tc>
        <w:tc>
          <w:tcPr>
            <w:tcW w:w="1845"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0.0005</w:t>
            </w:r>
          </w:p>
        </w:tc>
        <w:tc>
          <w:tcPr>
            <w:tcW w:w="1207"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0.02</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0" w:type="dxa"/>
            <w:bottom w:w="0" w:type="dxa"/>
            <w:right w:w="0" w:type="dxa"/>
          </w:tblCellMar>
        </w:tblPrEx>
        <w:trPr>
          <w:trHeight w:val="397" w:hRule="atLeast"/>
        </w:trPr>
        <w:tc>
          <w:tcPr>
            <w:tcW w:w="824"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46</w:t>
            </w:r>
          </w:p>
        </w:tc>
        <w:tc>
          <w:tcPr>
            <w:tcW w:w="1913"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s="宋体"/>
                <w:color w:val="000000"/>
                <w:kern w:val="0"/>
                <w:sz w:val="20"/>
                <w:szCs w:val="20"/>
              </w:rPr>
              <w:t>甲醛</w:t>
            </w:r>
          </w:p>
        </w:tc>
        <w:tc>
          <w:tcPr>
            <w:tcW w:w="952"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mg/l</w:t>
            </w:r>
          </w:p>
        </w:tc>
        <w:tc>
          <w:tcPr>
            <w:tcW w:w="1590"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0.025</w:t>
            </w:r>
          </w:p>
        </w:tc>
        <w:tc>
          <w:tcPr>
            <w:tcW w:w="1845"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0.025</w:t>
            </w:r>
          </w:p>
        </w:tc>
        <w:tc>
          <w:tcPr>
            <w:tcW w:w="1207"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0.9</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0" w:type="dxa"/>
            <w:bottom w:w="0" w:type="dxa"/>
            <w:right w:w="0" w:type="dxa"/>
          </w:tblCellMar>
        </w:tblPrEx>
        <w:trPr>
          <w:trHeight w:val="397" w:hRule="atLeast"/>
        </w:trPr>
        <w:tc>
          <w:tcPr>
            <w:tcW w:w="824"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47</w:t>
            </w:r>
          </w:p>
        </w:tc>
        <w:tc>
          <w:tcPr>
            <w:tcW w:w="1913"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s="宋体"/>
                <w:color w:val="000000"/>
                <w:kern w:val="0"/>
                <w:sz w:val="20"/>
                <w:szCs w:val="20"/>
              </w:rPr>
              <w:t>乙醛</w:t>
            </w:r>
          </w:p>
        </w:tc>
        <w:tc>
          <w:tcPr>
            <w:tcW w:w="952"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mg/l</w:t>
            </w:r>
          </w:p>
        </w:tc>
        <w:tc>
          <w:tcPr>
            <w:tcW w:w="1590"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0.24L</w:t>
            </w:r>
          </w:p>
        </w:tc>
        <w:tc>
          <w:tcPr>
            <w:tcW w:w="1845"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0.24L</w:t>
            </w:r>
          </w:p>
        </w:tc>
        <w:tc>
          <w:tcPr>
            <w:tcW w:w="1207"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0.05</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0" w:type="dxa"/>
            <w:bottom w:w="0" w:type="dxa"/>
            <w:right w:w="0" w:type="dxa"/>
          </w:tblCellMar>
        </w:tblPrEx>
        <w:trPr>
          <w:trHeight w:val="397" w:hRule="atLeast"/>
        </w:trPr>
        <w:tc>
          <w:tcPr>
            <w:tcW w:w="824"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48</w:t>
            </w:r>
          </w:p>
        </w:tc>
        <w:tc>
          <w:tcPr>
            <w:tcW w:w="1913"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s="宋体"/>
                <w:color w:val="000000"/>
                <w:kern w:val="0"/>
                <w:sz w:val="20"/>
                <w:szCs w:val="20"/>
              </w:rPr>
              <w:t>丙烯醛</w:t>
            </w:r>
          </w:p>
        </w:tc>
        <w:tc>
          <w:tcPr>
            <w:tcW w:w="952"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mg/l</w:t>
            </w:r>
          </w:p>
        </w:tc>
        <w:tc>
          <w:tcPr>
            <w:tcW w:w="1590"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0.019L</w:t>
            </w:r>
          </w:p>
        </w:tc>
        <w:tc>
          <w:tcPr>
            <w:tcW w:w="1845"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0.019L</w:t>
            </w:r>
          </w:p>
        </w:tc>
        <w:tc>
          <w:tcPr>
            <w:tcW w:w="1207"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0.1</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0" w:type="dxa"/>
            <w:bottom w:w="0" w:type="dxa"/>
            <w:right w:w="0" w:type="dxa"/>
          </w:tblCellMar>
        </w:tblPrEx>
        <w:trPr>
          <w:trHeight w:val="397" w:hRule="atLeast"/>
        </w:trPr>
        <w:tc>
          <w:tcPr>
            <w:tcW w:w="824"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49</w:t>
            </w:r>
          </w:p>
        </w:tc>
        <w:tc>
          <w:tcPr>
            <w:tcW w:w="1913"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s="宋体"/>
                <w:color w:val="000000"/>
                <w:kern w:val="0"/>
                <w:sz w:val="20"/>
                <w:szCs w:val="20"/>
              </w:rPr>
              <w:t>三氯乙醛</w:t>
            </w:r>
          </w:p>
        </w:tc>
        <w:tc>
          <w:tcPr>
            <w:tcW w:w="952"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mg/l</w:t>
            </w:r>
          </w:p>
        </w:tc>
        <w:tc>
          <w:tcPr>
            <w:tcW w:w="1590"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0.001L</w:t>
            </w:r>
          </w:p>
        </w:tc>
        <w:tc>
          <w:tcPr>
            <w:tcW w:w="1845"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0.001L</w:t>
            </w:r>
          </w:p>
        </w:tc>
        <w:tc>
          <w:tcPr>
            <w:tcW w:w="1207"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0.01</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0" w:type="dxa"/>
            <w:bottom w:w="0" w:type="dxa"/>
            <w:right w:w="0" w:type="dxa"/>
          </w:tblCellMar>
        </w:tblPrEx>
        <w:trPr>
          <w:trHeight w:val="397" w:hRule="atLeast"/>
        </w:trPr>
        <w:tc>
          <w:tcPr>
            <w:tcW w:w="824"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50</w:t>
            </w:r>
          </w:p>
        </w:tc>
        <w:tc>
          <w:tcPr>
            <w:tcW w:w="1913"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s="宋体"/>
                <w:color w:val="000000"/>
                <w:kern w:val="0"/>
                <w:sz w:val="20"/>
                <w:szCs w:val="20"/>
              </w:rPr>
              <w:t>苯</w:t>
            </w:r>
          </w:p>
        </w:tc>
        <w:tc>
          <w:tcPr>
            <w:tcW w:w="952"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mg/l</w:t>
            </w:r>
          </w:p>
        </w:tc>
        <w:tc>
          <w:tcPr>
            <w:tcW w:w="1590"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0.0005</w:t>
            </w:r>
          </w:p>
        </w:tc>
        <w:tc>
          <w:tcPr>
            <w:tcW w:w="1845"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0.0005</w:t>
            </w:r>
          </w:p>
        </w:tc>
        <w:tc>
          <w:tcPr>
            <w:tcW w:w="1207"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0.01</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0" w:type="dxa"/>
            <w:bottom w:w="0" w:type="dxa"/>
            <w:right w:w="0" w:type="dxa"/>
          </w:tblCellMar>
        </w:tblPrEx>
        <w:trPr>
          <w:trHeight w:val="397" w:hRule="atLeast"/>
        </w:trPr>
        <w:tc>
          <w:tcPr>
            <w:tcW w:w="824"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51</w:t>
            </w:r>
          </w:p>
        </w:tc>
        <w:tc>
          <w:tcPr>
            <w:tcW w:w="1913"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s="宋体"/>
                <w:color w:val="000000"/>
                <w:kern w:val="0"/>
                <w:sz w:val="20"/>
                <w:szCs w:val="20"/>
              </w:rPr>
              <w:t>甲苯</w:t>
            </w:r>
          </w:p>
        </w:tc>
        <w:tc>
          <w:tcPr>
            <w:tcW w:w="952"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mg/l</w:t>
            </w:r>
          </w:p>
        </w:tc>
        <w:tc>
          <w:tcPr>
            <w:tcW w:w="1590"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0.0005</w:t>
            </w:r>
          </w:p>
        </w:tc>
        <w:tc>
          <w:tcPr>
            <w:tcW w:w="1845"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0.0005</w:t>
            </w:r>
          </w:p>
        </w:tc>
        <w:tc>
          <w:tcPr>
            <w:tcW w:w="1207"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0.7</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0" w:type="dxa"/>
            <w:bottom w:w="0" w:type="dxa"/>
            <w:right w:w="0" w:type="dxa"/>
          </w:tblCellMar>
        </w:tblPrEx>
        <w:trPr>
          <w:trHeight w:val="397" w:hRule="atLeast"/>
        </w:trPr>
        <w:tc>
          <w:tcPr>
            <w:tcW w:w="824"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52</w:t>
            </w:r>
          </w:p>
        </w:tc>
        <w:tc>
          <w:tcPr>
            <w:tcW w:w="1913"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s="宋体"/>
                <w:color w:val="000000"/>
                <w:kern w:val="0"/>
                <w:sz w:val="20"/>
                <w:szCs w:val="20"/>
              </w:rPr>
              <w:t>乙苯</w:t>
            </w:r>
          </w:p>
        </w:tc>
        <w:tc>
          <w:tcPr>
            <w:tcW w:w="952"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mg/l</w:t>
            </w:r>
          </w:p>
        </w:tc>
        <w:tc>
          <w:tcPr>
            <w:tcW w:w="1590"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0.0005</w:t>
            </w:r>
          </w:p>
        </w:tc>
        <w:tc>
          <w:tcPr>
            <w:tcW w:w="1845"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0.0005</w:t>
            </w:r>
          </w:p>
        </w:tc>
        <w:tc>
          <w:tcPr>
            <w:tcW w:w="1207"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0.3</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0" w:type="dxa"/>
            <w:bottom w:w="0" w:type="dxa"/>
            <w:right w:w="0" w:type="dxa"/>
          </w:tblCellMar>
        </w:tblPrEx>
        <w:trPr>
          <w:trHeight w:val="397" w:hRule="atLeast"/>
        </w:trPr>
        <w:tc>
          <w:tcPr>
            <w:tcW w:w="824"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53</w:t>
            </w:r>
          </w:p>
        </w:tc>
        <w:tc>
          <w:tcPr>
            <w:tcW w:w="1913"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s="宋体"/>
                <w:color w:val="000000"/>
                <w:kern w:val="0"/>
                <w:sz w:val="20"/>
                <w:szCs w:val="20"/>
              </w:rPr>
              <w:t>二甲苯</w:t>
            </w:r>
          </w:p>
        </w:tc>
        <w:tc>
          <w:tcPr>
            <w:tcW w:w="952"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mg/l</w:t>
            </w:r>
          </w:p>
        </w:tc>
        <w:tc>
          <w:tcPr>
            <w:tcW w:w="1590"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0.0005</w:t>
            </w:r>
          </w:p>
        </w:tc>
        <w:tc>
          <w:tcPr>
            <w:tcW w:w="1845"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0.0005</w:t>
            </w:r>
          </w:p>
        </w:tc>
        <w:tc>
          <w:tcPr>
            <w:tcW w:w="1207"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0.5</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0" w:type="dxa"/>
            <w:bottom w:w="0" w:type="dxa"/>
            <w:right w:w="0" w:type="dxa"/>
          </w:tblCellMar>
        </w:tblPrEx>
        <w:trPr>
          <w:trHeight w:val="397" w:hRule="atLeast"/>
        </w:trPr>
        <w:tc>
          <w:tcPr>
            <w:tcW w:w="824"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54</w:t>
            </w:r>
          </w:p>
        </w:tc>
        <w:tc>
          <w:tcPr>
            <w:tcW w:w="1913"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s="宋体"/>
                <w:color w:val="000000"/>
                <w:kern w:val="0"/>
                <w:sz w:val="20"/>
                <w:szCs w:val="20"/>
              </w:rPr>
              <w:t>异丙苯</w:t>
            </w:r>
          </w:p>
        </w:tc>
        <w:tc>
          <w:tcPr>
            <w:tcW w:w="952"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mg/l</w:t>
            </w:r>
          </w:p>
        </w:tc>
        <w:tc>
          <w:tcPr>
            <w:tcW w:w="1590"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0.0005</w:t>
            </w:r>
          </w:p>
        </w:tc>
        <w:tc>
          <w:tcPr>
            <w:tcW w:w="1845"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0.0005</w:t>
            </w:r>
          </w:p>
        </w:tc>
        <w:tc>
          <w:tcPr>
            <w:tcW w:w="1207"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0.25</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0" w:type="dxa"/>
            <w:bottom w:w="0" w:type="dxa"/>
            <w:right w:w="0" w:type="dxa"/>
          </w:tblCellMar>
        </w:tblPrEx>
        <w:trPr>
          <w:trHeight w:val="397" w:hRule="atLeast"/>
        </w:trPr>
        <w:tc>
          <w:tcPr>
            <w:tcW w:w="824"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55</w:t>
            </w:r>
          </w:p>
        </w:tc>
        <w:tc>
          <w:tcPr>
            <w:tcW w:w="1913"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s="宋体"/>
                <w:color w:val="000000"/>
                <w:kern w:val="0"/>
                <w:sz w:val="20"/>
                <w:szCs w:val="20"/>
              </w:rPr>
              <w:t>氯苯</w:t>
            </w:r>
          </w:p>
        </w:tc>
        <w:tc>
          <w:tcPr>
            <w:tcW w:w="952"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mg/l</w:t>
            </w:r>
          </w:p>
        </w:tc>
        <w:tc>
          <w:tcPr>
            <w:tcW w:w="1590"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0.0005</w:t>
            </w:r>
          </w:p>
        </w:tc>
        <w:tc>
          <w:tcPr>
            <w:tcW w:w="1845"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0.0005</w:t>
            </w:r>
          </w:p>
        </w:tc>
        <w:tc>
          <w:tcPr>
            <w:tcW w:w="1207"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0.3</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0" w:type="dxa"/>
            <w:bottom w:w="0" w:type="dxa"/>
            <w:right w:w="0" w:type="dxa"/>
          </w:tblCellMar>
        </w:tblPrEx>
        <w:trPr>
          <w:trHeight w:val="397" w:hRule="atLeast"/>
        </w:trPr>
        <w:tc>
          <w:tcPr>
            <w:tcW w:w="824"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56</w:t>
            </w:r>
          </w:p>
        </w:tc>
        <w:tc>
          <w:tcPr>
            <w:tcW w:w="1913"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1</w:t>
            </w:r>
            <w:r>
              <w:rPr>
                <w:rFonts w:hint="eastAsia" w:cs="宋体"/>
                <w:color w:val="000000"/>
                <w:kern w:val="0"/>
                <w:sz w:val="20"/>
                <w:szCs w:val="20"/>
              </w:rPr>
              <w:t>，</w:t>
            </w:r>
            <w:r>
              <w:rPr>
                <w:rFonts w:hint="eastAsia"/>
                <w:color w:val="000000"/>
                <w:kern w:val="0"/>
                <w:sz w:val="20"/>
                <w:szCs w:val="20"/>
              </w:rPr>
              <w:t>2-</w:t>
            </w:r>
            <w:r>
              <w:rPr>
                <w:rFonts w:hint="eastAsia" w:cs="宋体"/>
                <w:color w:val="000000"/>
                <w:kern w:val="0"/>
                <w:sz w:val="20"/>
                <w:szCs w:val="20"/>
              </w:rPr>
              <w:t>二氯苯</w:t>
            </w:r>
          </w:p>
        </w:tc>
        <w:tc>
          <w:tcPr>
            <w:tcW w:w="952"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mg/l</w:t>
            </w:r>
          </w:p>
        </w:tc>
        <w:tc>
          <w:tcPr>
            <w:tcW w:w="1590"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0.0005</w:t>
            </w:r>
          </w:p>
        </w:tc>
        <w:tc>
          <w:tcPr>
            <w:tcW w:w="1845"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0.0005</w:t>
            </w:r>
          </w:p>
        </w:tc>
        <w:tc>
          <w:tcPr>
            <w:tcW w:w="1207"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1</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0" w:type="dxa"/>
            <w:bottom w:w="0" w:type="dxa"/>
            <w:right w:w="0" w:type="dxa"/>
          </w:tblCellMar>
        </w:tblPrEx>
        <w:trPr>
          <w:trHeight w:val="397" w:hRule="atLeast"/>
        </w:trPr>
        <w:tc>
          <w:tcPr>
            <w:tcW w:w="824"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57</w:t>
            </w:r>
          </w:p>
        </w:tc>
        <w:tc>
          <w:tcPr>
            <w:tcW w:w="1913"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1</w:t>
            </w:r>
            <w:r>
              <w:rPr>
                <w:rFonts w:hint="eastAsia" w:cs="宋体"/>
                <w:color w:val="000000"/>
                <w:kern w:val="0"/>
                <w:sz w:val="20"/>
                <w:szCs w:val="20"/>
              </w:rPr>
              <w:t>，</w:t>
            </w:r>
            <w:r>
              <w:rPr>
                <w:rFonts w:hint="eastAsia"/>
                <w:color w:val="000000"/>
                <w:kern w:val="0"/>
                <w:sz w:val="20"/>
                <w:szCs w:val="20"/>
              </w:rPr>
              <w:t>4-</w:t>
            </w:r>
            <w:r>
              <w:rPr>
                <w:rFonts w:hint="eastAsia" w:cs="宋体"/>
                <w:color w:val="000000"/>
                <w:kern w:val="0"/>
                <w:sz w:val="20"/>
                <w:szCs w:val="20"/>
              </w:rPr>
              <w:t>二氯苯</w:t>
            </w:r>
          </w:p>
        </w:tc>
        <w:tc>
          <w:tcPr>
            <w:tcW w:w="952"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mg/l</w:t>
            </w:r>
          </w:p>
        </w:tc>
        <w:tc>
          <w:tcPr>
            <w:tcW w:w="1590"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0.001</w:t>
            </w:r>
          </w:p>
        </w:tc>
        <w:tc>
          <w:tcPr>
            <w:tcW w:w="1845"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0.001</w:t>
            </w:r>
          </w:p>
        </w:tc>
        <w:tc>
          <w:tcPr>
            <w:tcW w:w="1207"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0.3</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0" w:type="dxa"/>
            <w:bottom w:w="0" w:type="dxa"/>
            <w:right w:w="0" w:type="dxa"/>
          </w:tblCellMar>
        </w:tblPrEx>
        <w:trPr>
          <w:trHeight w:val="397" w:hRule="atLeast"/>
        </w:trPr>
        <w:tc>
          <w:tcPr>
            <w:tcW w:w="824"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58</w:t>
            </w:r>
          </w:p>
        </w:tc>
        <w:tc>
          <w:tcPr>
            <w:tcW w:w="1913"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s="宋体"/>
                <w:color w:val="000000"/>
                <w:kern w:val="0"/>
                <w:sz w:val="20"/>
                <w:szCs w:val="20"/>
              </w:rPr>
              <w:t>三氯苯</w:t>
            </w:r>
          </w:p>
        </w:tc>
        <w:tc>
          <w:tcPr>
            <w:tcW w:w="952"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mg/l</w:t>
            </w:r>
          </w:p>
        </w:tc>
        <w:tc>
          <w:tcPr>
            <w:tcW w:w="1590"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0.00002</w:t>
            </w:r>
          </w:p>
        </w:tc>
        <w:tc>
          <w:tcPr>
            <w:tcW w:w="1845"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0.00002</w:t>
            </w:r>
          </w:p>
        </w:tc>
        <w:tc>
          <w:tcPr>
            <w:tcW w:w="1207"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0.02</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0" w:type="dxa"/>
            <w:bottom w:w="0" w:type="dxa"/>
            <w:right w:w="0" w:type="dxa"/>
          </w:tblCellMar>
        </w:tblPrEx>
        <w:trPr>
          <w:trHeight w:val="397" w:hRule="atLeast"/>
        </w:trPr>
        <w:tc>
          <w:tcPr>
            <w:tcW w:w="824"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59</w:t>
            </w:r>
          </w:p>
        </w:tc>
        <w:tc>
          <w:tcPr>
            <w:tcW w:w="1913"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s="宋体"/>
                <w:color w:val="000000"/>
                <w:kern w:val="0"/>
                <w:sz w:val="20"/>
                <w:szCs w:val="20"/>
              </w:rPr>
              <w:t>四氯苯</w:t>
            </w:r>
          </w:p>
        </w:tc>
        <w:tc>
          <w:tcPr>
            <w:tcW w:w="952"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mg/l</w:t>
            </w:r>
          </w:p>
        </w:tc>
        <w:tc>
          <w:tcPr>
            <w:tcW w:w="1590"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0.00002L</w:t>
            </w:r>
          </w:p>
        </w:tc>
        <w:tc>
          <w:tcPr>
            <w:tcW w:w="1845"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0.00002L</w:t>
            </w:r>
          </w:p>
        </w:tc>
        <w:tc>
          <w:tcPr>
            <w:tcW w:w="1207"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0.02</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0" w:type="dxa"/>
            <w:bottom w:w="0" w:type="dxa"/>
            <w:right w:w="0" w:type="dxa"/>
          </w:tblCellMar>
        </w:tblPrEx>
        <w:trPr>
          <w:trHeight w:val="397" w:hRule="atLeast"/>
        </w:trPr>
        <w:tc>
          <w:tcPr>
            <w:tcW w:w="824"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60</w:t>
            </w:r>
          </w:p>
        </w:tc>
        <w:tc>
          <w:tcPr>
            <w:tcW w:w="1913"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s="宋体"/>
                <w:color w:val="000000"/>
                <w:kern w:val="0"/>
                <w:sz w:val="20"/>
                <w:szCs w:val="20"/>
              </w:rPr>
              <w:t>六氯苯</w:t>
            </w:r>
          </w:p>
        </w:tc>
        <w:tc>
          <w:tcPr>
            <w:tcW w:w="952"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mg/l</w:t>
            </w:r>
          </w:p>
        </w:tc>
        <w:tc>
          <w:tcPr>
            <w:tcW w:w="1590"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0.00002L</w:t>
            </w:r>
          </w:p>
        </w:tc>
        <w:tc>
          <w:tcPr>
            <w:tcW w:w="1845"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0.00002L</w:t>
            </w:r>
          </w:p>
        </w:tc>
        <w:tc>
          <w:tcPr>
            <w:tcW w:w="1207"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0.05</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0" w:type="dxa"/>
            <w:bottom w:w="0" w:type="dxa"/>
            <w:right w:w="0" w:type="dxa"/>
          </w:tblCellMar>
        </w:tblPrEx>
        <w:trPr>
          <w:trHeight w:val="397" w:hRule="atLeast"/>
        </w:trPr>
        <w:tc>
          <w:tcPr>
            <w:tcW w:w="824"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61</w:t>
            </w:r>
          </w:p>
        </w:tc>
        <w:tc>
          <w:tcPr>
            <w:tcW w:w="1913"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s="宋体"/>
                <w:color w:val="000000"/>
                <w:kern w:val="0"/>
                <w:sz w:val="20"/>
                <w:szCs w:val="20"/>
              </w:rPr>
              <w:t>硝基苯</w:t>
            </w:r>
          </w:p>
        </w:tc>
        <w:tc>
          <w:tcPr>
            <w:tcW w:w="952"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mg/l</w:t>
            </w:r>
          </w:p>
        </w:tc>
        <w:tc>
          <w:tcPr>
            <w:tcW w:w="1590"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0.00002</w:t>
            </w:r>
          </w:p>
        </w:tc>
        <w:tc>
          <w:tcPr>
            <w:tcW w:w="1845"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0.00002</w:t>
            </w:r>
          </w:p>
        </w:tc>
        <w:tc>
          <w:tcPr>
            <w:tcW w:w="1207"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0.017</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0" w:type="dxa"/>
            <w:bottom w:w="0" w:type="dxa"/>
            <w:right w:w="0" w:type="dxa"/>
          </w:tblCellMar>
        </w:tblPrEx>
        <w:trPr>
          <w:trHeight w:val="397" w:hRule="atLeast"/>
        </w:trPr>
        <w:tc>
          <w:tcPr>
            <w:tcW w:w="824"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62</w:t>
            </w:r>
          </w:p>
        </w:tc>
        <w:tc>
          <w:tcPr>
            <w:tcW w:w="1913"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s="宋体"/>
                <w:color w:val="000000"/>
                <w:kern w:val="0"/>
                <w:sz w:val="20"/>
                <w:szCs w:val="20"/>
              </w:rPr>
              <w:t>二硝基苯</w:t>
            </w:r>
          </w:p>
        </w:tc>
        <w:tc>
          <w:tcPr>
            <w:tcW w:w="952"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mg/l</w:t>
            </w:r>
          </w:p>
        </w:tc>
        <w:tc>
          <w:tcPr>
            <w:tcW w:w="1590"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0.00007</w:t>
            </w:r>
          </w:p>
        </w:tc>
        <w:tc>
          <w:tcPr>
            <w:tcW w:w="1845"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0.00007</w:t>
            </w:r>
          </w:p>
        </w:tc>
        <w:tc>
          <w:tcPr>
            <w:tcW w:w="1207"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0.5</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0" w:type="dxa"/>
            <w:bottom w:w="0" w:type="dxa"/>
            <w:right w:w="0" w:type="dxa"/>
          </w:tblCellMar>
        </w:tblPrEx>
        <w:trPr>
          <w:trHeight w:val="397" w:hRule="atLeast"/>
        </w:trPr>
        <w:tc>
          <w:tcPr>
            <w:tcW w:w="824"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63</w:t>
            </w:r>
          </w:p>
        </w:tc>
        <w:tc>
          <w:tcPr>
            <w:tcW w:w="1913"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2</w:t>
            </w:r>
            <w:r>
              <w:rPr>
                <w:rFonts w:hint="eastAsia" w:cs="宋体"/>
                <w:color w:val="000000"/>
                <w:kern w:val="0"/>
                <w:sz w:val="20"/>
                <w:szCs w:val="20"/>
              </w:rPr>
              <w:t>，</w:t>
            </w:r>
            <w:r>
              <w:rPr>
                <w:rFonts w:hint="eastAsia"/>
                <w:color w:val="000000"/>
                <w:kern w:val="0"/>
                <w:sz w:val="20"/>
                <w:szCs w:val="20"/>
              </w:rPr>
              <w:t>4-</w:t>
            </w:r>
            <w:r>
              <w:rPr>
                <w:rFonts w:hint="eastAsia" w:cs="宋体"/>
                <w:color w:val="000000"/>
                <w:kern w:val="0"/>
                <w:sz w:val="20"/>
                <w:szCs w:val="20"/>
              </w:rPr>
              <w:t>二硝基甲苯</w:t>
            </w:r>
          </w:p>
        </w:tc>
        <w:tc>
          <w:tcPr>
            <w:tcW w:w="952"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mg/l</w:t>
            </w:r>
          </w:p>
        </w:tc>
        <w:tc>
          <w:tcPr>
            <w:tcW w:w="1590"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0.0003L</w:t>
            </w:r>
          </w:p>
        </w:tc>
        <w:tc>
          <w:tcPr>
            <w:tcW w:w="1845"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0.0003L</w:t>
            </w:r>
          </w:p>
        </w:tc>
        <w:tc>
          <w:tcPr>
            <w:tcW w:w="1207"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0.0003</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0" w:type="dxa"/>
            <w:bottom w:w="0" w:type="dxa"/>
            <w:right w:w="0" w:type="dxa"/>
          </w:tblCellMar>
        </w:tblPrEx>
        <w:trPr>
          <w:trHeight w:val="397" w:hRule="atLeast"/>
        </w:trPr>
        <w:tc>
          <w:tcPr>
            <w:tcW w:w="824"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64</w:t>
            </w:r>
          </w:p>
        </w:tc>
        <w:tc>
          <w:tcPr>
            <w:tcW w:w="1913"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2</w:t>
            </w:r>
            <w:r>
              <w:rPr>
                <w:rFonts w:hint="eastAsia" w:cs="宋体"/>
                <w:color w:val="000000"/>
                <w:kern w:val="0"/>
                <w:sz w:val="20"/>
                <w:szCs w:val="20"/>
              </w:rPr>
              <w:t>，</w:t>
            </w:r>
            <w:r>
              <w:rPr>
                <w:rFonts w:hint="eastAsia"/>
                <w:color w:val="000000"/>
                <w:kern w:val="0"/>
                <w:sz w:val="20"/>
                <w:szCs w:val="20"/>
              </w:rPr>
              <w:t>4</w:t>
            </w:r>
            <w:r>
              <w:rPr>
                <w:rFonts w:hint="eastAsia" w:cs="宋体"/>
                <w:color w:val="000000"/>
                <w:kern w:val="0"/>
                <w:sz w:val="20"/>
                <w:szCs w:val="20"/>
              </w:rPr>
              <w:t>，</w:t>
            </w:r>
            <w:r>
              <w:rPr>
                <w:rFonts w:hint="eastAsia"/>
                <w:color w:val="000000"/>
                <w:kern w:val="0"/>
                <w:sz w:val="20"/>
                <w:szCs w:val="20"/>
              </w:rPr>
              <w:t>6-</w:t>
            </w:r>
            <w:r>
              <w:rPr>
                <w:rFonts w:hint="eastAsia" w:cs="宋体"/>
                <w:color w:val="000000"/>
                <w:kern w:val="0"/>
                <w:sz w:val="20"/>
                <w:szCs w:val="20"/>
              </w:rPr>
              <w:t>三硝基甲苯</w:t>
            </w:r>
          </w:p>
        </w:tc>
        <w:tc>
          <w:tcPr>
            <w:tcW w:w="952"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mg/l</w:t>
            </w:r>
          </w:p>
        </w:tc>
        <w:tc>
          <w:tcPr>
            <w:tcW w:w="1590"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0.0002L</w:t>
            </w:r>
          </w:p>
        </w:tc>
        <w:tc>
          <w:tcPr>
            <w:tcW w:w="1845"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0.0002L</w:t>
            </w:r>
          </w:p>
        </w:tc>
        <w:tc>
          <w:tcPr>
            <w:tcW w:w="1207"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0.5</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0" w:type="dxa"/>
            <w:bottom w:w="0" w:type="dxa"/>
            <w:right w:w="0" w:type="dxa"/>
          </w:tblCellMar>
        </w:tblPrEx>
        <w:trPr>
          <w:trHeight w:val="397" w:hRule="atLeast"/>
        </w:trPr>
        <w:tc>
          <w:tcPr>
            <w:tcW w:w="824"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65</w:t>
            </w:r>
          </w:p>
        </w:tc>
        <w:tc>
          <w:tcPr>
            <w:tcW w:w="1913"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s="宋体"/>
                <w:color w:val="000000"/>
                <w:kern w:val="0"/>
                <w:sz w:val="20"/>
                <w:szCs w:val="20"/>
              </w:rPr>
              <w:t>硝基氯苯</w:t>
            </w:r>
          </w:p>
        </w:tc>
        <w:tc>
          <w:tcPr>
            <w:tcW w:w="952"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mg/l</w:t>
            </w:r>
          </w:p>
        </w:tc>
        <w:tc>
          <w:tcPr>
            <w:tcW w:w="1590"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0.00002</w:t>
            </w:r>
          </w:p>
        </w:tc>
        <w:tc>
          <w:tcPr>
            <w:tcW w:w="1845"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0.00002</w:t>
            </w:r>
          </w:p>
        </w:tc>
        <w:tc>
          <w:tcPr>
            <w:tcW w:w="1207"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0.05</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0" w:type="dxa"/>
            <w:bottom w:w="0" w:type="dxa"/>
            <w:right w:w="0" w:type="dxa"/>
          </w:tblCellMar>
        </w:tblPrEx>
        <w:trPr>
          <w:trHeight w:val="397" w:hRule="atLeast"/>
        </w:trPr>
        <w:tc>
          <w:tcPr>
            <w:tcW w:w="824"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66</w:t>
            </w:r>
          </w:p>
        </w:tc>
        <w:tc>
          <w:tcPr>
            <w:tcW w:w="1913"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2</w:t>
            </w:r>
            <w:r>
              <w:rPr>
                <w:rFonts w:hint="eastAsia" w:cs="宋体"/>
                <w:color w:val="000000"/>
                <w:kern w:val="0"/>
                <w:sz w:val="20"/>
                <w:szCs w:val="20"/>
              </w:rPr>
              <w:t>，</w:t>
            </w:r>
            <w:r>
              <w:rPr>
                <w:rFonts w:hint="eastAsia"/>
                <w:color w:val="000000"/>
                <w:kern w:val="0"/>
                <w:sz w:val="20"/>
                <w:szCs w:val="20"/>
              </w:rPr>
              <w:t>4-</w:t>
            </w:r>
            <w:r>
              <w:rPr>
                <w:rFonts w:hint="eastAsia" w:cs="宋体"/>
                <w:color w:val="000000"/>
                <w:kern w:val="0"/>
                <w:sz w:val="20"/>
                <w:szCs w:val="20"/>
              </w:rPr>
              <w:t>二硝基氯苯</w:t>
            </w:r>
          </w:p>
        </w:tc>
        <w:tc>
          <w:tcPr>
            <w:tcW w:w="952"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mg/l</w:t>
            </w:r>
          </w:p>
        </w:tc>
        <w:tc>
          <w:tcPr>
            <w:tcW w:w="1590"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0.0002L</w:t>
            </w:r>
          </w:p>
        </w:tc>
        <w:tc>
          <w:tcPr>
            <w:tcW w:w="1845"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0.0002L</w:t>
            </w:r>
          </w:p>
        </w:tc>
        <w:tc>
          <w:tcPr>
            <w:tcW w:w="1207"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0.5</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0" w:type="dxa"/>
            <w:bottom w:w="0" w:type="dxa"/>
            <w:right w:w="0" w:type="dxa"/>
          </w:tblCellMar>
        </w:tblPrEx>
        <w:trPr>
          <w:trHeight w:val="397" w:hRule="atLeast"/>
        </w:trPr>
        <w:tc>
          <w:tcPr>
            <w:tcW w:w="824"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67</w:t>
            </w:r>
          </w:p>
        </w:tc>
        <w:tc>
          <w:tcPr>
            <w:tcW w:w="1913"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2</w:t>
            </w:r>
            <w:r>
              <w:rPr>
                <w:rFonts w:hint="eastAsia" w:cs="宋体"/>
                <w:color w:val="000000"/>
                <w:kern w:val="0"/>
                <w:sz w:val="20"/>
                <w:szCs w:val="20"/>
              </w:rPr>
              <w:t>，</w:t>
            </w:r>
            <w:r>
              <w:rPr>
                <w:rFonts w:hint="eastAsia"/>
                <w:color w:val="000000"/>
                <w:kern w:val="0"/>
                <w:sz w:val="20"/>
                <w:szCs w:val="20"/>
              </w:rPr>
              <w:t>4-</w:t>
            </w:r>
            <w:r>
              <w:rPr>
                <w:rFonts w:hint="eastAsia" w:cs="宋体"/>
                <w:color w:val="000000"/>
                <w:kern w:val="0"/>
                <w:sz w:val="20"/>
                <w:szCs w:val="20"/>
              </w:rPr>
              <w:t>二氯苯酚</w:t>
            </w:r>
          </w:p>
        </w:tc>
        <w:tc>
          <w:tcPr>
            <w:tcW w:w="952"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mg/l</w:t>
            </w:r>
          </w:p>
        </w:tc>
        <w:tc>
          <w:tcPr>
            <w:tcW w:w="1590"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0.00004L</w:t>
            </w:r>
          </w:p>
        </w:tc>
        <w:tc>
          <w:tcPr>
            <w:tcW w:w="1845"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0.00004L</w:t>
            </w:r>
          </w:p>
        </w:tc>
        <w:tc>
          <w:tcPr>
            <w:tcW w:w="1207"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0.093</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0" w:type="dxa"/>
            <w:bottom w:w="0" w:type="dxa"/>
            <w:right w:w="0" w:type="dxa"/>
          </w:tblCellMar>
        </w:tblPrEx>
        <w:trPr>
          <w:trHeight w:val="397" w:hRule="atLeast"/>
        </w:trPr>
        <w:tc>
          <w:tcPr>
            <w:tcW w:w="824"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68</w:t>
            </w:r>
          </w:p>
        </w:tc>
        <w:tc>
          <w:tcPr>
            <w:tcW w:w="1913"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2</w:t>
            </w:r>
            <w:r>
              <w:rPr>
                <w:rFonts w:hint="eastAsia" w:cs="宋体"/>
                <w:color w:val="000000"/>
                <w:kern w:val="0"/>
                <w:sz w:val="20"/>
                <w:szCs w:val="20"/>
              </w:rPr>
              <w:t>，</w:t>
            </w:r>
            <w:r>
              <w:rPr>
                <w:rFonts w:hint="eastAsia"/>
                <w:color w:val="000000"/>
                <w:kern w:val="0"/>
                <w:sz w:val="20"/>
                <w:szCs w:val="20"/>
              </w:rPr>
              <w:t>4</w:t>
            </w:r>
            <w:r>
              <w:rPr>
                <w:rFonts w:hint="eastAsia" w:cs="宋体"/>
                <w:color w:val="000000"/>
                <w:kern w:val="0"/>
                <w:sz w:val="20"/>
                <w:szCs w:val="20"/>
              </w:rPr>
              <w:t>，</w:t>
            </w:r>
            <w:r>
              <w:rPr>
                <w:rFonts w:hint="eastAsia"/>
                <w:color w:val="000000"/>
                <w:kern w:val="0"/>
                <w:sz w:val="20"/>
                <w:szCs w:val="20"/>
              </w:rPr>
              <w:t>6-</w:t>
            </w:r>
            <w:r>
              <w:rPr>
                <w:rFonts w:hint="eastAsia" w:cs="宋体"/>
                <w:color w:val="000000"/>
                <w:kern w:val="0"/>
                <w:sz w:val="20"/>
                <w:szCs w:val="20"/>
              </w:rPr>
              <w:t>三氯苯酚</w:t>
            </w:r>
          </w:p>
        </w:tc>
        <w:tc>
          <w:tcPr>
            <w:tcW w:w="952"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mg/l</w:t>
            </w:r>
          </w:p>
        </w:tc>
        <w:tc>
          <w:tcPr>
            <w:tcW w:w="1590"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0.00004L</w:t>
            </w:r>
          </w:p>
        </w:tc>
        <w:tc>
          <w:tcPr>
            <w:tcW w:w="1845"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0.00004L</w:t>
            </w:r>
          </w:p>
        </w:tc>
        <w:tc>
          <w:tcPr>
            <w:tcW w:w="1207"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0.2</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0" w:type="dxa"/>
            <w:bottom w:w="0" w:type="dxa"/>
            <w:right w:w="0" w:type="dxa"/>
          </w:tblCellMar>
        </w:tblPrEx>
        <w:trPr>
          <w:trHeight w:val="397" w:hRule="atLeast"/>
        </w:trPr>
        <w:tc>
          <w:tcPr>
            <w:tcW w:w="824"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69</w:t>
            </w:r>
          </w:p>
        </w:tc>
        <w:tc>
          <w:tcPr>
            <w:tcW w:w="1913"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s="宋体"/>
                <w:color w:val="000000"/>
                <w:kern w:val="0"/>
                <w:sz w:val="20"/>
                <w:szCs w:val="20"/>
              </w:rPr>
              <w:t>五氯酚</w:t>
            </w:r>
          </w:p>
        </w:tc>
        <w:tc>
          <w:tcPr>
            <w:tcW w:w="952"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mg/l</w:t>
            </w:r>
          </w:p>
        </w:tc>
        <w:tc>
          <w:tcPr>
            <w:tcW w:w="1590"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0.000024L</w:t>
            </w:r>
          </w:p>
        </w:tc>
        <w:tc>
          <w:tcPr>
            <w:tcW w:w="1845"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0.000024L</w:t>
            </w:r>
          </w:p>
        </w:tc>
        <w:tc>
          <w:tcPr>
            <w:tcW w:w="1207"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0.009</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0" w:type="dxa"/>
            <w:bottom w:w="0" w:type="dxa"/>
            <w:right w:w="0" w:type="dxa"/>
          </w:tblCellMar>
        </w:tblPrEx>
        <w:trPr>
          <w:trHeight w:val="397" w:hRule="atLeast"/>
        </w:trPr>
        <w:tc>
          <w:tcPr>
            <w:tcW w:w="824"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70</w:t>
            </w:r>
          </w:p>
        </w:tc>
        <w:tc>
          <w:tcPr>
            <w:tcW w:w="1913"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s="宋体"/>
                <w:color w:val="000000"/>
                <w:kern w:val="0"/>
                <w:sz w:val="20"/>
                <w:szCs w:val="20"/>
              </w:rPr>
              <w:t>苯胺</w:t>
            </w:r>
          </w:p>
        </w:tc>
        <w:tc>
          <w:tcPr>
            <w:tcW w:w="952"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mg/l</w:t>
            </w:r>
          </w:p>
        </w:tc>
        <w:tc>
          <w:tcPr>
            <w:tcW w:w="1590"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0.0003L</w:t>
            </w:r>
          </w:p>
        </w:tc>
        <w:tc>
          <w:tcPr>
            <w:tcW w:w="1845"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0.0003L</w:t>
            </w:r>
          </w:p>
        </w:tc>
        <w:tc>
          <w:tcPr>
            <w:tcW w:w="1207"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0.1</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0" w:type="dxa"/>
            <w:bottom w:w="0" w:type="dxa"/>
            <w:right w:w="0" w:type="dxa"/>
          </w:tblCellMar>
        </w:tblPrEx>
        <w:trPr>
          <w:trHeight w:val="397" w:hRule="atLeast"/>
        </w:trPr>
        <w:tc>
          <w:tcPr>
            <w:tcW w:w="824"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71</w:t>
            </w:r>
          </w:p>
        </w:tc>
        <w:tc>
          <w:tcPr>
            <w:tcW w:w="1913"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s="宋体"/>
                <w:color w:val="000000"/>
                <w:kern w:val="0"/>
                <w:sz w:val="20"/>
                <w:szCs w:val="20"/>
              </w:rPr>
              <w:t>联苯胺</w:t>
            </w:r>
          </w:p>
        </w:tc>
        <w:tc>
          <w:tcPr>
            <w:tcW w:w="952"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mg/l</w:t>
            </w:r>
          </w:p>
        </w:tc>
        <w:tc>
          <w:tcPr>
            <w:tcW w:w="1590"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0.000002L</w:t>
            </w:r>
          </w:p>
        </w:tc>
        <w:tc>
          <w:tcPr>
            <w:tcW w:w="1845"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0.000002L</w:t>
            </w:r>
          </w:p>
        </w:tc>
        <w:tc>
          <w:tcPr>
            <w:tcW w:w="1207"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0.0002</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0" w:type="dxa"/>
            <w:bottom w:w="0" w:type="dxa"/>
            <w:right w:w="0" w:type="dxa"/>
          </w:tblCellMar>
        </w:tblPrEx>
        <w:trPr>
          <w:trHeight w:val="397" w:hRule="atLeast"/>
        </w:trPr>
        <w:tc>
          <w:tcPr>
            <w:tcW w:w="824"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72</w:t>
            </w:r>
          </w:p>
        </w:tc>
        <w:tc>
          <w:tcPr>
            <w:tcW w:w="1913"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s="宋体"/>
                <w:color w:val="000000"/>
                <w:kern w:val="0"/>
                <w:sz w:val="20"/>
                <w:szCs w:val="20"/>
              </w:rPr>
              <w:t>丙烯酰胺</w:t>
            </w:r>
          </w:p>
        </w:tc>
        <w:tc>
          <w:tcPr>
            <w:tcW w:w="952"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mg/l</w:t>
            </w:r>
          </w:p>
        </w:tc>
        <w:tc>
          <w:tcPr>
            <w:tcW w:w="1590"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0.00005L</w:t>
            </w:r>
          </w:p>
        </w:tc>
        <w:tc>
          <w:tcPr>
            <w:tcW w:w="1845"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0.00005L</w:t>
            </w:r>
          </w:p>
        </w:tc>
        <w:tc>
          <w:tcPr>
            <w:tcW w:w="1207"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0.0005</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0" w:type="dxa"/>
            <w:bottom w:w="0" w:type="dxa"/>
            <w:right w:w="0" w:type="dxa"/>
          </w:tblCellMar>
        </w:tblPrEx>
        <w:trPr>
          <w:trHeight w:val="397" w:hRule="atLeast"/>
        </w:trPr>
        <w:tc>
          <w:tcPr>
            <w:tcW w:w="824"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73</w:t>
            </w:r>
          </w:p>
        </w:tc>
        <w:tc>
          <w:tcPr>
            <w:tcW w:w="1913"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s="宋体"/>
                <w:color w:val="000000"/>
                <w:kern w:val="0"/>
                <w:sz w:val="20"/>
                <w:szCs w:val="20"/>
              </w:rPr>
              <w:t>丙烯腈</w:t>
            </w:r>
          </w:p>
        </w:tc>
        <w:tc>
          <w:tcPr>
            <w:tcW w:w="952"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mg/l</w:t>
            </w:r>
          </w:p>
        </w:tc>
        <w:tc>
          <w:tcPr>
            <w:tcW w:w="1590"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0.025L</w:t>
            </w:r>
          </w:p>
        </w:tc>
        <w:tc>
          <w:tcPr>
            <w:tcW w:w="1845"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0.025L</w:t>
            </w:r>
          </w:p>
        </w:tc>
        <w:tc>
          <w:tcPr>
            <w:tcW w:w="1207"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0.1</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0" w:type="dxa"/>
            <w:bottom w:w="0" w:type="dxa"/>
            <w:right w:w="0" w:type="dxa"/>
          </w:tblCellMar>
        </w:tblPrEx>
        <w:trPr>
          <w:trHeight w:val="397" w:hRule="atLeast"/>
        </w:trPr>
        <w:tc>
          <w:tcPr>
            <w:tcW w:w="824"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74</w:t>
            </w:r>
          </w:p>
        </w:tc>
        <w:tc>
          <w:tcPr>
            <w:tcW w:w="1913"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s="宋体"/>
                <w:color w:val="000000"/>
                <w:kern w:val="0"/>
                <w:sz w:val="20"/>
                <w:szCs w:val="20"/>
              </w:rPr>
              <w:t>邻苯二甲酸二丁酯</w:t>
            </w:r>
          </w:p>
        </w:tc>
        <w:tc>
          <w:tcPr>
            <w:tcW w:w="952"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mg/l</w:t>
            </w:r>
          </w:p>
        </w:tc>
        <w:tc>
          <w:tcPr>
            <w:tcW w:w="1590"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0.000376</w:t>
            </w:r>
          </w:p>
        </w:tc>
        <w:tc>
          <w:tcPr>
            <w:tcW w:w="1845"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0.000292</w:t>
            </w:r>
          </w:p>
        </w:tc>
        <w:tc>
          <w:tcPr>
            <w:tcW w:w="1207"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0.003</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0" w:type="dxa"/>
            <w:bottom w:w="0" w:type="dxa"/>
            <w:right w:w="0" w:type="dxa"/>
          </w:tblCellMar>
        </w:tblPrEx>
        <w:trPr>
          <w:trHeight w:val="397" w:hRule="atLeast"/>
        </w:trPr>
        <w:tc>
          <w:tcPr>
            <w:tcW w:w="824"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75</w:t>
            </w:r>
          </w:p>
        </w:tc>
        <w:tc>
          <w:tcPr>
            <w:tcW w:w="1913"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s="宋体"/>
                <w:color w:val="000000"/>
                <w:kern w:val="0"/>
                <w:sz w:val="20"/>
                <w:szCs w:val="20"/>
              </w:rPr>
              <w:t>邻苯二甲酸二（</w:t>
            </w:r>
            <w:r>
              <w:rPr>
                <w:rFonts w:hint="eastAsia"/>
                <w:color w:val="000000"/>
                <w:kern w:val="0"/>
                <w:sz w:val="20"/>
                <w:szCs w:val="20"/>
              </w:rPr>
              <w:t>2-</w:t>
            </w:r>
            <w:r>
              <w:rPr>
                <w:rFonts w:hint="eastAsia" w:cs="宋体"/>
                <w:color w:val="000000"/>
                <w:kern w:val="0"/>
                <w:sz w:val="20"/>
                <w:szCs w:val="20"/>
              </w:rPr>
              <w:t>乙基已基）酯</w:t>
            </w:r>
          </w:p>
        </w:tc>
        <w:tc>
          <w:tcPr>
            <w:tcW w:w="952"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mg/l</w:t>
            </w:r>
          </w:p>
        </w:tc>
        <w:tc>
          <w:tcPr>
            <w:tcW w:w="1590"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0.000252</w:t>
            </w:r>
          </w:p>
        </w:tc>
        <w:tc>
          <w:tcPr>
            <w:tcW w:w="1845"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0.000116</w:t>
            </w:r>
          </w:p>
        </w:tc>
        <w:tc>
          <w:tcPr>
            <w:tcW w:w="1207"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0.008</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0" w:type="dxa"/>
            <w:bottom w:w="0" w:type="dxa"/>
            <w:right w:w="0" w:type="dxa"/>
          </w:tblCellMar>
        </w:tblPrEx>
        <w:trPr>
          <w:trHeight w:val="397" w:hRule="atLeast"/>
        </w:trPr>
        <w:tc>
          <w:tcPr>
            <w:tcW w:w="824"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76</w:t>
            </w:r>
          </w:p>
        </w:tc>
        <w:tc>
          <w:tcPr>
            <w:tcW w:w="1913"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s="宋体"/>
                <w:color w:val="000000"/>
                <w:kern w:val="0"/>
                <w:sz w:val="20"/>
                <w:szCs w:val="20"/>
              </w:rPr>
              <w:t>水合肼</w:t>
            </w:r>
          </w:p>
        </w:tc>
        <w:tc>
          <w:tcPr>
            <w:tcW w:w="952"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mg/l</w:t>
            </w:r>
          </w:p>
        </w:tc>
        <w:tc>
          <w:tcPr>
            <w:tcW w:w="1590"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0.005L</w:t>
            </w:r>
          </w:p>
        </w:tc>
        <w:tc>
          <w:tcPr>
            <w:tcW w:w="1845"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0.005L</w:t>
            </w:r>
          </w:p>
        </w:tc>
        <w:tc>
          <w:tcPr>
            <w:tcW w:w="1207"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0.01</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0" w:type="dxa"/>
            <w:bottom w:w="0" w:type="dxa"/>
            <w:right w:w="0" w:type="dxa"/>
          </w:tblCellMar>
        </w:tblPrEx>
        <w:trPr>
          <w:trHeight w:val="397" w:hRule="atLeast"/>
        </w:trPr>
        <w:tc>
          <w:tcPr>
            <w:tcW w:w="824"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77</w:t>
            </w:r>
          </w:p>
        </w:tc>
        <w:tc>
          <w:tcPr>
            <w:tcW w:w="1913"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s="宋体"/>
                <w:color w:val="000000"/>
                <w:kern w:val="0"/>
                <w:sz w:val="20"/>
                <w:szCs w:val="20"/>
              </w:rPr>
              <w:t>四乙基铅</w:t>
            </w:r>
          </w:p>
        </w:tc>
        <w:tc>
          <w:tcPr>
            <w:tcW w:w="952"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mg/l</w:t>
            </w:r>
          </w:p>
        </w:tc>
        <w:tc>
          <w:tcPr>
            <w:tcW w:w="1590"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0.00002L</w:t>
            </w:r>
          </w:p>
        </w:tc>
        <w:tc>
          <w:tcPr>
            <w:tcW w:w="1845"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0.00002L</w:t>
            </w:r>
          </w:p>
        </w:tc>
        <w:tc>
          <w:tcPr>
            <w:tcW w:w="1207"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0.0001</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0" w:type="dxa"/>
            <w:bottom w:w="0" w:type="dxa"/>
            <w:right w:w="0" w:type="dxa"/>
          </w:tblCellMar>
        </w:tblPrEx>
        <w:trPr>
          <w:trHeight w:val="397" w:hRule="atLeast"/>
        </w:trPr>
        <w:tc>
          <w:tcPr>
            <w:tcW w:w="824"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78</w:t>
            </w:r>
          </w:p>
        </w:tc>
        <w:tc>
          <w:tcPr>
            <w:tcW w:w="1913"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s="宋体"/>
                <w:color w:val="000000"/>
                <w:kern w:val="0"/>
                <w:sz w:val="20"/>
                <w:szCs w:val="20"/>
              </w:rPr>
              <w:t>吡啶</w:t>
            </w:r>
          </w:p>
        </w:tc>
        <w:tc>
          <w:tcPr>
            <w:tcW w:w="952"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mg/l</w:t>
            </w:r>
          </w:p>
        </w:tc>
        <w:tc>
          <w:tcPr>
            <w:tcW w:w="1590"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0.03L</w:t>
            </w:r>
          </w:p>
        </w:tc>
        <w:tc>
          <w:tcPr>
            <w:tcW w:w="1845"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0.03L</w:t>
            </w:r>
          </w:p>
        </w:tc>
        <w:tc>
          <w:tcPr>
            <w:tcW w:w="1207"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0.2</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0" w:type="dxa"/>
            <w:bottom w:w="0" w:type="dxa"/>
            <w:right w:w="0" w:type="dxa"/>
          </w:tblCellMar>
        </w:tblPrEx>
        <w:trPr>
          <w:trHeight w:val="397" w:hRule="atLeast"/>
        </w:trPr>
        <w:tc>
          <w:tcPr>
            <w:tcW w:w="824"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79</w:t>
            </w:r>
          </w:p>
        </w:tc>
        <w:tc>
          <w:tcPr>
            <w:tcW w:w="1913"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s="宋体"/>
                <w:color w:val="000000"/>
                <w:kern w:val="0"/>
                <w:sz w:val="20"/>
                <w:szCs w:val="20"/>
              </w:rPr>
              <w:t>松节油</w:t>
            </w:r>
          </w:p>
        </w:tc>
        <w:tc>
          <w:tcPr>
            <w:tcW w:w="952"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mg/l</w:t>
            </w:r>
          </w:p>
        </w:tc>
        <w:tc>
          <w:tcPr>
            <w:tcW w:w="1590"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0.1L</w:t>
            </w:r>
          </w:p>
        </w:tc>
        <w:tc>
          <w:tcPr>
            <w:tcW w:w="1845"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0.1L</w:t>
            </w:r>
          </w:p>
        </w:tc>
        <w:tc>
          <w:tcPr>
            <w:tcW w:w="1207"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0.2</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0" w:type="dxa"/>
            <w:bottom w:w="0" w:type="dxa"/>
            <w:right w:w="0" w:type="dxa"/>
          </w:tblCellMar>
        </w:tblPrEx>
        <w:trPr>
          <w:trHeight w:val="397" w:hRule="atLeast"/>
        </w:trPr>
        <w:tc>
          <w:tcPr>
            <w:tcW w:w="824"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80</w:t>
            </w:r>
          </w:p>
        </w:tc>
        <w:tc>
          <w:tcPr>
            <w:tcW w:w="1913"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s="宋体"/>
                <w:color w:val="000000"/>
                <w:kern w:val="0"/>
                <w:sz w:val="20"/>
                <w:szCs w:val="20"/>
              </w:rPr>
              <w:t>苦味酸</w:t>
            </w:r>
          </w:p>
        </w:tc>
        <w:tc>
          <w:tcPr>
            <w:tcW w:w="952"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mg/l</w:t>
            </w:r>
          </w:p>
        </w:tc>
        <w:tc>
          <w:tcPr>
            <w:tcW w:w="1590"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0.001L</w:t>
            </w:r>
          </w:p>
        </w:tc>
        <w:tc>
          <w:tcPr>
            <w:tcW w:w="1845"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0.001L</w:t>
            </w:r>
          </w:p>
        </w:tc>
        <w:tc>
          <w:tcPr>
            <w:tcW w:w="1207"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0.5</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0" w:type="dxa"/>
            <w:bottom w:w="0" w:type="dxa"/>
            <w:right w:w="0" w:type="dxa"/>
          </w:tblCellMar>
        </w:tblPrEx>
        <w:trPr>
          <w:trHeight w:val="397" w:hRule="atLeast"/>
        </w:trPr>
        <w:tc>
          <w:tcPr>
            <w:tcW w:w="824"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81</w:t>
            </w:r>
          </w:p>
        </w:tc>
        <w:tc>
          <w:tcPr>
            <w:tcW w:w="1913"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s="宋体"/>
                <w:color w:val="000000"/>
                <w:kern w:val="0"/>
                <w:sz w:val="20"/>
                <w:szCs w:val="20"/>
              </w:rPr>
              <w:t>丁基黄原酸</w:t>
            </w:r>
          </w:p>
        </w:tc>
        <w:tc>
          <w:tcPr>
            <w:tcW w:w="952"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mg/l</w:t>
            </w:r>
          </w:p>
        </w:tc>
        <w:tc>
          <w:tcPr>
            <w:tcW w:w="1590"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0.002L</w:t>
            </w:r>
          </w:p>
        </w:tc>
        <w:tc>
          <w:tcPr>
            <w:tcW w:w="1845"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0.002L</w:t>
            </w:r>
          </w:p>
        </w:tc>
        <w:tc>
          <w:tcPr>
            <w:tcW w:w="1207"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0.005</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0" w:type="dxa"/>
            <w:bottom w:w="0" w:type="dxa"/>
            <w:right w:w="0" w:type="dxa"/>
          </w:tblCellMar>
        </w:tblPrEx>
        <w:trPr>
          <w:trHeight w:val="397" w:hRule="atLeast"/>
        </w:trPr>
        <w:tc>
          <w:tcPr>
            <w:tcW w:w="824"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82</w:t>
            </w:r>
          </w:p>
        </w:tc>
        <w:tc>
          <w:tcPr>
            <w:tcW w:w="1913"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s="宋体"/>
                <w:color w:val="000000"/>
                <w:kern w:val="0"/>
                <w:sz w:val="20"/>
                <w:szCs w:val="20"/>
              </w:rPr>
              <w:t>活性氯</w:t>
            </w:r>
          </w:p>
        </w:tc>
        <w:tc>
          <w:tcPr>
            <w:tcW w:w="952"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mg/l</w:t>
            </w:r>
          </w:p>
        </w:tc>
        <w:tc>
          <w:tcPr>
            <w:tcW w:w="1590"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0.01L</w:t>
            </w:r>
          </w:p>
        </w:tc>
        <w:tc>
          <w:tcPr>
            <w:tcW w:w="1845"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0.01L</w:t>
            </w:r>
          </w:p>
        </w:tc>
        <w:tc>
          <w:tcPr>
            <w:tcW w:w="1207"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0.01</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0" w:type="dxa"/>
            <w:bottom w:w="0" w:type="dxa"/>
            <w:right w:w="0" w:type="dxa"/>
          </w:tblCellMar>
        </w:tblPrEx>
        <w:trPr>
          <w:trHeight w:val="397" w:hRule="atLeast"/>
        </w:trPr>
        <w:tc>
          <w:tcPr>
            <w:tcW w:w="824"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83</w:t>
            </w:r>
          </w:p>
        </w:tc>
        <w:tc>
          <w:tcPr>
            <w:tcW w:w="1913"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s="宋体"/>
                <w:color w:val="000000"/>
                <w:kern w:val="0"/>
                <w:sz w:val="20"/>
                <w:szCs w:val="20"/>
              </w:rPr>
              <w:t>滴滴涕</w:t>
            </w:r>
          </w:p>
        </w:tc>
        <w:tc>
          <w:tcPr>
            <w:tcW w:w="952"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mg/l</w:t>
            </w:r>
          </w:p>
        </w:tc>
        <w:tc>
          <w:tcPr>
            <w:tcW w:w="1590"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0.000024</w:t>
            </w:r>
          </w:p>
        </w:tc>
        <w:tc>
          <w:tcPr>
            <w:tcW w:w="1845"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0.000024</w:t>
            </w:r>
          </w:p>
        </w:tc>
        <w:tc>
          <w:tcPr>
            <w:tcW w:w="1207"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0.001</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0" w:type="dxa"/>
            <w:bottom w:w="0" w:type="dxa"/>
            <w:right w:w="0" w:type="dxa"/>
          </w:tblCellMar>
        </w:tblPrEx>
        <w:trPr>
          <w:trHeight w:val="397" w:hRule="atLeast"/>
        </w:trPr>
        <w:tc>
          <w:tcPr>
            <w:tcW w:w="824"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84</w:t>
            </w:r>
          </w:p>
        </w:tc>
        <w:tc>
          <w:tcPr>
            <w:tcW w:w="1913"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s="宋体"/>
                <w:color w:val="000000"/>
                <w:kern w:val="0"/>
                <w:sz w:val="20"/>
                <w:szCs w:val="20"/>
              </w:rPr>
              <w:t>林丹</w:t>
            </w:r>
          </w:p>
        </w:tc>
        <w:tc>
          <w:tcPr>
            <w:tcW w:w="952"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mg/l</w:t>
            </w:r>
          </w:p>
        </w:tc>
        <w:tc>
          <w:tcPr>
            <w:tcW w:w="1590"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0.000015</w:t>
            </w:r>
          </w:p>
        </w:tc>
        <w:tc>
          <w:tcPr>
            <w:tcW w:w="1845"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0.000015</w:t>
            </w:r>
          </w:p>
        </w:tc>
        <w:tc>
          <w:tcPr>
            <w:tcW w:w="1207"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0.002</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0" w:type="dxa"/>
            <w:bottom w:w="0" w:type="dxa"/>
            <w:right w:w="0" w:type="dxa"/>
          </w:tblCellMar>
        </w:tblPrEx>
        <w:trPr>
          <w:trHeight w:val="397" w:hRule="atLeast"/>
        </w:trPr>
        <w:tc>
          <w:tcPr>
            <w:tcW w:w="824"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85</w:t>
            </w:r>
          </w:p>
        </w:tc>
        <w:tc>
          <w:tcPr>
            <w:tcW w:w="1913"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s="宋体"/>
                <w:color w:val="000000"/>
                <w:kern w:val="0"/>
                <w:sz w:val="20"/>
                <w:szCs w:val="20"/>
              </w:rPr>
              <w:t>环氧七氯</w:t>
            </w:r>
          </w:p>
        </w:tc>
        <w:tc>
          <w:tcPr>
            <w:tcW w:w="952"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mg/l</w:t>
            </w:r>
          </w:p>
        </w:tc>
        <w:tc>
          <w:tcPr>
            <w:tcW w:w="1590"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0.00005L</w:t>
            </w:r>
          </w:p>
        </w:tc>
        <w:tc>
          <w:tcPr>
            <w:tcW w:w="1845"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0.00005L</w:t>
            </w:r>
          </w:p>
        </w:tc>
        <w:tc>
          <w:tcPr>
            <w:tcW w:w="1207"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0.0002</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0" w:type="dxa"/>
            <w:bottom w:w="0" w:type="dxa"/>
            <w:right w:w="0" w:type="dxa"/>
          </w:tblCellMar>
        </w:tblPrEx>
        <w:trPr>
          <w:trHeight w:val="397" w:hRule="atLeast"/>
        </w:trPr>
        <w:tc>
          <w:tcPr>
            <w:tcW w:w="824"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86</w:t>
            </w:r>
          </w:p>
        </w:tc>
        <w:tc>
          <w:tcPr>
            <w:tcW w:w="1913"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s="宋体"/>
                <w:color w:val="000000"/>
                <w:kern w:val="0"/>
                <w:sz w:val="20"/>
                <w:szCs w:val="20"/>
              </w:rPr>
              <w:t>对硫磷</w:t>
            </w:r>
          </w:p>
        </w:tc>
        <w:tc>
          <w:tcPr>
            <w:tcW w:w="952"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mg/l</w:t>
            </w:r>
          </w:p>
        </w:tc>
        <w:tc>
          <w:tcPr>
            <w:tcW w:w="1590"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0.00004L</w:t>
            </w:r>
          </w:p>
        </w:tc>
        <w:tc>
          <w:tcPr>
            <w:tcW w:w="1845"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0.00004L</w:t>
            </w:r>
          </w:p>
        </w:tc>
        <w:tc>
          <w:tcPr>
            <w:tcW w:w="1207"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0.03</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0" w:type="dxa"/>
            <w:bottom w:w="0" w:type="dxa"/>
            <w:right w:w="0" w:type="dxa"/>
          </w:tblCellMar>
        </w:tblPrEx>
        <w:trPr>
          <w:trHeight w:val="397" w:hRule="atLeast"/>
        </w:trPr>
        <w:tc>
          <w:tcPr>
            <w:tcW w:w="824"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87</w:t>
            </w:r>
          </w:p>
        </w:tc>
        <w:tc>
          <w:tcPr>
            <w:tcW w:w="1913"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s="宋体"/>
                <w:color w:val="000000"/>
                <w:kern w:val="0"/>
                <w:sz w:val="20"/>
                <w:szCs w:val="20"/>
              </w:rPr>
              <w:t>甲基对硫磷</w:t>
            </w:r>
          </w:p>
        </w:tc>
        <w:tc>
          <w:tcPr>
            <w:tcW w:w="952"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mg/l</w:t>
            </w:r>
          </w:p>
        </w:tc>
        <w:tc>
          <w:tcPr>
            <w:tcW w:w="1590"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0.00002L</w:t>
            </w:r>
          </w:p>
        </w:tc>
        <w:tc>
          <w:tcPr>
            <w:tcW w:w="1845"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0.00002L</w:t>
            </w:r>
          </w:p>
        </w:tc>
        <w:tc>
          <w:tcPr>
            <w:tcW w:w="1207"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0.002</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0" w:type="dxa"/>
            <w:bottom w:w="0" w:type="dxa"/>
            <w:right w:w="0" w:type="dxa"/>
          </w:tblCellMar>
        </w:tblPrEx>
        <w:trPr>
          <w:trHeight w:val="397" w:hRule="atLeast"/>
        </w:trPr>
        <w:tc>
          <w:tcPr>
            <w:tcW w:w="824"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88</w:t>
            </w:r>
          </w:p>
        </w:tc>
        <w:tc>
          <w:tcPr>
            <w:tcW w:w="1913"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s="宋体"/>
                <w:color w:val="000000"/>
                <w:kern w:val="0"/>
                <w:sz w:val="20"/>
                <w:szCs w:val="20"/>
              </w:rPr>
              <w:t>马拉硫磷</w:t>
            </w:r>
          </w:p>
        </w:tc>
        <w:tc>
          <w:tcPr>
            <w:tcW w:w="952"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mg/l</w:t>
            </w:r>
          </w:p>
        </w:tc>
        <w:tc>
          <w:tcPr>
            <w:tcW w:w="1590"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0.00004L</w:t>
            </w:r>
          </w:p>
        </w:tc>
        <w:tc>
          <w:tcPr>
            <w:tcW w:w="1845"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0.00004L</w:t>
            </w:r>
          </w:p>
        </w:tc>
        <w:tc>
          <w:tcPr>
            <w:tcW w:w="1207"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0.05</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0" w:type="dxa"/>
            <w:bottom w:w="0" w:type="dxa"/>
            <w:right w:w="0" w:type="dxa"/>
          </w:tblCellMar>
        </w:tblPrEx>
        <w:trPr>
          <w:trHeight w:val="397" w:hRule="atLeast"/>
        </w:trPr>
        <w:tc>
          <w:tcPr>
            <w:tcW w:w="824"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89</w:t>
            </w:r>
          </w:p>
        </w:tc>
        <w:tc>
          <w:tcPr>
            <w:tcW w:w="1913"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s="宋体"/>
                <w:color w:val="000000"/>
                <w:kern w:val="0"/>
                <w:sz w:val="20"/>
                <w:szCs w:val="20"/>
              </w:rPr>
              <w:t>乐果</w:t>
            </w:r>
          </w:p>
        </w:tc>
        <w:tc>
          <w:tcPr>
            <w:tcW w:w="952"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mg/l</w:t>
            </w:r>
          </w:p>
        </w:tc>
        <w:tc>
          <w:tcPr>
            <w:tcW w:w="1590"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0.0001L</w:t>
            </w:r>
          </w:p>
        </w:tc>
        <w:tc>
          <w:tcPr>
            <w:tcW w:w="1845"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0.0001L</w:t>
            </w:r>
          </w:p>
        </w:tc>
        <w:tc>
          <w:tcPr>
            <w:tcW w:w="1207"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0.08</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0" w:type="dxa"/>
            <w:bottom w:w="0" w:type="dxa"/>
            <w:right w:w="0" w:type="dxa"/>
          </w:tblCellMar>
        </w:tblPrEx>
        <w:trPr>
          <w:trHeight w:val="397" w:hRule="atLeast"/>
        </w:trPr>
        <w:tc>
          <w:tcPr>
            <w:tcW w:w="824"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90</w:t>
            </w:r>
          </w:p>
        </w:tc>
        <w:tc>
          <w:tcPr>
            <w:tcW w:w="1913"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s="宋体"/>
                <w:color w:val="000000"/>
                <w:kern w:val="0"/>
                <w:sz w:val="20"/>
                <w:szCs w:val="20"/>
              </w:rPr>
              <w:t>敌敌畏</w:t>
            </w:r>
          </w:p>
        </w:tc>
        <w:tc>
          <w:tcPr>
            <w:tcW w:w="952"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mg/l</w:t>
            </w:r>
          </w:p>
        </w:tc>
        <w:tc>
          <w:tcPr>
            <w:tcW w:w="1590"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0.00006L</w:t>
            </w:r>
          </w:p>
        </w:tc>
        <w:tc>
          <w:tcPr>
            <w:tcW w:w="1845"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0.00006L</w:t>
            </w:r>
          </w:p>
        </w:tc>
        <w:tc>
          <w:tcPr>
            <w:tcW w:w="1207"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0.05</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0" w:type="dxa"/>
            <w:bottom w:w="0" w:type="dxa"/>
            <w:right w:w="0" w:type="dxa"/>
          </w:tblCellMar>
        </w:tblPrEx>
        <w:trPr>
          <w:trHeight w:val="397" w:hRule="atLeast"/>
        </w:trPr>
        <w:tc>
          <w:tcPr>
            <w:tcW w:w="824"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91</w:t>
            </w:r>
          </w:p>
        </w:tc>
        <w:tc>
          <w:tcPr>
            <w:tcW w:w="1913"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s="宋体"/>
                <w:color w:val="000000"/>
                <w:kern w:val="0"/>
                <w:sz w:val="20"/>
                <w:szCs w:val="20"/>
              </w:rPr>
              <w:t>敌百虫</w:t>
            </w:r>
          </w:p>
        </w:tc>
        <w:tc>
          <w:tcPr>
            <w:tcW w:w="952"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mg/l</w:t>
            </w:r>
          </w:p>
        </w:tc>
        <w:tc>
          <w:tcPr>
            <w:tcW w:w="1590"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0.00006L</w:t>
            </w:r>
          </w:p>
        </w:tc>
        <w:tc>
          <w:tcPr>
            <w:tcW w:w="1845"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0.00006L</w:t>
            </w:r>
          </w:p>
        </w:tc>
        <w:tc>
          <w:tcPr>
            <w:tcW w:w="1207"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0.05</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0" w:type="dxa"/>
            <w:bottom w:w="0" w:type="dxa"/>
            <w:right w:w="0" w:type="dxa"/>
          </w:tblCellMar>
        </w:tblPrEx>
        <w:trPr>
          <w:trHeight w:val="397" w:hRule="atLeast"/>
        </w:trPr>
        <w:tc>
          <w:tcPr>
            <w:tcW w:w="824"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92</w:t>
            </w:r>
          </w:p>
        </w:tc>
        <w:tc>
          <w:tcPr>
            <w:tcW w:w="1913"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s="宋体"/>
                <w:color w:val="000000"/>
                <w:kern w:val="0"/>
                <w:sz w:val="20"/>
                <w:szCs w:val="20"/>
              </w:rPr>
              <w:t>内吸磷</w:t>
            </w:r>
          </w:p>
        </w:tc>
        <w:tc>
          <w:tcPr>
            <w:tcW w:w="952"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mg/l</w:t>
            </w:r>
          </w:p>
        </w:tc>
        <w:tc>
          <w:tcPr>
            <w:tcW w:w="1590"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0.00004L</w:t>
            </w:r>
          </w:p>
        </w:tc>
        <w:tc>
          <w:tcPr>
            <w:tcW w:w="1845"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0.00004L</w:t>
            </w:r>
          </w:p>
        </w:tc>
        <w:tc>
          <w:tcPr>
            <w:tcW w:w="1207"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0.03</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0" w:type="dxa"/>
            <w:bottom w:w="0" w:type="dxa"/>
            <w:right w:w="0" w:type="dxa"/>
          </w:tblCellMar>
        </w:tblPrEx>
        <w:trPr>
          <w:trHeight w:val="397" w:hRule="atLeast"/>
        </w:trPr>
        <w:tc>
          <w:tcPr>
            <w:tcW w:w="824"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93</w:t>
            </w:r>
          </w:p>
        </w:tc>
        <w:tc>
          <w:tcPr>
            <w:tcW w:w="1913"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s="宋体"/>
                <w:color w:val="000000"/>
                <w:kern w:val="0"/>
                <w:sz w:val="20"/>
                <w:szCs w:val="20"/>
              </w:rPr>
              <w:t>百菌清</w:t>
            </w:r>
          </w:p>
        </w:tc>
        <w:tc>
          <w:tcPr>
            <w:tcW w:w="952"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mg/l</w:t>
            </w:r>
          </w:p>
        </w:tc>
        <w:tc>
          <w:tcPr>
            <w:tcW w:w="1590"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0.0004L</w:t>
            </w:r>
          </w:p>
        </w:tc>
        <w:tc>
          <w:tcPr>
            <w:tcW w:w="1845"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0.0004L</w:t>
            </w:r>
          </w:p>
        </w:tc>
        <w:tc>
          <w:tcPr>
            <w:tcW w:w="1207"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0.01</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0" w:type="dxa"/>
            <w:bottom w:w="0" w:type="dxa"/>
            <w:right w:w="0" w:type="dxa"/>
          </w:tblCellMar>
        </w:tblPrEx>
        <w:trPr>
          <w:trHeight w:val="397" w:hRule="atLeast"/>
        </w:trPr>
        <w:tc>
          <w:tcPr>
            <w:tcW w:w="824"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94</w:t>
            </w:r>
          </w:p>
        </w:tc>
        <w:tc>
          <w:tcPr>
            <w:tcW w:w="1913"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s="宋体"/>
                <w:color w:val="000000"/>
                <w:kern w:val="0"/>
                <w:sz w:val="20"/>
                <w:szCs w:val="20"/>
              </w:rPr>
              <w:t>甲萘威</w:t>
            </w:r>
          </w:p>
        </w:tc>
        <w:tc>
          <w:tcPr>
            <w:tcW w:w="952"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mg/l</w:t>
            </w:r>
          </w:p>
        </w:tc>
        <w:tc>
          <w:tcPr>
            <w:tcW w:w="1590"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0.01L</w:t>
            </w:r>
          </w:p>
        </w:tc>
        <w:tc>
          <w:tcPr>
            <w:tcW w:w="1845"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0.01L</w:t>
            </w:r>
          </w:p>
        </w:tc>
        <w:tc>
          <w:tcPr>
            <w:tcW w:w="1207"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0.05</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0" w:type="dxa"/>
            <w:bottom w:w="0" w:type="dxa"/>
            <w:right w:w="0" w:type="dxa"/>
          </w:tblCellMar>
        </w:tblPrEx>
        <w:trPr>
          <w:trHeight w:val="397" w:hRule="atLeast"/>
        </w:trPr>
        <w:tc>
          <w:tcPr>
            <w:tcW w:w="824"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95</w:t>
            </w:r>
          </w:p>
        </w:tc>
        <w:tc>
          <w:tcPr>
            <w:tcW w:w="1913"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s="宋体"/>
                <w:color w:val="000000"/>
                <w:kern w:val="0"/>
                <w:sz w:val="20"/>
                <w:szCs w:val="20"/>
              </w:rPr>
              <w:t>溴氰菊酯</w:t>
            </w:r>
          </w:p>
        </w:tc>
        <w:tc>
          <w:tcPr>
            <w:tcW w:w="952"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mg/l</w:t>
            </w:r>
          </w:p>
        </w:tc>
        <w:tc>
          <w:tcPr>
            <w:tcW w:w="1590"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0.0002L</w:t>
            </w:r>
          </w:p>
        </w:tc>
        <w:tc>
          <w:tcPr>
            <w:tcW w:w="1845"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0.0002L</w:t>
            </w:r>
          </w:p>
        </w:tc>
        <w:tc>
          <w:tcPr>
            <w:tcW w:w="1207"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0.02</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0" w:type="dxa"/>
            <w:bottom w:w="0" w:type="dxa"/>
            <w:right w:w="0" w:type="dxa"/>
          </w:tblCellMar>
        </w:tblPrEx>
        <w:trPr>
          <w:trHeight w:val="397" w:hRule="atLeast"/>
        </w:trPr>
        <w:tc>
          <w:tcPr>
            <w:tcW w:w="824"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96</w:t>
            </w:r>
          </w:p>
        </w:tc>
        <w:tc>
          <w:tcPr>
            <w:tcW w:w="1913"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s="宋体"/>
                <w:color w:val="000000"/>
                <w:kern w:val="0"/>
                <w:sz w:val="20"/>
                <w:szCs w:val="20"/>
              </w:rPr>
              <w:t>阿特拉津</w:t>
            </w:r>
          </w:p>
        </w:tc>
        <w:tc>
          <w:tcPr>
            <w:tcW w:w="952"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mg/l</w:t>
            </w:r>
          </w:p>
        </w:tc>
        <w:tc>
          <w:tcPr>
            <w:tcW w:w="1590"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0.00025</w:t>
            </w:r>
          </w:p>
        </w:tc>
        <w:tc>
          <w:tcPr>
            <w:tcW w:w="1845"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0.00025</w:t>
            </w:r>
          </w:p>
        </w:tc>
        <w:tc>
          <w:tcPr>
            <w:tcW w:w="1207"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0.003</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0" w:type="dxa"/>
            <w:bottom w:w="0" w:type="dxa"/>
            <w:right w:w="0" w:type="dxa"/>
          </w:tblCellMar>
        </w:tblPrEx>
        <w:trPr>
          <w:trHeight w:val="397" w:hRule="atLeast"/>
        </w:trPr>
        <w:tc>
          <w:tcPr>
            <w:tcW w:w="824"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97</w:t>
            </w:r>
          </w:p>
        </w:tc>
        <w:tc>
          <w:tcPr>
            <w:tcW w:w="1913"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s="宋体"/>
                <w:color w:val="000000"/>
                <w:kern w:val="0"/>
                <w:sz w:val="20"/>
                <w:szCs w:val="20"/>
              </w:rPr>
              <w:t>苯并（</w:t>
            </w:r>
            <w:r>
              <w:rPr>
                <w:rFonts w:hint="eastAsia"/>
                <w:color w:val="000000"/>
                <w:kern w:val="0"/>
                <w:sz w:val="20"/>
                <w:szCs w:val="20"/>
              </w:rPr>
              <w:t>a</w:t>
            </w:r>
            <w:r>
              <w:rPr>
                <w:rFonts w:hint="eastAsia" w:cs="宋体"/>
                <w:color w:val="000000"/>
                <w:kern w:val="0"/>
                <w:sz w:val="20"/>
                <w:szCs w:val="20"/>
              </w:rPr>
              <w:t>）芘</w:t>
            </w:r>
          </w:p>
        </w:tc>
        <w:tc>
          <w:tcPr>
            <w:tcW w:w="952"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mg/l</w:t>
            </w:r>
          </w:p>
        </w:tc>
        <w:tc>
          <w:tcPr>
            <w:tcW w:w="1590"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0.00000005</w:t>
            </w:r>
          </w:p>
        </w:tc>
        <w:tc>
          <w:tcPr>
            <w:tcW w:w="1845"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0.00000005</w:t>
            </w:r>
          </w:p>
        </w:tc>
        <w:tc>
          <w:tcPr>
            <w:tcW w:w="1207"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2.8×10-6</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0" w:type="dxa"/>
            <w:bottom w:w="0" w:type="dxa"/>
            <w:right w:w="0" w:type="dxa"/>
          </w:tblCellMar>
        </w:tblPrEx>
        <w:trPr>
          <w:trHeight w:val="397" w:hRule="atLeast"/>
        </w:trPr>
        <w:tc>
          <w:tcPr>
            <w:tcW w:w="824"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98</w:t>
            </w:r>
          </w:p>
        </w:tc>
        <w:tc>
          <w:tcPr>
            <w:tcW w:w="1913"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s="宋体"/>
                <w:color w:val="000000"/>
                <w:kern w:val="0"/>
                <w:sz w:val="20"/>
                <w:szCs w:val="20"/>
              </w:rPr>
              <w:t>甲基汞</w:t>
            </w:r>
          </w:p>
        </w:tc>
        <w:tc>
          <w:tcPr>
            <w:tcW w:w="952"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mg/l</w:t>
            </w:r>
          </w:p>
        </w:tc>
        <w:tc>
          <w:tcPr>
            <w:tcW w:w="1590"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0.000001L</w:t>
            </w:r>
          </w:p>
        </w:tc>
        <w:tc>
          <w:tcPr>
            <w:tcW w:w="1845"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0.000001L</w:t>
            </w:r>
          </w:p>
        </w:tc>
        <w:tc>
          <w:tcPr>
            <w:tcW w:w="1207"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1.0×10-6</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0" w:type="dxa"/>
            <w:bottom w:w="0" w:type="dxa"/>
            <w:right w:w="0" w:type="dxa"/>
          </w:tblCellMar>
        </w:tblPrEx>
        <w:trPr>
          <w:trHeight w:val="397" w:hRule="atLeast"/>
        </w:trPr>
        <w:tc>
          <w:tcPr>
            <w:tcW w:w="824"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99</w:t>
            </w:r>
          </w:p>
        </w:tc>
        <w:tc>
          <w:tcPr>
            <w:tcW w:w="1913"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s="宋体"/>
                <w:color w:val="000000"/>
                <w:kern w:val="0"/>
                <w:sz w:val="20"/>
                <w:szCs w:val="20"/>
              </w:rPr>
              <w:t>多氯联苯</w:t>
            </w:r>
          </w:p>
        </w:tc>
        <w:tc>
          <w:tcPr>
            <w:tcW w:w="952"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mg/l</w:t>
            </w:r>
          </w:p>
        </w:tc>
        <w:tc>
          <w:tcPr>
            <w:tcW w:w="1590"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0.00001L</w:t>
            </w:r>
          </w:p>
        </w:tc>
        <w:tc>
          <w:tcPr>
            <w:tcW w:w="1845"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0.00001L</w:t>
            </w:r>
          </w:p>
        </w:tc>
        <w:tc>
          <w:tcPr>
            <w:tcW w:w="1207"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2.0×10-6</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0" w:type="dxa"/>
            <w:bottom w:w="0" w:type="dxa"/>
            <w:right w:w="0" w:type="dxa"/>
          </w:tblCellMar>
        </w:tblPrEx>
        <w:trPr>
          <w:trHeight w:val="397" w:hRule="atLeast"/>
        </w:trPr>
        <w:tc>
          <w:tcPr>
            <w:tcW w:w="824"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100</w:t>
            </w:r>
          </w:p>
        </w:tc>
        <w:tc>
          <w:tcPr>
            <w:tcW w:w="1913"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s="宋体"/>
                <w:color w:val="000000"/>
                <w:kern w:val="0"/>
                <w:sz w:val="20"/>
                <w:szCs w:val="20"/>
              </w:rPr>
              <w:t>微囊藻毒素</w:t>
            </w:r>
            <w:r>
              <w:rPr>
                <w:rFonts w:hint="eastAsia"/>
                <w:color w:val="000000"/>
                <w:kern w:val="0"/>
                <w:sz w:val="20"/>
                <w:szCs w:val="20"/>
              </w:rPr>
              <w:t>-LR</w:t>
            </w:r>
          </w:p>
        </w:tc>
        <w:tc>
          <w:tcPr>
            <w:tcW w:w="952"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mg/l</w:t>
            </w:r>
          </w:p>
        </w:tc>
        <w:tc>
          <w:tcPr>
            <w:tcW w:w="1590"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0.00006L</w:t>
            </w:r>
          </w:p>
        </w:tc>
        <w:tc>
          <w:tcPr>
            <w:tcW w:w="1845"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0.00006L</w:t>
            </w:r>
          </w:p>
        </w:tc>
        <w:tc>
          <w:tcPr>
            <w:tcW w:w="1207"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0.001</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0" w:type="dxa"/>
            <w:bottom w:w="0" w:type="dxa"/>
            <w:right w:w="0" w:type="dxa"/>
          </w:tblCellMar>
        </w:tblPrEx>
        <w:trPr>
          <w:trHeight w:val="397" w:hRule="atLeast"/>
        </w:trPr>
        <w:tc>
          <w:tcPr>
            <w:tcW w:w="824"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101</w:t>
            </w:r>
          </w:p>
        </w:tc>
        <w:tc>
          <w:tcPr>
            <w:tcW w:w="1913"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s="宋体"/>
                <w:color w:val="000000"/>
                <w:kern w:val="0"/>
                <w:sz w:val="20"/>
                <w:szCs w:val="20"/>
              </w:rPr>
              <w:t>黄磷</w:t>
            </w:r>
          </w:p>
        </w:tc>
        <w:tc>
          <w:tcPr>
            <w:tcW w:w="952"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mg/l</w:t>
            </w:r>
          </w:p>
        </w:tc>
        <w:tc>
          <w:tcPr>
            <w:tcW w:w="1590"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0.0025L</w:t>
            </w:r>
          </w:p>
        </w:tc>
        <w:tc>
          <w:tcPr>
            <w:tcW w:w="1845"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0.0025L</w:t>
            </w:r>
          </w:p>
        </w:tc>
        <w:tc>
          <w:tcPr>
            <w:tcW w:w="1207"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0.003</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0" w:type="dxa"/>
            <w:bottom w:w="0" w:type="dxa"/>
            <w:right w:w="0" w:type="dxa"/>
          </w:tblCellMar>
        </w:tblPrEx>
        <w:trPr>
          <w:trHeight w:val="397" w:hRule="atLeast"/>
        </w:trPr>
        <w:tc>
          <w:tcPr>
            <w:tcW w:w="824"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102</w:t>
            </w:r>
          </w:p>
        </w:tc>
        <w:tc>
          <w:tcPr>
            <w:tcW w:w="1913"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s="宋体"/>
                <w:color w:val="000000"/>
                <w:kern w:val="0"/>
                <w:sz w:val="20"/>
                <w:szCs w:val="20"/>
              </w:rPr>
              <w:t>钼</w:t>
            </w:r>
          </w:p>
        </w:tc>
        <w:tc>
          <w:tcPr>
            <w:tcW w:w="952"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mg/l</w:t>
            </w:r>
          </w:p>
        </w:tc>
        <w:tc>
          <w:tcPr>
            <w:tcW w:w="1590"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0.005</w:t>
            </w:r>
          </w:p>
        </w:tc>
        <w:tc>
          <w:tcPr>
            <w:tcW w:w="1845"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0.0018</w:t>
            </w:r>
          </w:p>
        </w:tc>
        <w:tc>
          <w:tcPr>
            <w:tcW w:w="1207"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0.07</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0" w:type="dxa"/>
            <w:bottom w:w="0" w:type="dxa"/>
            <w:right w:w="0" w:type="dxa"/>
          </w:tblCellMar>
        </w:tblPrEx>
        <w:trPr>
          <w:trHeight w:val="397" w:hRule="atLeast"/>
        </w:trPr>
        <w:tc>
          <w:tcPr>
            <w:tcW w:w="824"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103</w:t>
            </w:r>
          </w:p>
        </w:tc>
        <w:tc>
          <w:tcPr>
            <w:tcW w:w="1913"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s="宋体"/>
                <w:color w:val="000000"/>
                <w:kern w:val="0"/>
                <w:sz w:val="20"/>
                <w:szCs w:val="20"/>
              </w:rPr>
              <w:t>钴</w:t>
            </w:r>
          </w:p>
        </w:tc>
        <w:tc>
          <w:tcPr>
            <w:tcW w:w="952"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mg/l</w:t>
            </w:r>
          </w:p>
        </w:tc>
        <w:tc>
          <w:tcPr>
            <w:tcW w:w="1590"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0.0025</w:t>
            </w:r>
          </w:p>
        </w:tc>
        <w:tc>
          <w:tcPr>
            <w:tcW w:w="1845"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0.00093</w:t>
            </w:r>
          </w:p>
        </w:tc>
        <w:tc>
          <w:tcPr>
            <w:tcW w:w="1207"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1</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0" w:type="dxa"/>
            <w:bottom w:w="0" w:type="dxa"/>
            <w:right w:w="0" w:type="dxa"/>
          </w:tblCellMar>
        </w:tblPrEx>
        <w:trPr>
          <w:trHeight w:val="397" w:hRule="atLeast"/>
        </w:trPr>
        <w:tc>
          <w:tcPr>
            <w:tcW w:w="824"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104</w:t>
            </w:r>
          </w:p>
        </w:tc>
        <w:tc>
          <w:tcPr>
            <w:tcW w:w="1913"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s="宋体"/>
                <w:color w:val="000000"/>
                <w:kern w:val="0"/>
                <w:sz w:val="20"/>
                <w:szCs w:val="20"/>
              </w:rPr>
              <w:t>铍</w:t>
            </w:r>
          </w:p>
        </w:tc>
        <w:tc>
          <w:tcPr>
            <w:tcW w:w="952"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mg/l</w:t>
            </w:r>
          </w:p>
        </w:tc>
        <w:tc>
          <w:tcPr>
            <w:tcW w:w="1590"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0.00005</w:t>
            </w:r>
          </w:p>
        </w:tc>
        <w:tc>
          <w:tcPr>
            <w:tcW w:w="1845"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0.00003</w:t>
            </w:r>
          </w:p>
        </w:tc>
        <w:tc>
          <w:tcPr>
            <w:tcW w:w="1207"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0.002</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0" w:type="dxa"/>
            <w:bottom w:w="0" w:type="dxa"/>
            <w:right w:w="0" w:type="dxa"/>
          </w:tblCellMar>
        </w:tblPrEx>
        <w:trPr>
          <w:trHeight w:val="397" w:hRule="atLeast"/>
        </w:trPr>
        <w:tc>
          <w:tcPr>
            <w:tcW w:w="824"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105</w:t>
            </w:r>
          </w:p>
        </w:tc>
        <w:tc>
          <w:tcPr>
            <w:tcW w:w="1913"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s="宋体"/>
                <w:color w:val="000000"/>
                <w:kern w:val="0"/>
                <w:sz w:val="20"/>
                <w:szCs w:val="20"/>
              </w:rPr>
              <w:t>硼</w:t>
            </w:r>
          </w:p>
        </w:tc>
        <w:tc>
          <w:tcPr>
            <w:tcW w:w="952"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mg/l</w:t>
            </w:r>
          </w:p>
        </w:tc>
        <w:tc>
          <w:tcPr>
            <w:tcW w:w="1590"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0.0157</w:t>
            </w:r>
          </w:p>
        </w:tc>
        <w:tc>
          <w:tcPr>
            <w:tcW w:w="1845"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0.0092</w:t>
            </w:r>
          </w:p>
        </w:tc>
        <w:tc>
          <w:tcPr>
            <w:tcW w:w="1207"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0.5</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0" w:type="dxa"/>
            <w:bottom w:w="0" w:type="dxa"/>
            <w:right w:w="0" w:type="dxa"/>
          </w:tblCellMar>
        </w:tblPrEx>
        <w:trPr>
          <w:trHeight w:val="397" w:hRule="atLeast"/>
        </w:trPr>
        <w:tc>
          <w:tcPr>
            <w:tcW w:w="824"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106</w:t>
            </w:r>
          </w:p>
        </w:tc>
        <w:tc>
          <w:tcPr>
            <w:tcW w:w="1913"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s="宋体"/>
                <w:color w:val="000000"/>
                <w:kern w:val="0"/>
                <w:sz w:val="20"/>
                <w:szCs w:val="20"/>
              </w:rPr>
              <w:t>锑</w:t>
            </w:r>
          </w:p>
        </w:tc>
        <w:tc>
          <w:tcPr>
            <w:tcW w:w="952"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mg/l</w:t>
            </w:r>
          </w:p>
        </w:tc>
        <w:tc>
          <w:tcPr>
            <w:tcW w:w="1590"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0.0001</w:t>
            </w:r>
          </w:p>
        </w:tc>
        <w:tc>
          <w:tcPr>
            <w:tcW w:w="1845"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0.0001</w:t>
            </w:r>
          </w:p>
        </w:tc>
        <w:tc>
          <w:tcPr>
            <w:tcW w:w="1207"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0.005</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0" w:type="dxa"/>
            <w:bottom w:w="0" w:type="dxa"/>
            <w:right w:w="0" w:type="dxa"/>
          </w:tblCellMar>
        </w:tblPrEx>
        <w:trPr>
          <w:trHeight w:val="397" w:hRule="atLeast"/>
        </w:trPr>
        <w:tc>
          <w:tcPr>
            <w:tcW w:w="824"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107</w:t>
            </w:r>
          </w:p>
        </w:tc>
        <w:tc>
          <w:tcPr>
            <w:tcW w:w="1913"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s="宋体"/>
                <w:color w:val="000000"/>
                <w:kern w:val="0"/>
                <w:sz w:val="20"/>
                <w:szCs w:val="20"/>
              </w:rPr>
              <w:t>镍</w:t>
            </w:r>
          </w:p>
        </w:tc>
        <w:tc>
          <w:tcPr>
            <w:tcW w:w="952"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mg/l</w:t>
            </w:r>
          </w:p>
        </w:tc>
        <w:tc>
          <w:tcPr>
            <w:tcW w:w="1590"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0.001</w:t>
            </w:r>
          </w:p>
        </w:tc>
        <w:tc>
          <w:tcPr>
            <w:tcW w:w="1845"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0.0009</w:t>
            </w:r>
          </w:p>
        </w:tc>
        <w:tc>
          <w:tcPr>
            <w:tcW w:w="1207"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0.02</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0" w:type="dxa"/>
            <w:bottom w:w="0" w:type="dxa"/>
            <w:right w:w="0" w:type="dxa"/>
          </w:tblCellMar>
        </w:tblPrEx>
        <w:trPr>
          <w:trHeight w:val="397" w:hRule="atLeast"/>
        </w:trPr>
        <w:tc>
          <w:tcPr>
            <w:tcW w:w="824"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108</w:t>
            </w:r>
          </w:p>
        </w:tc>
        <w:tc>
          <w:tcPr>
            <w:tcW w:w="1913"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s="宋体"/>
                <w:color w:val="000000"/>
                <w:kern w:val="0"/>
                <w:sz w:val="20"/>
                <w:szCs w:val="20"/>
              </w:rPr>
              <w:t>钡</w:t>
            </w:r>
          </w:p>
        </w:tc>
        <w:tc>
          <w:tcPr>
            <w:tcW w:w="952"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mg/l</w:t>
            </w:r>
          </w:p>
        </w:tc>
        <w:tc>
          <w:tcPr>
            <w:tcW w:w="1590"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0.006</w:t>
            </w:r>
          </w:p>
        </w:tc>
        <w:tc>
          <w:tcPr>
            <w:tcW w:w="1845"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0.0096</w:t>
            </w:r>
          </w:p>
        </w:tc>
        <w:tc>
          <w:tcPr>
            <w:tcW w:w="1207"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0.7</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0" w:type="dxa"/>
            <w:bottom w:w="0" w:type="dxa"/>
            <w:right w:w="0" w:type="dxa"/>
          </w:tblCellMar>
        </w:tblPrEx>
        <w:trPr>
          <w:trHeight w:val="397" w:hRule="atLeast"/>
        </w:trPr>
        <w:tc>
          <w:tcPr>
            <w:tcW w:w="824"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109</w:t>
            </w:r>
          </w:p>
        </w:tc>
        <w:tc>
          <w:tcPr>
            <w:tcW w:w="1913"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s="宋体"/>
                <w:color w:val="000000"/>
                <w:kern w:val="0"/>
                <w:sz w:val="20"/>
                <w:szCs w:val="20"/>
              </w:rPr>
              <w:t>钒</w:t>
            </w:r>
          </w:p>
        </w:tc>
        <w:tc>
          <w:tcPr>
            <w:tcW w:w="952"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mg/l</w:t>
            </w:r>
          </w:p>
        </w:tc>
        <w:tc>
          <w:tcPr>
            <w:tcW w:w="1590"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0.001</w:t>
            </w:r>
          </w:p>
        </w:tc>
        <w:tc>
          <w:tcPr>
            <w:tcW w:w="1845"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0.000305</w:t>
            </w:r>
          </w:p>
        </w:tc>
        <w:tc>
          <w:tcPr>
            <w:tcW w:w="1207"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0.05</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0" w:type="dxa"/>
            <w:bottom w:w="0" w:type="dxa"/>
            <w:right w:w="0" w:type="dxa"/>
          </w:tblCellMar>
        </w:tblPrEx>
        <w:trPr>
          <w:trHeight w:val="397" w:hRule="atLeast"/>
        </w:trPr>
        <w:tc>
          <w:tcPr>
            <w:tcW w:w="824"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110</w:t>
            </w:r>
          </w:p>
        </w:tc>
        <w:tc>
          <w:tcPr>
            <w:tcW w:w="1913"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s="宋体"/>
                <w:color w:val="000000"/>
                <w:kern w:val="0"/>
                <w:sz w:val="20"/>
                <w:szCs w:val="20"/>
              </w:rPr>
              <w:t>钛</w:t>
            </w:r>
          </w:p>
        </w:tc>
        <w:tc>
          <w:tcPr>
            <w:tcW w:w="952"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mg/l</w:t>
            </w:r>
          </w:p>
        </w:tc>
        <w:tc>
          <w:tcPr>
            <w:tcW w:w="1590"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0.0004L</w:t>
            </w:r>
          </w:p>
        </w:tc>
        <w:tc>
          <w:tcPr>
            <w:tcW w:w="1845"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0.0004L</w:t>
            </w:r>
          </w:p>
        </w:tc>
        <w:tc>
          <w:tcPr>
            <w:tcW w:w="1207"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0.1</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0" w:type="dxa"/>
            <w:bottom w:w="0" w:type="dxa"/>
            <w:right w:w="0" w:type="dxa"/>
          </w:tblCellMar>
        </w:tblPrEx>
        <w:trPr>
          <w:trHeight w:val="397" w:hRule="atLeast"/>
        </w:trPr>
        <w:tc>
          <w:tcPr>
            <w:tcW w:w="824"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111</w:t>
            </w:r>
          </w:p>
        </w:tc>
        <w:tc>
          <w:tcPr>
            <w:tcW w:w="1913"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s="宋体"/>
                <w:color w:val="000000"/>
                <w:kern w:val="0"/>
                <w:sz w:val="20"/>
                <w:szCs w:val="20"/>
              </w:rPr>
              <w:t>铊</w:t>
            </w:r>
          </w:p>
        </w:tc>
        <w:tc>
          <w:tcPr>
            <w:tcW w:w="952"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mg/l</w:t>
            </w:r>
          </w:p>
        </w:tc>
        <w:tc>
          <w:tcPr>
            <w:tcW w:w="1590"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0.000005</w:t>
            </w:r>
          </w:p>
        </w:tc>
        <w:tc>
          <w:tcPr>
            <w:tcW w:w="1845"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0.000011</w:t>
            </w:r>
          </w:p>
        </w:tc>
        <w:tc>
          <w:tcPr>
            <w:tcW w:w="1207"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0.0001</w:t>
            </w:r>
          </w:p>
        </w:tc>
      </w:tr>
    </w:tbl>
    <w:p>
      <w:pPr>
        <w:autoSpaceDE w:val="0"/>
        <w:autoSpaceDN w:val="0"/>
        <w:adjustRightInd w:val="0"/>
        <w:spacing w:line="240" w:lineRule="auto"/>
        <w:ind w:firstLine="0" w:firstLineChars="0"/>
        <w:jc w:val="center"/>
        <w:rPr>
          <w:b/>
          <w:color w:val="000000" w:themeColor="text1"/>
          <w:sz w:val="21"/>
          <w:szCs w:val="21"/>
        </w:rPr>
      </w:pPr>
      <w:r>
        <w:rPr>
          <w:rFonts w:hint="eastAsia"/>
          <w:b/>
          <w:color w:val="000000" w:themeColor="text1"/>
          <w:sz w:val="21"/>
          <w:szCs w:val="21"/>
        </w:rPr>
        <w:t>表3-7 金凤水库2017年水质监测数据</w:t>
      </w:r>
    </w:p>
    <w:tbl>
      <w:tblPr>
        <w:tblStyle w:val="47"/>
        <w:tblW w:w="8329" w:type="dxa"/>
        <w:tblInd w:w="0" w:type="dxa"/>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0" w:type="dxa"/>
          <w:bottom w:w="0" w:type="dxa"/>
          <w:right w:w="0" w:type="dxa"/>
        </w:tblCellMar>
      </w:tblPr>
      <w:tblGrid>
        <w:gridCol w:w="815"/>
        <w:gridCol w:w="1923"/>
        <w:gridCol w:w="949"/>
        <w:gridCol w:w="1601"/>
        <w:gridCol w:w="1854"/>
        <w:gridCol w:w="1187"/>
      </w:tblGrid>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0" w:type="dxa"/>
            <w:bottom w:w="0" w:type="dxa"/>
            <w:right w:w="0" w:type="dxa"/>
          </w:tblCellMar>
        </w:tblPrEx>
        <w:trPr>
          <w:trHeight w:val="397" w:hRule="atLeast"/>
          <w:tblHeader/>
        </w:trPr>
        <w:tc>
          <w:tcPr>
            <w:tcW w:w="815"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b/>
                <w:color w:val="000000"/>
                <w:kern w:val="0"/>
                <w:sz w:val="20"/>
                <w:szCs w:val="20"/>
              </w:rPr>
            </w:pPr>
            <w:r>
              <w:rPr>
                <w:rFonts w:hint="eastAsia" w:cs="宋体"/>
                <w:b/>
                <w:color w:val="000000"/>
                <w:kern w:val="0"/>
                <w:sz w:val="20"/>
                <w:szCs w:val="20"/>
              </w:rPr>
              <w:t>序号</w:t>
            </w:r>
          </w:p>
        </w:tc>
        <w:tc>
          <w:tcPr>
            <w:tcW w:w="1923"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b/>
                <w:color w:val="000000"/>
                <w:kern w:val="0"/>
                <w:sz w:val="20"/>
                <w:szCs w:val="20"/>
              </w:rPr>
            </w:pPr>
            <w:r>
              <w:rPr>
                <w:rFonts w:hint="eastAsia" w:cs="宋体"/>
                <w:b/>
                <w:color w:val="000000"/>
                <w:kern w:val="0"/>
                <w:sz w:val="20"/>
                <w:szCs w:val="20"/>
              </w:rPr>
              <w:t>监测指标</w:t>
            </w:r>
          </w:p>
        </w:tc>
        <w:tc>
          <w:tcPr>
            <w:tcW w:w="949"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b/>
                <w:color w:val="000000"/>
                <w:kern w:val="0"/>
                <w:sz w:val="20"/>
                <w:szCs w:val="20"/>
              </w:rPr>
            </w:pPr>
            <w:r>
              <w:rPr>
                <w:rFonts w:hint="eastAsia" w:cs="宋体"/>
                <w:b/>
                <w:color w:val="000000"/>
                <w:kern w:val="0"/>
                <w:sz w:val="20"/>
                <w:szCs w:val="20"/>
              </w:rPr>
              <w:t>单位</w:t>
            </w:r>
          </w:p>
        </w:tc>
        <w:tc>
          <w:tcPr>
            <w:tcW w:w="1601"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b/>
                <w:color w:val="000000"/>
                <w:kern w:val="0"/>
                <w:sz w:val="20"/>
                <w:szCs w:val="20"/>
              </w:rPr>
            </w:pPr>
            <w:r>
              <w:rPr>
                <w:rFonts w:hint="eastAsia"/>
                <w:b/>
                <w:color w:val="000000"/>
                <w:kern w:val="0"/>
                <w:sz w:val="20"/>
                <w:szCs w:val="20"/>
              </w:rPr>
              <w:t>2017</w:t>
            </w:r>
            <w:r>
              <w:rPr>
                <w:rFonts w:hint="eastAsia" w:cs="宋体"/>
                <w:b/>
                <w:color w:val="000000"/>
                <w:kern w:val="0"/>
                <w:sz w:val="20"/>
                <w:szCs w:val="20"/>
              </w:rPr>
              <w:t>年</w:t>
            </w:r>
            <w:r>
              <w:rPr>
                <w:rFonts w:hint="eastAsia"/>
                <w:b/>
                <w:color w:val="000000"/>
                <w:kern w:val="0"/>
                <w:sz w:val="20"/>
                <w:szCs w:val="20"/>
              </w:rPr>
              <w:t>1-6</w:t>
            </w:r>
            <w:r>
              <w:rPr>
                <w:rFonts w:hint="eastAsia" w:cs="宋体"/>
                <w:b/>
                <w:color w:val="000000"/>
                <w:kern w:val="0"/>
                <w:sz w:val="20"/>
                <w:szCs w:val="20"/>
              </w:rPr>
              <w:t>月</w:t>
            </w:r>
          </w:p>
        </w:tc>
        <w:tc>
          <w:tcPr>
            <w:tcW w:w="1854"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b/>
                <w:color w:val="000000"/>
                <w:kern w:val="0"/>
                <w:sz w:val="20"/>
                <w:szCs w:val="20"/>
              </w:rPr>
            </w:pPr>
            <w:r>
              <w:rPr>
                <w:rFonts w:hint="eastAsia"/>
                <w:b/>
                <w:color w:val="000000"/>
                <w:kern w:val="0"/>
                <w:sz w:val="20"/>
                <w:szCs w:val="20"/>
              </w:rPr>
              <w:t>2017</w:t>
            </w:r>
            <w:r>
              <w:rPr>
                <w:rFonts w:hint="eastAsia" w:cs="宋体"/>
                <w:b/>
                <w:color w:val="000000"/>
                <w:kern w:val="0"/>
                <w:sz w:val="20"/>
                <w:szCs w:val="20"/>
              </w:rPr>
              <w:t>年</w:t>
            </w:r>
            <w:r>
              <w:rPr>
                <w:rFonts w:hint="eastAsia"/>
                <w:b/>
                <w:color w:val="000000"/>
                <w:kern w:val="0"/>
                <w:sz w:val="20"/>
                <w:szCs w:val="20"/>
              </w:rPr>
              <w:t>7-12</w:t>
            </w:r>
            <w:r>
              <w:rPr>
                <w:rFonts w:hint="eastAsia" w:cs="宋体"/>
                <w:b/>
                <w:color w:val="000000"/>
                <w:kern w:val="0"/>
                <w:sz w:val="20"/>
                <w:szCs w:val="20"/>
              </w:rPr>
              <w:t>月</w:t>
            </w:r>
          </w:p>
        </w:tc>
        <w:tc>
          <w:tcPr>
            <w:tcW w:w="1187"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b/>
                <w:color w:val="000000"/>
                <w:kern w:val="0"/>
                <w:sz w:val="20"/>
                <w:szCs w:val="20"/>
              </w:rPr>
            </w:pPr>
            <w:r>
              <w:rPr>
                <w:rFonts w:hint="eastAsia" w:cs="宋体"/>
                <w:b/>
                <w:color w:val="000000"/>
                <w:kern w:val="0"/>
                <w:sz w:val="20"/>
                <w:szCs w:val="20"/>
              </w:rPr>
              <w:t>Ⅱ类标准</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0" w:type="dxa"/>
            <w:bottom w:w="0" w:type="dxa"/>
            <w:right w:w="0" w:type="dxa"/>
          </w:tblCellMar>
        </w:tblPrEx>
        <w:trPr>
          <w:trHeight w:val="397" w:hRule="atLeast"/>
        </w:trPr>
        <w:tc>
          <w:tcPr>
            <w:tcW w:w="815"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1</w:t>
            </w:r>
          </w:p>
        </w:tc>
        <w:tc>
          <w:tcPr>
            <w:tcW w:w="1923"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s="宋体"/>
                <w:color w:val="000000"/>
                <w:kern w:val="0"/>
                <w:sz w:val="20"/>
                <w:szCs w:val="20"/>
              </w:rPr>
              <w:t>水温</w:t>
            </w:r>
          </w:p>
        </w:tc>
        <w:tc>
          <w:tcPr>
            <w:tcW w:w="949"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s="宋体"/>
                <w:color w:val="000000"/>
                <w:kern w:val="0"/>
                <w:sz w:val="20"/>
                <w:szCs w:val="20"/>
              </w:rPr>
              <w:t>度</w:t>
            </w:r>
          </w:p>
        </w:tc>
        <w:tc>
          <w:tcPr>
            <w:tcW w:w="1601"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14.6</w:t>
            </w:r>
          </w:p>
        </w:tc>
        <w:tc>
          <w:tcPr>
            <w:tcW w:w="1854"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25.8</w:t>
            </w:r>
          </w:p>
        </w:tc>
        <w:tc>
          <w:tcPr>
            <w:tcW w:w="1187"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s="宋体"/>
                <w:color w:val="000000"/>
                <w:kern w:val="0"/>
                <w:sz w:val="20"/>
                <w:szCs w:val="20"/>
              </w:rPr>
              <w:t>——</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0" w:type="dxa"/>
            <w:bottom w:w="0" w:type="dxa"/>
            <w:right w:w="0" w:type="dxa"/>
          </w:tblCellMar>
        </w:tblPrEx>
        <w:trPr>
          <w:trHeight w:val="397" w:hRule="atLeast"/>
        </w:trPr>
        <w:tc>
          <w:tcPr>
            <w:tcW w:w="815"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2</w:t>
            </w:r>
          </w:p>
        </w:tc>
        <w:tc>
          <w:tcPr>
            <w:tcW w:w="1923"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PH</w:t>
            </w:r>
            <w:r>
              <w:rPr>
                <w:rFonts w:hint="eastAsia" w:cs="宋体"/>
                <w:color w:val="000000"/>
                <w:kern w:val="0"/>
                <w:sz w:val="20"/>
                <w:szCs w:val="20"/>
              </w:rPr>
              <w:t>值</w:t>
            </w:r>
          </w:p>
        </w:tc>
        <w:tc>
          <w:tcPr>
            <w:tcW w:w="949"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s="宋体"/>
                <w:color w:val="000000"/>
                <w:kern w:val="0"/>
                <w:sz w:val="20"/>
                <w:szCs w:val="20"/>
              </w:rPr>
              <w:t>无量纲</w:t>
            </w:r>
          </w:p>
        </w:tc>
        <w:tc>
          <w:tcPr>
            <w:tcW w:w="1601"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7.5</w:t>
            </w:r>
          </w:p>
        </w:tc>
        <w:tc>
          <w:tcPr>
            <w:tcW w:w="1854"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7.8</w:t>
            </w:r>
          </w:p>
        </w:tc>
        <w:tc>
          <w:tcPr>
            <w:tcW w:w="1187"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6~9</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0" w:type="dxa"/>
            <w:bottom w:w="0" w:type="dxa"/>
            <w:right w:w="0" w:type="dxa"/>
          </w:tblCellMar>
        </w:tblPrEx>
        <w:trPr>
          <w:trHeight w:val="397" w:hRule="atLeast"/>
        </w:trPr>
        <w:tc>
          <w:tcPr>
            <w:tcW w:w="815"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3</w:t>
            </w:r>
          </w:p>
        </w:tc>
        <w:tc>
          <w:tcPr>
            <w:tcW w:w="1923"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s="宋体"/>
                <w:color w:val="000000"/>
                <w:kern w:val="0"/>
                <w:sz w:val="20"/>
                <w:szCs w:val="20"/>
              </w:rPr>
              <w:t>溶解氧</w:t>
            </w:r>
          </w:p>
        </w:tc>
        <w:tc>
          <w:tcPr>
            <w:tcW w:w="949"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mg/l</w:t>
            </w:r>
          </w:p>
        </w:tc>
        <w:tc>
          <w:tcPr>
            <w:tcW w:w="1601"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8.0</w:t>
            </w:r>
          </w:p>
        </w:tc>
        <w:tc>
          <w:tcPr>
            <w:tcW w:w="1854"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7.4</w:t>
            </w:r>
          </w:p>
        </w:tc>
        <w:tc>
          <w:tcPr>
            <w:tcW w:w="1187"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s="宋体"/>
                <w:color w:val="000000"/>
                <w:kern w:val="0"/>
                <w:sz w:val="20"/>
                <w:szCs w:val="20"/>
              </w:rPr>
              <w:t>≥</w:t>
            </w:r>
            <w:r>
              <w:rPr>
                <w:rFonts w:hint="eastAsia"/>
                <w:color w:val="000000"/>
                <w:kern w:val="0"/>
                <w:sz w:val="20"/>
                <w:szCs w:val="20"/>
              </w:rPr>
              <w:t>6</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0" w:type="dxa"/>
            <w:bottom w:w="0" w:type="dxa"/>
            <w:right w:w="0" w:type="dxa"/>
          </w:tblCellMar>
        </w:tblPrEx>
        <w:trPr>
          <w:trHeight w:val="397" w:hRule="atLeast"/>
        </w:trPr>
        <w:tc>
          <w:tcPr>
            <w:tcW w:w="815"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4</w:t>
            </w:r>
          </w:p>
        </w:tc>
        <w:tc>
          <w:tcPr>
            <w:tcW w:w="1923"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s="宋体"/>
                <w:color w:val="000000"/>
                <w:kern w:val="0"/>
                <w:sz w:val="20"/>
                <w:szCs w:val="20"/>
              </w:rPr>
              <w:t>高锰酸盐指数</w:t>
            </w:r>
          </w:p>
        </w:tc>
        <w:tc>
          <w:tcPr>
            <w:tcW w:w="949"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mg/l</w:t>
            </w:r>
          </w:p>
        </w:tc>
        <w:tc>
          <w:tcPr>
            <w:tcW w:w="1601"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2.46</w:t>
            </w:r>
          </w:p>
        </w:tc>
        <w:tc>
          <w:tcPr>
            <w:tcW w:w="1854"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2.44</w:t>
            </w:r>
          </w:p>
        </w:tc>
        <w:tc>
          <w:tcPr>
            <w:tcW w:w="1187"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4</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0" w:type="dxa"/>
            <w:bottom w:w="0" w:type="dxa"/>
            <w:right w:w="0" w:type="dxa"/>
          </w:tblCellMar>
        </w:tblPrEx>
        <w:trPr>
          <w:trHeight w:val="397" w:hRule="atLeast"/>
        </w:trPr>
        <w:tc>
          <w:tcPr>
            <w:tcW w:w="815"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5</w:t>
            </w:r>
          </w:p>
        </w:tc>
        <w:tc>
          <w:tcPr>
            <w:tcW w:w="1923"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s="宋体"/>
                <w:color w:val="000000"/>
                <w:kern w:val="0"/>
                <w:sz w:val="20"/>
                <w:szCs w:val="20"/>
              </w:rPr>
              <w:t>化学需氧量</w:t>
            </w:r>
          </w:p>
        </w:tc>
        <w:tc>
          <w:tcPr>
            <w:tcW w:w="949"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mg/l</w:t>
            </w:r>
          </w:p>
        </w:tc>
        <w:tc>
          <w:tcPr>
            <w:tcW w:w="1601"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10.46</w:t>
            </w:r>
          </w:p>
        </w:tc>
        <w:tc>
          <w:tcPr>
            <w:tcW w:w="1854"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9.90</w:t>
            </w:r>
          </w:p>
        </w:tc>
        <w:tc>
          <w:tcPr>
            <w:tcW w:w="1187"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15</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0" w:type="dxa"/>
            <w:bottom w:w="0" w:type="dxa"/>
            <w:right w:w="0" w:type="dxa"/>
          </w:tblCellMar>
        </w:tblPrEx>
        <w:trPr>
          <w:trHeight w:val="397" w:hRule="atLeast"/>
        </w:trPr>
        <w:tc>
          <w:tcPr>
            <w:tcW w:w="815"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6</w:t>
            </w:r>
          </w:p>
        </w:tc>
        <w:tc>
          <w:tcPr>
            <w:tcW w:w="1923"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s="宋体"/>
                <w:color w:val="000000"/>
                <w:kern w:val="0"/>
                <w:sz w:val="20"/>
                <w:szCs w:val="20"/>
              </w:rPr>
              <w:t>五日生化需氧量</w:t>
            </w:r>
          </w:p>
        </w:tc>
        <w:tc>
          <w:tcPr>
            <w:tcW w:w="949"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mg/l</w:t>
            </w:r>
          </w:p>
        </w:tc>
        <w:tc>
          <w:tcPr>
            <w:tcW w:w="1601"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0.8</w:t>
            </w:r>
          </w:p>
        </w:tc>
        <w:tc>
          <w:tcPr>
            <w:tcW w:w="1854"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1.59</w:t>
            </w:r>
          </w:p>
        </w:tc>
        <w:tc>
          <w:tcPr>
            <w:tcW w:w="1187"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3</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0" w:type="dxa"/>
            <w:bottom w:w="0" w:type="dxa"/>
            <w:right w:w="0" w:type="dxa"/>
          </w:tblCellMar>
        </w:tblPrEx>
        <w:trPr>
          <w:trHeight w:val="397" w:hRule="atLeast"/>
        </w:trPr>
        <w:tc>
          <w:tcPr>
            <w:tcW w:w="815"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7</w:t>
            </w:r>
          </w:p>
        </w:tc>
        <w:tc>
          <w:tcPr>
            <w:tcW w:w="1923"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s="宋体"/>
                <w:color w:val="000000"/>
                <w:kern w:val="0"/>
                <w:sz w:val="20"/>
                <w:szCs w:val="20"/>
              </w:rPr>
              <w:t>氨氮</w:t>
            </w:r>
          </w:p>
        </w:tc>
        <w:tc>
          <w:tcPr>
            <w:tcW w:w="949"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mg/l</w:t>
            </w:r>
          </w:p>
        </w:tc>
        <w:tc>
          <w:tcPr>
            <w:tcW w:w="1601"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0.11</w:t>
            </w:r>
          </w:p>
        </w:tc>
        <w:tc>
          <w:tcPr>
            <w:tcW w:w="1854"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0.07</w:t>
            </w:r>
          </w:p>
        </w:tc>
        <w:tc>
          <w:tcPr>
            <w:tcW w:w="1187"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0.5</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0" w:type="dxa"/>
            <w:bottom w:w="0" w:type="dxa"/>
            <w:right w:w="0" w:type="dxa"/>
          </w:tblCellMar>
        </w:tblPrEx>
        <w:trPr>
          <w:trHeight w:val="397" w:hRule="atLeast"/>
        </w:trPr>
        <w:tc>
          <w:tcPr>
            <w:tcW w:w="815"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kern w:val="0"/>
                <w:sz w:val="20"/>
                <w:szCs w:val="20"/>
              </w:rPr>
            </w:pPr>
            <w:r>
              <w:rPr>
                <w:rFonts w:hint="eastAsia"/>
                <w:color w:val="000000"/>
                <w:kern w:val="0"/>
                <w:sz w:val="20"/>
                <w:szCs w:val="20"/>
              </w:rPr>
              <w:t>8</w:t>
            </w:r>
          </w:p>
        </w:tc>
        <w:tc>
          <w:tcPr>
            <w:tcW w:w="1923"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kern w:val="0"/>
                <w:sz w:val="20"/>
                <w:szCs w:val="20"/>
              </w:rPr>
            </w:pPr>
            <w:r>
              <w:rPr>
                <w:rFonts w:hint="eastAsia" w:cs="宋体"/>
                <w:kern w:val="0"/>
                <w:sz w:val="20"/>
                <w:szCs w:val="20"/>
              </w:rPr>
              <w:t>总氮</w:t>
            </w:r>
          </w:p>
        </w:tc>
        <w:tc>
          <w:tcPr>
            <w:tcW w:w="949"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kern w:val="0"/>
                <w:sz w:val="20"/>
                <w:szCs w:val="20"/>
              </w:rPr>
            </w:pPr>
            <w:r>
              <w:rPr>
                <w:rFonts w:hint="eastAsia"/>
                <w:kern w:val="0"/>
                <w:sz w:val="20"/>
                <w:szCs w:val="20"/>
              </w:rPr>
              <w:t>mg/l</w:t>
            </w:r>
          </w:p>
        </w:tc>
        <w:tc>
          <w:tcPr>
            <w:tcW w:w="1601"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kern w:val="0"/>
                <w:sz w:val="20"/>
                <w:szCs w:val="20"/>
              </w:rPr>
            </w:pPr>
            <w:r>
              <w:rPr>
                <w:rFonts w:hint="eastAsia"/>
                <w:kern w:val="0"/>
                <w:sz w:val="20"/>
                <w:szCs w:val="20"/>
              </w:rPr>
              <w:t>0.63</w:t>
            </w:r>
          </w:p>
        </w:tc>
        <w:tc>
          <w:tcPr>
            <w:tcW w:w="1854"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kern w:val="0"/>
                <w:sz w:val="20"/>
                <w:szCs w:val="20"/>
              </w:rPr>
            </w:pPr>
            <w:r>
              <w:rPr>
                <w:rFonts w:hint="eastAsia"/>
                <w:kern w:val="0"/>
                <w:sz w:val="20"/>
                <w:szCs w:val="20"/>
              </w:rPr>
              <w:t>0.83</w:t>
            </w:r>
          </w:p>
        </w:tc>
        <w:tc>
          <w:tcPr>
            <w:tcW w:w="1187"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kern w:val="0"/>
                <w:sz w:val="20"/>
                <w:szCs w:val="20"/>
              </w:rPr>
            </w:pPr>
            <w:r>
              <w:rPr>
                <w:rFonts w:hint="eastAsia"/>
                <w:kern w:val="0"/>
                <w:sz w:val="20"/>
                <w:szCs w:val="20"/>
              </w:rPr>
              <w:t>0.50</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0" w:type="dxa"/>
            <w:bottom w:w="0" w:type="dxa"/>
            <w:right w:w="0" w:type="dxa"/>
          </w:tblCellMar>
        </w:tblPrEx>
        <w:trPr>
          <w:trHeight w:val="397" w:hRule="atLeast"/>
        </w:trPr>
        <w:tc>
          <w:tcPr>
            <w:tcW w:w="815"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kern w:val="0"/>
                <w:sz w:val="20"/>
                <w:szCs w:val="20"/>
              </w:rPr>
              <w:t>9</w:t>
            </w:r>
          </w:p>
        </w:tc>
        <w:tc>
          <w:tcPr>
            <w:tcW w:w="1923"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s="宋体"/>
                <w:color w:val="000000"/>
                <w:kern w:val="0"/>
                <w:sz w:val="20"/>
                <w:szCs w:val="20"/>
              </w:rPr>
              <w:t>总磷（以</w:t>
            </w:r>
            <w:r>
              <w:rPr>
                <w:rFonts w:hint="eastAsia"/>
                <w:color w:val="000000"/>
                <w:kern w:val="0"/>
                <w:sz w:val="20"/>
                <w:szCs w:val="20"/>
              </w:rPr>
              <w:t>P</w:t>
            </w:r>
            <w:r>
              <w:rPr>
                <w:rFonts w:hint="eastAsia" w:cs="宋体"/>
                <w:color w:val="000000"/>
                <w:kern w:val="0"/>
                <w:sz w:val="20"/>
                <w:szCs w:val="20"/>
              </w:rPr>
              <w:t>计）</w:t>
            </w:r>
          </w:p>
        </w:tc>
        <w:tc>
          <w:tcPr>
            <w:tcW w:w="949"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mg/l</w:t>
            </w:r>
          </w:p>
        </w:tc>
        <w:tc>
          <w:tcPr>
            <w:tcW w:w="1601"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0.020</w:t>
            </w:r>
          </w:p>
        </w:tc>
        <w:tc>
          <w:tcPr>
            <w:tcW w:w="1854"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0.014</w:t>
            </w:r>
          </w:p>
        </w:tc>
        <w:tc>
          <w:tcPr>
            <w:tcW w:w="1187"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0.025</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0" w:type="dxa"/>
            <w:bottom w:w="0" w:type="dxa"/>
            <w:right w:w="0" w:type="dxa"/>
          </w:tblCellMar>
        </w:tblPrEx>
        <w:trPr>
          <w:trHeight w:val="397" w:hRule="atLeast"/>
        </w:trPr>
        <w:tc>
          <w:tcPr>
            <w:tcW w:w="815"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10</w:t>
            </w:r>
          </w:p>
        </w:tc>
        <w:tc>
          <w:tcPr>
            <w:tcW w:w="1923"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s="宋体"/>
                <w:color w:val="000000"/>
                <w:kern w:val="0"/>
                <w:sz w:val="20"/>
                <w:szCs w:val="20"/>
              </w:rPr>
              <w:t>铜</w:t>
            </w:r>
          </w:p>
        </w:tc>
        <w:tc>
          <w:tcPr>
            <w:tcW w:w="949"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mg/l</w:t>
            </w:r>
          </w:p>
        </w:tc>
        <w:tc>
          <w:tcPr>
            <w:tcW w:w="1601"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0.007</w:t>
            </w:r>
          </w:p>
        </w:tc>
        <w:tc>
          <w:tcPr>
            <w:tcW w:w="1854"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0.002</w:t>
            </w:r>
          </w:p>
        </w:tc>
        <w:tc>
          <w:tcPr>
            <w:tcW w:w="1187"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1</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0" w:type="dxa"/>
            <w:bottom w:w="0" w:type="dxa"/>
            <w:right w:w="0" w:type="dxa"/>
          </w:tblCellMar>
        </w:tblPrEx>
        <w:trPr>
          <w:trHeight w:val="397" w:hRule="atLeast"/>
        </w:trPr>
        <w:tc>
          <w:tcPr>
            <w:tcW w:w="815"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11</w:t>
            </w:r>
          </w:p>
        </w:tc>
        <w:tc>
          <w:tcPr>
            <w:tcW w:w="1923"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s="宋体"/>
                <w:color w:val="000000"/>
                <w:kern w:val="0"/>
                <w:sz w:val="20"/>
                <w:szCs w:val="20"/>
              </w:rPr>
              <w:t>锌</w:t>
            </w:r>
          </w:p>
        </w:tc>
        <w:tc>
          <w:tcPr>
            <w:tcW w:w="949"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mg/l</w:t>
            </w:r>
          </w:p>
        </w:tc>
        <w:tc>
          <w:tcPr>
            <w:tcW w:w="1601"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0.005</w:t>
            </w:r>
          </w:p>
        </w:tc>
        <w:tc>
          <w:tcPr>
            <w:tcW w:w="1854"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0.005</w:t>
            </w:r>
          </w:p>
        </w:tc>
        <w:tc>
          <w:tcPr>
            <w:tcW w:w="1187"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1</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0" w:type="dxa"/>
            <w:bottom w:w="0" w:type="dxa"/>
            <w:right w:w="0" w:type="dxa"/>
          </w:tblCellMar>
        </w:tblPrEx>
        <w:trPr>
          <w:trHeight w:val="397" w:hRule="atLeast"/>
        </w:trPr>
        <w:tc>
          <w:tcPr>
            <w:tcW w:w="815"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12</w:t>
            </w:r>
          </w:p>
        </w:tc>
        <w:tc>
          <w:tcPr>
            <w:tcW w:w="1923"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s="宋体"/>
                <w:color w:val="000000"/>
                <w:kern w:val="0"/>
                <w:sz w:val="20"/>
                <w:szCs w:val="20"/>
              </w:rPr>
              <w:t>氟化物（以</w:t>
            </w:r>
            <w:r>
              <w:rPr>
                <w:rFonts w:hint="eastAsia"/>
                <w:color w:val="000000"/>
                <w:kern w:val="0"/>
                <w:sz w:val="20"/>
                <w:szCs w:val="20"/>
              </w:rPr>
              <w:t>F</w:t>
            </w:r>
            <w:r>
              <w:rPr>
                <w:rFonts w:hint="eastAsia" w:cs="宋体"/>
                <w:color w:val="000000"/>
                <w:kern w:val="0"/>
                <w:sz w:val="20"/>
                <w:szCs w:val="20"/>
              </w:rPr>
              <w:t>－计）</w:t>
            </w:r>
          </w:p>
        </w:tc>
        <w:tc>
          <w:tcPr>
            <w:tcW w:w="949"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mg/l</w:t>
            </w:r>
          </w:p>
        </w:tc>
        <w:tc>
          <w:tcPr>
            <w:tcW w:w="1601"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0.264</w:t>
            </w:r>
          </w:p>
        </w:tc>
        <w:tc>
          <w:tcPr>
            <w:tcW w:w="1854"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0.236</w:t>
            </w:r>
          </w:p>
        </w:tc>
        <w:tc>
          <w:tcPr>
            <w:tcW w:w="1187"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1</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0" w:type="dxa"/>
            <w:bottom w:w="0" w:type="dxa"/>
            <w:right w:w="0" w:type="dxa"/>
          </w:tblCellMar>
        </w:tblPrEx>
        <w:trPr>
          <w:trHeight w:val="397" w:hRule="atLeast"/>
        </w:trPr>
        <w:tc>
          <w:tcPr>
            <w:tcW w:w="815"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13</w:t>
            </w:r>
          </w:p>
        </w:tc>
        <w:tc>
          <w:tcPr>
            <w:tcW w:w="1923"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s="宋体"/>
                <w:color w:val="000000"/>
                <w:kern w:val="0"/>
                <w:sz w:val="20"/>
                <w:szCs w:val="20"/>
              </w:rPr>
              <w:t>硒</w:t>
            </w:r>
          </w:p>
        </w:tc>
        <w:tc>
          <w:tcPr>
            <w:tcW w:w="949"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mg/l</w:t>
            </w:r>
          </w:p>
        </w:tc>
        <w:tc>
          <w:tcPr>
            <w:tcW w:w="1601"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0.0002</w:t>
            </w:r>
          </w:p>
        </w:tc>
        <w:tc>
          <w:tcPr>
            <w:tcW w:w="1854"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0.0002</w:t>
            </w:r>
          </w:p>
        </w:tc>
        <w:tc>
          <w:tcPr>
            <w:tcW w:w="1187"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0.01</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0" w:type="dxa"/>
            <w:bottom w:w="0" w:type="dxa"/>
            <w:right w:w="0" w:type="dxa"/>
          </w:tblCellMar>
        </w:tblPrEx>
        <w:trPr>
          <w:trHeight w:val="397" w:hRule="atLeast"/>
        </w:trPr>
        <w:tc>
          <w:tcPr>
            <w:tcW w:w="815"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14</w:t>
            </w:r>
          </w:p>
        </w:tc>
        <w:tc>
          <w:tcPr>
            <w:tcW w:w="1923"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s="宋体"/>
                <w:color w:val="000000"/>
                <w:kern w:val="0"/>
                <w:sz w:val="20"/>
                <w:szCs w:val="20"/>
              </w:rPr>
              <w:t>砷</w:t>
            </w:r>
          </w:p>
        </w:tc>
        <w:tc>
          <w:tcPr>
            <w:tcW w:w="949"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mg/l</w:t>
            </w:r>
          </w:p>
        </w:tc>
        <w:tc>
          <w:tcPr>
            <w:tcW w:w="1601"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0.0001</w:t>
            </w:r>
          </w:p>
        </w:tc>
        <w:tc>
          <w:tcPr>
            <w:tcW w:w="1854"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0.00015</w:t>
            </w:r>
          </w:p>
        </w:tc>
        <w:tc>
          <w:tcPr>
            <w:tcW w:w="1187"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0.05</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0" w:type="dxa"/>
            <w:bottom w:w="0" w:type="dxa"/>
            <w:right w:w="0" w:type="dxa"/>
          </w:tblCellMar>
        </w:tblPrEx>
        <w:trPr>
          <w:trHeight w:val="397" w:hRule="atLeast"/>
        </w:trPr>
        <w:tc>
          <w:tcPr>
            <w:tcW w:w="815"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15</w:t>
            </w:r>
          </w:p>
        </w:tc>
        <w:tc>
          <w:tcPr>
            <w:tcW w:w="1923"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s="宋体"/>
                <w:color w:val="000000"/>
                <w:kern w:val="0"/>
                <w:sz w:val="20"/>
                <w:szCs w:val="20"/>
              </w:rPr>
              <w:t>汞</w:t>
            </w:r>
          </w:p>
        </w:tc>
        <w:tc>
          <w:tcPr>
            <w:tcW w:w="949"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mg/l</w:t>
            </w:r>
          </w:p>
        </w:tc>
        <w:tc>
          <w:tcPr>
            <w:tcW w:w="1601"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0.000015</w:t>
            </w:r>
          </w:p>
        </w:tc>
        <w:tc>
          <w:tcPr>
            <w:tcW w:w="1854"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0.00002</w:t>
            </w:r>
          </w:p>
        </w:tc>
        <w:tc>
          <w:tcPr>
            <w:tcW w:w="1187"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0.00005</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0" w:type="dxa"/>
            <w:bottom w:w="0" w:type="dxa"/>
            <w:right w:w="0" w:type="dxa"/>
          </w:tblCellMar>
        </w:tblPrEx>
        <w:trPr>
          <w:trHeight w:val="397" w:hRule="atLeast"/>
        </w:trPr>
        <w:tc>
          <w:tcPr>
            <w:tcW w:w="815"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16</w:t>
            </w:r>
          </w:p>
        </w:tc>
        <w:tc>
          <w:tcPr>
            <w:tcW w:w="1923"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s="宋体"/>
                <w:color w:val="000000"/>
                <w:kern w:val="0"/>
                <w:sz w:val="20"/>
                <w:szCs w:val="20"/>
              </w:rPr>
              <w:t>镉</w:t>
            </w:r>
          </w:p>
        </w:tc>
        <w:tc>
          <w:tcPr>
            <w:tcW w:w="949"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mg/l</w:t>
            </w:r>
          </w:p>
        </w:tc>
        <w:tc>
          <w:tcPr>
            <w:tcW w:w="1601"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0.00010</w:t>
            </w:r>
          </w:p>
        </w:tc>
        <w:tc>
          <w:tcPr>
            <w:tcW w:w="1854"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0.00005</w:t>
            </w:r>
          </w:p>
        </w:tc>
        <w:tc>
          <w:tcPr>
            <w:tcW w:w="1187"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0.005</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0" w:type="dxa"/>
            <w:bottom w:w="0" w:type="dxa"/>
            <w:right w:w="0" w:type="dxa"/>
          </w:tblCellMar>
        </w:tblPrEx>
        <w:trPr>
          <w:trHeight w:val="397" w:hRule="atLeast"/>
        </w:trPr>
        <w:tc>
          <w:tcPr>
            <w:tcW w:w="815"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17</w:t>
            </w:r>
          </w:p>
        </w:tc>
        <w:tc>
          <w:tcPr>
            <w:tcW w:w="1923"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s="宋体"/>
                <w:color w:val="000000"/>
                <w:kern w:val="0"/>
                <w:sz w:val="20"/>
                <w:szCs w:val="20"/>
              </w:rPr>
              <w:t>六价铬</w:t>
            </w:r>
          </w:p>
        </w:tc>
        <w:tc>
          <w:tcPr>
            <w:tcW w:w="949"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mg/l</w:t>
            </w:r>
          </w:p>
        </w:tc>
        <w:tc>
          <w:tcPr>
            <w:tcW w:w="1601"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0.002</w:t>
            </w:r>
          </w:p>
        </w:tc>
        <w:tc>
          <w:tcPr>
            <w:tcW w:w="1854"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0.002</w:t>
            </w:r>
          </w:p>
        </w:tc>
        <w:tc>
          <w:tcPr>
            <w:tcW w:w="1187"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0.05</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0" w:type="dxa"/>
            <w:bottom w:w="0" w:type="dxa"/>
            <w:right w:w="0" w:type="dxa"/>
          </w:tblCellMar>
        </w:tblPrEx>
        <w:trPr>
          <w:trHeight w:val="397" w:hRule="atLeast"/>
        </w:trPr>
        <w:tc>
          <w:tcPr>
            <w:tcW w:w="815"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18</w:t>
            </w:r>
          </w:p>
        </w:tc>
        <w:tc>
          <w:tcPr>
            <w:tcW w:w="1923"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s="宋体"/>
                <w:color w:val="000000"/>
                <w:kern w:val="0"/>
                <w:sz w:val="20"/>
                <w:szCs w:val="20"/>
              </w:rPr>
              <w:t>铅</w:t>
            </w:r>
          </w:p>
        </w:tc>
        <w:tc>
          <w:tcPr>
            <w:tcW w:w="949"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mg/l</w:t>
            </w:r>
          </w:p>
        </w:tc>
        <w:tc>
          <w:tcPr>
            <w:tcW w:w="1601"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0.0015</w:t>
            </w:r>
          </w:p>
        </w:tc>
        <w:tc>
          <w:tcPr>
            <w:tcW w:w="1854"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0.0008</w:t>
            </w:r>
          </w:p>
        </w:tc>
        <w:tc>
          <w:tcPr>
            <w:tcW w:w="1187"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0.01</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0" w:type="dxa"/>
            <w:bottom w:w="0" w:type="dxa"/>
            <w:right w:w="0" w:type="dxa"/>
          </w:tblCellMar>
        </w:tblPrEx>
        <w:trPr>
          <w:trHeight w:val="397" w:hRule="atLeast"/>
        </w:trPr>
        <w:tc>
          <w:tcPr>
            <w:tcW w:w="815"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19</w:t>
            </w:r>
          </w:p>
        </w:tc>
        <w:tc>
          <w:tcPr>
            <w:tcW w:w="1923"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s="宋体"/>
                <w:color w:val="000000"/>
                <w:kern w:val="0"/>
                <w:sz w:val="20"/>
                <w:szCs w:val="20"/>
              </w:rPr>
              <w:t>氰化物</w:t>
            </w:r>
          </w:p>
        </w:tc>
        <w:tc>
          <w:tcPr>
            <w:tcW w:w="949"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mg/l</w:t>
            </w:r>
          </w:p>
        </w:tc>
        <w:tc>
          <w:tcPr>
            <w:tcW w:w="1601"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0.002</w:t>
            </w:r>
          </w:p>
        </w:tc>
        <w:tc>
          <w:tcPr>
            <w:tcW w:w="1854"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0.002</w:t>
            </w:r>
          </w:p>
        </w:tc>
        <w:tc>
          <w:tcPr>
            <w:tcW w:w="1187"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0.05</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0" w:type="dxa"/>
            <w:bottom w:w="0" w:type="dxa"/>
            <w:right w:w="0" w:type="dxa"/>
          </w:tblCellMar>
        </w:tblPrEx>
        <w:trPr>
          <w:trHeight w:val="397" w:hRule="atLeast"/>
        </w:trPr>
        <w:tc>
          <w:tcPr>
            <w:tcW w:w="815"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20</w:t>
            </w:r>
          </w:p>
        </w:tc>
        <w:tc>
          <w:tcPr>
            <w:tcW w:w="1923"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s="宋体"/>
                <w:color w:val="000000"/>
                <w:kern w:val="0"/>
                <w:sz w:val="20"/>
                <w:szCs w:val="20"/>
              </w:rPr>
              <w:t>挥发酚</w:t>
            </w:r>
          </w:p>
        </w:tc>
        <w:tc>
          <w:tcPr>
            <w:tcW w:w="949"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mg/l</w:t>
            </w:r>
          </w:p>
        </w:tc>
        <w:tc>
          <w:tcPr>
            <w:tcW w:w="1601"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0.0007</w:t>
            </w:r>
          </w:p>
        </w:tc>
        <w:tc>
          <w:tcPr>
            <w:tcW w:w="1854"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0.0006</w:t>
            </w:r>
          </w:p>
        </w:tc>
        <w:tc>
          <w:tcPr>
            <w:tcW w:w="1187"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0.005</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0" w:type="dxa"/>
            <w:bottom w:w="0" w:type="dxa"/>
            <w:right w:w="0" w:type="dxa"/>
          </w:tblCellMar>
        </w:tblPrEx>
        <w:trPr>
          <w:trHeight w:val="397" w:hRule="atLeast"/>
        </w:trPr>
        <w:tc>
          <w:tcPr>
            <w:tcW w:w="815"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21</w:t>
            </w:r>
          </w:p>
        </w:tc>
        <w:tc>
          <w:tcPr>
            <w:tcW w:w="1923"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s="宋体"/>
                <w:color w:val="000000"/>
                <w:kern w:val="0"/>
                <w:sz w:val="20"/>
                <w:szCs w:val="20"/>
              </w:rPr>
              <w:t>石油类</w:t>
            </w:r>
          </w:p>
        </w:tc>
        <w:tc>
          <w:tcPr>
            <w:tcW w:w="949"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mg/l</w:t>
            </w:r>
          </w:p>
        </w:tc>
        <w:tc>
          <w:tcPr>
            <w:tcW w:w="1601"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0.01</w:t>
            </w:r>
          </w:p>
        </w:tc>
        <w:tc>
          <w:tcPr>
            <w:tcW w:w="1854"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0.008</w:t>
            </w:r>
          </w:p>
        </w:tc>
        <w:tc>
          <w:tcPr>
            <w:tcW w:w="1187"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0.05</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0" w:type="dxa"/>
            <w:bottom w:w="0" w:type="dxa"/>
            <w:right w:w="0" w:type="dxa"/>
          </w:tblCellMar>
        </w:tblPrEx>
        <w:trPr>
          <w:trHeight w:val="397" w:hRule="atLeast"/>
        </w:trPr>
        <w:tc>
          <w:tcPr>
            <w:tcW w:w="815"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22</w:t>
            </w:r>
          </w:p>
        </w:tc>
        <w:tc>
          <w:tcPr>
            <w:tcW w:w="1923"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s="宋体"/>
                <w:color w:val="000000"/>
                <w:kern w:val="0"/>
                <w:sz w:val="20"/>
                <w:szCs w:val="20"/>
              </w:rPr>
              <w:t>阴离子表面活性剂</w:t>
            </w:r>
          </w:p>
        </w:tc>
        <w:tc>
          <w:tcPr>
            <w:tcW w:w="949"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mg/l</w:t>
            </w:r>
          </w:p>
        </w:tc>
        <w:tc>
          <w:tcPr>
            <w:tcW w:w="1601"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0.01</w:t>
            </w:r>
          </w:p>
        </w:tc>
        <w:tc>
          <w:tcPr>
            <w:tcW w:w="1854"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0.018</w:t>
            </w:r>
          </w:p>
        </w:tc>
        <w:tc>
          <w:tcPr>
            <w:tcW w:w="1187"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0.2</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0" w:type="dxa"/>
            <w:bottom w:w="0" w:type="dxa"/>
            <w:right w:w="0" w:type="dxa"/>
          </w:tblCellMar>
        </w:tblPrEx>
        <w:trPr>
          <w:trHeight w:val="397" w:hRule="atLeast"/>
        </w:trPr>
        <w:tc>
          <w:tcPr>
            <w:tcW w:w="815"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23</w:t>
            </w:r>
          </w:p>
        </w:tc>
        <w:tc>
          <w:tcPr>
            <w:tcW w:w="1923"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s="宋体"/>
                <w:color w:val="000000"/>
                <w:kern w:val="0"/>
                <w:sz w:val="20"/>
                <w:szCs w:val="20"/>
              </w:rPr>
              <w:t>硫化物</w:t>
            </w:r>
          </w:p>
        </w:tc>
        <w:tc>
          <w:tcPr>
            <w:tcW w:w="949"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mg/l</w:t>
            </w:r>
          </w:p>
        </w:tc>
        <w:tc>
          <w:tcPr>
            <w:tcW w:w="1601"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0.0025</w:t>
            </w:r>
          </w:p>
        </w:tc>
        <w:tc>
          <w:tcPr>
            <w:tcW w:w="1854"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0.0025</w:t>
            </w:r>
          </w:p>
        </w:tc>
        <w:tc>
          <w:tcPr>
            <w:tcW w:w="1187"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0.1</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0" w:type="dxa"/>
            <w:bottom w:w="0" w:type="dxa"/>
            <w:right w:w="0" w:type="dxa"/>
          </w:tblCellMar>
        </w:tblPrEx>
        <w:trPr>
          <w:trHeight w:val="397" w:hRule="atLeast"/>
        </w:trPr>
        <w:tc>
          <w:tcPr>
            <w:tcW w:w="815"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24</w:t>
            </w:r>
          </w:p>
        </w:tc>
        <w:tc>
          <w:tcPr>
            <w:tcW w:w="1923"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s="宋体"/>
                <w:color w:val="000000"/>
                <w:kern w:val="0"/>
                <w:sz w:val="20"/>
                <w:szCs w:val="20"/>
              </w:rPr>
              <w:t>粪大肠菌群</w:t>
            </w:r>
          </w:p>
        </w:tc>
        <w:tc>
          <w:tcPr>
            <w:tcW w:w="949"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s="宋体"/>
                <w:color w:val="000000"/>
                <w:kern w:val="0"/>
                <w:sz w:val="20"/>
                <w:szCs w:val="20"/>
              </w:rPr>
              <w:t>个</w:t>
            </w:r>
            <w:r>
              <w:rPr>
                <w:rFonts w:hint="eastAsia"/>
                <w:color w:val="000000"/>
                <w:kern w:val="0"/>
                <w:sz w:val="20"/>
                <w:szCs w:val="20"/>
              </w:rPr>
              <w:t>/L</w:t>
            </w:r>
          </w:p>
        </w:tc>
        <w:tc>
          <w:tcPr>
            <w:tcW w:w="1601"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58</w:t>
            </w:r>
          </w:p>
        </w:tc>
        <w:tc>
          <w:tcPr>
            <w:tcW w:w="1854"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62</w:t>
            </w:r>
          </w:p>
        </w:tc>
        <w:tc>
          <w:tcPr>
            <w:tcW w:w="1187"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2000</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0" w:type="dxa"/>
            <w:bottom w:w="0" w:type="dxa"/>
            <w:right w:w="0" w:type="dxa"/>
          </w:tblCellMar>
        </w:tblPrEx>
        <w:trPr>
          <w:trHeight w:val="397" w:hRule="atLeast"/>
        </w:trPr>
        <w:tc>
          <w:tcPr>
            <w:tcW w:w="815"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25</w:t>
            </w:r>
          </w:p>
        </w:tc>
        <w:tc>
          <w:tcPr>
            <w:tcW w:w="1923"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s="宋体"/>
                <w:color w:val="000000"/>
                <w:kern w:val="0"/>
                <w:sz w:val="20"/>
                <w:szCs w:val="20"/>
              </w:rPr>
              <w:t>叶绿素</w:t>
            </w:r>
            <w:r>
              <w:rPr>
                <w:rFonts w:hint="eastAsia"/>
                <w:color w:val="000000"/>
                <w:kern w:val="0"/>
                <w:sz w:val="20"/>
                <w:szCs w:val="20"/>
              </w:rPr>
              <w:t>a</w:t>
            </w:r>
          </w:p>
        </w:tc>
        <w:tc>
          <w:tcPr>
            <w:tcW w:w="949"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mg/m</w:t>
            </w:r>
            <w:r>
              <w:rPr>
                <w:rFonts w:hint="eastAsia"/>
                <w:color w:val="000000"/>
                <w:kern w:val="0"/>
                <w:sz w:val="20"/>
                <w:szCs w:val="20"/>
                <w:vertAlign w:val="superscript"/>
              </w:rPr>
              <w:t>3</w:t>
            </w:r>
          </w:p>
        </w:tc>
        <w:tc>
          <w:tcPr>
            <w:tcW w:w="1601"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5.48</w:t>
            </w:r>
          </w:p>
        </w:tc>
        <w:tc>
          <w:tcPr>
            <w:tcW w:w="1854"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6.33</w:t>
            </w:r>
          </w:p>
        </w:tc>
        <w:tc>
          <w:tcPr>
            <w:tcW w:w="1187"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s="宋体"/>
                <w:color w:val="000000"/>
                <w:kern w:val="0"/>
                <w:sz w:val="20"/>
                <w:szCs w:val="20"/>
              </w:rPr>
              <w:t>——</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0" w:type="dxa"/>
            <w:bottom w:w="0" w:type="dxa"/>
            <w:right w:w="0" w:type="dxa"/>
          </w:tblCellMar>
        </w:tblPrEx>
        <w:trPr>
          <w:trHeight w:val="397" w:hRule="atLeast"/>
        </w:trPr>
        <w:tc>
          <w:tcPr>
            <w:tcW w:w="815"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26</w:t>
            </w:r>
          </w:p>
        </w:tc>
        <w:tc>
          <w:tcPr>
            <w:tcW w:w="1923"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s="宋体"/>
                <w:color w:val="000000"/>
                <w:kern w:val="0"/>
                <w:sz w:val="20"/>
                <w:szCs w:val="20"/>
              </w:rPr>
              <w:t>透明度</w:t>
            </w:r>
          </w:p>
        </w:tc>
        <w:tc>
          <w:tcPr>
            <w:tcW w:w="949"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cm</w:t>
            </w:r>
          </w:p>
        </w:tc>
        <w:tc>
          <w:tcPr>
            <w:tcW w:w="1601"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194</w:t>
            </w:r>
          </w:p>
        </w:tc>
        <w:tc>
          <w:tcPr>
            <w:tcW w:w="1854"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191</w:t>
            </w:r>
          </w:p>
        </w:tc>
        <w:tc>
          <w:tcPr>
            <w:tcW w:w="1187"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s="宋体"/>
                <w:color w:val="000000"/>
                <w:kern w:val="0"/>
                <w:sz w:val="20"/>
                <w:szCs w:val="20"/>
              </w:rPr>
              <w:t>——</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0" w:type="dxa"/>
            <w:bottom w:w="0" w:type="dxa"/>
            <w:right w:w="0" w:type="dxa"/>
          </w:tblCellMar>
        </w:tblPrEx>
        <w:trPr>
          <w:trHeight w:val="397" w:hRule="atLeast"/>
        </w:trPr>
        <w:tc>
          <w:tcPr>
            <w:tcW w:w="815"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27</w:t>
            </w:r>
          </w:p>
        </w:tc>
        <w:tc>
          <w:tcPr>
            <w:tcW w:w="1923"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s="宋体"/>
                <w:color w:val="000000"/>
                <w:kern w:val="0"/>
                <w:sz w:val="20"/>
                <w:szCs w:val="20"/>
              </w:rPr>
              <w:t>硫酸盐</w:t>
            </w:r>
          </w:p>
        </w:tc>
        <w:tc>
          <w:tcPr>
            <w:tcW w:w="949"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mg/l</w:t>
            </w:r>
          </w:p>
        </w:tc>
        <w:tc>
          <w:tcPr>
            <w:tcW w:w="1601"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7.30</w:t>
            </w:r>
          </w:p>
        </w:tc>
        <w:tc>
          <w:tcPr>
            <w:tcW w:w="1854"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9.08</w:t>
            </w:r>
          </w:p>
        </w:tc>
        <w:tc>
          <w:tcPr>
            <w:tcW w:w="1187"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250</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0" w:type="dxa"/>
            <w:bottom w:w="0" w:type="dxa"/>
            <w:right w:w="0" w:type="dxa"/>
          </w:tblCellMar>
        </w:tblPrEx>
        <w:trPr>
          <w:trHeight w:val="397" w:hRule="atLeast"/>
        </w:trPr>
        <w:tc>
          <w:tcPr>
            <w:tcW w:w="815"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28</w:t>
            </w:r>
          </w:p>
        </w:tc>
        <w:tc>
          <w:tcPr>
            <w:tcW w:w="1923"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s="宋体"/>
                <w:color w:val="000000"/>
                <w:kern w:val="0"/>
                <w:sz w:val="20"/>
                <w:szCs w:val="20"/>
              </w:rPr>
              <w:t>氯化物</w:t>
            </w:r>
          </w:p>
        </w:tc>
        <w:tc>
          <w:tcPr>
            <w:tcW w:w="949"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mg/l</w:t>
            </w:r>
          </w:p>
        </w:tc>
        <w:tc>
          <w:tcPr>
            <w:tcW w:w="1601"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2.27</w:t>
            </w:r>
          </w:p>
        </w:tc>
        <w:tc>
          <w:tcPr>
            <w:tcW w:w="1854"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2.24</w:t>
            </w:r>
          </w:p>
        </w:tc>
        <w:tc>
          <w:tcPr>
            <w:tcW w:w="1187"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250</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0" w:type="dxa"/>
            <w:bottom w:w="0" w:type="dxa"/>
            <w:right w:w="0" w:type="dxa"/>
          </w:tblCellMar>
        </w:tblPrEx>
        <w:trPr>
          <w:trHeight w:val="397" w:hRule="atLeast"/>
        </w:trPr>
        <w:tc>
          <w:tcPr>
            <w:tcW w:w="815"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29</w:t>
            </w:r>
          </w:p>
        </w:tc>
        <w:tc>
          <w:tcPr>
            <w:tcW w:w="1923"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s="宋体"/>
                <w:color w:val="000000"/>
                <w:kern w:val="0"/>
                <w:sz w:val="20"/>
                <w:szCs w:val="20"/>
              </w:rPr>
              <w:t>硝酸盐</w:t>
            </w:r>
          </w:p>
        </w:tc>
        <w:tc>
          <w:tcPr>
            <w:tcW w:w="949"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mg/l</w:t>
            </w:r>
          </w:p>
        </w:tc>
        <w:tc>
          <w:tcPr>
            <w:tcW w:w="1601"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0.38</w:t>
            </w:r>
          </w:p>
        </w:tc>
        <w:tc>
          <w:tcPr>
            <w:tcW w:w="1854"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0.39</w:t>
            </w:r>
          </w:p>
        </w:tc>
        <w:tc>
          <w:tcPr>
            <w:tcW w:w="1187"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10</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0" w:type="dxa"/>
            <w:bottom w:w="0" w:type="dxa"/>
            <w:right w:w="0" w:type="dxa"/>
          </w:tblCellMar>
        </w:tblPrEx>
        <w:trPr>
          <w:trHeight w:val="397" w:hRule="atLeast"/>
        </w:trPr>
        <w:tc>
          <w:tcPr>
            <w:tcW w:w="815"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30</w:t>
            </w:r>
          </w:p>
        </w:tc>
        <w:tc>
          <w:tcPr>
            <w:tcW w:w="1923"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s="宋体"/>
                <w:color w:val="000000"/>
                <w:kern w:val="0"/>
                <w:sz w:val="20"/>
                <w:szCs w:val="20"/>
              </w:rPr>
              <w:t>铁</w:t>
            </w:r>
          </w:p>
        </w:tc>
        <w:tc>
          <w:tcPr>
            <w:tcW w:w="949"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mg/l</w:t>
            </w:r>
          </w:p>
        </w:tc>
        <w:tc>
          <w:tcPr>
            <w:tcW w:w="1601"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0.032</w:t>
            </w:r>
          </w:p>
        </w:tc>
        <w:tc>
          <w:tcPr>
            <w:tcW w:w="1854"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0.015</w:t>
            </w:r>
          </w:p>
        </w:tc>
        <w:tc>
          <w:tcPr>
            <w:tcW w:w="1187"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0.3</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0" w:type="dxa"/>
            <w:bottom w:w="0" w:type="dxa"/>
            <w:right w:w="0" w:type="dxa"/>
          </w:tblCellMar>
        </w:tblPrEx>
        <w:trPr>
          <w:trHeight w:val="397" w:hRule="atLeast"/>
        </w:trPr>
        <w:tc>
          <w:tcPr>
            <w:tcW w:w="815"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31</w:t>
            </w:r>
          </w:p>
        </w:tc>
        <w:tc>
          <w:tcPr>
            <w:tcW w:w="1923"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s="宋体"/>
                <w:color w:val="000000"/>
                <w:kern w:val="0"/>
                <w:sz w:val="20"/>
                <w:szCs w:val="20"/>
              </w:rPr>
              <w:t>锰</w:t>
            </w:r>
          </w:p>
        </w:tc>
        <w:tc>
          <w:tcPr>
            <w:tcW w:w="949"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mg/l</w:t>
            </w:r>
          </w:p>
        </w:tc>
        <w:tc>
          <w:tcPr>
            <w:tcW w:w="1601"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0.01</w:t>
            </w:r>
          </w:p>
        </w:tc>
        <w:tc>
          <w:tcPr>
            <w:tcW w:w="1854"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0.005</w:t>
            </w:r>
          </w:p>
        </w:tc>
        <w:tc>
          <w:tcPr>
            <w:tcW w:w="1187"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0.1</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0" w:type="dxa"/>
            <w:bottom w:w="0" w:type="dxa"/>
            <w:right w:w="0" w:type="dxa"/>
          </w:tblCellMar>
        </w:tblPrEx>
        <w:trPr>
          <w:trHeight w:val="397" w:hRule="atLeast"/>
        </w:trPr>
        <w:tc>
          <w:tcPr>
            <w:tcW w:w="815"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32</w:t>
            </w:r>
          </w:p>
        </w:tc>
        <w:tc>
          <w:tcPr>
            <w:tcW w:w="1923"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s="宋体"/>
                <w:color w:val="000000"/>
                <w:kern w:val="0"/>
                <w:sz w:val="20"/>
                <w:szCs w:val="20"/>
              </w:rPr>
              <w:t>三氯甲烷</w:t>
            </w:r>
          </w:p>
        </w:tc>
        <w:tc>
          <w:tcPr>
            <w:tcW w:w="949"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mg/l</w:t>
            </w:r>
          </w:p>
        </w:tc>
        <w:tc>
          <w:tcPr>
            <w:tcW w:w="1601"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0.0000015</w:t>
            </w:r>
          </w:p>
        </w:tc>
        <w:tc>
          <w:tcPr>
            <w:tcW w:w="1854"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0.0000015</w:t>
            </w:r>
          </w:p>
        </w:tc>
        <w:tc>
          <w:tcPr>
            <w:tcW w:w="1187"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0.06</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0" w:type="dxa"/>
            <w:bottom w:w="0" w:type="dxa"/>
            <w:right w:w="0" w:type="dxa"/>
          </w:tblCellMar>
        </w:tblPrEx>
        <w:trPr>
          <w:trHeight w:val="397" w:hRule="atLeast"/>
        </w:trPr>
        <w:tc>
          <w:tcPr>
            <w:tcW w:w="815"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33</w:t>
            </w:r>
          </w:p>
        </w:tc>
        <w:tc>
          <w:tcPr>
            <w:tcW w:w="1923"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s="宋体"/>
                <w:color w:val="000000"/>
                <w:kern w:val="0"/>
                <w:sz w:val="20"/>
                <w:szCs w:val="20"/>
              </w:rPr>
              <w:t>四氯化碳</w:t>
            </w:r>
          </w:p>
        </w:tc>
        <w:tc>
          <w:tcPr>
            <w:tcW w:w="949"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mg/l</w:t>
            </w:r>
          </w:p>
        </w:tc>
        <w:tc>
          <w:tcPr>
            <w:tcW w:w="1601"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0.000000115</w:t>
            </w:r>
          </w:p>
        </w:tc>
        <w:tc>
          <w:tcPr>
            <w:tcW w:w="1854"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0.000000115</w:t>
            </w:r>
          </w:p>
        </w:tc>
        <w:tc>
          <w:tcPr>
            <w:tcW w:w="1187"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0.002</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0" w:type="dxa"/>
            <w:bottom w:w="0" w:type="dxa"/>
            <w:right w:w="0" w:type="dxa"/>
          </w:tblCellMar>
        </w:tblPrEx>
        <w:trPr>
          <w:trHeight w:val="397" w:hRule="atLeast"/>
        </w:trPr>
        <w:tc>
          <w:tcPr>
            <w:tcW w:w="815"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34</w:t>
            </w:r>
          </w:p>
        </w:tc>
        <w:tc>
          <w:tcPr>
            <w:tcW w:w="1923"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s="宋体"/>
                <w:color w:val="000000"/>
                <w:kern w:val="0"/>
                <w:sz w:val="20"/>
                <w:szCs w:val="20"/>
              </w:rPr>
              <w:t>三溴甲烷</w:t>
            </w:r>
          </w:p>
        </w:tc>
        <w:tc>
          <w:tcPr>
            <w:tcW w:w="949"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mg/l</w:t>
            </w:r>
          </w:p>
        </w:tc>
        <w:tc>
          <w:tcPr>
            <w:tcW w:w="1601"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0.0003L</w:t>
            </w:r>
          </w:p>
        </w:tc>
        <w:tc>
          <w:tcPr>
            <w:tcW w:w="1854"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0.0003L</w:t>
            </w:r>
          </w:p>
        </w:tc>
        <w:tc>
          <w:tcPr>
            <w:tcW w:w="1187"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0.1</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0" w:type="dxa"/>
            <w:bottom w:w="0" w:type="dxa"/>
            <w:right w:w="0" w:type="dxa"/>
          </w:tblCellMar>
        </w:tblPrEx>
        <w:trPr>
          <w:trHeight w:val="397" w:hRule="atLeast"/>
        </w:trPr>
        <w:tc>
          <w:tcPr>
            <w:tcW w:w="815"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35</w:t>
            </w:r>
          </w:p>
        </w:tc>
        <w:tc>
          <w:tcPr>
            <w:tcW w:w="1923"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s="宋体"/>
                <w:color w:val="000000"/>
                <w:kern w:val="0"/>
                <w:sz w:val="20"/>
                <w:szCs w:val="20"/>
              </w:rPr>
              <w:t>二氯甲烷</w:t>
            </w:r>
          </w:p>
        </w:tc>
        <w:tc>
          <w:tcPr>
            <w:tcW w:w="949"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mg/l</w:t>
            </w:r>
          </w:p>
        </w:tc>
        <w:tc>
          <w:tcPr>
            <w:tcW w:w="1601"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0.0087L</w:t>
            </w:r>
          </w:p>
        </w:tc>
        <w:tc>
          <w:tcPr>
            <w:tcW w:w="1854"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0.0087L</w:t>
            </w:r>
          </w:p>
        </w:tc>
        <w:tc>
          <w:tcPr>
            <w:tcW w:w="1187"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0.02</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0" w:type="dxa"/>
            <w:bottom w:w="0" w:type="dxa"/>
            <w:right w:w="0" w:type="dxa"/>
          </w:tblCellMar>
        </w:tblPrEx>
        <w:trPr>
          <w:trHeight w:val="397" w:hRule="atLeast"/>
        </w:trPr>
        <w:tc>
          <w:tcPr>
            <w:tcW w:w="815"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36</w:t>
            </w:r>
          </w:p>
        </w:tc>
        <w:tc>
          <w:tcPr>
            <w:tcW w:w="1923"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1</w:t>
            </w:r>
            <w:r>
              <w:rPr>
                <w:rFonts w:hint="eastAsia" w:cs="宋体"/>
                <w:color w:val="000000"/>
                <w:kern w:val="0"/>
                <w:sz w:val="20"/>
                <w:szCs w:val="20"/>
              </w:rPr>
              <w:t>，</w:t>
            </w:r>
            <w:r>
              <w:rPr>
                <w:rFonts w:hint="eastAsia"/>
                <w:color w:val="000000"/>
                <w:kern w:val="0"/>
                <w:sz w:val="20"/>
                <w:szCs w:val="20"/>
              </w:rPr>
              <w:t>2-</w:t>
            </w:r>
            <w:r>
              <w:rPr>
                <w:rFonts w:hint="eastAsia" w:cs="宋体"/>
                <w:color w:val="000000"/>
                <w:kern w:val="0"/>
                <w:sz w:val="20"/>
                <w:szCs w:val="20"/>
              </w:rPr>
              <w:t>二氯乙烷</w:t>
            </w:r>
          </w:p>
        </w:tc>
        <w:tc>
          <w:tcPr>
            <w:tcW w:w="949"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mg/l</w:t>
            </w:r>
          </w:p>
        </w:tc>
        <w:tc>
          <w:tcPr>
            <w:tcW w:w="1601"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0.0125L</w:t>
            </w:r>
          </w:p>
        </w:tc>
        <w:tc>
          <w:tcPr>
            <w:tcW w:w="1854"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0.0125L</w:t>
            </w:r>
          </w:p>
        </w:tc>
        <w:tc>
          <w:tcPr>
            <w:tcW w:w="1187"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0.03</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0" w:type="dxa"/>
            <w:bottom w:w="0" w:type="dxa"/>
            <w:right w:w="0" w:type="dxa"/>
          </w:tblCellMar>
        </w:tblPrEx>
        <w:trPr>
          <w:trHeight w:val="397" w:hRule="atLeast"/>
        </w:trPr>
        <w:tc>
          <w:tcPr>
            <w:tcW w:w="815"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37</w:t>
            </w:r>
          </w:p>
        </w:tc>
        <w:tc>
          <w:tcPr>
            <w:tcW w:w="1923"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s="宋体"/>
                <w:color w:val="000000"/>
                <w:kern w:val="0"/>
                <w:sz w:val="20"/>
                <w:szCs w:val="20"/>
              </w:rPr>
              <w:t>环氧氯丙烷</w:t>
            </w:r>
          </w:p>
        </w:tc>
        <w:tc>
          <w:tcPr>
            <w:tcW w:w="949"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mg/l</w:t>
            </w:r>
          </w:p>
        </w:tc>
        <w:tc>
          <w:tcPr>
            <w:tcW w:w="1601"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0.02L</w:t>
            </w:r>
          </w:p>
        </w:tc>
        <w:tc>
          <w:tcPr>
            <w:tcW w:w="1854"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0.02L</w:t>
            </w:r>
          </w:p>
        </w:tc>
        <w:tc>
          <w:tcPr>
            <w:tcW w:w="1187"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0.02</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0" w:type="dxa"/>
            <w:bottom w:w="0" w:type="dxa"/>
            <w:right w:w="0" w:type="dxa"/>
          </w:tblCellMar>
        </w:tblPrEx>
        <w:trPr>
          <w:trHeight w:val="397" w:hRule="atLeast"/>
        </w:trPr>
        <w:tc>
          <w:tcPr>
            <w:tcW w:w="815"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38</w:t>
            </w:r>
          </w:p>
        </w:tc>
        <w:tc>
          <w:tcPr>
            <w:tcW w:w="1923"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s="宋体"/>
                <w:color w:val="000000"/>
                <w:kern w:val="0"/>
                <w:sz w:val="20"/>
                <w:szCs w:val="20"/>
              </w:rPr>
              <w:t>氯乙烯</w:t>
            </w:r>
          </w:p>
        </w:tc>
        <w:tc>
          <w:tcPr>
            <w:tcW w:w="949"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mg/l</w:t>
            </w:r>
          </w:p>
        </w:tc>
        <w:tc>
          <w:tcPr>
            <w:tcW w:w="1601"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0.001L</w:t>
            </w:r>
          </w:p>
        </w:tc>
        <w:tc>
          <w:tcPr>
            <w:tcW w:w="1854"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0.001L</w:t>
            </w:r>
          </w:p>
        </w:tc>
        <w:tc>
          <w:tcPr>
            <w:tcW w:w="1187"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0.005</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0" w:type="dxa"/>
            <w:bottom w:w="0" w:type="dxa"/>
            <w:right w:w="0" w:type="dxa"/>
          </w:tblCellMar>
        </w:tblPrEx>
        <w:trPr>
          <w:trHeight w:val="397" w:hRule="atLeast"/>
        </w:trPr>
        <w:tc>
          <w:tcPr>
            <w:tcW w:w="815"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39</w:t>
            </w:r>
          </w:p>
        </w:tc>
        <w:tc>
          <w:tcPr>
            <w:tcW w:w="1923"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1</w:t>
            </w:r>
            <w:r>
              <w:rPr>
                <w:rFonts w:hint="eastAsia" w:cs="宋体"/>
                <w:color w:val="000000"/>
                <w:kern w:val="0"/>
                <w:sz w:val="20"/>
                <w:szCs w:val="20"/>
              </w:rPr>
              <w:t>，</w:t>
            </w:r>
            <w:r>
              <w:rPr>
                <w:rFonts w:hint="eastAsia"/>
                <w:color w:val="000000"/>
                <w:kern w:val="0"/>
                <w:sz w:val="20"/>
                <w:szCs w:val="20"/>
              </w:rPr>
              <w:t>1-</w:t>
            </w:r>
            <w:r>
              <w:rPr>
                <w:rFonts w:hint="eastAsia" w:cs="宋体"/>
                <w:color w:val="000000"/>
                <w:kern w:val="0"/>
                <w:sz w:val="20"/>
                <w:szCs w:val="20"/>
              </w:rPr>
              <w:t>二氯乙烯</w:t>
            </w:r>
          </w:p>
        </w:tc>
        <w:tc>
          <w:tcPr>
            <w:tcW w:w="949"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mg/l</w:t>
            </w:r>
          </w:p>
        </w:tc>
        <w:tc>
          <w:tcPr>
            <w:tcW w:w="1601"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0.000018L</w:t>
            </w:r>
          </w:p>
        </w:tc>
        <w:tc>
          <w:tcPr>
            <w:tcW w:w="1854"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0.000018L</w:t>
            </w:r>
          </w:p>
        </w:tc>
        <w:tc>
          <w:tcPr>
            <w:tcW w:w="1187"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0.03</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0" w:type="dxa"/>
            <w:bottom w:w="0" w:type="dxa"/>
            <w:right w:w="0" w:type="dxa"/>
          </w:tblCellMar>
        </w:tblPrEx>
        <w:trPr>
          <w:trHeight w:val="397" w:hRule="atLeast"/>
        </w:trPr>
        <w:tc>
          <w:tcPr>
            <w:tcW w:w="815"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40</w:t>
            </w:r>
          </w:p>
        </w:tc>
        <w:tc>
          <w:tcPr>
            <w:tcW w:w="1923"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1</w:t>
            </w:r>
            <w:r>
              <w:rPr>
                <w:rFonts w:hint="eastAsia" w:cs="宋体"/>
                <w:color w:val="000000"/>
                <w:kern w:val="0"/>
                <w:sz w:val="20"/>
                <w:szCs w:val="20"/>
              </w:rPr>
              <w:t>，</w:t>
            </w:r>
            <w:r>
              <w:rPr>
                <w:rFonts w:hint="eastAsia"/>
                <w:color w:val="000000"/>
                <w:kern w:val="0"/>
                <w:sz w:val="20"/>
                <w:szCs w:val="20"/>
              </w:rPr>
              <w:t>2-</w:t>
            </w:r>
            <w:r>
              <w:rPr>
                <w:rFonts w:hint="eastAsia" w:cs="宋体"/>
                <w:color w:val="000000"/>
                <w:kern w:val="0"/>
                <w:sz w:val="20"/>
                <w:szCs w:val="20"/>
              </w:rPr>
              <w:t>二氯乙烯</w:t>
            </w:r>
          </w:p>
        </w:tc>
        <w:tc>
          <w:tcPr>
            <w:tcW w:w="949"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mg/l</w:t>
            </w:r>
          </w:p>
        </w:tc>
        <w:tc>
          <w:tcPr>
            <w:tcW w:w="1601"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0.000012L</w:t>
            </w:r>
          </w:p>
        </w:tc>
        <w:tc>
          <w:tcPr>
            <w:tcW w:w="1854"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0.000012L</w:t>
            </w:r>
          </w:p>
        </w:tc>
        <w:tc>
          <w:tcPr>
            <w:tcW w:w="1187"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0.05</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0" w:type="dxa"/>
            <w:bottom w:w="0" w:type="dxa"/>
            <w:right w:w="0" w:type="dxa"/>
          </w:tblCellMar>
        </w:tblPrEx>
        <w:trPr>
          <w:trHeight w:val="397" w:hRule="atLeast"/>
        </w:trPr>
        <w:tc>
          <w:tcPr>
            <w:tcW w:w="815"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41</w:t>
            </w:r>
          </w:p>
        </w:tc>
        <w:tc>
          <w:tcPr>
            <w:tcW w:w="1923"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s="宋体"/>
                <w:color w:val="000000"/>
                <w:kern w:val="0"/>
                <w:sz w:val="20"/>
                <w:szCs w:val="20"/>
              </w:rPr>
              <w:t>三氯乙烯</w:t>
            </w:r>
          </w:p>
        </w:tc>
        <w:tc>
          <w:tcPr>
            <w:tcW w:w="949"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mg/l</w:t>
            </w:r>
          </w:p>
        </w:tc>
        <w:tc>
          <w:tcPr>
            <w:tcW w:w="1601"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0.0000005</w:t>
            </w:r>
          </w:p>
        </w:tc>
        <w:tc>
          <w:tcPr>
            <w:tcW w:w="1854"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0.0000005</w:t>
            </w:r>
          </w:p>
        </w:tc>
        <w:tc>
          <w:tcPr>
            <w:tcW w:w="1187"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0.07</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0" w:type="dxa"/>
            <w:bottom w:w="0" w:type="dxa"/>
            <w:right w:w="0" w:type="dxa"/>
          </w:tblCellMar>
        </w:tblPrEx>
        <w:trPr>
          <w:trHeight w:val="397" w:hRule="atLeast"/>
        </w:trPr>
        <w:tc>
          <w:tcPr>
            <w:tcW w:w="815"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42</w:t>
            </w:r>
          </w:p>
        </w:tc>
        <w:tc>
          <w:tcPr>
            <w:tcW w:w="1923"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s="宋体"/>
                <w:color w:val="000000"/>
                <w:kern w:val="0"/>
                <w:sz w:val="20"/>
                <w:szCs w:val="20"/>
              </w:rPr>
              <w:t>四氯乙烯</w:t>
            </w:r>
          </w:p>
        </w:tc>
        <w:tc>
          <w:tcPr>
            <w:tcW w:w="949"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mg/l</w:t>
            </w:r>
          </w:p>
        </w:tc>
        <w:tc>
          <w:tcPr>
            <w:tcW w:w="1601"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0.00000015</w:t>
            </w:r>
          </w:p>
        </w:tc>
        <w:tc>
          <w:tcPr>
            <w:tcW w:w="1854"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0.00000015</w:t>
            </w:r>
          </w:p>
        </w:tc>
        <w:tc>
          <w:tcPr>
            <w:tcW w:w="1187"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0.04</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0" w:type="dxa"/>
            <w:bottom w:w="0" w:type="dxa"/>
            <w:right w:w="0" w:type="dxa"/>
          </w:tblCellMar>
        </w:tblPrEx>
        <w:trPr>
          <w:trHeight w:val="397" w:hRule="atLeast"/>
        </w:trPr>
        <w:tc>
          <w:tcPr>
            <w:tcW w:w="815"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43</w:t>
            </w:r>
          </w:p>
        </w:tc>
        <w:tc>
          <w:tcPr>
            <w:tcW w:w="1923"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s="宋体"/>
                <w:color w:val="000000"/>
                <w:kern w:val="0"/>
                <w:sz w:val="20"/>
                <w:szCs w:val="20"/>
              </w:rPr>
              <w:t>氯丁二烯</w:t>
            </w:r>
          </w:p>
        </w:tc>
        <w:tc>
          <w:tcPr>
            <w:tcW w:w="949"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mg/l</w:t>
            </w:r>
          </w:p>
        </w:tc>
        <w:tc>
          <w:tcPr>
            <w:tcW w:w="1601"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0.002L</w:t>
            </w:r>
          </w:p>
        </w:tc>
        <w:tc>
          <w:tcPr>
            <w:tcW w:w="1854"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0.002L</w:t>
            </w:r>
          </w:p>
        </w:tc>
        <w:tc>
          <w:tcPr>
            <w:tcW w:w="1187"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0.002</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0" w:type="dxa"/>
            <w:bottom w:w="0" w:type="dxa"/>
            <w:right w:w="0" w:type="dxa"/>
          </w:tblCellMar>
        </w:tblPrEx>
        <w:trPr>
          <w:trHeight w:val="397" w:hRule="atLeast"/>
        </w:trPr>
        <w:tc>
          <w:tcPr>
            <w:tcW w:w="815"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44</w:t>
            </w:r>
          </w:p>
        </w:tc>
        <w:tc>
          <w:tcPr>
            <w:tcW w:w="1923"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s="宋体"/>
                <w:color w:val="000000"/>
                <w:kern w:val="0"/>
                <w:sz w:val="20"/>
                <w:szCs w:val="20"/>
              </w:rPr>
              <w:t>六氯丁二烯</w:t>
            </w:r>
          </w:p>
        </w:tc>
        <w:tc>
          <w:tcPr>
            <w:tcW w:w="949"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mg/l</w:t>
            </w:r>
          </w:p>
        </w:tc>
        <w:tc>
          <w:tcPr>
            <w:tcW w:w="1601"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0.00002L</w:t>
            </w:r>
          </w:p>
        </w:tc>
        <w:tc>
          <w:tcPr>
            <w:tcW w:w="1854"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0.00002L</w:t>
            </w:r>
          </w:p>
        </w:tc>
        <w:tc>
          <w:tcPr>
            <w:tcW w:w="1187"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0.0006</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0" w:type="dxa"/>
            <w:bottom w:w="0" w:type="dxa"/>
            <w:right w:w="0" w:type="dxa"/>
          </w:tblCellMar>
        </w:tblPrEx>
        <w:trPr>
          <w:trHeight w:val="397" w:hRule="atLeast"/>
        </w:trPr>
        <w:tc>
          <w:tcPr>
            <w:tcW w:w="815"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45</w:t>
            </w:r>
          </w:p>
        </w:tc>
        <w:tc>
          <w:tcPr>
            <w:tcW w:w="1923"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s="宋体"/>
                <w:color w:val="000000"/>
                <w:kern w:val="0"/>
                <w:sz w:val="20"/>
                <w:szCs w:val="20"/>
              </w:rPr>
              <w:t>苯乙烯</w:t>
            </w:r>
          </w:p>
        </w:tc>
        <w:tc>
          <w:tcPr>
            <w:tcW w:w="949"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mg/l</w:t>
            </w:r>
          </w:p>
        </w:tc>
        <w:tc>
          <w:tcPr>
            <w:tcW w:w="1601"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0.0005</w:t>
            </w:r>
          </w:p>
        </w:tc>
        <w:tc>
          <w:tcPr>
            <w:tcW w:w="1854"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0.0005</w:t>
            </w:r>
          </w:p>
        </w:tc>
        <w:tc>
          <w:tcPr>
            <w:tcW w:w="1187"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0.02</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0" w:type="dxa"/>
            <w:bottom w:w="0" w:type="dxa"/>
            <w:right w:w="0" w:type="dxa"/>
          </w:tblCellMar>
        </w:tblPrEx>
        <w:trPr>
          <w:trHeight w:val="397" w:hRule="atLeast"/>
        </w:trPr>
        <w:tc>
          <w:tcPr>
            <w:tcW w:w="815"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46</w:t>
            </w:r>
          </w:p>
        </w:tc>
        <w:tc>
          <w:tcPr>
            <w:tcW w:w="1923"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s="宋体"/>
                <w:color w:val="000000"/>
                <w:kern w:val="0"/>
                <w:sz w:val="20"/>
                <w:szCs w:val="20"/>
              </w:rPr>
              <w:t>甲醛</w:t>
            </w:r>
          </w:p>
        </w:tc>
        <w:tc>
          <w:tcPr>
            <w:tcW w:w="949"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mg/l</w:t>
            </w:r>
          </w:p>
        </w:tc>
        <w:tc>
          <w:tcPr>
            <w:tcW w:w="1601"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0.025</w:t>
            </w:r>
          </w:p>
        </w:tc>
        <w:tc>
          <w:tcPr>
            <w:tcW w:w="1854"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0.025</w:t>
            </w:r>
          </w:p>
        </w:tc>
        <w:tc>
          <w:tcPr>
            <w:tcW w:w="1187"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0.9</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0" w:type="dxa"/>
            <w:bottom w:w="0" w:type="dxa"/>
            <w:right w:w="0" w:type="dxa"/>
          </w:tblCellMar>
        </w:tblPrEx>
        <w:trPr>
          <w:trHeight w:val="397" w:hRule="atLeast"/>
        </w:trPr>
        <w:tc>
          <w:tcPr>
            <w:tcW w:w="815"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47</w:t>
            </w:r>
          </w:p>
        </w:tc>
        <w:tc>
          <w:tcPr>
            <w:tcW w:w="1923"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s="宋体"/>
                <w:color w:val="000000"/>
                <w:kern w:val="0"/>
                <w:sz w:val="20"/>
                <w:szCs w:val="20"/>
              </w:rPr>
              <w:t>乙醛</w:t>
            </w:r>
          </w:p>
        </w:tc>
        <w:tc>
          <w:tcPr>
            <w:tcW w:w="949"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mg/l</w:t>
            </w:r>
          </w:p>
        </w:tc>
        <w:tc>
          <w:tcPr>
            <w:tcW w:w="1601"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0.24L</w:t>
            </w:r>
          </w:p>
        </w:tc>
        <w:tc>
          <w:tcPr>
            <w:tcW w:w="1854"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0.24L</w:t>
            </w:r>
          </w:p>
        </w:tc>
        <w:tc>
          <w:tcPr>
            <w:tcW w:w="1187"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0.05</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0" w:type="dxa"/>
            <w:bottom w:w="0" w:type="dxa"/>
            <w:right w:w="0" w:type="dxa"/>
          </w:tblCellMar>
        </w:tblPrEx>
        <w:trPr>
          <w:trHeight w:val="397" w:hRule="atLeast"/>
        </w:trPr>
        <w:tc>
          <w:tcPr>
            <w:tcW w:w="815"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48</w:t>
            </w:r>
          </w:p>
        </w:tc>
        <w:tc>
          <w:tcPr>
            <w:tcW w:w="1923"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s="宋体"/>
                <w:color w:val="000000"/>
                <w:kern w:val="0"/>
                <w:sz w:val="20"/>
                <w:szCs w:val="20"/>
              </w:rPr>
              <w:t>丙烯醛</w:t>
            </w:r>
          </w:p>
        </w:tc>
        <w:tc>
          <w:tcPr>
            <w:tcW w:w="949"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mg/l</w:t>
            </w:r>
          </w:p>
        </w:tc>
        <w:tc>
          <w:tcPr>
            <w:tcW w:w="1601"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0.019L</w:t>
            </w:r>
          </w:p>
        </w:tc>
        <w:tc>
          <w:tcPr>
            <w:tcW w:w="1854"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0.019L</w:t>
            </w:r>
          </w:p>
        </w:tc>
        <w:tc>
          <w:tcPr>
            <w:tcW w:w="1187"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0.1</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0" w:type="dxa"/>
            <w:bottom w:w="0" w:type="dxa"/>
            <w:right w:w="0" w:type="dxa"/>
          </w:tblCellMar>
        </w:tblPrEx>
        <w:trPr>
          <w:trHeight w:val="397" w:hRule="atLeast"/>
        </w:trPr>
        <w:tc>
          <w:tcPr>
            <w:tcW w:w="815"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49</w:t>
            </w:r>
          </w:p>
        </w:tc>
        <w:tc>
          <w:tcPr>
            <w:tcW w:w="1923"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s="宋体"/>
                <w:color w:val="000000"/>
                <w:kern w:val="0"/>
                <w:sz w:val="20"/>
                <w:szCs w:val="20"/>
              </w:rPr>
              <w:t>三氯乙醛</w:t>
            </w:r>
          </w:p>
        </w:tc>
        <w:tc>
          <w:tcPr>
            <w:tcW w:w="949"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mg/l</w:t>
            </w:r>
          </w:p>
        </w:tc>
        <w:tc>
          <w:tcPr>
            <w:tcW w:w="1601"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0.001L</w:t>
            </w:r>
          </w:p>
        </w:tc>
        <w:tc>
          <w:tcPr>
            <w:tcW w:w="1854"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0.001L</w:t>
            </w:r>
          </w:p>
        </w:tc>
        <w:tc>
          <w:tcPr>
            <w:tcW w:w="1187"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0.01</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0" w:type="dxa"/>
            <w:bottom w:w="0" w:type="dxa"/>
            <w:right w:w="0" w:type="dxa"/>
          </w:tblCellMar>
        </w:tblPrEx>
        <w:trPr>
          <w:trHeight w:val="397" w:hRule="atLeast"/>
        </w:trPr>
        <w:tc>
          <w:tcPr>
            <w:tcW w:w="815"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50</w:t>
            </w:r>
          </w:p>
        </w:tc>
        <w:tc>
          <w:tcPr>
            <w:tcW w:w="1923"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s="宋体"/>
                <w:color w:val="000000"/>
                <w:kern w:val="0"/>
                <w:sz w:val="20"/>
                <w:szCs w:val="20"/>
              </w:rPr>
              <w:t>苯</w:t>
            </w:r>
          </w:p>
        </w:tc>
        <w:tc>
          <w:tcPr>
            <w:tcW w:w="949"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mg/l</w:t>
            </w:r>
          </w:p>
        </w:tc>
        <w:tc>
          <w:tcPr>
            <w:tcW w:w="1601"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0.0005</w:t>
            </w:r>
          </w:p>
        </w:tc>
        <w:tc>
          <w:tcPr>
            <w:tcW w:w="1854"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0.0005</w:t>
            </w:r>
          </w:p>
        </w:tc>
        <w:tc>
          <w:tcPr>
            <w:tcW w:w="1187"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0.01</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0" w:type="dxa"/>
            <w:bottom w:w="0" w:type="dxa"/>
            <w:right w:w="0" w:type="dxa"/>
          </w:tblCellMar>
        </w:tblPrEx>
        <w:trPr>
          <w:trHeight w:val="397" w:hRule="atLeast"/>
        </w:trPr>
        <w:tc>
          <w:tcPr>
            <w:tcW w:w="815"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51</w:t>
            </w:r>
          </w:p>
        </w:tc>
        <w:tc>
          <w:tcPr>
            <w:tcW w:w="1923"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s="宋体"/>
                <w:color w:val="000000"/>
                <w:kern w:val="0"/>
                <w:sz w:val="20"/>
                <w:szCs w:val="20"/>
              </w:rPr>
              <w:t>甲苯</w:t>
            </w:r>
          </w:p>
        </w:tc>
        <w:tc>
          <w:tcPr>
            <w:tcW w:w="949"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mg/l</w:t>
            </w:r>
          </w:p>
        </w:tc>
        <w:tc>
          <w:tcPr>
            <w:tcW w:w="1601"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0.0005</w:t>
            </w:r>
          </w:p>
        </w:tc>
        <w:tc>
          <w:tcPr>
            <w:tcW w:w="1854"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0.0005</w:t>
            </w:r>
          </w:p>
        </w:tc>
        <w:tc>
          <w:tcPr>
            <w:tcW w:w="1187"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0.7</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0" w:type="dxa"/>
            <w:bottom w:w="0" w:type="dxa"/>
            <w:right w:w="0" w:type="dxa"/>
          </w:tblCellMar>
        </w:tblPrEx>
        <w:trPr>
          <w:trHeight w:val="397" w:hRule="atLeast"/>
        </w:trPr>
        <w:tc>
          <w:tcPr>
            <w:tcW w:w="815"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52</w:t>
            </w:r>
          </w:p>
        </w:tc>
        <w:tc>
          <w:tcPr>
            <w:tcW w:w="1923"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s="宋体"/>
                <w:color w:val="000000"/>
                <w:kern w:val="0"/>
                <w:sz w:val="20"/>
                <w:szCs w:val="20"/>
              </w:rPr>
              <w:t>乙苯</w:t>
            </w:r>
          </w:p>
        </w:tc>
        <w:tc>
          <w:tcPr>
            <w:tcW w:w="949"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mg/l</w:t>
            </w:r>
          </w:p>
        </w:tc>
        <w:tc>
          <w:tcPr>
            <w:tcW w:w="1601"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0.0005</w:t>
            </w:r>
          </w:p>
        </w:tc>
        <w:tc>
          <w:tcPr>
            <w:tcW w:w="1854"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0.0005</w:t>
            </w:r>
          </w:p>
        </w:tc>
        <w:tc>
          <w:tcPr>
            <w:tcW w:w="1187"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0.3</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0" w:type="dxa"/>
            <w:bottom w:w="0" w:type="dxa"/>
            <w:right w:w="0" w:type="dxa"/>
          </w:tblCellMar>
        </w:tblPrEx>
        <w:trPr>
          <w:trHeight w:val="397" w:hRule="atLeast"/>
        </w:trPr>
        <w:tc>
          <w:tcPr>
            <w:tcW w:w="815"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53</w:t>
            </w:r>
          </w:p>
        </w:tc>
        <w:tc>
          <w:tcPr>
            <w:tcW w:w="1923"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s="宋体"/>
                <w:color w:val="000000"/>
                <w:kern w:val="0"/>
                <w:sz w:val="20"/>
                <w:szCs w:val="20"/>
              </w:rPr>
              <w:t>二甲苯</w:t>
            </w:r>
          </w:p>
        </w:tc>
        <w:tc>
          <w:tcPr>
            <w:tcW w:w="949"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mg/l</w:t>
            </w:r>
          </w:p>
        </w:tc>
        <w:tc>
          <w:tcPr>
            <w:tcW w:w="1601"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0.0005</w:t>
            </w:r>
          </w:p>
        </w:tc>
        <w:tc>
          <w:tcPr>
            <w:tcW w:w="1854"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0.0005</w:t>
            </w:r>
          </w:p>
        </w:tc>
        <w:tc>
          <w:tcPr>
            <w:tcW w:w="1187"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0.5</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0" w:type="dxa"/>
            <w:bottom w:w="0" w:type="dxa"/>
            <w:right w:w="0" w:type="dxa"/>
          </w:tblCellMar>
        </w:tblPrEx>
        <w:trPr>
          <w:trHeight w:val="397" w:hRule="atLeast"/>
        </w:trPr>
        <w:tc>
          <w:tcPr>
            <w:tcW w:w="815"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54</w:t>
            </w:r>
          </w:p>
        </w:tc>
        <w:tc>
          <w:tcPr>
            <w:tcW w:w="1923"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s="宋体"/>
                <w:color w:val="000000"/>
                <w:kern w:val="0"/>
                <w:sz w:val="20"/>
                <w:szCs w:val="20"/>
              </w:rPr>
              <w:t>异丙苯</w:t>
            </w:r>
          </w:p>
        </w:tc>
        <w:tc>
          <w:tcPr>
            <w:tcW w:w="949"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mg/l</w:t>
            </w:r>
          </w:p>
        </w:tc>
        <w:tc>
          <w:tcPr>
            <w:tcW w:w="1601"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0.0005</w:t>
            </w:r>
          </w:p>
        </w:tc>
        <w:tc>
          <w:tcPr>
            <w:tcW w:w="1854"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0.0005</w:t>
            </w:r>
          </w:p>
        </w:tc>
        <w:tc>
          <w:tcPr>
            <w:tcW w:w="1187"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0.25</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0" w:type="dxa"/>
            <w:bottom w:w="0" w:type="dxa"/>
            <w:right w:w="0" w:type="dxa"/>
          </w:tblCellMar>
        </w:tblPrEx>
        <w:trPr>
          <w:trHeight w:val="397" w:hRule="atLeast"/>
        </w:trPr>
        <w:tc>
          <w:tcPr>
            <w:tcW w:w="815"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55</w:t>
            </w:r>
          </w:p>
        </w:tc>
        <w:tc>
          <w:tcPr>
            <w:tcW w:w="1923"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s="宋体"/>
                <w:color w:val="000000"/>
                <w:kern w:val="0"/>
                <w:sz w:val="20"/>
                <w:szCs w:val="20"/>
              </w:rPr>
              <w:t>氯苯</w:t>
            </w:r>
          </w:p>
        </w:tc>
        <w:tc>
          <w:tcPr>
            <w:tcW w:w="949"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mg/l</w:t>
            </w:r>
          </w:p>
        </w:tc>
        <w:tc>
          <w:tcPr>
            <w:tcW w:w="1601"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0.0005</w:t>
            </w:r>
          </w:p>
        </w:tc>
        <w:tc>
          <w:tcPr>
            <w:tcW w:w="1854"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0.0005</w:t>
            </w:r>
          </w:p>
        </w:tc>
        <w:tc>
          <w:tcPr>
            <w:tcW w:w="1187"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0.3</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0" w:type="dxa"/>
            <w:bottom w:w="0" w:type="dxa"/>
            <w:right w:w="0" w:type="dxa"/>
          </w:tblCellMar>
        </w:tblPrEx>
        <w:trPr>
          <w:trHeight w:val="397" w:hRule="atLeast"/>
        </w:trPr>
        <w:tc>
          <w:tcPr>
            <w:tcW w:w="815"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56</w:t>
            </w:r>
          </w:p>
        </w:tc>
        <w:tc>
          <w:tcPr>
            <w:tcW w:w="1923"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1</w:t>
            </w:r>
            <w:r>
              <w:rPr>
                <w:rFonts w:hint="eastAsia" w:cs="宋体"/>
                <w:color w:val="000000"/>
                <w:kern w:val="0"/>
                <w:sz w:val="20"/>
                <w:szCs w:val="20"/>
              </w:rPr>
              <w:t>，</w:t>
            </w:r>
            <w:r>
              <w:rPr>
                <w:rFonts w:hint="eastAsia"/>
                <w:color w:val="000000"/>
                <w:kern w:val="0"/>
                <w:sz w:val="20"/>
                <w:szCs w:val="20"/>
              </w:rPr>
              <w:t>2-</w:t>
            </w:r>
            <w:r>
              <w:rPr>
                <w:rFonts w:hint="eastAsia" w:cs="宋体"/>
                <w:color w:val="000000"/>
                <w:kern w:val="0"/>
                <w:sz w:val="20"/>
                <w:szCs w:val="20"/>
              </w:rPr>
              <w:t>二氯苯</w:t>
            </w:r>
          </w:p>
        </w:tc>
        <w:tc>
          <w:tcPr>
            <w:tcW w:w="949"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mg/l</w:t>
            </w:r>
          </w:p>
        </w:tc>
        <w:tc>
          <w:tcPr>
            <w:tcW w:w="1601"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0.0005</w:t>
            </w:r>
          </w:p>
        </w:tc>
        <w:tc>
          <w:tcPr>
            <w:tcW w:w="1854"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0.0005</w:t>
            </w:r>
          </w:p>
        </w:tc>
        <w:tc>
          <w:tcPr>
            <w:tcW w:w="1187"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1</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0" w:type="dxa"/>
            <w:bottom w:w="0" w:type="dxa"/>
            <w:right w:w="0" w:type="dxa"/>
          </w:tblCellMar>
        </w:tblPrEx>
        <w:trPr>
          <w:trHeight w:val="397" w:hRule="atLeast"/>
        </w:trPr>
        <w:tc>
          <w:tcPr>
            <w:tcW w:w="815"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57</w:t>
            </w:r>
          </w:p>
        </w:tc>
        <w:tc>
          <w:tcPr>
            <w:tcW w:w="1923"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1</w:t>
            </w:r>
            <w:r>
              <w:rPr>
                <w:rFonts w:hint="eastAsia" w:cs="宋体"/>
                <w:color w:val="000000"/>
                <w:kern w:val="0"/>
                <w:sz w:val="20"/>
                <w:szCs w:val="20"/>
              </w:rPr>
              <w:t>，</w:t>
            </w:r>
            <w:r>
              <w:rPr>
                <w:rFonts w:hint="eastAsia"/>
                <w:color w:val="000000"/>
                <w:kern w:val="0"/>
                <w:sz w:val="20"/>
                <w:szCs w:val="20"/>
              </w:rPr>
              <w:t>4-</w:t>
            </w:r>
            <w:r>
              <w:rPr>
                <w:rFonts w:hint="eastAsia" w:cs="宋体"/>
                <w:color w:val="000000"/>
                <w:kern w:val="0"/>
                <w:sz w:val="20"/>
                <w:szCs w:val="20"/>
              </w:rPr>
              <w:t>二氯苯</w:t>
            </w:r>
          </w:p>
        </w:tc>
        <w:tc>
          <w:tcPr>
            <w:tcW w:w="949"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mg/l</w:t>
            </w:r>
          </w:p>
        </w:tc>
        <w:tc>
          <w:tcPr>
            <w:tcW w:w="1601"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0.001</w:t>
            </w:r>
          </w:p>
        </w:tc>
        <w:tc>
          <w:tcPr>
            <w:tcW w:w="1854"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0.001</w:t>
            </w:r>
          </w:p>
        </w:tc>
        <w:tc>
          <w:tcPr>
            <w:tcW w:w="1187"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0.3</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0" w:type="dxa"/>
            <w:bottom w:w="0" w:type="dxa"/>
            <w:right w:w="0" w:type="dxa"/>
          </w:tblCellMar>
        </w:tblPrEx>
        <w:trPr>
          <w:trHeight w:val="397" w:hRule="atLeast"/>
        </w:trPr>
        <w:tc>
          <w:tcPr>
            <w:tcW w:w="815"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58</w:t>
            </w:r>
          </w:p>
        </w:tc>
        <w:tc>
          <w:tcPr>
            <w:tcW w:w="1923"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s="宋体"/>
                <w:color w:val="000000"/>
                <w:kern w:val="0"/>
                <w:sz w:val="20"/>
                <w:szCs w:val="20"/>
              </w:rPr>
              <w:t>三氯苯</w:t>
            </w:r>
          </w:p>
        </w:tc>
        <w:tc>
          <w:tcPr>
            <w:tcW w:w="949"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mg/l</w:t>
            </w:r>
          </w:p>
        </w:tc>
        <w:tc>
          <w:tcPr>
            <w:tcW w:w="1601"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0.00003</w:t>
            </w:r>
          </w:p>
        </w:tc>
        <w:tc>
          <w:tcPr>
            <w:tcW w:w="1854"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0.00001</w:t>
            </w:r>
          </w:p>
        </w:tc>
        <w:tc>
          <w:tcPr>
            <w:tcW w:w="1187"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0.02</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0" w:type="dxa"/>
            <w:bottom w:w="0" w:type="dxa"/>
            <w:right w:w="0" w:type="dxa"/>
          </w:tblCellMar>
        </w:tblPrEx>
        <w:trPr>
          <w:trHeight w:val="397" w:hRule="atLeast"/>
        </w:trPr>
        <w:tc>
          <w:tcPr>
            <w:tcW w:w="815"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59</w:t>
            </w:r>
          </w:p>
        </w:tc>
        <w:tc>
          <w:tcPr>
            <w:tcW w:w="1923"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s="宋体"/>
                <w:color w:val="000000"/>
                <w:kern w:val="0"/>
                <w:sz w:val="20"/>
                <w:szCs w:val="20"/>
              </w:rPr>
              <w:t>四氯苯</w:t>
            </w:r>
          </w:p>
        </w:tc>
        <w:tc>
          <w:tcPr>
            <w:tcW w:w="949"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mg/l</w:t>
            </w:r>
          </w:p>
        </w:tc>
        <w:tc>
          <w:tcPr>
            <w:tcW w:w="1601"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0.00002L</w:t>
            </w:r>
          </w:p>
        </w:tc>
        <w:tc>
          <w:tcPr>
            <w:tcW w:w="1854"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0.00002L</w:t>
            </w:r>
          </w:p>
        </w:tc>
        <w:tc>
          <w:tcPr>
            <w:tcW w:w="1187"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0.02</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0" w:type="dxa"/>
            <w:bottom w:w="0" w:type="dxa"/>
            <w:right w:w="0" w:type="dxa"/>
          </w:tblCellMar>
        </w:tblPrEx>
        <w:trPr>
          <w:trHeight w:val="397" w:hRule="atLeast"/>
        </w:trPr>
        <w:tc>
          <w:tcPr>
            <w:tcW w:w="815"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60</w:t>
            </w:r>
          </w:p>
        </w:tc>
        <w:tc>
          <w:tcPr>
            <w:tcW w:w="1923"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s="宋体"/>
                <w:color w:val="000000"/>
                <w:kern w:val="0"/>
                <w:sz w:val="20"/>
                <w:szCs w:val="20"/>
              </w:rPr>
              <w:t>六氯苯</w:t>
            </w:r>
          </w:p>
        </w:tc>
        <w:tc>
          <w:tcPr>
            <w:tcW w:w="949"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mg/l</w:t>
            </w:r>
          </w:p>
        </w:tc>
        <w:tc>
          <w:tcPr>
            <w:tcW w:w="1601"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0.00002L</w:t>
            </w:r>
          </w:p>
        </w:tc>
        <w:tc>
          <w:tcPr>
            <w:tcW w:w="1854"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0.00002L</w:t>
            </w:r>
          </w:p>
        </w:tc>
        <w:tc>
          <w:tcPr>
            <w:tcW w:w="1187"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0.05</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0" w:type="dxa"/>
            <w:bottom w:w="0" w:type="dxa"/>
            <w:right w:w="0" w:type="dxa"/>
          </w:tblCellMar>
        </w:tblPrEx>
        <w:trPr>
          <w:trHeight w:val="397" w:hRule="atLeast"/>
        </w:trPr>
        <w:tc>
          <w:tcPr>
            <w:tcW w:w="815"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61</w:t>
            </w:r>
          </w:p>
        </w:tc>
        <w:tc>
          <w:tcPr>
            <w:tcW w:w="1923"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s="宋体"/>
                <w:color w:val="000000"/>
                <w:kern w:val="0"/>
                <w:sz w:val="20"/>
                <w:szCs w:val="20"/>
              </w:rPr>
              <w:t>硝基苯</w:t>
            </w:r>
          </w:p>
        </w:tc>
        <w:tc>
          <w:tcPr>
            <w:tcW w:w="949"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mg/l</w:t>
            </w:r>
          </w:p>
        </w:tc>
        <w:tc>
          <w:tcPr>
            <w:tcW w:w="1601"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0.000053</w:t>
            </w:r>
          </w:p>
        </w:tc>
        <w:tc>
          <w:tcPr>
            <w:tcW w:w="1854"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0.00002</w:t>
            </w:r>
          </w:p>
        </w:tc>
        <w:tc>
          <w:tcPr>
            <w:tcW w:w="1187"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0.017</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0" w:type="dxa"/>
            <w:bottom w:w="0" w:type="dxa"/>
            <w:right w:w="0" w:type="dxa"/>
          </w:tblCellMar>
        </w:tblPrEx>
        <w:trPr>
          <w:trHeight w:val="397" w:hRule="atLeast"/>
        </w:trPr>
        <w:tc>
          <w:tcPr>
            <w:tcW w:w="815"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62</w:t>
            </w:r>
          </w:p>
        </w:tc>
        <w:tc>
          <w:tcPr>
            <w:tcW w:w="1923"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s="宋体"/>
                <w:color w:val="000000"/>
                <w:kern w:val="0"/>
                <w:sz w:val="20"/>
                <w:szCs w:val="20"/>
              </w:rPr>
              <w:t>二硝基苯</w:t>
            </w:r>
          </w:p>
        </w:tc>
        <w:tc>
          <w:tcPr>
            <w:tcW w:w="949"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mg/l</w:t>
            </w:r>
          </w:p>
        </w:tc>
        <w:tc>
          <w:tcPr>
            <w:tcW w:w="1601"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0.000041</w:t>
            </w:r>
          </w:p>
        </w:tc>
        <w:tc>
          <w:tcPr>
            <w:tcW w:w="1854"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0.000029</w:t>
            </w:r>
          </w:p>
        </w:tc>
        <w:tc>
          <w:tcPr>
            <w:tcW w:w="1187"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0.5</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0" w:type="dxa"/>
            <w:bottom w:w="0" w:type="dxa"/>
            <w:right w:w="0" w:type="dxa"/>
          </w:tblCellMar>
        </w:tblPrEx>
        <w:trPr>
          <w:trHeight w:val="397" w:hRule="atLeast"/>
        </w:trPr>
        <w:tc>
          <w:tcPr>
            <w:tcW w:w="815"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63</w:t>
            </w:r>
          </w:p>
        </w:tc>
        <w:tc>
          <w:tcPr>
            <w:tcW w:w="1923"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2</w:t>
            </w:r>
            <w:r>
              <w:rPr>
                <w:rFonts w:hint="eastAsia" w:cs="宋体"/>
                <w:color w:val="000000"/>
                <w:kern w:val="0"/>
                <w:sz w:val="20"/>
                <w:szCs w:val="20"/>
              </w:rPr>
              <w:t>，</w:t>
            </w:r>
            <w:r>
              <w:rPr>
                <w:rFonts w:hint="eastAsia"/>
                <w:color w:val="000000"/>
                <w:kern w:val="0"/>
                <w:sz w:val="20"/>
                <w:szCs w:val="20"/>
              </w:rPr>
              <w:t>4-</w:t>
            </w:r>
            <w:r>
              <w:rPr>
                <w:rFonts w:hint="eastAsia" w:cs="宋体"/>
                <w:color w:val="000000"/>
                <w:kern w:val="0"/>
                <w:sz w:val="20"/>
                <w:szCs w:val="20"/>
              </w:rPr>
              <w:t>二硝基甲苯</w:t>
            </w:r>
          </w:p>
        </w:tc>
        <w:tc>
          <w:tcPr>
            <w:tcW w:w="949"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mg/l</w:t>
            </w:r>
          </w:p>
        </w:tc>
        <w:tc>
          <w:tcPr>
            <w:tcW w:w="1601"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0.0003L</w:t>
            </w:r>
          </w:p>
        </w:tc>
        <w:tc>
          <w:tcPr>
            <w:tcW w:w="1854"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0.0003L</w:t>
            </w:r>
          </w:p>
        </w:tc>
        <w:tc>
          <w:tcPr>
            <w:tcW w:w="1187"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0.0003</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0" w:type="dxa"/>
            <w:bottom w:w="0" w:type="dxa"/>
            <w:right w:w="0" w:type="dxa"/>
          </w:tblCellMar>
        </w:tblPrEx>
        <w:trPr>
          <w:trHeight w:val="397" w:hRule="atLeast"/>
        </w:trPr>
        <w:tc>
          <w:tcPr>
            <w:tcW w:w="815"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64</w:t>
            </w:r>
          </w:p>
        </w:tc>
        <w:tc>
          <w:tcPr>
            <w:tcW w:w="1923"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2</w:t>
            </w:r>
            <w:r>
              <w:rPr>
                <w:rFonts w:hint="eastAsia" w:cs="宋体"/>
                <w:color w:val="000000"/>
                <w:kern w:val="0"/>
                <w:sz w:val="20"/>
                <w:szCs w:val="20"/>
              </w:rPr>
              <w:t>，</w:t>
            </w:r>
            <w:r>
              <w:rPr>
                <w:rFonts w:hint="eastAsia"/>
                <w:color w:val="000000"/>
                <w:kern w:val="0"/>
                <w:sz w:val="20"/>
                <w:szCs w:val="20"/>
              </w:rPr>
              <w:t>4</w:t>
            </w:r>
            <w:r>
              <w:rPr>
                <w:rFonts w:hint="eastAsia" w:cs="宋体"/>
                <w:color w:val="000000"/>
                <w:kern w:val="0"/>
                <w:sz w:val="20"/>
                <w:szCs w:val="20"/>
              </w:rPr>
              <w:t>，</w:t>
            </w:r>
            <w:r>
              <w:rPr>
                <w:rFonts w:hint="eastAsia"/>
                <w:color w:val="000000"/>
                <w:kern w:val="0"/>
                <w:sz w:val="20"/>
                <w:szCs w:val="20"/>
              </w:rPr>
              <w:t>6-</w:t>
            </w:r>
            <w:r>
              <w:rPr>
                <w:rFonts w:hint="eastAsia" w:cs="宋体"/>
                <w:color w:val="000000"/>
                <w:kern w:val="0"/>
                <w:sz w:val="20"/>
                <w:szCs w:val="20"/>
              </w:rPr>
              <w:t>三硝基甲苯</w:t>
            </w:r>
          </w:p>
        </w:tc>
        <w:tc>
          <w:tcPr>
            <w:tcW w:w="949"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mg/l</w:t>
            </w:r>
          </w:p>
        </w:tc>
        <w:tc>
          <w:tcPr>
            <w:tcW w:w="1601"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0.0002L</w:t>
            </w:r>
          </w:p>
        </w:tc>
        <w:tc>
          <w:tcPr>
            <w:tcW w:w="1854"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0.0002L</w:t>
            </w:r>
          </w:p>
        </w:tc>
        <w:tc>
          <w:tcPr>
            <w:tcW w:w="1187"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0.5</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0" w:type="dxa"/>
            <w:bottom w:w="0" w:type="dxa"/>
            <w:right w:w="0" w:type="dxa"/>
          </w:tblCellMar>
        </w:tblPrEx>
        <w:trPr>
          <w:trHeight w:val="397" w:hRule="atLeast"/>
        </w:trPr>
        <w:tc>
          <w:tcPr>
            <w:tcW w:w="815"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65</w:t>
            </w:r>
          </w:p>
        </w:tc>
        <w:tc>
          <w:tcPr>
            <w:tcW w:w="1923"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s="宋体"/>
                <w:color w:val="000000"/>
                <w:kern w:val="0"/>
                <w:sz w:val="20"/>
                <w:szCs w:val="20"/>
              </w:rPr>
              <w:t>硝基氯苯</w:t>
            </w:r>
          </w:p>
        </w:tc>
        <w:tc>
          <w:tcPr>
            <w:tcW w:w="949"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mg/l</w:t>
            </w:r>
          </w:p>
        </w:tc>
        <w:tc>
          <w:tcPr>
            <w:tcW w:w="1601"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0.000015</w:t>
            </w:r>
          </w:p>
        </w:tc>
        <w:tc>
          <w:tcPr>
            <w:tcW w:w="1854"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p>
        </w:tc>
        <w:tc>
          <w:tcPr>
            <w:tcW w:w="1187"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0.05</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0" w:type="dxa"/>
            <w:bottom w:w="0" w:type="dxa"/>
            <w:right w:w="0" w:type="dxa"/>
          </w:tblCellMar>
        </w:tblPrEx>
        <w:trPr>
          <w:trHeight w:val="397" w:hRule="atLeast"/>
        </w:trPr>
        <w:tc>
          <w:tcPr>
            <w:tcW w:w="815"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66</w:t>
            </w:r>
          </w:p>
        </w:tc>
        <w:tc>
          <w:tcPr>
            <w:tcW w:w="1923"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2</w:t>
            </w:r>
            <w:r>
              <w:rPr>
                <w:rFonts w:hint="eastAsia" w:cs="宋体"/>
                <w:color w:val="000000"/>
                <w:kern w:val="0"/>
                <w:sz w:val="20"/>
                <w:szCs w:val="20"/>
              </w:rPr>
              <w:t>，</w:t>
            </w:r>
            <w:r>
              <w:rPr>
                <w:rFonts w:hint="eastAsia"/>
                <w:color w:val="000000"/>
                <w:kern w:val="0"/>
                <w:sz w:val="20"/>
                <w:szCs w:val="20"/>
              </w:rPr>
              <w:t>4-</w:t>
            </w:r>
            <w:r>
              <w:rPr>
                <w:rFonts w:hint="eastAsia" w:cs="宋体"/>
                <w:color w:val="000000"/>
                <w:kern w:val="0"/>
                <w:sz w:val="20"/>
                <w:szCs w:val="20"/>
              </w:rPr>
              <w:t>二硝基氯苯</w:t>
            </w:r>
          </w:p>
        </w:tc>
        <w:tc>
          <w:tcPr>
            <w:tcW w:w="949"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mg/l</w:t>
            </w:r>
          </w:p>
        </w:tc>
        <w:tc>
          <w:tcPr>
            <w:tcW w:w="1601"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0.0002L</w:t>
            </w:r>
          </w:p>
        </w:tc>
        <w:tc>
          <w:tcPr>
            <w:tcW w:w="1854"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0.0002L</w:t>
            </w:r>
          </w:p>
        </w:tc>
        <w:tc>
          <w:tcPr>
            <w:tcW w:w="1187"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0.5</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0" w:type="dxa"/>
            <w:bottom w:w="0" w:type="dxa"/>
            <w:right w:w="0" w:type="dxa"/>
          </w:tblCellMar>
        </w:tblPrEx>
        <w:trPr>
          <w:trHeight w:val="397" w:hRule="atLeast"/>
        </w:trPr>
        <w:tc>
          <w:tcPr>
            <w:tcW w:w="815"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67</w:t>
            </w:r>
          </w:p>
        </w:tc>
        <w:tc>
          <w:tcPr>
            <w:tcW w:w="1923"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2</w:t>
            </w:r>
            <w:r>
              <w:rPr>
                <w:rFonts w:hint="eastAsia" w:cs="宋体"/>
                <w:color w:val="000000"/>
                <w:kern w:val="0"/>
                <w:sz w:val="20"/>
                <w:szCs w:val="20"/>
              </w:rPr>
              <w:t>，</w:t>
            </w:r>
            <w:r>
              <w:rPr>
                <w:rFonts w:hint="eastAsia"/>
                <w:color w:val="000000"/>
                <w:kern w:val="0"/>
                <w:sz w:val="20"/>
                <w:szCs w:val="20"/>
              </w:rPr>
              <w:t>4-</w:t>
            </w:r>
            <w:r>
              <w:rPr>
                <w:rFonts w:hint="eastAsia" w:cs="宋体"/>
                <w:color w:val="000000"/>
                <w:kern w:val="0"/>
                <w:sz w:val="20"/>
                <w:szCs w:val="20"/>
              </w:rPr>
              <w:t>二氯苯酚</w:t>
            </w:r>
          </w:p>
        </w:tc>
        <w:tc>
          <w:tcPr>
            <w:tcW w:w="949"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mg/l</w:t>
            </w:r>
          </w:p>
        </w:tc>
        <w:tc>
          <w:tcPr>
            <w:tcW w:w="1601"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0.00004L</w:t>
            </w:r>
          </w:p>
        </w:tc>
        <w:tc>
          <w:tcPr>
            <w:tcW w:w="1854"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0.00004L</w:t>
            </w:r>
          </w:p>
        </w:tc>
        <w:tc>
          <w:tcPr>
            <w:tcW w:w="1187"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0.093</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0" w:type="dxa"/>
            <w:bottom w:w="0" w:type="dxa"/>
            <w:right w:w="0" w:type="dxa"/>
          </w:tblCellMar>
        </w:tblPrEx>
        <w:trPr>
          <w:trHeight w:val="397" w:hRule="atLeast"/>
        </w:trPr>
        <w:tc>
          <w:tcPr>
            <w:tcW w:w="815"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68</w:t>
            </w:r>
          </w:p>
        </w:tc>
        <w:tc>
          <w:tcPr>
            <w:tcW w:w="1923"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2</w:t>
            </w:r>
            <w:r>
              <w:rPr>
                <w:rFonts w:hint="eastAsia" w:cs="宋体"/>
                <w:color w:val="000000"/>
                <w:kern w:val="0"/>
                <w:sz w:val="20"/>
                <w:szCs w:val="20"/>
              </w:rPr>
              <w:t>，</w:t>
            </w:r>
            <w:r>
              <w:rPr>
                <w:rFonts w:hint="eastAsia"/>
                <w:color w:val="000000"/>
                <w:kern w:val="0"/>
                <w:sz w:val="20"/>
                <w:szCs w:val="20"/>
              </w:rPr>
              <w:t>4</w:t>
            </w:r>
            <w:r>
              <w:rPr>
                <w:rFonts w:hint="eastAsia" w:cs="宋体"/>
                <w:color w:val="000000"/>
                <w:kern w:val="0"/>
                <w:sz w:val="20"/>
                <w:szCs w:val="20"/>
              </w:rPr>
              <w:t>，</w:t>
            </w:r>
            <w:r>
              <w:rPr>
                <w:rFonts w:hint="eastAsia"/>
                <w:color w:val="000000"/>
                <w:kern w:val="0"/>
                <w:sz w:val="20"/>
                <w:szCs w:val="20"/>
              </w:rPr>
              <w:t>6-</w:t>
            </w:r>
            <w:r>
              <w:rPr>
                <w:rFonts w:hint="eastAsia" w:cs="宋体"/>
                <w:color w:val="000000"/>
                <w:kern w:val="0"/>
                <w:sz w:val="20"/>
                <w:szCs w:val="20"/>
              </w:rPr>
              <w:t>三氯苯酚</w:t>
            </w:r>
          </w:p>
        </w:tc>
        <w:tc>
          <w:tcPr>
            <w:tcW w:w="949"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mg/l</w:t>
            </w:r>
          </w:p>
        </w:tc>
        <w:tc>
          <w:tcPr>
            <w:tcW w:w="1601"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0.00004L</w:t>
            </w:r>
          </w:p>
        </w:tc>
        <w:tc>
          <w:tcPr>
            <w:tcW w:w="1854"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0.00004L</w:t>
            </w:r>
          </w:p>
        </w:tc>
        <w:tc>
          <w:tcPr>
            <w:tcW w:w="1187"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0.2</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0" w:type="dxa"/>
            <w:bottom w:w="0" w:type="dxa"/>
            <w:right w:w="0" w:type="dxa"/>
          </w:tblCellMar>
        </w:tblPrEx>
        <w:trPr>
          <w:trHeight w:val="397" w:hRule="atLeast"/>
        </w:trPr>
        <w:tc>
          <w:tcPr>
            <w:tcW w:w="815"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69</w:t>
            </w:r>
          </w:p>
        </w:tc>
        <w:tc>
          <w:tcPr>
            <w:tcW w:w="1923"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s="宋体"/>
                <w:color w:val="000000"/>
                <w:kern w:val="0"/>
                <w:sz w:val="20"/>
                <w:szCs w:val="20"/>
              </w:rPr>
              <w:t>五氯酚</w:t>
            </w:r>
          </w:p>
        </w:tc>
        <w:tc>
          <w:tcPr>
            <w:tcW w:w="949"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mg/l</w:t>
            </w:r>
          </w:p>
        </w:tc>
        <w:tc>
          <w:tcPr>
            <w:tcW w:w="1601"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0.000024L</w:t>
            </w:r>
          </w:p>
        </w:tc>
        <w:tc>
          <w:tcPr>
            <w:tcW w:w="1854"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0.000024L</w:t>
            </w:r>
          </w:p>
        </w:tc>
        <w:tc>
          <w:tcPr>
            <w:tcW w:w="1187"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0.009</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0" w:type="dxa"/>
            <w:bottom w:w="0" w:type="dxa"/>
            <w:right w:w="0" w:type="dxa"/>
          </w:tblCellMar>
        </w:tblPrEx>
        <w:trPr>
          <w:trHeight w:val="397" w:hRule="atLeast"/>
        </w:trPr>
        <w:tc>
          <w:tcPr>
            <w:tcW w:w="815"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70</w:t>
            </w:r>
          </w:p>
        </w:tc>
        <w:tc>
          <w:tcPr>
            <w:tcW w:w="1923"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s="宋体"/>
                <w:color w:val="000000"/>
                <w:kern w:val="0"/>
                <w:sz w:val="20"/>
                <w:szCs w:val="20"/>
              </w:rPr>
              <w:t>苯胺</w:t>
            </w:r>
          </w:p>
        </w:tc>
        <w:tc>
          <w:tcPr>
            <w:tcW w:w="949"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mg/l</w:t>
            </w:r>
          </w:p>
        </w:tc>
        <w:tc>
          <w:tcPr>
            <w:tcW w:w="1601"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0.0003L</w:t>
            </w:r>
          </w:p>
        </w:tc>
        <w:tc>
          <w:tcPr>
            <w:tcW w:w="1854"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0.0003L</w:t>
            </w:r>
          </w:p>
        </w:tc>
        <w:tc>
          <w:tcPr>
            <w:tcW w:w="1187"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0.1</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0" w:type="dxa"/>
            <w:bottom w:w="0" w:type="dxa"/>
            <w:right w:w="0" w:type="dxa"/>
          </w:tblCellMar>
        </w:tblPrEx>
        <w:trPr>
          <w:trHeight w:val="397" w:hRule="atLeast"/>
        </w:trPr>
        <w:tc>
          <w:tcPr>
            <w:tcW w:w="815"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71</w:t>
            </w:r>
          </w:p>
        </w:tc>
        <w:tc>
          <w:tcPr>
            <w:tcW w:w="1923"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s="宋体"/>
                <w:color w:val="000000"/>
                <w:kern w:val="0"/>
                <w:sz w:val="20"/>
                <w:szCs w:val="20"/>
              </w:rPr>
              <w:t>联苯胺</w:t>
            </w:r>
          </w:p>
        </w:tc>
        <w:tc>
          <w:tcPr>
            <w:tcW w:w="949"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mg/l</w:t>
            </w:r>
          </w:p>
        </w:tc>
        <w:tc>
          <w:tcPr>
            <w:tcW w:w="1601"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0.000002L</w:t>
            </w:r>
          </w:p>
        </w:tc>
        <w:tc>
          <w:tcPr>
            <w:tcW w:w="1854"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0.000002L</w:t>
            </w:r>
          </w:p>
        </w:tc>
        <w:tc>
          <w:tcPr>
            <w:tcW w:w="1187"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0.0002</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0" w:type="dxa"/>
            <w:bottom w:w="0" w:type="dxa"/>
            <w:right w:w="0" w:type="dxa"/>
          </w:tblCellMar>
        </w:tblPrEx>
        <w:trPr>
          <w:trHeight w:val="397" w:hRule="atLeast"/>
        </w:trPr>
        <w:tc>
          <w:tcPr>
            <w:tcW w:w="815"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72</w:t>
            </w:r>
          </w:p>
        </w:tc>
        <w:tc>
          <w:tcPr>
            <w:tcW w:w="1923"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s="宋体"/>
                <w:color w:val="000000"/>
                <w:kern w:val="0"/>
                <w:sz w:val="20"/>
                <w:szCs w:val="20"/>
              </w:rPr>
              <w:t>丙烯酰胺</w:t>
            </w:r>
          </w:p>
        </w:tc>
        <w:tc>
          <w:tcPr>
            <w:tcW w:w="949"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mg/l</w:t>
            </w:r>
          </w:p>
        </w:tc>
        <w:tc>
          <w:tcPr>
            <w:tcW w:w="1601"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0.00005L</w:t>
            </w:r>
          </w:p>
        </w:tc>
        <w:tc>
          <w:tcPr>
            <w:tcW w:w="1854"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0.00005L</w:t>
            </w:r>
          </w:p>
        </w:tc>
        <w:tc>
          <w:tcPr>
            <w:tcW w:w="1187"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0.0005</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0" w:type="dxa"/>
            <w:bottom w:w="0" w:type="dxa"/>
            <w:right w:w="0" w:type="dxa"/>
          </w:tblCellMar>
        </w:tblPrEx>
        <w:trPr>
          <w:trHeight w:val="397" w:hRule="atLeast"/>
        </w:trPr>
        <w:tc>
          <w:tcPr>
            <w:tcW w:w="815"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73</w:t>
            </w:r>
          </w:p>
        </w:tc>
        <w:tc>
          <w:tcPr>
            <w:tcW w:w="1923"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s="宋体"/>
                <w:color w:val="000000"/>
                <w:kern w:val="0"/>
                <w:sz w:val="20"/>
                <w:szCs w:val="20"/>
              </w:rPr>
              <w:t>丙烯腈</w:t>
            </w:r>
          </w:p>
        </w:tc>
        <w:tc>
          <w:tcPr>
            <w:tcW w:w="949"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mg/l</w:t>
            </w:r>
          </w:p>
        </w:tc>
        <w:tc>
          <w:tcPr>
            <w:tcW w:w="1601"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0.025L</w:t>
            </w:r>
          </w:p>
        </w:tc>
        <w:tc>
          <w:tcPr>
            <w:tcW w:w="1854"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0.025L</w:t>
            </w:r>
          </w:p>
        </w:tc>
        <w:tc>
          <w:tcPr>
            <w:tcW w:w="1187"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0.1</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0" w:type="dxa"/>
            <w:bottom w:w="0" w:type="dxa"/>
            <w:right w:w="0" w:type="dxa"/>
          </w:tblCellMar>
        </w:tblPrEx>
        <w:trPr>
          <w:trHeight w:val="397" w:hRule="atLeast"/>
        </w:trPr>
        <w:tc>
          <w:tcPr>
            <w:tcW w:w="815"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74</w:t>
            </w:r>
          </w:p>
        </w:tc>
        <w:tc>
          <w:tcPr>
            <w:tcW w:w="1923"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s="宋体"/>
                <w:color w:val="000000"/>
                <w:kern w:val="0"/>
                <w:sz w:val="20"/>
                <w:szCs w:val="20"/>
              </w:rPr>
              <w:t>邻苯二甲酸二丁酯</w:t>
            </w:r>
          </w:p>
        </w:tc>
        <w:tc>
          <w:tcPr>
            <w:tcW w:w="949"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mg/l</w:t>
            </w:r>
          </w:p>
        </w:tc>
        <w:tc>
          <w:tcPr>
            <w:tcW w:w="1601"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0.000095</w:t>
            </w:r>
          </w:p>
        </w:tc>
        <w:tc>
          <w:tcPr>
            <w:tcW w:w="1854"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0.00010</w:t>
            </w:r>
          </w:p>
        </w:tc>
        <w:tc>
          <w:tcPr>
            <w:tcW w:w="1187"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0.003</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0" w:type="dxa"/>
            <w:bottom w:w="0" w:type="dxa"/>
            <w:right w:w="0" w:type="dxa"/>
          </w:tblCellMar>
        </w:tblPrEx>
        <w:trPr>
          <w:trHeight w:val="397" w:hRule="atLeast"/>
        </w:trPr>
        <w:tc>
          <w:tcPr>
            <w:tcW w:w="815"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75</w:t>
            </w:r>
          </w:p>
        </w:tc>
        <w:tc>
          <w:tcPr>
            <w:tcW w:w="1923"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s="宋体"/>
                <w:color w:val="000000"/>
                <w:kern w:val="0"/>
                <w:sz w:val="20"/>
                <w:szCs w:val="20"/>
              </w:rPr>
              <w:t>邻苯二甲酸二（</w:t>
            </w:r>
            <w:r>
              <w:rPr>
                <w:rFonts w:hint="eastAsia"/>
                <w:color w:val="000000"/>
                <w:kern w:val="0"/>
                <w:sz w:val="20"/>
                <w:szCs w:val="20"/>
              </w:rPr>
              <w:t>2-</w:t>
            </w:r>
            <w:r>
              <w:rPr>
                <w:rFonts w:hint="eastAsia" w:cs="宋体"/>
                <w:color w:val="000000"/>
                <w:kern w:val="0"/>
                <w:sz w:val="20"/>
                <w:szCs w:val="20"/>
              </w:rPr>
              <w:t>乙基已基）酯</w:t>
            </w:r>
          </w:p>
        </w:tc>
        <w:tc>
          <w:tcPr>
            <w:tcW w:w="949"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mg/l</w:t>
            </w:r>
          </w:p>
        </w:tc>
        <w:tc>
          <w:tcPr>
            <w:tcW w:w="1601"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0.000262</w:t>
            </w:r>
          </w:p>
        </w:tc>
        <w:tc>
          <w:tcPr>
            <w:tcW w:w="1854"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0.00086</w:t>
            </w:r>
          </w:p>
        </w:tc>
        <w:tc>
          <w:tcPr>
            <w:tcW w:w="1187"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0.008</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0" w:type="dxa"/>
            <w:bottom w:w="0" w:type="dxa"/>
            <w:right w:w="0" w:type="dxa"/>
          </w:tblCellMar>
        </w:tblPrEx>
        <w:trPr>
          <w:trHeight w:val="397" w:hRule="atLeast"/>
        </w:trPr>
        <w:tc>
          <w:tcPr>
            <w:tcW w:w="815"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76</w:t>
            </w:r>
          </w:p>
        </w:tc>
        <w:tc>
          <w:tcPr>
            <w:tcW w:w="1923"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s="宋体"/>
                <w:color w:val="000000"/>
                <w:kern w:val="0"/>
                <w:sz w:val="20"/>
                <w:szCs w:val="20"/>
              </w:rPr>
              <w:t>水合肼</w:t>
            </w:r>
          </w:p>
        </w:tc>
        <w:tc>
          <w:tcPr>
            <w:tcW w:w="949"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mg/l</w:t>
            </w:r>
          </w:p>
        </w:tc>
        <w:tc>
          <w:tcPr>
            <w:tcW w:w="1601"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0.005L</w:t>
            </w:r>
          </w:p>
        </w:tc>
        <w:tc>
          <w:tcPr>
            <w:tcW w:w="1854"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0.005L</w:t>
            </w:r>
          </w:p>
        </w:tc>
        <w:tc>
          <w:tcPr>
            <w:tcW w:w="1187"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0.01</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0" w:type="dxa"/>
            <w:bottom w:w="0" w:type="dxa"/>
            <w:right w:w="0" w:type="dxa"/>
          </w:tblCellMar>
        </w:tblPrEx>
        <w:trPr>
          <w:trHeight w:val="397" w:hRule="atLeast"/>
        </w:trPr>
        <w:tc>
          <w:tcPr>
            <w:tcW w:w="815"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77</w:t>
            </w:r>
          </w:p>
        </w:tc>
        <w:tc>
          <w:tcPr>
            <w:tcW w:w="1923"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s="宋体"/>
                <w:color w:val="000000"/>
                <w:kern w:val="0"/>
                <w:sz w:val="20"/>
                <w:szCs w:val="20"/>
              </w:rPr>
              <w:t>四乙基铅</w:t>
            </w:r>
          </w:p>
        </w:tc>
        <w:tc>
          <w:tcPr>
            <w:tcW w:w="949"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mg/l</w:t>
            </w:r>
          </w:p>
        </w:tc>
        <w:tc>
          <w:tcPr>
            <w:tcW w:w="1601"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0.00002L</w:t>
            </w:r>
          </w:p>
        </w:tc>
        <w:tc>
          <w:tcPr>
            <w:tcW w:w="1854"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0.00002L</w:t>
            </w:r>
          </w:p>
        </w:tc>
        <w:tc>
          <w:tcPr>
            <w:tcW w:w="1187"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0.0001</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0" w:type="dxa"/>
            <w:bottom w:w="0" w:type="dxa"/>
            <w:right w:w="0" w:type="dxa"/>
          </w:tblCellMar>
        </w:tblPrEx>
        <w:trPr>
          <w:trHeight w:val="397" w:hRule="atLeast"/>
        </w:trPr>
        <w:tc>
          <w:tcPr>
            <w:tcW w:w="815"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78</w:t>
            </w:r>
          </w:p>
        </w:tc>
        <w:tc>
          <w:tcPr>
            <w:tcW w:w="1923"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s="宋体"/>
                <w:color w:val="000000"/>
                <w:kern w:val="0"/>
                <w:sz w:val="20"/>
                <w:szCs w:val="20"/>
              </w:rPr>
              <w:t>吡啶</w:t>
            </w:r>
          </w:p>
        </w:tc>
        <w:tc>
          <w:tcPr>
            <w:tcW w:w="949"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mg/l</w:t>
            </w:r>
          </w:p>
        </w:tc>
        <w:tc>
          <w:tcPr>
            <w:tcW w:w="1601"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0.03L</w:t>
            </w:r>
          </w:p>
        </w:tc>
        <w:tc>
          <w:tcPr>
            <w:tcW w:w="1854"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0.03L</w:t>
            </w:r>
          </w:p>
        </w:tc>
        <w:tc>
          <w:tcPr>
            <w:tcW w:w="1187"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0.2</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0" w:type="dxa"/>
            <w:bottom w:w="0" w:type="dxa"/>
            <w:right w:w="0" w:type="dxa"/>
          </w:tblCellMar>
        </w:tblPrEx>
        <w:trPr>
          <w:trHeight w:val="397" w:hRule="atLeast"/>
        </w:trPr>
        <w:tc>
          <w:tcPr>
            <w:tcW w:w="815"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79</w:t>
            </w:r>
          </w:p>
        </w:tc>
        <w:tc>
          <w:tcPr>
            <w:tcW w:w="1923"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s="宋体"/>
                <w:color w:val="000000"/>
                <w:kern w:val="0"/>
                <w:sz w:val="20"/>
                <w:szCs w:val="20"/>
              </w:rPr>
              <w:t>松节油</w:t>
            </w:r>
          </w:p>
        </w:tc>
        <w:tc>
          <w:tcPr>
            <w:tcW w:w="949"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mg/l</w:t>
            </w:r>
          </w:p>
        </w:tc>
        <w:tc>
          <w:tcPr>
            <w:tcW w:w="1601"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0.1L</w:t>
            </w:r>
          </w:p>
        </w:tc>
        <w:tc>
          <w:tcPr>
            <w:tcW w:w="1854"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0.1L</w:t>
            </w:r>
          </w:p>
        </w:tc>
        <w:tc>
          <w:tcPr>
            <w:tcW w:w="1187"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0.2</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0" w:type="dxa"/>
            <w:bottom w:w="0" w:type="dxa"/>
            <w:right w:w="0" w:type="dxa"/>
          </w:tblCellMar>
        </w:tblPrEx>
        <w:trPr>
          <w:trHeight w:val="397" w:hRule="atLeast"/>
        </w:trPr>
        <w:tc>
          <w:tcPr>
            <w:tcW w:w="815"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80</w:t>
            </w:r>
          </w:p>
        </w:tc>
        <w:tc>
          <w:tcPr>
            <w:tcW w:w="1923"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s="宋体"/>
                <w:color w:val="000000"/>
                <w:kern w:val="0"/>
                <w:sz w:val="20"/>
                <w:szCs w:val="20"/>
              </w:rPr>
              <w:t>苦味酸</w:t>
            </w:r>
          </w:p>
        </w:tc>
        <w:tc>
          <w:tcPr>
            <w:tcW w:w="949"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mg/l</w:t>
            </w:r>
          </w:p>
        </w:tc>
        <w:tc>
          <w:tcPr>
            <w:tcW w:w="1601"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0.001L</w:t>
            </w:r>
          </w:p>
        </w:tc>
        <w:tc>
          <w:tcPr>
            <w:tcW w:w="1854"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0.001L</w:t>
            </w:r>
          </w:p>
        </w:tc>
        <w:tc>
          <w:tcPr>
            <w:tcW w:w="1187"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0.5</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0" w:type="dxa"/>
            <w:bottom w:w="0" w:type="dxa"/>
            <w:right w:w="0" w:type="dxa"/>
          </w:tblCellMar>
        </w:tblPrEx>
        <w:trPr>
          <w:trHeight w:val="397" w:hRule="atLeast"/>
        </w:trPr>
        <w:tc>
          <w:tcPr>
            <w:tcW w:w="815"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81</w:t>
            </w:r>
          </w:p>
        </w:tc>
        <w:tc>
          <w:tcPr>
            <w:tcW w:w="1923"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s="宋体"/>
                <w:color w:val="000000"/>
                <w:kern w:val="0"/>
                <w:sz w:val="20"/>
                <w:szCs w:val="20"/>
              </w:rPr>
              <w:t>丁基黄原酸</w:t>
            </w:r>
          </w:p>
        </w:tc>
        <w:tc>
          <w:tcPr>
            <w:tcW w:w="949"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mg/l</w:t>
            </w:r>
          </w:p>
        </w:tc>
        <w:tc>
          <w:tcPr>
            <w:tcW w:w="1601"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0.002L</w:t>
            </w:r>
          </w:p>
        </w:tc>
        <w:tc>
          <w:tcPr>
            <w:tcW w:w="1854"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0.002L</w:t>
            </w:r>
          </w:p>
        </w:tc>
        <w:tc>
          <w:tcPr>
            <w:tcW w:w="1187"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0.005</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0" w:type="dxa"/>
            <w:bottom w:w="0" w:type="dxa"/>
            <w:right w:w="0" w:type="dxa"/>
          </w:tblCellMar>
        </w:tblPrEx>
        <w:trPr>
          <w:trHeight w:val="397" w:hRule="atLeast"/>
        </w:trPr>
        <w:tc>
          <w:tcPr>
            <w:tcW w:w="815"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82</w:t>
            </w:r>
          </w:p>
        </w:tc>
        <w:tc>
          <w:tcPr>
            <w:tcW w:w="1923"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s="宋体"/>
                <w:color w:val="000000"/>
                <w:kern w:val="0"/>
                <w:sz w:val="20"/>
                <w:szCs w:val="20"/>
              </w:rPr>
              <w:t>活性氯</w:t>
            </w:r>
          </w:p>
        </w:tc>
        <w:tc>
          <w:tcPr>
            <w:tcW w:w="949"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mg/l</w:t>
            </w:r>
          </w:p>
        </w:tc>
        <w:tc>
          <w:tcPr>
            <w:tcW w:w="1601"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0.01L</w:t>
            </w:r>
          </w:p>
        </w:tc>
        <w:tc>
          <w:tcPr>
            <w:tcW w:w="1854"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0.01L</w:t>
            </w:r>
          </w:p>
        </w:tc>
        <w:tc>
          <w:tcPr>
            <w:tcW w:w="1187"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0.01</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0" w:type="dxa"/>
            <w:bottom w:w="0" w:type="dxa"/>
            <w:right w:w="0" w:type="dxa"/>
          </w:tblCellMar>
        </w:tblPrEx>
        <w:trPr>
          <w:trHeight w:val="397" w:hRule="atLeast"/>
        </w:trPr>
        <w:tc>
          <w:tcPr>
            <w:tcW w:w="815"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83</w:t>
            </w:r>
          </w:p>
        </w:tc>
        <w:tc>
          <w:tcPr>
            <w:tcW w:w="1923"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s="宋体"/>
                <w:color w:val="000000"/>
                <w:kern w:val="0"/>
                <w:sz w:val="20"/>
                <w:szCs w:val="20"/>
              </w:rPr>
              <w:t>滴滴涕</w:t>
            </w:r>
          </w:p>
        </w:tc>
        <w:tc>
          <w:tcPr>
            <w:tcW w:w="949"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mg/l</w:t>
            </w:r>
          </w:p>
        </w:tc>
        <w:tc>
          <w:tcPr>
            <w:tcW w:w="1601"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0.000212</w:t>
            </w:r>
          </w:p>
        </w:tc>
        <w:tc>
          <w:tcPr>
            <w:tcW w:w="1854"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0.000056</w:t>
            </w:r>
          </w:p>
        </w:tc>
        <w:tc>
          <w:tcPr>
            <w:tcW w:w="1187"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0.001</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0" w:type="dxa"/>
            <w:bottom w:w="0" w:type="dxa"/>
            <w:right w:w="0" w:type="dxa"/>
          </w:tblCellMar>
        </w:tblPrEx>
        <w:trPr>
          <w:trHeight w:val="397" w:hRule="atLeast"/>
        </w:trPr>
        <w:tc>
          <w:tcPr>
            <w:tcW w:w="815"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84</w:t>
            </w:r>
          </w:p>
        </w:tc>
        <w:tc>
          <w:tcPr>
            <w:tcW w:w="1923"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s="宋体"/>
                <w:color w:val="000000"/>
                <w:kern w:val="0"/>
                <w:sz w:val="20"/>
                <w:szCs w:val="20"/>
              </w:rPr>
              <w:t>林丹</w:t>
            </w:r>
          </w:p>
        </w:tc>
        <w:tc>
          <w:tcPr>
            <w:tcW w:w="949"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mg/l</w:t>
            </w:r>
          </w:p>
        </w:tc>
        <w:tc>
          <w:tcPr>
            <w:tcW w:w="1601"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0.0000085</w:t>
            </w:r>
          </w:p>
        </w:tc>
        <w:tc>
          <w:tcPr>
            <w:tcW w:w="1854"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0.0000098</w:t>
            </w:r>
          </w:p>
        </w:tc>
        <w:tc>
          <w:tcPr>
            <w:tcW w:w="1187"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0.002</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0" w:type="dxa"/>
            <w:bottom w:w="0" w:type="dxa"/>
            <w:right w:w="0" w:type="dxa"/>
          </w:tblCellMar>
        </w:tblPrEx>
        <w:trPr>
          <w:trHeight w:val="397" w:hRule="atLeast"/>
        </w:trPr>
        <w:tc>
          <w:tcPr>
            <w:tcW w:w="815"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85</w:t>
            </w:r>
          </w:p>
        </w:tc>
        <w:tc>
          <w:tcPr>
            <w:tcW w:w="1923"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s="宋体"/>
                <w:color w:val="000000"/>
                <w:kern w:val="0"/>
                <w:sz w:val="20"/>
                <w:szCs w:val="20"/>
              </w:rPr>
              <w:t>环氧七氯</w:t>
            </w:r>
          </w:p>
        </w:tc>
        <w:tc>
          <w:tcPr>
            <w:tcW w:w="949"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mg/l</w:t>
            </w:r>
          </w:p>
        </w:tc>
        <w:tc>
          <w:tcPr>
            <w:tcW w:w="1601"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0.00005L</w:t>
            </w:r>
          </w:p>
        </w:tc>
        <w:tc>
          <w:tcPr>
            <w:tcW w:w="1854"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0.00005L</w:t>
            </w:r>
          </w:p>
        </w:tc>
        <w:tc>
          <w:tcPr>
            <w:tcW w:w="1187"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0.0002</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0" w:type="dxa"/>
            <w:bottom w:w="0" w:type="dxa"/>
            <w:right w:w="0" w:type="dxa"/>
          </w:tblCellMar>
        </w:tblPrEx>
        <w:trPr>
          <w:trHeight w:val="397" w:hRule="atLeast"/>
        </w:trPr>
        <w:tc>
          <w:tcPr>
            <w:tcW w:w="815"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86</w:t>
            </w:r>
          </w:p>
        </w:tc>
        <w:tc>
          <w:tcPr>
            <w:tcW w:w="1923"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s="宋体"/>
                <w:color w:val="000000"/>
                <w:kern w:val="0"/>
                <w:sz w:val="20"/>
                <w:szCs w:val="20"/>
              </w:rPr>
              <w:t>对硫磷</w:t>
            </w:r>
          </w:p>
        </w:tc>
        <w:tc>
          <w:tcPr>
            <w:tcW w:w="949"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mg/l</w:t>
            </w:r>
          </w:p>
        </w:tc>
        <w:tc>
          <w:tcPr>
            <w:tcW w:w="1601"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0.00004L</w:t>
            </w:r>
          </w:p>
        </w:tc>
        <w:tc>
          <w:tcPr>
            <w:tcW w:w="1854"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0.00004L</w:t>
            </w:r>
          </w:p>
        </w:tc>
        <w:tc>
          <w:tcPr>
            <w:tcW w:w="1187"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0.03</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0" w:type="dxa"/>
            <w:bottom w:w="0" w:type="dxa"/>
            <w:right w:w="0" w:type="dxa"/>
          </w:tblCellMar>
        </w:tblPrEx>
        <w:trPr>
          <w:trHeight w:val="397" w:hRule="atLeast"/>
        </w:trPr>
        <w:tc>
          <w:tcPr>
            <w:tcW w:w="815"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87</w:t>
            </w:r>
          </w:p>
        </w:tc>
        <w:tc>
          <w:tcPr>
            <w:tcW w:w="1923"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s="宋体"/>
                <w:color w:val="000000"/>
                <w:kern w:val="0"/>
                <w:sz w:val="20"/>
                <w:szCs w:val="20"/>
              </w:rPr>
              <w:t>甲基对硫磷</w:t>
            </w:r>
          </w:p>
        </w:tc>
        <w:tc>
          <w:tcPr>
            <w:tcW w:w="949"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mg/l</w:t>
            </w:r>
          </w:p>
        </w:tc>
        <w:tc>
          <w:tcPr>
            <w:tcW w:w="1601"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0.00002L</w:t>
            </w:r>
          </w:p>
        </w:tc>
        <w:tc>
          <w:tcPr>
            <w:tcW w:w="1854"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0.00002L</w:t>
            </w:r>
          </w:p>
        </w:tc>
        <w:tc>
          <w:tcPr>
            <w:tcW w:w="1187"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0.002</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0" w:type="dxa"/>
            <w:bottom w:w="0" w:type="dxa"/>
            <w:right w:w="0" w:type="dxa"/>
          </w:tblCellMar>
        </w:tblPrEx>
        <w:trPr>
          <w:trHeight w:val="397" w:hRule="atLeast"/>
        </w:trPr>
        <w:tc>
          <w:tcPr>
            <w:tcW w:w="815"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88</w:t>
            </w:r>
          </w:p>
        </w:tc>
        <w:tc>
          <w:tcPr>
            <w:tcW w:w="1923"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s="宋体"/>
                <w:color w:val="000000"/>
                <w:kern w:val="0"/>
                <w:sz w:val="20"/>
                <w:szCs w:val="20"/>
              </w:rPr>
              <w:t>马拉硫磷</w:t>
            </w:r>
          </w:p>
        </w:tc>
        <w:tc>
          <w:tcPr>
            <w:tcW w:w="949"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mg/l</w:t>
            </w:r>
          </w:p>
        </w:tc>
        <w:tc>
          <w:tcPr>
            <w:tcW w:w="1601"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0.00004L</w:t>
            </w:r>
          </w:p>
        </w:tc>
        <w:tc>
          <w:tcPr>
            <w:tcW w:w="1854"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0.00004L</w:t>
            </w:r>
          </w:p>
        </w:tc>
        <w:tc>
          <w:tcPr>
            <w:tcW w:w="1187"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0.05</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0" w:type="dxa"/>
            <w:bottom w:w="0" w:type="dxa"/>
            <w:right w:w="0" w:type="dxa"/>
          </w:tblCellMar>
        </w:tblPrEx>
        <w:trPr>
          <w:trHeight w:val="397" w:hRule="atLeast"/>
        </w:trPr>
        <w:tc>
          <w:tcPr>
            <w:tcW w:w="815"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89</w:t>
            </w:r>
          </w:p>
        </w:tc>
        <w:tc>
          <w:tcPr>
            <w:tcW w:w="1923"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s="宋体"/>
                <w:color w:val="000000"/>
                <w:kern w:val="0"/>
                <w:sz w:val="20"/>
                <w:szCs w:val="20"/>
              </w:rPr>
              <w:t>乐果</w:t>
            </w:r>
          </w:p>
        </w:tc>
        <w:tc>
          <w:tcPr>
            <w:tcW w:w="949"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mg/l</w:t>
            </w:r>
          </w:p>
        </w:tc>
        <w:tc>
          <w:tcPr>
            <w:tcW w:w="1601"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0.0001L</w:t>
            </w:r>
          </w:p>
        </w:tc>
        <w:tc>
          <w:tcPr>
            <w:tcW w:w="1854"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0.0001L</w:t>
            </w:r>
          </w:p>
        </w:tc>
        <w:tc>
          <w:tcPr>
            <w:tcW w:w="1187"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0.08</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0" w:type="dxa"/>
            <w:bottom w:w="0" w:type="dxa"/>
            <w:right w:w="0" w:type="dxa"/>
          </w:tblCellMar>
        </w:tblPrEx>
        <w:trPr>
          <w:trHeight w:val="397" w:hRule="atLeast"/>
        </w:trPr>
        <w:tc>
          <w:tcPr>
            <w:tcW w:w="815"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90</w:t>
            </w:r>
          </w:p>
        </w:tc>
        <w:tc>
          <w:tcPr>
            <w:tcW w:w="1923"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s="宋体"/>
                <w:color w:val="000000"/>
                <w:kern w:val="0"/>
                <w:sz w:val="20"/>
                <w:szCs w:val="20"/>
              </w:rPr>
              <w:t>敌敌畏</w:t>
            </w:r>
          </w:p>
        </w:tc>
        <w:tc>
          <w:tcPr>
            <w:tcW w:w="949"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mg/l</w:t>
            </w:r>
          </w:p>
        </w:tc>
        <w:tc>
          <w:tcPr>
            <w:tcW w:w="1601"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0.00006L</w:t>
            </w:r>
          </w:p>
        </w:tc>
        <w:tc>
          <w:tcPr>
            <w:tcW w:w="1854"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0.00006L</w:t>
            </w:r>
          </w:p>
        </w:tc>
        <w:tc>
          <w:tcPr>
            <w:tcW w:w="1187"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0.05</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0" w:type="dxa"/>
            <w:bottom w:w="0" w:type="dxa"/>
            <w:right w:w="0" w:type="dxa"/>
          </w:tblCellMar>
        </w:tblPrEx>
        <w:trPr>
          <w:trHeight w:val="397" w:hRule="atLeast"/>
        </w:trPr>
        <w:tc>
          <w:tcPr>
            <w:tcW w:w="815"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91</w:t>
            </w:r>
          </w:p>
        </w:tc>
        <w:tc>
          <w:tcPr>
            <w:tcW w:w="1923"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s="宋体"/>
                <w:color w:val="000000"/>
                <w:kern w:val="0"/>
                <w:sz w:val="20"/>
                <w:szCs w:val="20"/>
              </w:rPr>
              <w:t>敌百虫</w:t>
            </w:r>
          </w:p>
        </w:tc>
        <w:tc>
          <w:tcPr>
            <w:tcW w:w="949"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mg/l</w:t>
            </w:r>
          </w:p>
        </w:tc>
        <w:tc>
          <w:tcPr>
            <w:tcW w:w="1601"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0.00006L</w:t>
            </w:r>
          </w:p>
        </w:tc>
        <w:tc>
          <w:tcPr>
            <w:tcW w:w="1854"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0.00006L</w:t>
            </w:r>
          </w:p>
        </w:tc>
        <w:tc>
          <w:tcPr>
            <w:tcW w:w="1187"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0.05</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0" w:type="dxa"/>
            <w:bottom w:w="0" w:type="dxa"/>
            <w:right w:w="0" w:type="dxa"/>
          </w:tblCellMar>
        </w:tblPrEx>
        <w:trPr>
          <w:trHeight w:val="397" w:hRule="atLeast"/>
        </w:trPr>
        <w:tc>
          <w:tcPr>
            <w:tcW w:w="815"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92</w:t>
            </w:r>
          </w:p>
        </w:tc>
        <w:tc>
          <w:tcPr>
            <w:tcW w:w="1923"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s="宋体"/>
                <w:color w:val="000000"/>
                <w:kern w:val="0"/>
                <w:sz w:val="20"/>
                <w:szCs w:val="20"/>
              </w:rPr>
              <w:t>内吸磷</w:t>
            </w:r>
          </w:p>
        </w:tc>
        <w:tc>
          <w:tcPr>
            <w:tcW w:w="949"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mg/l</w:t>
            </w:r>
          </w:p>
        </w:tc>
        <w:tc>
          <w:tcPr>
            <w:tcW w:w="1601"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0.00004L</w:t>
            </w:r>
          </w:p>
        </w:tc>
        <w:tc>
          <w:tcPr>
            <w:tcW w:w="1854"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0.00004L</w:t>
            </w:r>
          </w:p>
        </w:tc>
        <w:tc>
          <w:tcPr>
            <w:tcW w:w="1187"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0.03</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0" w:type="dxa"/>
            <w:bottom w:w="0" w:type="dxa"/>
            <w:right w:w="0" w:type="dxa"/>
          </w:tblCellMar>
        </w:tblPrEx>
        <w:trPr>
          <w:trHeight w:val="397" w:hRule="atLeast"/>
        </w:trPr>
        <w:tc>
          <w:tcPr>
            <w:tcW w:w="815"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93</w:t>
            </w:r>
          </w:p>
        </w:tc>
        <w:tc>
          <w:tcPr>
            <w:tcW w:w="1923"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s="宋体"/>
                <w:color w:val="000000"/>
                <w:kern w:val="0"/>
                <w:sz w:val="20"/>
                <w:szCs w:val="20"/>
              </w:rPr>
              <w:t>百菌清</w:t>
            </w:r>
          </w:p>
        </w:tc>
        <w:tc>
          <w:tcPr>
            <w:tcW w:w="949"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mg/l</w:t>
            </w:r>
          </w:p>
        </w:tc>
        <w:tc>
          <w:tcPr>
            <w:tcW w:w="1601"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0.0004L</w:t>
            </w:r>
          </w:p>
        </w:tc>
        <w:tc>
          <w:tcPr>
            <w:tcW w:w="1854"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0.0004L</w:t>
            </w:r>
          </w:p>
        </w:tc>
        <w:tc>
          <w:tcPr>
            <w:tcW w:w="1187"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0.01</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0" w:type="dxa"/>
            <w:bottom w:w="0" w:type="dxa"/>
            <w:right w:w="0" w:type="dxa"/>
          </w:tblCellMar>
        </w:tblPrEx>
        <w:trPr>
          <w:trHeight w:val="397" w:hRule="atLeast"/>
        </w:trPr>
        <w:tc>
          <w:tcPr>
            <w:tcW w:w="815"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94</w:t>
            </w:r>
          </w:p>
        </w:tc>
        <w:tc>
          <w:tcPr>
            <w:tcW w:w="1923"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s="宋体"/>
                <w:color w:val="000000"/>
                <w:kern w:val="0"/>
                <w:sz w:val="20"/>
                <w:szCs w:val="20"/>
              </w:rPr>
              <w:t>甲萘威</w:t>
            </w:r>
          </w:p>
        </w:tc>
        <w:tc>
          <w:tcPr>
            <w:tcW w:w="949"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mg/l</w:t>
            </w:r>
          </w:p>
        </w:tc>
        <w:tc>
          <w:tcPr>
            <w:tcW w:w="1601"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0.01L</w:t>
            </w:r>
          </w:p>
        </w:tc>
        <w:tc>
          <w:tcPr>
            <w:tcW w:w="1854"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0.01L</w:t>
            </w:r>
          </w:p>
        </w:tc>
        <w:tc>
          <w:tcPr>
            <w:tcW w:w="1187"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0.05</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0" w:type="dxa"/>
            <w:bottom w:w="0" w:type="dxa"/>
            <w:right w:w="0" w:type="dxa"/>
          </w:tblCellMar>
        </w:tblPrEx>
        <w:trPr>
          <w:trHeight w:val="397" w:hRule="atLeast"/>
        </w:trPr>
        <w:tc>
          <w:tcPr>
            <w:tcW w:w="815"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95</w:t>
            </w:r>
          </w:p>
        </w:tc>
        <w:tc>
          <w:tcPr>
            <w:tcW w:w="1923"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s="宋体"/>
                <w:color w:val="000000"/>
                <w:kern w:val="0"/>
                <w:sz w:val="20"/>
                <w:szCs w:val="20"/>
              </w:rPr>
              <w:t>溴氰菊酯</w:t>
            </w:r>
          </w:p>
        </w:tc>
        <w:tc>
          <w:tcPr>
            <w:tcW w:w="949"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mg/l</w:t>
            </w:r>
          </w:p>
        </w:tc>
        <w:tc>
          <w:tcPr>
            <w:tcW w:w="1601"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0.0002L</w:t>
            </w:r>
          </w:p>
        </w:tc>
        <w:tc>
          <w:tcPr>
            <w:tcW w:w="1854"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0.0002L</w:t>
            </w:r>
          </w:p>
        </w:tc>
        <w:tc>
          <w:tcPr>
            <w:tcW w:w="1187"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0.02</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0" w:type="dxa"/>
            <w:bottom w:w="0" w:type="dxa"/>
            <w:right w:w="0" w:type="dxa"/>
          </w:tblCellMar>
        </w:tblPrEx>
        <w:trPr>
          <w:trHeight w:val="397" w:hRule="atLeast"/>
        </w:trPr>
        <w:tc>
          <w:tcPr>
            <w:tcW w:w="815"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96</w:t>
            </w:r>
          </w:p>
        </w:tc>
        <w:tc>
          <w:tcPr>
            <w:tcW w:w="1923"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s="宋体"/>
                <w:color w:val="000000"/>
                <w:kern w:val="0"/>
                <w:sz w:val="20"/>
                <w:szCs w:val="20"/>
              </w:rPr>
              <w:t>阿特拉津</w:t>
            </w:r>
          </w:p>
        </w:tc>
        <w:tc>
          <w:tcPr>
            <w:tcW w:w="949"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mg/l</w:t>
            </w:r>
          </w:p>
        </w:tc>
        <w:tc>
          <w:tcPr>
            <w:tcW w:w="1601"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0.00014</w:t>
            </w:r>
          </w:p>
        </w:tc>
        <w:tc>
          <w:tcPr>
            <w:tcW w:w="1854"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0.00004</w:t>
            </w:r>
          </w:p>
        </w:tc>
        <w:tc>
          <w:tcPr>
            <w:tcW w:w="1187"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0.003</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0" w:type="dxa"/>
            <w:bottom w:w="0" w:type="dxa"/>
            <w:right w:w="0" w:type="dxa"/>
          </w:tblCellMar>
        </w:tblPrEx>
        <w:trPr>
          <w:trHeight w:val="397" w:hRule="atLeast"/>
        </w:trPr>
        <w:tc>
          <w:tcPr>
            <w:tcW w:w="815"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97</w:t>
            </w:r>
          </w:p>
        </w:tc>
        <w:tc>
          <w:tcPr>
            <w:tcW w:w="1923"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s="宋体"/>
                <w:color w:val="000000"/>
                <w:kern w:val="0"/>
                <w:sz w:val="20"/>
                <w:szCs w:val="20"/>
              </w:rPr>
              <w:t>苯并（</w:t>
            </w:r>
            <w:r>
              <w:rPr>
                <w:rFonts w:hint="eastAsia"/>
                <w:color w:val="000000"/>
                <w:kern w:val="0"/>
                <w:sz w:val="20"/>
                <w:szCs w:val="20"/>
              </w:rPr>
              <w:t>a</w:t>
            </w:r>
            <w:r>
              <w:rPr>
                <w:rFonts w:hint="eastAsia" w:cs="宋体"/>
                <w:color w:val="000000"/>
                <w:kern w:val="0"/>
                <w:sz w:val="20"/>
                <w:szCs w:val="20"/>
              </w:rPr>
              <w:t>）芘</w:t>
            </w:r>
          </w:p>
        </w:tc>
        <w:tc>
          <w:tcPr>
            <w:tcW w:w="949"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mg/l</w:t>
            </w:r>
          </w:p>
        </w:tc>
        <w:tc>
          <w:tcPr>
            <w:tcW w:w="1601"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0.00000028</w:t>
            </w:r>
          </w:p>
        </w:tc>
        <w:tc>
          <w:tcPr>
            <w:tcW w:w="1854"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0.000000375</w:t>
            </w:r>
          </w:p>
        </w:tc>
        <w:tc>
          <w:tcPr>
            <w:tcW w:w="1187"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2.8×10-6</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0" w:type="dxa"/>
            <w:bottom w:w="0" w:type="dxa"/>
            <w:right w:w="0" w:type="dxa"/>
          </w:tblCellMar>
        </w:tblPrEx>
        <w:trPr>
          <w:trHeight w:val="397" w:hRule="atLeast"/>
        </w:trPr>
        <w:tc>
          <w:tcPr>
            <w:tcW w:w="815"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98</w:t>
            </w:r>
          </w:p>
        </w:tc>
        <w:tc>
          <w:tcPr>
            <w:tcW w:w="1923"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s="宋体"/>
                <w:color w:val="000000"/>
                <w:kern w:val="0"/>
                <w:sz w:val="20"/>
                <w:szCs w:val="20"/>
              </w:rPr>
              <w:t>甲基汞</w:t>
            </w:r>
          </w:p>
        </w:tc>
        <w:tc>
          <w:tcPr>
            <w:tcW w:w="949"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mg/l</w:t>
            </w:r>
          </w:p>
        </w:tc>
        <w:tc>
          <w:tcPr>
            <w:tcW w:w="1601"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0.000001L</w:t>
            </w:r>
          </w:p>
        </w:tc>
        <w:tc>
          <w:tcPr>
            <w:tcW w:w="1854"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0.000001L</w:t>
            </w:r>
          </w:p>
        </w:tc>
        <w:tc>
          <w:tcPr>
            <w:tcW w:w="1187"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1.0×10-6</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0" w:type="dxa"/>
            <w:bottom w:w="0" w:type="dxa"/>
            <w:right w:w="0" w:type="dxa"/>
          </w:tblCellMar>
        </w:tblPrEx>
        <w:trPr>
          <w:trHeight w:val="397" w:hRule="atLeast"/>
        </w:trPr>
        <w:tc>
          <w:tcPr>
            <w:tcW w:w="815"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99</w:t>
            </w:r>
          </w:p>
        </w:tc>
        <w:tc>
          <w:tcPr>
            <w:tcW w:w="1923"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s="宋体"/>
                <w:color w:val="000000"/>
                <w:kern w:val="0"/>
                <w:sz w:val="20"/>
                <w:szCs w:val="20"/>
              </w:rPr>
              <w:t>多氯联苯</w:t>
            </w:r>
          </w:p>
        </w:tc>
        <w:tc>
          <w:tcPr>
            <w:tcW w:w="949"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mg/l</w:t>
            </w:r>
          </w:p>
        </w:tc>
        <w:tc>
          <w:tcPr>
            <w:tcW w:w="1601"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0.00001L</w:t>
            </w:r>
          </w:p>
        </w:tc>
        <w:tc>
          <w:tcPr>
            <w:tcW w:w="1854"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0.00001L</w:t>
            </w:r>
          </w:p>
        </w:tc>
        <w:tc>
          <w:tcPr>
            <w:tcW w:w="1187"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2.0×10-6</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0" w:type="dxa"/>
            <w:bottom w:w="0" w:type="dxa"/>
            <w:right w:w="0" w:type="dxa"/>
          </w:tblCellMar>
        </w:tblPrEx>
        <w:trPr>
          <w:trHeight w:val="397" w:hRule="atLeast"/>
        </w:trPr>
        <w:tc>
          <w:tcPr>
            <w:tcW w:w="815"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100</w:t>
            </w:r>
          </w:p>
        </w:tc>
        <w:tc>
          <w:tcPr>
            <w:tcW w:w="1923"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s="宋体"/>
                <w:color w:val="000000"/>
                <w:kern w:val="0"/>
                <w:sz w:val="20"/>
                <w:szCs w:val="20"/>
              </w:rPr>
              <w:t>微囊藻毒素</w:t>
            </w:r>
            <w:r>
              <w:rPr>
                <w:rFonts w:hint="eastAsia"/>
                <w:color w:val="000000"/>
                <w:kern w:val="0"/>
                <w:sz w:val="20"/>
                <w:szCs w:val="20"/>
              </w:rPr>
              <w:t>-LR</w:t>
            </w:r>
          </w:p>
        </w:tc>
        <w:tc>
          <w:tcPr>
            <w:tcW w:w="949"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mg/l</w:t>
            </w:r>
          </w:p>
        </w:tc>
        <w:tc>
          <w:tcPr>
            <w:tcW w:w="1601"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0.00006L</w:t>
            </w:r>
          </w:p>
        </w:tc>
        <w:tc>
          <w:tcPr>
            <w:tcW w:w="1854"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0.00006L</w:t>
            </w:r>
          </w:p>
        </w:tc>
        <w:tc>
          <w:tcPr>
            <w:tcW w:w="1187"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0.001</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0" w:type="dxa"/>
            <w:bottom w:w="0" w:type="dxa"/>
            <w:right w:w="0" w:type="dxa"/>
          </w:tblCellMar>
        </w:tblPrEx>
        <w:trPr>
          <w:trHeight w:val="397" w:hRule="atLeast"/>
        </w:trPr>
        <w:tc>
          <w:tcPr>
            <w:tcW w:w="815"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101</w:t>
            </w:r>
          </w:p>
        </w:tc>
        <w:tc>
          <w:tcPr>
            <w:tcW w:w="1923"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s="宋体"/>
                <w:color w:val="000000"/>
                <w:kern w:val="0"/>
                <w:sz w:val="20"/>
                <w:szCs w:val="20"/>
              </w:rPr>
              <w:t>黄磷</w:t>
            </w:r>
          </w:p>
        </w:tc>
        <w:tc>
          <w:tcPr>
            <w:tcW w:w="949"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mg/l</w:t>
            </w:r>
          </w:p>
        </w:tc>
        <w:tc>
          <w:tcPr>
            <w:tcW w:w="1601"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0.0025L</w:t>
            </w:r>
          </w:p>
        </w:tc>
        <w:tc>
          <w:tcPr>
            <w:tcW w:w="1854"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0.0025L</w:t>
            </w:r>
          </w:p>
        </w:tc>
        <w:tc>
          <w:tcPr>
            <w:tcW w:w="1187"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0.003</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0" w:type="dxa"/>
            <w:bottom w:w="0" w:type="dxa"/>
            <w:right w:w="0" w:type="dxa"/>
          </w:tblCellMar>
        </w:tblPrEx>
        <w:trPr>
          <w:trHeight w:val="397" w:hRule="atLeast"/>
        </w:trPr>
        <w:tc>
          <w:tcPr>
            <w:tcW w:w="815"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102</w:t>
            </w:r>
          </w:p>
        </w:tc>
        <w:tc>
          <w:tcPr>
            <w:tcW w:w="1923"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s="宋体"/>
                <w:color w:val="000000"/>
                <w:kern w:val="0"/>
                <w:sz w:val="20"/>
                <w:szCs w:val="20"/>
              </w:rPr>
              <w:t>钼</w:t>
            </w:r>
          </w:p>
        </w:tc>
        <w:tc>
          <w:tcPr>
            <w:tcW w:w="949"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mg/l</w:t>
            </w:r>
          </w:p>
        </w:tc>
        <w:tc>
          <w:tcPr>
            <w:tcW w:w="1601"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0.00015</w:t>
            </w:r>
          </w:p>
        </w:tc>
        <w:tc>
          <w:tcPr>
            <w:tcW w:w="1854"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0.00027</w:t>
            </w:r>
          </w:p>
        </w:tc>
        <w:tc>
          <w:tcPr>
            <w:tcW w:w="1187"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0.07</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0" w:type="dxa"/>
            <w:bottom w:w="0" w:type="dxa"/>
            <w:right w:w="0" w:type="dxa"/>
          </w:tblCellMar>
        </w:tblPrEx>
        <w:trPr>
          <w:trHeight w:val="397" w:hRule="atLeast"/>
        </w:trPr>
        <w:tc>
          <w:tcPr>
            <w:tcW w:w="815"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103</w:t>
            </w:r>
          </w:p>
        </w:tc>
        <w:tc>
          <w:tcPr>
            <w:tcW w:w="1923"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s="宋体"/>
                <w:color w:val="000000"/>
                <w:kern w:val="0"/>
                <w:sz w:val="20"/>
                <w:szCs w:val="20"/>
              </w:rPr>
              <w:t>钴</w:t>
            </w:r>
          </w:p>
        </w:tc>
        <w:tc>
          <w:tcPr>
            <w:tcW w:w="949"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mg/l</w:t>
            </w:r>
          </w:p>
        </w:tc>
        <w:tc>
          <w:tcPr>
            <w:tcW w:w="1601"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0.00015</w:t>
            </w:r>
          </w:p>
        </w:tc>
        <w:tc>
          <w:tcPr>
            <w:tcW w:w="1854"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0.00011</w:t>
            </w:r>
          </w:p>
        </w:tc>
        <w:tc>
          <w:tcPr>
            <w:tcW w:w="1187"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1</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0" w:type="dxa"/>
            <w:bottom w:w="0" w:type="dxa"/>
            <w:right w:w="0" w:type="dxa"/>
          </w:tblCellMar>
        </w:tblPrEx>
        <w:trPr>
          <w:trHeight w:val="397" w:hRule="atLeast"/>
        </w:trPr>
        <w:tc>
          <w:tcPr>
            <w:tcW w:w="815"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104</w:t>
            </w:r>
          </w:p>
        </w:tc>
        <w:tc>
          <w:tcPr>
            <w:tcW w:w="1923"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s="宋体"/>
                <w:color w:val="000000"/>
                <w:kern w:val="0"/>
                <w:sz w:val="20"/>
                <w:szCs w:val="20"/>
              </w:rPr>
              <w:t>铍</w:t>
            </w:r>
          </w:p>
        </w:tc>
        <w:tc>
          <w:tcPr>
            <w:tcW w:w="949"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mg/l</w:t>
            </w:r>
          </w:p>
        </w:tc>
        <w:tc>
          <w:tcPr>
            <w:tcW w:w="1601"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0.000024</w:t>
            </w:r>
          </w:p>
        </w:tc>
        <w:tc>
          <w:tcPr>
            <w:tcW w:w="1854"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0.00007</w:t>
            </w:r>
          </w:p>
        </w:tc>
        <w:tc>
          <w:tcPr>
            <w:tcW w:w="1187"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0.002</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0" w:type="dxa"/>
            <w:bottom w:w="0" w:type="dxa"/>
            <w:right w:w="0" w:type="dxa"/>
          </w:tblCellMar>
        </w:tblPrEx>
        <w:trPr>
          <w:trHeight w:val="397" w:hRule="atLeast"/>
        </w:trPr>
        <w:tc>
          <w:tcPr>
            <w:tcW w:w="815"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105</w:t>
            </w:r>
          </w:p>
        </w:tc>
        <w:tc>
          <w:tcPr>
            <w:tcW w:w="1923"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s="宋体"/>
                <w:color w:val="000000"/>
                <w:kern w:val="0"/>
                <w:sz w:val="20"/>
                <w:szCs w:val="20"/>
              </w:rPr>
              <w:t>硼</w:t>
            </w:r>
          </w:p>
        </w:tc>
        <w:tc>
          <w:tcPr>
            <w:tcW w:w="949"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mg/l</w:t>
            </w:r>
          </w:p>
        </w:tc>
        <w:tc>
          <w:tcPr>
            <w:tcW w:w="1601"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0.0035</w:t>
            </w:r>
          </w:p>
        </w:tc>
        <w:tc>
          <w:tcPr>
            <w:tcW w:w="1854"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0.0055</w:t>
            </w:r>
          </w:p>
        </w:tc>
        <w:tc>
          <w:tcPr>
            <w:tcW w:w="1187"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0.5</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0" w:type="dxa"/>
            <w:bottom w:w="0" w:type="dxa"/>
            <w:right w:w="0" w:type="dxa"/>
          </w:tblCellMar>
        </w:tblPrEx>
        <w:trPr>
          <w:trHeight w:val="397" w:hRule="atLeast"/>
        </w:trPr>
        <w:tc>
          <w:tcPr>
            <w:tcW w:w="815"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106</w:t>
            </w:r>
          </w:p>
        </w:tc>
        <w:tc>
          <w:tcPr>
            <w:tcW w:w="1923"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s="宋体"/>
                <w:color w:val="000000"/>
                <w:kern w:val="0"/>
                <w:sz w:val="20"/>
                <w:szCs w:val="20"/>
              </w:rPr>
              <w:t>锑</w:t>
            </w:r>
          </w:p>
        </w:tc>
        <w:tc>
          <w:tcPr>
            <w:tcW w:w="949"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mg/l</w:t>
            </w:r>
          </w:p>
        </w:tc>
        <w:tc>
          <w:tcPr>
            <w:tcW w:w="1601"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0.0001</w:t>
            </w:r>
          </w:p>
        </w:tc>
        <w:tc>
          <w:tcPr>
            <w:tcW w:w="1854"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0.0001</w:t>
            </w:r>
          </w:p>
        </w:tc>
        <w:tc>
          <w:tcPr>
            <w:tcW w:w="1187"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0.005</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0" w:type="dxa"/>
            <w:bottom w:w="0" w:type="dxa"/>
            <w:right w:w="0" w:type="dxa"/>
          </w:tblCellMar>
        </w:tblPrEx>
        <w:trPr>
          <w:trHeight w:val="397" w:hRule="atLeast"/>
        </w:trPr>
        <w:tc>
          <w:tcPr>
            <w:tcW w:w="815"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107</w:t>
            </w:r>
          </w:p>
        </w:tc>
        <w:tc>
          <w:tcPr>
            <w:tcW w:w="1923"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s="宋体"/>
                <w:color w:val="000000"/>
                <w:kern w:val="0"/>
                <w:sz w:val="20"/>
                <w:szCs w:val="20"/>
              </w:rPr>
              <w:t>镍</w:t>
            </w:r>
          </w:p>
        </w:tc>
        <w:tc>
          <w:tcPr>
            <w:tcW w:w="949"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mg/l</w:t>
            </w:r>
          </w:p>
        </w:tc>
        <w:tc>
          <w:tcPr>
            <w:tcW w:w="1601"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0.0003</w:t>
            </w:r>
          </w:p>
        </w:tc>
        <w:tc>
          <w:tcPr>
            <w:tcW w:w="1854"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0.00088</w:t>
            </w:r>
          </w:p>
        </w:tc>
        <w:tc>
          <w:tcPr>
            <w:tcW w:w="1187"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0.02</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0" w:type="dxa"/>
            <w:bottom w:w="0" w:type="dxa"/>
            <w:right w:w="0" w:type="dxa"/>
          </w:tblCellMar>
        </w:tblPrEx>
        <w:trPr>
          <w:trHeight w:val="397" w:hRule="atLeast"/>
        </w:trPr>
        <w:tc>
          <w:tcPr>
            <w:tcW w:w="815"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108</w:t>
            </w:r>
          </w:p>
        </w:tc>
        <w:tc>
          <w:tcPr>
            <w:tcW w:w="1923"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s="宋体"/>
                <w:color w:val="000000"/>
                <w:kern w:val="0"/>
                <w:sz w:val="20"/>
                <w:szCs w:val="20"/>
              </w:rPr>
              <w:t>钡</w:t>
            </w:r>
          </w:p>
        </w:tc>
        <w:tc>
          <w:tcPr>
            <w:tcW w:w="949"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mg/l</w:t>
            </w:r>
          </w:p>
        </w:tc>
        <w:tc>
          <w:tcPr>
            <w:tcW w:w="1601"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0.0094</w:t>
            </w:r>
          </w:p>
        </w:tc>
        <w:tc>
          <w:tcPr>
            <w:tcW w:w="1854"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0.01345</w:t>
            </w:r>
          </w:p>
        </w:tc>
        <w:tc>
          <w:tcPr>
            <w:tcW w:w="1187"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0.7</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0" w:type="dxa"/>
            <w:bottom w:w="0" w:type="dxa"/>
            <w:right w:w="0" w:type="dxa"/>
          </w:tblCellMar>
        </w:tblPrEx>
        <w:trPr>
          <w:trHeight w:val="397" w:hRule="atLeast"/>
        </w:trPr>
        <w:tc>
          <w:tcPr>
            <w:tcW w:w="815"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109</w:t>
            </w:r>
          </w:p>
        </w:tc>
        <w:tc>
          <w:tcPr>
            <w:tcW w:w="1923"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s="宋体"/>
                <w:color w:val="000000"/>
                <w:kern w:val="0"/>
                <w:sz w:val="20"/>
                <w:szCs w:val="20"/>
              </w:rPr>
              <w:t>钒</w:t>
            </w:r>
          </w:p>
        </w:tc>
        <w:tc>
          <w:tcPr>
            <w:tcW w:w="949"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mg/l</w:t>
            </w:r>
          </w:p>
        </w:tc>
        <w:tc>
          <w:tcPr>
            <w:tcW w:w="1601"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0.000156</w:t>
            </w:r>
          </w:p>
        </w:tc>
        <w:tc>
          <w:tcPr>
            <w:tcW w:w="1854"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0.00032</w:t>
            </w:r>
          </w:p>
        </w:tc>
        <w:tc>
          <w:tcPr>
            <w:tcW w:w="1187"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0.05</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0" w:type="dxa"/>
            <w:bottom w:w="0" w:type="dxa"/>
            <w:right w:w="0" w:type="dxa"/>
          </w:tblCellMar>
        </w:tblPrEx>
        <w:trPr>
          <w:trHeight w:val="397" w:hRule="atLeast"/>
        </w:trPr>
        <w:tc>
          <w:tcPr>
            <w:tcW w:w="815"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110</w:t>
            </w:r>
          </w:p>
        </w:tc>
        <w:tc>
          <w:tcPr>
            <w:tcW w:w="1923"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s="宋体"/>
                <w:color w:val="000000"/>
                <w:kern w:val="0"/>
                <w:sz w:val="20"/>
                <w:szCs w:val="20"/>
              </w:rPr>
              <w:t>钛</w:t>
            </w:r>
          </w:p>
        </w:tc>
        <w:tc>
          <w:tcPr>
            <w:tcW w:w="949"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mg/l</w:t>
            </w:r>
          </w:p>
        </w:tc>
        <w:tc>
          <w:tcPr>
            <w:tcW w:w="1601"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0.0004L</w:t>
            </w:r>
          </w:p>
        </w:tc>
        <w:tc>
          <w:tcPr>
            <w:tcW w:w="1854"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0.0004L</w:t>
            </w:r>
          </w:p>
        </w:tc>
        <w:tc>
          <w:tcPr>
            <w:tcW w:w="1187"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0.1</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0" w:type="dxa"/>
            <w:bottom w:w="0" w:type="dxa"/>
            <w:right w:w="0" w:type="dxa"/>
          </w:tblCellMar>
        </w:tblPrEx>
        <w:trPr>
          <w:trHeight w:val="397" w:hRule="atLeast"/>
        </w:trPr>
        <w:tc>
          <w:tcPr>
            <w:tcW w:w="815"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111</w:t>
            </w:r>
          </w:p>
        </w:tc>
        <w:tc>
          <w:tcPr>
            <w:tcW w:w="1923"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s="宋体"/>
                <w:color w:val="000000"/>
                <w:kern w:val="0"/>
                <w:sz w:val="20"/>
                <w:szCs w:val="20"/>
              </w:rPr>
              <w:t>铊</w:t>
            </w:r>
          </w:p>
        </w:tc>
        <w:tc>
          <w:tcPr>
            <w:tcW w:w="949" w:type="dxa"/>
            <w:tcBorders>
              <w:tl2br w:val="nil"/>
              <w:tr2bl w:val="nil"/>
            </w:tcBorders>
            <w:shd w:val="clear" w:color="auto" w:fill="auto"/>
            <w:tcMar>
              <w:top w:w="15" w:type="dxa"/>
              <w:left w:w="15" w:type="dxa"/>
              <w:right w:w="15" w:type="dxa"/>
            </w:tcMar>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mg/l</w:t>
            </w:r>
          </w:p>
        </w:tc>
        <w:tc>
          <w:tcPr>
            <w:tcW w:w="1601"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0.000014</w:t>
            </w:r>
          </w:p>
        </w:tc>
        <w:tc>
          <w:tcPr>
            <w:tcW w:w="1854"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0.000010</w:t>
            </w:r>
          </w:p>
        </w:tc>
        <w:tc>
          <w:tcPr>
            <w:tcW w:w="1187" w:type="dxa"/>
            <w:tcBorders>
              <w:tl2br w:val="nil"/>
              <w:tr2bl w:val="nil"/>
            </w:tcBorders>
            <w:shd w:val="clear" w:color="auto" w:fill="auto"/>
            <w:vAlign w:val="center"/>
          </w:tcPr>
          <w:p>
            <w:pPr>
              <w:widowControl/>
              <w:autoSpaceDE w:val="0"/>
              <w:autoSpaceDN w:val="0"/>
              <w:adjustRightInd w:val="0"/>
              <w:snapToGrid w:val="0"/>
              <w:spacing w:line="240" w:lineRule="auto"/>
              <w:ind w:firstLine="0" w:firstLineChars="0"/>
              <w:jc w:val="center"/>
              <w:rPr>
                <w:color w:val="000000"/>
                <w:kern w:val="0"/>
                <w:sz w:val="20"/>
                <w:szCs w:val="20"/>
              </w:rPr>
            </w:pPr>
            <w:r>
              <w:rPr>
                <w:rFonts w:hint="eastAsia"/>
                <w:color w:val="000000"/>
                <w:kern w:val="0"/>
                <w:sz w:val="20"/>
                <w:szCs w:val="20"/>
              </w:rPr>
              <w:t>0.0001</w:t>
            </w:r>
          </w:p>
        </w:tc>
      </w:tr>
    </w:tbl>
    <w:p>
      <w:pPr>
        <w:spacing w:line="480" w:lineRule="exact"/>
      </w:pPr>
      <w:r>
        <w:rPr>
          <w:rFonts w:hint="eastAsia"/>
        </w:rPr>
        <w:t>根据监测及统计结果显示，铁山水库大坝断面各项水质指标均满足《地表水环境质量标准》GB3838-2002中Ⅱ类标准要求，金凤水库取水口断面除总氮</w:t>
      </w:r>
      <w:r>
        <w:rPr>
          <w:rFonts w:hint="eastAsia" w:hAnsi="宋体"/>
        </w:rPr>
        <w:t>超标外，</w:t>
      </w:r>
      <w:r>
        <w:rPr>
          <w:rFonts w:hint="eastAsia"/>
        </w:rPr>
        <w:t>其他各项水质指标均满足地表水环境质量标准GB3838-2002中Ⅱ类标准要求。</w:t>
      </w:r>
    </w:p>
    <w:p>
      <w:pPr>
        <w:pStyle w:val="5"/>
        <w:rPr>
          <w:color w:val="000000" w:themeColor="text1"/>
          <w:u w:val="single"/>
        </w:rPr>
      </w:pPr>
      <w:r>
        <w:rPr>
          <w:rFonts w:hint="eastAsia"/>
          <w:color w:val="000000" w:themeColor="text1"/>
          <w:u w:val="single"/>
        </w:rPr>
        <w:t>3.5.5</w:t>
      </w:r>
      <w:r>
        <w:rPr>
          <w:rFonts w:hint="eastAsia"/>
          <w:u w:val="single"/>
        </w:rPr>
        <w:t>富营养化分析</w:t>
      </w:r>
    </w:p>
    <w:p>
      <w:pPr>
        <w:rPr>
          <w:u w:val="single"/>
        </w:rPr>
      </w:pPr>
      <w:r>
        <w:rPr>
          <w:rFonts w:hint="eastAsia"/>
          <w:u w:val="single"/>
        </w:rPr>
        <w:t>湖泊（水库）富营养化状况评价指标：叶绿素a（chla）、总磷（TP）、总氮（TN）、透明度（SD）、高锰酸盐指数（CODMn）。</w:t>
      </w:r>
    </w:p>
    <w:p>
      <w:pPr>
        <w:rPr>
          <w:u w:val="single"/>
        </w:rPr>
      </w:pPr>
      <w:r>
        <w:rPr>
          <w:rFonts w:hint="eastAsia"/>
          <w:u w:val="single"/>
        </w:rPr>
        <w:t>湖泊（水库）富营养化状况评价方法：综合营养状态指数法。</w:t>
      </w:r>
    </w:p>
    <w:p>
      <w:pPr>
        <w:rPr>
          <w:u w:val="single"/>
        </w:rPr>
      </w:pPr>
      <w:r>
        <w:rPr>
          <w:rFonts w:hint="eastAsia"/>
          <w:u w:val="single"/>
        </w:rPr>
        <w:t>综合营养状态指数计算公式为：</w:t>
      </w:r>
    </w:p>
    <w:p>
      <w:pPr>
        <w:rPr>
          <w:u w:val="single"/>
        </w:rPr>
      </w:pPr>
      <w:r>
        <w:rPr>
          <w:rFonts w:hint="eastAsia"/>
          <w:u w:val="single"/>
        </w:rPr>
        <w:t>TLI（∑）=∑Wj·TLI（j）</w:t>
      </w:r>
    </w:p>
    <w:p>
      <w:pPr>
        <w:rPr>
          <w:u w:val="single"/>
        </w:rPr>
      </w:pPr>
      <w:r>
        <w:rPr>
          <w:rFonts w:hint="eastAsia"/>
          <w:u w:val="single"/>
        </w:rPr>
        <w:t>式中：TLI（∑）—综合营养状态指数；</w:t>
      </w:r>
    </w:p>
    <w:p>
      <w:pPr>
        <w:rPr>
          <w:u w:val="single"/>
        </w:rPr>
      </w:pPr>
      <w:r>
        <w:rPr>
          <w:rFonts w:hint="eastAsia"/>
          <w:u w:val="single"/>
        </w:rPr>
        <w:t>Wj—第j种参数的营养状态指数的相关权重；</w:t>
      </w:r>
    </w:p>
    <w:p>
      <w:pPr>
        <w:rPr>
          <w:u w:val="single"/>
        </w:rPr>
      </w:pPr>
      <w:r>
        <w:rPr>
          <w:rFonts w:hint="eastAsia"/>
          <w:u w:val="single"/>
        </w:rPr>
        <w:t>TLI（j）—代表第j种参数的营养状态指数。</w:t>
      </w:r>
    </w:p>
    <w:p>
      <w:pPr>
        <w:rPr>
          <w:u w:val="single"/>
        </w:rPr>
      </w:pPr>
      <w:r>
        <w:rPr>
          <w:rFonts w:hint="eastAsia"/>
          <w:u w:val="single"/>
        </w:rPr>
        <w:t>以chla作为基准参数，则第j种参数的归一化的相关权重计算公式为：</w:t>
      </w:r>
    </w:p>
    <w:p>
      <w:pPr>
        <w:jc w:val="center"/>
        <w:rPr>
          <w:u w:val="single"/>
        </w:rPr>
      </w:pPr>
      <w:r>
        <w:rPr>
          <w:rFonts w:hint="eastAsia" w:ascii="宋体" w:hAnsi="宋体" w:cs="宋体"/>
          <w:kern w:val="0"/>
          <w:position w:val="-62"/>
          <w:szCs w:val="28"/>
        </w:rPr>
        <w:object>
          <v:shape id="_x0000_i1025" o:spt="75" alt="" type="#_x0000_t75" style="height:79.5pt;width:86.25pt;" o:ole="t" filled="f" o:preferrelative="t" stroked="f" coordsize="21600,21600">
            <v:path/>
            <v:fill on="f" focussize="0,0"/>
            <v:stroke on="f"/>
            <v:imagedata r:id="rId37" o:title=""/>
            <o:lock v:ext="edit" aspectratio="t"/>
            <w10:wrap type="none"/>
            <w10:anchorlock/>
          </v:shape>
          <o:OLEObject Type="Embed" ProgID="Equations" ShapeID="_x0000_i1025" DrawAspect="Content" ObjectID="_1468075725" r:id="rId36">
            <o:LockedField>false</o:LockedField>
          </o:OLEObject>
        </w:object>
      </w:r>
    </w:p>
    <w:p>
      <w:pPr>
        <w:rPr>
          <w:u w:val="single"/>
        </w:rPr>
      </w:pPr>
      <w:r>
        <w:rPr>
          <w:rFonts w:hint="eastAsia"/>
          <w:u w:val="single"/>
        </w:rPr>
        <w:t>式中：rij—第j种参数与基准参数chla的相关系数；</w:t>
      </w:r>
    </w:p>
    <w:p>
      <w:pPr>
        <w:rPr>
          <w:u w:val="single"/>
        </w:rPr>
      </w:pPr>
      <w:r>
        <w:rPr>
          <w:rFonts w:hint="eastAsia"/>
          <w:u w:val="single"/>
        </w:rPr>
        <w:t>       m—评价参数的个数。</w:t>
      </w:r>
    </w:p>
    <w:p>
      <w:pPr>
        <w:rPr>
          <w:u w:val="single"/>
        </w:rPr>
      </w:pPr>
      <w:r>
        <w:rPr>
          <w:rFonts w:hint="eastAsia"/>
          <w:u w:val="single"/>
        </w:rPr>
        <w:t>中国湖泊（水库）的chla与其它参数之间的相关关系rij及rij2见下表。</w:t>
      </w:r>
    </w:p>
    <w:p>
      <w:pPr>
        <w:widowControl/>
        <w:adjustRightInd w:val="0"/>
        <w:snapToGrid w:val="0"/>
        <w:ind w:firstLine="422"/>
        <w:jc w:val="center"/>
        <w:rPr>
          <w:b/>
          <w:kern w:val="0"/>
          <w:sz w:val="21"/>
          <w:szCs w:val="21"/>
          <w:u w:val="single"/>
        </w:rPr>
      </w:pPr>
      <w:r>
        <w:rPr>
          <w:rFonts w:hint="eastAsia" w:cs="宋体"/>
          <w:b/>
          <w:kern w:val="0"/>
          <w:sz w:val="21"/>
          <w:szCs w:val="21"/>
          <w:u w:val="single"/>
        </w:rPr>
        <w:t>表</w:t>
      </w:r>
      <w:r>
        <w:rPr>
          <w:rFonts w:hint="eastAsia"/>
          <w:b/>
          <w:kern w:val="0"/>
          <w:sz w:val="21"/>
          <w:szCs w:val="21"/>
          <w:u w:val="single"/>
        </w:rPr>
        <w:t>3-8</w:t>
      </w:r>
      <w:r>
        <w:rPr>
          <w:rFonts w:hint="eastAsia" w:cs="宋体"/>
          <w:b/>
          <w:kern w:val="0"/>
          <w:sz w:val="21"/>
          <w:szCs w:val="21"/>
          <w:u w:val="single"/>
        </w:rPr>
        <w:t>各参数的</w:t>
      </w:r>
      <w:r>
        <w:rPr>
          <w:b/>
          <w:kern w:val="0"/>
          <w:sz w:val="21"/>
          <w:szCs w:val="21"/>
          <w:u w:val="single"/>
        </w:rPr>
        <w:t>rij</w:t>
      </w:r>
      <w:r>
        <w:rPr>
          <w:rFonts w:hint="eastAsia" w:cs="宋体"/>
          <w:b/>
          <w:kern w:val="0"/>
          <w:sz w:val="21"/>
          <w:szCs w:val="21"/>
          <w:u w:val="single"/>
        </w:rPr>
        <w:t>及</w:t>
      </w:r>
      <w:r>
        <w:rPr>
          <w:b/>
          <w:kern w:val="0"/>
          <w:sz w:val="21"/>
          <w:szCs w:val="21"/>
          <w:u w:val="single"/>
        </w:rPr>
        <w:t>rij</w:t>
      </w:r>
      <w:r>
        <w:rPr>
          <w:b/>
          <w:kern w:val="0"/>
          <w:sz w:val="21"/>
          <w:szCs w:val="21"/>
          <w:u w:val="single"/>
          <w:vertAlign w:val="superscript"/>
        </w:rPr>
        <w:t>2</w:t>
      </w:r>
      <w:r>
        <w:rPr>
          <w:rFonts w:hint="eastAsia" w:cs="宋体"/>
          <w:b/>
          <w:kern w:val="0"/>
          <w:sz w:val="21"/>
          <w:szCs w:val="21"/>
          <w:u w:val="single"/>
        </w:rPr>
        <w:t>值</w:t>
      </w:r>
    </w:p>
    <w:tbl>
      <w:tblPr>
        <w:tblStyle w:val="47"/>
        <w:tblW w:w="8290"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10"/>
        <w:gridCol w:w="1376"/>
        <w:gridCol w:w="1376"/>
        <w:gridCol w:w="1376"/>
        <w:gridCol w:w="1376"/>
        <w:gridCol w:w="13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37" w:hRule="atLeast"/>
          <w:jc w:val="center"/>
        </w:trPr>
        <w:tc>
          <w:tcPr>
            <w:tcW w:w="141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65"/>
              <w:rPr>
                <w:u w:val="single"/>
              </w:rPr>
            </w:pPr>
            <w:r>
              <w:rPr>
                <w:rFonts w:hint="eastAsia"/>
                <w:u w:val="single"/>
              </w:rPr>
              <w:t>参数</w:t>
            </w:r>
          </w:p>
        </w:tc>
        <w:tc>
          <w:tcPr>
            <w:tcW w:w="1376" w:type="dxa"/>
            <w:tcBorders>
              <w:top w:val="single" w:color="auto" w:sz="4" w:space="0"/>
              <w:left w:val="single" w:color="auto" w:sz="4" w:space="0"/>
              <w:bottom w:val="single" w:color="auto" w:sz="4" w:space="0"/>
              <w:right w:val="single" w:color="auto" w:sz="4" w:space="0"/>
            </w:tcBorders>
            <w:shd w:val="clear" w:color="auto" w:fill="auto"/>
            <w:vAlign w:val="center"/>
          </w:tcPr>
          <w:p>
            <w:pPr>
              <w:pStyle w:val="65"/>
              <w:rPr>
                <w:u w:val="single"/>
              </w:rPr>
            </w:pPr>
            <w:r>
              <w:rPr>
                <w:rFonts w:hint="eastAsia"/>
                <w:u w:val="single"/>
              </w:rPr>
              <w:t>chla</w:t>
            </w:r>
          </w:p>
        </w:tc>
        <w:tc>
          <w:tcPr>
            <w:tcW w:w="1376" w:type="dxa"/>
            <w:tcBorders>
              <w:top w:val="single" w:color="auto" w:sz="4" w:space="0"/>
              <w:left w:val="single" w:color="auto" w:sz="4" w:space="0"/>
              <w:bottom w:val="single" w:color="auto" w:sz="4" w:space="0"/>
              <w:right w:val="single" w:color="auto" w:sz="4" w:space="0"/>
            </w:tcBorders>
            <w:shd w:val="clear" w:color="auto" w:fill="auto"/>
            <w:vAlign w:val="center"/>
          </w:tcPr>
          <w:p>
            <w:pPr>
              <w:pStyle w:val="65"/>
              <w:rPr>
                <w:u w:val="single"/>
              </w:rPr>
            </w:pPr>
            <w:r>
              <w:rPr>
                <w:rFonts w:hint="eastAsia"/>
                <w:u w:val="single"/>
              </w:rPr>
              <w:t>TP</w:t>
            </w:r>
          </w:p>
        </w:tc>
        <w:tc>
          <w:tcPr>
            <w:tcW w:w="1376" w:type="dxa"/>
            <w:tcBorders>
              <w:top w:val="single" w:color="auto" w:sz="4" w:space="0"/>
              <w:left w:val="single" w:color="auto" w:sz="4" w:space="0"/>
              <w:bottom w:val="single" w:color="auto" w:sz="4" w:space="0"/>
              <w:right w:val="single" w:color="auto" w:sz="4" w:space="0"/>
            </w:tcBorders>
            <w:shd w:val="clear" w:color="auto" w:fill="auto"/>
            <w:vAlign w:val="center"/>
          </w:tcPr>
          <w:p>
            <w:pPr>
              <w:pStyle w:val="65"/>
              <w:rPr>
                <w:u w:val="single"/>
              </w:rPr>
            </w:pPr>
            <w:r>
              <w:rPr>
                <w:rFonts w:hint="eastAsia"/>
                <w:u w:val="single"/>
              </w:rPr>
              <w:t>TN</w:t>
            </w:r>
          </w:p>
        </w:tc>
        <w:tc>
          <w:tcPr>
            <w:tcW w:w="1376" w:type="dxa"/>
            <w:tcBorders>
              <w:top w:val="single" w:color="auto" w:sz="4" w:space="0"/>
              <w:left w:val="single" w:color="auto" w:sz="4" w:space="0"/>
              <w:bottom w:val="single" w:color="auto" w:sz="4" w:space="0"/>
              <w:right w:val="single" w:color="auto" w:sz="4" w:space="0"/>
            </w:tcBorders>
            <w:shd w:val="clear" w:color="auto" w:fill="auto"/>
            <w:vAlign w:val="center"/>
          </w:tcPr>
          <w:p>
            <w:pPr>
              <w:pStyle w:val="65"/>
              <w:rPr>
                <w:u w:val="single"/>
              </w:rPr>
            </w:pPr>
            <w:r>
              <w:rPr>
                <w:rFonts w:hint="eastAsia"/>
                <w:u w:val="single"/>
              </w:rPr>
              <w:t>SD</w:t>
            </w:r>
          </w:p>
        </w:tc>
        <w:tc>
          <w:tcPr>
            <w:tcW w:w="1376" w:type="dxa"/>
            <w:tcBorders>
              <w:top w:val="single" w:color="auto" w:sz="4" w:space="0"/>
              <w:left w:val="single" w:color="auto" w:sz="4" w:space="0"/>
              <w:bottom w:val="single" w:color="auto" w:sz="4" w:space="0"/>
              <w:right w:val="single" w:color="auto" w:sz="4" w:space="0"/>
            </w:tcBorders>
            <w:shd w:val="clear" w:color="auto" w:fill="auto"/>
            <w:vAlign w:val="center"/>
          </w:tcPr>
          <w:p>
            <w:pPr>
              <w:pStyle w:val="65"/>
              <w:rPr>
                <w:u w:val="single"/>
              </w:rPr>
            </w:pPr>
            <w:r>
              <w:rPr>
                <w:rFonts w:hint="eastAsia"/>
                <w:u w:val="single"/>
              </w:rPr>
              <w:t>CODMn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15" w:hRule="atLeast"/>
          <w:jc w:val="center"/>
        </w:trPr>
        <w:tc>
          <w:tcPr>
            <w:tcW w:w="141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65"/>
              <w:rPr>
                <w:u w:val="single"/>
              </w:rPr>
            </w:pPr>
            <w:r>
              <w:rPr>
                <w:rFonts w:hint="eastAsia"/>
                <w:u w:val="single"/>
              </w:rPr>
              <w:t>rij</w:t>
            </w:r>
          </w:p>
        </w:tc>
        <w:tc>
          <w:tcPr>
            <w:tcW w:w="1376" w:type="dxa"/>
            <w:tcBorders>
              <w:top w:val="single" w:color="auto" w:sz="4" w:space="0"/>
              <w:left w:val="single" w:color="auto" w:sz="4" w:space="0"/>
              <w:bottom w:val="single" w:color="auto" w:sz="4" w:space="0"/>
              <w:right w:val="single" w:color="auto" w:sz="4" w:space="0"/>
            </w:tcBorders>
            <w:shd w:val="clear" w:color="auto" w:fill="auto"/>
            <w:vAlign w:val="center"/>
          </w:tcPr>
          <w:p>
            <w:pPr>
              <w:pStyle w:val="65"/>
              <w:rPr>
                <w:u w:val="single"/>
              </w:rPr>
            </w:pPr>
            <w:r>
              <w:rPr>
                <w:rFonts w:hint="eastAsia"/>
                <w:u w:val="single"/>
              </w:rPr>
              <w:t>1</w:t>
            </w:r>
          </w:p>
        </w:tc>
        <w:tc>
          <w:tcPr>
            <w:tcW w:w="1376" w:type="dxa"/>
            <w:tcBorders>
              <w:top w:val="single" w:color="auto" w:sz="4" w:space="0"/>
              <w:left w:val="single" w:color="auto" w:sz="4" w:space="0"/>
              <w:bottom w:val="single" w:color="auto" w:sz="4" w:space="0"/>
              <w:right w:val="single" w:color="auto" w:sz="4" w:space="0"/>
            </w:tcBorders>
            <w:shd w:val="clear" w:color="auto" w:fill="auto"/>
            <w:vAlign w:val="center"/>
          </w:tcPr>
          <w:p>
            <w:pPr>
              <w:pStyle w:val="65"/>
              <w:rPr>
                <w:u w:val="single"/>
              </w:rPr>
            </w:pPr>
            <w:r>
              <w:rPr>
                <w:rFonts w:hint="eastAsia"/>
                <w:u w:val="single"/>
              </w:rPr>
              <w:t>0.84</w:t>
            </w:r>
          </w:p>
        </w:tc>
        <w:tc>
          <w:tcPr>
            <w:tcW w:w="1376" w:type="dxa"/>
            <w:tcBorders>
              <w:top w:val="single" w:color="auto" w:sz="4" w:space="0"/>
              <w:left w:val="single" w:color="auto" w:sz="4" w:space="0"/>
              <w:bottom w:val="single" w:color="auto" w:sz="4" w:space="0"/>
              <w:right w:val="single" w:color="auto" w:sz="4" w:space="0"/>
            </w:tcBorders>
            <w:shd w:val="clear" w:color="auto" w:fill="auto"/>
            <w:vAlign w:val="center"/>
          </w:tcPr>
          <w:p>
            <w:pPr>
              <w:pStyle w:val="65"/>
              <w:rPr>
                <w:u w:val="single"/>
              </w:rPr>
            </w:pPr>
            <w:r>
              <w:rPr>
                <w:rFonts w:hint="eastAsia"/>
                <w:u w:val="single"/>
              </w:rPr>
              <w:t>0.82</w:t>
            </w:r>
          </w:p>
        </w:tc>
        <w:tc>
          <w:tcPr>
            <w:tcW w:w="1376" w:type="dxa"/>
            <w:tcBorders>
              <w:top w:val="single" w:color="auto" w:sz="4" w:space="0"/>
              <w:left w:val="single" w:color="auto" w:sz="4" w:space="0"/>
              <w:bottom w:val="single" w:color="auto" w:sz="4" w:space="0"/>
              <w:right w:val="single" w:color="auto" w:sz="4" w:space="0"/>
            </w:tcBorders>
            <w:shd w:val="clear" w:color="auto" w:fill="auto"/>
            <w:vAlign w:val="center"/>
          </w:tcPr>
          <w:p>
            <w:pPr>
              <w:pStyle w:val="65"/>
              <w:rPr>
                <w:u w:val="single"/>
              </w:rPr>
            </w:pPr>
            <w:r>
              <w:rPr>
                <w:rFonts w:hint="eastAsia"/>
                <w:u w:val="single"/>
              </w:rPr>
              <w:t>-0.83</w:t>
            </w:r>
          </w:p>
        </w:tc>
        <w:tc>
          <w:tcPr>
            <w:tcW w:w="1376" w:type="dxa"/>
            <w:tcBorders>
              <w:top w:val="single" w:color="auto" w:sz="4" w:space="0"/>
              <w:left w:val="single" w:color="auto" w:sz="4" w:space="0"/>
              <w:bottom w:val="single" w:color="auto" w:sz="4" w:space="0"/>
              <w:right w:val="single" w:color="auto" w:sz="4" w:space="0"/>
            </w:tcBorders>
            <w:shd w:val="clear" w:color="auto" w:fill="auto"/>
            <w:vAlign w:val="center"/>
          </w:tcPr>
          <w:p>
            <w:pPr>
              <w:pStyle w:val="65"/>
              <w:rPr>
                <w:u w:val="single"/>
              </w:rPr>
            </w:pPr>
            <w:r>
              <w:rPr>
                <w:rFonts w:hint="eastAsia"/>
                <w:u w:val="single"/>
              </w:rPr>
              <w:t>0.83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21" w:hRule="atLeast"/>
          <w:jc w:val="center"/>
        </w:trPr>
        <w:tc>
          <w:tcPr>
            <w:tcW w:w="141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65"/>
              <w:rPr>
                <w:u w:val="single"/>
              </w:rPr>
            </w:pPr>
            <w:r>
              <w:rPr>
                <w:rFonts w:hint="eastAsia"/>
                <w:u w:val="single"/>
              </w:rPr>
              <w:t>rij2</w:t>
            </w:r>
          </w:p>
        </w:tc>
        <w:tc>
          <w:tcPr>
            <w:tcW w:w="1376" w:type="dxa"/>
            <w:tcBorders>
              <w:top w:val="single" w:color="auto" w:sz="4" w:space="0"/>
              <w:left w:val="single" w:color="auto" w:sz="4" w:space="0"/>
              <w:bottom w:val="single" w:color="auto" w:sz="4" w:space="0"/>
              <w:right w:val="single" w:color="auto" w:sz="4" w:space="0"/>
            </w:tcBorders>
            <w:shd w:val="clear" w:color="auto" w:fill="auto"/>
            <w:vAlign w:val="center"/>
          </w:tcPr>
          <w:p>
            <w:pPr>
              <w:pStyle w:val="65"/>
              <w:rPr>
                <w:u w:val="single"/>
              </w:rPr>
            </w:pPr>
            <w:r>
              <w:rPr>
                <w:rFonts w:hint="eastAsia"/>
                <w:u w:val="single"/>
              </w:rPr>
              <w:t>1</w:t>
            </w:r>
          </w:p>
        </w:tc>
        <w:tc>
          <w:tcPr>
            <w:tcW w:w="1376" w:type="dxa"/>
            <w:tcBorders>
              <w:top w:val="single" w:color="auto" w:sz="4" w:space="0"/>
              <w:left w:val="single" w:color="auto" w:sz="4" w:space="0"/>
              <w:bottom w:val="single" w:color="auto" w:sz="4" w:space="0"/>
              <w:right w:val="single" w:color="auto" w:sz="4" w:space="0"/>
            </w:tcBorders>
            <w:shd w:val="clear" w:color="auto" w:fill="auto"/>
            <w:vAlign w:val="center"/>
          </w:tcPr>
          <w:p>
            <w:pPr>
              <w:pStyle w:val="65"/>
              <w:rPr>
                <w:u w:val="single"/>
              </w:rPr>
            </w:pPr>
            <w:r>
              <w:rPr>
                <w:rFonts w:hint="eastAsia"/>
                <w:u w:val="single"/>
              </w:rPr>
              <w:t>0.7056</w:t>
            </w:r>
          </w:p>
        </w:tc>
        <w:tc>
          <w:tcPr>
            <w:tcW w:w="1376" w:type="dxa"/>
            <w:tcBorders>
              <w:top w:val="single" w:color="auto" w:sz="4" w:space="0"/>
              <w:left w:val="single" w:color="auto" w:sz="4" w:space="0"/>
              <w:bottom w:val="single" w:color="auto" w:sz="4" w:space="0"/>
              <w:right w:val="single" w:color="auto" w:sz="4" w:space="0"/>
            </w:tcBorders>
            <w:shd w:val="clear" w:color="auto" w:fill="auto"/>
            <w:vAlign w:val="center"/>
          </w:tcPr>
          <w:p>
            <w:pPr>
              <w:pStyle w:val="65"/>
              <w:rPr>
                <w:u w:val="single"/>
              </w:rPr>
            </w:pPr>
            <w:r>
              <w:rPr>
                <w:rFonts w:hint="eastAsia"/>
                <w:u w:val="single"/>
              </w:rPr>
              <w:t>0.6724</w:t>
            </w:r>
          </w:p>
        </w:tc>
        <w:tc>
          <w:tcPr>
            <w:tcW w:w="1376" w:type="dxa"/>
            <w:tcBorders>
              <w:top w:val="single" w:color="auto" w:sz="4" w:space="0"/>
              <w:left w:val="single" w:color="auto" w:sz="4" w:space="0"/>
              <w:bottom w:val="single" w:color="auto" w:sz="4" w:space="0"/>
              <w:right w:val="single" w:color="auto" w:sz="4" w:space="0"/>
            </w:tcBorders>
            <w:shd w:val="clear" w:color="auto" w:fill="auto"/>
            <w:vAlign w:val="center"/>
          </w:tcPr>
          <w:p>
            <w:pPr>
              <w:pStyle w:val="65"/>
              <w:rPr>
                <w:u w:val="single"/>
              </w:rPr>
            </w:pPr>
            <w:r>
              <w:rPr>
                <w:rFonts w:hint="eastAsia"/>
                <w:u w:val="single"/>
              </w:rPr>
              <w:t>-0.6889</w:t>
            </w:r>
          </w:p>
        </w:tc>
        <w:tc>
          <w:tcPr>
            <w:tcW w:w="1376" w:type="dxa"/>
            <w:tcBorders>
              <w:top w:val="single" w:color="auto" w:sz="4" w:space="0"/>
              <w:left w:val="single" w:color="auto" w:sz="4" w:space="0"/>
              <w:bottom w:val="single" w:color="auto" w:sz="4" w:space="0"/>
              <w:right w:val="single" w:color="auto" w:sz="4" w:space="0"/>
            </w:tcBorders>
            <w:shd w:val="clear" w:color="auto" w:fill="auto"/>
            <w:vAlign w:val="center"/>
          </w:tcPr>
          <w:p>
            <w:pPr>
              <w:pStyle w:val="65"/>
              <w:rPr>
                <w:u w:val="single"/>
              </w:rPr>
            </w:pPr>
            <w:r>
              <w:rPr>
                <w:rFonts w:hint="eastAsia"/>
                <w:u w:val="single"/>
              </w:rPr>
              <w:t>0.6889</w:t>
            </w:r>
          </w:p>
        </w:tc>
      </w:tr>
    </w:tbl>
    <w:p>
      <w:pPr>
        <w:rPr>
          <w:u w:val="single"/>
        </w:rPr>
      </w:pPr>
      <w:r>
        <w:rPr>
          <w:rFonts w:hint="eastAsia"/>
          <w:u w:val="single"/>
        </w:rPr>
        <w:t>营养状态指数计算公式为：</w:t>
      </w:r>
    </w:p>
    <w:p>
      <w:pPr>
        <w:rPr>
          <w:u w:val="single"/>
        </w:rPr>
      </w:pPr>
      <w:r>
        <w:rPr>
          <w:rFonts w:hint="eastAsia"/>
          <w:u w:val="single"/>
        </w:rPr>
        <w:t>（1） TLI（chla）=10（2.5+1.086lnchla）</w:t>
      </w:r>
    </w:p>
    <w:p>
      <w:pPr>
        <w:rPr>
          <w:u w:val="single"/>
        </w:rPr>
      </w:pPr>
      <w:r>
        <w:rPr>
          <w:rFonts w:hint="eastAsia"/>
          <w:u w:val="single"/>
        </w:rPr>
        <w:t>（2） TLI（TP）=10（9.436+1.624lnTP）</w:t>
      </w:r>
    </w:p>
    <w:p>
      <w:pPr>
        <w:rPr>
          <w:u w:val="single"/>
        </w:rPr>
      </w:pPr>
      <w:r>
        <w:rPr>
          <w:rFonts w:hint="eastAsia"/>
          <w:u w:val="single"/>
        </w:rPr>
        <w:t>（3） TLI（TN）=10（5.453+1.694lnTN）</w:t>
      </w:r>
    </w:p>
    <w:p>
      <w:pPr>
        <w:rPr>
          <w:u w:val="single"/>
        </w:rPr>
      </w:pPr>
      <w:r>
        <w:rPr>
          <w:rFonts w:hint="eastAsia"/>
          <w:u w:val="single"/>
        </w:rPr>
        <w:t>（4） TLI（SD）=10（5.118-1.94lnSD）</w:t>
      </w:r>
    </w:p>
    <w:p>
      <w:pPr>
        <w:rPr>
          <w:u w:val="single"/>
        </w:rPr>
      </w:pPr>
      <w:r>
        <w:rPr>
          <w:rFonts w:hint="eastAsia"/>
          <w:u w:val="single"/>
        </w:rPr>
        <w:t>（5） TLI（CODMn）=10（0.109+2.661lnCOD）</w:t>
      </w:r>
    </w:p>
    <w:p>
      <w:pPr>
        <w:rPr>
          <w:u w:val="single"/>
        </w:rPr>
      </w:pPr>
      <w:r>
        <w:rPr>
          <w:rFonts w:hint="eastAsia"/>
          <w:u w:val="single"/>
        </w:rPr>
        <w:t>式中：叶绿素a（chla）单位为mg/m3，透明度SD单位为m；其它指标单位均为mg/L。</w:t>
      </w:r>
    </w:p>
    <w:p>
      <w:pPr>
        <w:rPr>
          <w:rFonts w:ascii="宋体" w:hAnsi="宋体" w:cs="宋体"/>
          <w:szCs w:val="32"/>
          <w:u w:val="single"/>
        </w:rPr>
      </w:pPr>
      <w:r>
        <w:rPr>
          <w:rFonts w:hint="eastAsia"/>
          <w:u w:val="single"/>
        </w:rPr>
        <w:t>湖泊（水库）营养状态分级：采用0～100的一系列连续数字对湖泊营养状态进行分级，包括：贫营养、中营养、富营养、轻度富营养、中度富营养和重度富营养，与污染程度关系如下表。</w:t>
      </w:r>
    </w:p>
    <w:p>
      <w:pPr>
        <w:widowControl/>
        <w:adjustRightInd w:val="0"/>
        <w:snapToGrid w:val="0"/>
        <w:ind w:firstLine="422"/>
        <w:jc w:val="center"/>
        <w:rPr>
          <w:b/>
          <w:kern w:val="0"/>
          <w:sz w:val="21"/>
          <w:szCs w:val="21"/>
          <w:u w:val="single"/>
        </w:rPr>
      </w:pPr>
      <w:bookmarkStart w:id="304" w:name="_Toc463625311"/>
      <w:r>
        <w:rPr>
          <w:rFonts w:hint="eastAsia" w:cs="宋体"/>
          <w:b/>
          <w:kern w:val="0"/>
          <w:sz w:val="21"/>
          <w:szCs w:val="21"/>
          <w:u w:val="single"/>
        </w:rPr>
        <w:t>表</w:t>
      </w:r>
      <w:r>
        <w:rPr>
          <w:rFonts w:hint="eastAsia"/>
          <w:b/>
          <w:kern w:val="0"/>
          <w:sz w:val="21"/>
          <w:szCs w:val="21"/>
          <w:u w:val="single"/>
        </w:rPr>
        <w:t>3-9</w:t>
      </w:r>
      <w:r>
        <w:rPr>
          <w:rFonts w:hint="eastAsia" w:ascii="宋体" w:hAnsi="宋体" w:cs="宋体"/>
          <w:b/>
          <w:kern w:val="0"/>
          <w:sz w:val="21"/>
          <w:szCs w:val="21"/>
          <w:u w:val="single"/>
        </w:rPr>
        <w:t>水质类别与评分值对应表</w:t>
      </w:r>
      <w:bookmarkEnd w:id="304"/>
    </w:p>
    <w:tbl>
      <w:tblPr>
        <w:tblStyle w:val="47"/>
        <w:tblW w:w="8295"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51"/>
        <w:gridCol w:w="3500"/>
        <w:gridCol w:w="234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03" w:hRule="atLeast"/>
          <w:jc w:val="center"/>
        </w:trPr>
        <w:tc>
          <w:tcPr>
            <w:tcW w:w="2451" w:type="dxa"/>
            <w:tcBorders>
              <w:top w:val="single" w:color="auto" w:sz="4" w:space="0"/>
              <w:left w:val="single" w:color="auto" w:sz="4" w:space="0"/>
              <w:bottom w:val="single" w:color="auto" w:sz="4" w:space="0"/>
              <w:right w:val="single" w:color="auto" w:sz="4" w:space="0"/>
            </w:tcBorders>
            <w:shd w:val="clear" w:color="auto" w:fill="auto"/>
            <w:vAlign w:val="center"/>
          </w:tcPr>
          <w:p>
            <w:pPr>
              <w:pStyle w:val="65"/>
              <w:rPr>
                <w:u w:val="single"/>
              </w:rPr>
            </w:pPr>
            <w:r>
              <w:rPr>
                <w:rFonts w:hint="eastAsia"/>
                <w:u w:val="single"/>
              </w:rPr>
              <w:t>营养状态分级</w:t>
            </w:r>
          </w:p>
        </w:tc>
        <w:tc>
          <w:tcPr>
            <w:tcW w:w="350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65"/>
              <w:rPr>
                <w:u w:val="single"/>
              </w:rPr>
            </w:pPr>
            <w:r>
              <w:rPr>
                <w:rFonts w:hint="eastAsia"/>
                <w:u w:val="single"/>
              </w:rPr>
              <w:t>评分值TLI（∑）</w:t>
            </w:r>
          </w:p>
        </w:tc>
        <w:tc>
          <w:tcPr>
            <w:tcW w:w="2344" w:type="dxa"/>
            <w:tcBorders>
              <w:top w:val="single" w:color="auto" w:sz="4" w:space="0"/>
              <w:left w:val="single" w:color="auto" w:sz="4" w:space="0"/>
              <w:bottom w:val="single" w:color="auto" w:sz="4" w:space="0"/>
              <w:right w:val="single" w:color="auto" w:sz="4" w:space="0"/>
            </w:tcBorders>
            <w:shd w:val="clear" w:color="auto" w:fill="auto"/>
            <w:vAlign w:val="center"/>
          </w:tcPr>
          <w:p>
            <w:pPr>
              <w:pStyle w:val="65"/>
              <w:rPr>
                <w:u w:val="single"/>
              </w:rPr>
            </w:pPr>
            <w:r>
              <w:rPr>
                <w:rFonts w:hint="eastAsia"/>
                <w:u w:val="single"/>
              </w:rPr>
              <w:t>定性评价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3" w:hRule="atLeast"/>
          <w:jc w:val="center"/>
        </w:trPr>
        <w:tc>
          <w:tcPr>
            <w:tcW w:w="2451" w:type="dxa"/>
            <w:tcBorders>
              <w:top w:val="single" w:color="auto" w:sz="4" w:space="0"/>
              <w:left w:val="single" w:color="auto" w:sz="4" w:space="0"/>
              <w:bottom w:val="single" w:color="auto" w:sz="4" w:space="0"/>
              <w:right w:val="single" w:color="auto" w:sz="4" w:space="0"/>
            </w:tcBorders>
            <w:shd w:val="clear" w:color="auto" w:fill="auto"/>
            <w:vAlign w:val="center"/>
          </w:tcPr>
          <w:p>
            <w:pPr>
              <w:pStyle w:val="65"/>
              <w:rPr>
                <w:u w:val="single"/>
              </w:rPr>
            </w:pPr>
            <w:r>
              <w:rPr>
                <w:rFonts w:hint="eastAsia"/>
                <w:u w:val="single"/>
              </w:rPr>
              <w:t>贫营养</w:t>
            </w:r>
          </w:p>
        </w:tc>
        <w:tc>
          <w:tcPr>
            <w:tcW w:w="350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65"/>
              <w:rPr>
                <w:u w:val="single"/>
              </w:rPr>
            </w:pPr>
            <w:r>
              <w:rPr>
                <w:rFonts w:hint="eastAsia"/>
                <w:u w:val="single"/>
              </w:rPr>
              <w:t>0＜TLI（∑）≤30</w:t>
            </w:r>
          </w:p>
        </w:tc>
        <w:tc>
          <w:tcPr>
            <w:tcW w:w="2344" w:type="dxa"/>
            <w:tcBorders>
              <w:top w:val="single" w:color="auto" w:sz="4" w:space="0"/>
              <w:left w:val="single" w:color="auto" w:sz="4" w:space="0"/>
              <w:bottom w:val="single" w:color="auto" w:sz="4" w:space="0"/>
              <w:right w:val="single" w:color="auto" w:sz="4" w:space="0"/>
            </w:tcBorders>
            <w:shd w:val="clear" w:color="auto" w:fill="auto"/>
            <w:vAlign w:val="center"/>
          </w:tcPr>
          <w:p>
            <w:pPr>
              <w:pStyle w:val="65"/>
              <w:rPr>
                <w:u w:val="single"/>
              </w:rPr>
            </w:pPr>
            <w:r>
              <w:rPr>
                <w:rFonts w:hint="eastAsia"/>
                <w:u w:val="single"/>
              </w:rPr>
              <w:t>优</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18" w:hRule="atLeast"/>
          <w:jc w:val="center"/>
        </w:trPr>
        <w:tc>
          <w:tcPr>
            <w:tcW w:w="2451" w:type="dxa"/>
            <w:tcBorders>
              <w:top w:val="single" w:color="auto" w:sz="4" w:space="0"/>
              <w:left w:val="single" w:color="auto" w:sz="4" w:space="0"/>
              <w:bottom w:val="single" w:color="auto" w:sz="4" w:space="0"/>
              <w:right w:val="single" w:color="auto" w:sz="4" w:space="0"/>
            </w:tcBorders>
            <w:shd w:val="clear" w:color="auto" w:fill="auto"/>
            <w:vAlign w:val="center"/>
          </w:tcPr>
          <w:p>
            <w:pPr>
              <w:pStyle w:val="65"/>
              <w:rPr>
                <w:u w:val="single"/>
              </w:rPr>
            </w:pPr>
            <w:r>
              <w:rPr>
                <w:rFonts w:hint="eastAsia"/>
                <w:u w:val="single"/>
              </w:rPr>
              <w:t>中营养</w:t>
            </w:r>
          </w:p>
        </w:tc>
        <w:tc>
          <w:tcPr>
            <w:tcW w:w="350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65"/>
              <w:rPr>
                <w:u w:val="single"/>
              </w:rPr>
            </w:pPr>
            <w:r>
              <w:rPr>
                <w:rFonts w:hint="eastAsia"/>
                <w:u w:val="single"/>
              </w:rPr>
              <w:t>30＜TLI（∑）≤50</w:t>
            </w:r>
          </w:p>
        </w:tc>
        <w:tc>
          <w:tcPr>
            <w:tcW w:w="2344" w:type="dxa"/>
            <w:tcBorders>
              <w:top w:val="single" w:color="auto" w:sz="4" w:space="0"/>
              <w:left w:val="single" w:color="auto" w:sz="4" w:space="0"/>
              <w:bottom w:val="single" w:color="auto" w:sz="4" w:space="0"/>
              <w:right w:val="single" w:color="auto" w:sz="4" w:space="0"/>
            </w:tcBorders>
            <w:shd w:val="clear" w:color="auto" w:fill="auto"/>
            <w:vAlign w:val="center"/>
          </w:tcPr>
          <w:p>
            <w:pPr>
              <w:pStyle w:val="65"/>
              <w:rPr>
                <w:u w:val="single"/>
              </w:rPr>
            </w:pPr>
            <w:r>
              <w:rPr>
                <w:rFonts w:hint="eastAsia"/>
                <w:u w:val="single"/>
              </w:rPr>
              <w:t>良好</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11" w:hRule="atLeast"/>
          <w:jc w:val="center"/>
        </w:trPr>
        <w:tc>
          <w:tcPr>
            <w:tcW w:w="2451" w:type="dxa"/>
            <w:tcBorders>
              <w:top w:val="single" w:color="auto" w:sz="4" w:space="0"/>
              <w:left w:val="single" w:color="auto" w:sz="4" w:space="0"/>
              <w:bottom w:val="single" w:color="auto" w:sz="4" w:space="0"/>
              <w:right w:val="single" w:color="auto" w:sz="4" w:space="0"/>
            </w:tcBorders>
            <w:shd w:val="clear" w:color="auto" w:fill="auto"/>
            <w:vAlign w:val="center"/>
          </w:tcPr>
          <w:p>
            <w:pPr>
              <w:pStyle w:val="65"/>
              <w:rPr>
                <w:u w:val="single"/>
              </w:rPr>
            </w:pPr>
            <w:r>
              <w:rPr>
                <w:rFonts w:hint="eastAsia"/>
                <w:u w:val="single"/>
              </w:rPr>
              <w:t>（轻度）富营养</w:t>
            </w:r>
          </w:p>
        </w:tc>
        <w:tc>
          <w:tcPr>
            <w:tcW w:w="350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65"/>
              <w:rPr>
                <w:u w:val="single"/>
              </w:rPr>
            </w:pPr>
            <w:r>
              <w:rPr>
                <w:rFonts w:hint="eastAsia"/>
                <w:u w:val="single"/>
              </w:rPr>
              <w:t>50＜TLI（∑）≤60</w:t>
            </w:r>
          </w:p>
        </w:tc>
        <w:tc>
          <w:tcPr>
            <w:tcW w:w="2344" w:type="dxa"/>
            <w:tcBorders>
              <w:top w:val="single" w:color="auto" w:sz="4" w:space="0"/>
              <w:left w:val="single" w:color="auto" w:sz="4" w:space="0"/>
              <w:bottom w:val="single" w:color="auto" w:sz="4" w:space="0"/>
              <w:right w:val="single" w:color="auto" w:sz="4" w:space="0"/>
            </w:tcBorders>
            <w:shd w:val="clear" w:color="auto" w:fill="auto"/>
            <w:vAlign w:val="center"/>
          </w:tcPr>
          <w:p>
            <w:pPr>
              <w:pStyle w:val="65"/>
              <w:rPr>
                <w:u w:val="single"/>
              </w:rPr>
            </w:pPr>
            <w:r>
              <w:rPr>
                <w:rFonts w:hint="eastAsia"/>
                <w:u w:val="single"/>
              </w:rPr>
              <w:t>轻度污染</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17" w:hRule="atLeast"/>
          <w:jc w:val="center"/>
        </w:trPr>
        <w:tc>
          <w:tcPr>
            <w:tcW w:w="2451" w:type="dxa"/>
            <w:tcBorders>
              <w:top w:val="single" w:color="auto" w:sz="4" w:space="0"/>
              <w:left w:val="single" w:color="auto" w:sz="4" w:space="0"/>
              <w:bottom w:val="single" w:color="auto" w:sz="4" w:space="0"/>
              <w:right w:val="single" w:color="auto" w:sz="4" w:space="0"/>
            </w:tcBorders>
            <w:shd w:val="clear" w:color="auto" w:fill="auto"/>
            <w:vAlign w:val="center"/>
          </w:tcPr>
          <w:p>
            <w:pPr>
              <w:pStyle w:val="65"/>
              <w:rPr>
                <w:u w:val="single"/>
              </w:rPr>
            </w:pPr>
            <w:r>
              <w:rPr>
                <w:rFonts w:hint="eastAsia"/>
                <w:u w:val="single"/>
              </w:rPr>
              <w:t>（中度）富营养</w:t>
            </w:r>
          </w:p>
        </w:tc>
        <w:tc>
          <w:tcPr>
            <w:tcW w:w="350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65"/>
              <w:rPr>
                <w:u w:val="single"/>
              </w:rPr>
            </w:pPr>
            <w:r>
              <w:rPr>
                <w:rFonts w:hint="eastAsia"/>
                <w:u w:val="single"/>
              </w:rPr>
              <w:t>60＜TLI（∑）≤70</w:t>
            </w:r>
          </w:p>
        </w:tc>
        <w:tc>
          <w:tcPr>
            <w:tcW w:w="2344" w:type="dxa"/>
            <w:tcBorders>
              <w:top w:val="single" w:color="auto" w:sz="4" w:space="0"/>
              <w:left w:val="single" w:color="auto" w:sz="4" w:space="0"/>
              <w:bottom w:val="single" w:color="auto" w:sz="4" w:space="0"/>
              <w:right w:val="single" w:color="auto" w:sz="4" w:space="0"/>
            </w:tcBorders>
            <w:shd w:val="clear" w:color="auto" w:fill="auto"/>
            <w:vAlign w:val="center"/>
          </w:tcPr>
          <w:p>
            <w:pPr>
              <w:pStyle w:val="65"/>
              <w:rPr>
                <w:u w:val="single"/>
              </w:rPr>
            </w:pPr>
            <w:r>
              <w:rPr>
                <w:rFonts w:hint="eastAsia"/>
                <w:u w:val="single"/>
              </w:rPr>
              <w:t>中度污染</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23" w:hRule="atLeast"/>
          <w:jc w:val="center"/>
        </w:trPr>
        <w:tc>
          <w:tcPr>
            <w:tcW w:w="2451" w:type="dxa"/>
            <w:tcBorders>
              <w:top w:val="single" w:color="auto" w:sz="4" w:space="0"/>
              <w:left w:val="single" w:color="auto" w:sz="4" w:space="0"/>
              <w:bottom w:val="single" w:color="auto" w:sz="4" w:space="0"/>
              <w:right w:val="single" w:color="auto" w:sz="4" w:space="0"/>
            </w:tcBorders>
            <w:shd w:val="clear" w:color="auto" w:fill="auto"/>
            <w:vAlign w:val="center"/>
          </w:tcPr>
          <w:p>
            <w:pPr>
              <w:pStyle w:val="65"/>
              <w:rPr>
                <w:u w:val="single"/>
              </w:rPr>
            </w:pPr>
            <w:r>
              <w:rPr>
                <w:rFonts w:hint="eastAsia"/>
                <w:u w:val="single"/>
              </w:rPr>
              <w:t>（重度）富营养</w:t>
            </w:r>
          </w:p>
        </w:tc>
        <w:tc>
          <w:tcPr>
            <w:tcW w:w="350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65"/>
              <w:rPr>
                <w:u w:val="single"/>
              </w:rPr>
            </w:pPr>
            <w:r>
              <w:rPr>
                <w:rFonts w:hint="eastAsia"/>
                <w:u w:val="single"/>
              </w:rPr>
              <w:t>70＜TLI（∑）≤100</w:t>
            </w:r>
          </w:p>
        </w:tc>
        <w:tc>
          <w:tcPr>
            <w:tcW w:w="2344" w:type="dxa"/>
            <w:tcBorders>
              <w:top w:val="single" w:color="auto" w:sz="4" w:space="0"/>
              <w:left w:val="single" w:color="auto" w:sz="4" w:space="0"/>
              <w:bottom w:val="single" w:color="auto" w:sz="4" w:space="0"/>
              <w:right w:val="single" w:color="auto" w:sz="4" w:space="0"/>
            </w:tcBorders>
            <w:shd w:val="clear" w:color="auto" w:fill="auto"/>
            <w:vAlign w:val="center"/>
          </w:tcPr>
          <w:p>
            <w:pPr>
              <w:pStyle w:val="65"/>
              <w:rPr>
                <w:u w:val="single"/>
              </w:rPr>
            </w:pPr>
            <w:r>
              <w:rPr>
                <w:rFonts w:hint="eastAsia"/>
                <w:u w:val="single"/>
              </w:rPr>
              <w:t>重度污染</w:t>
            </w:r>
          </w:p>
        </w:tc>
      </w:tr>
    </w:tbl>
    <w:p>
      <w:pPr>
        <w:rPr>
          <w:u w:val="single"/>
        </w:rPr>
      </w:pPr>
      <w:r>
        <w:rPr>
          <w:rFonts w:hint="eastAsia"/>
          <w:u w:val="single"/>
        </w:rPr>
        <w:t>在同一营养状态下，指数值越高，其营养程度越重。根据计算结果，铁山水库2016年富营养化指数为28.6，2017年富营养化指数为28，为贫营养级；金凤水库2016年富营养化指数为24，2017年富营养化指数为22，为贫营养级，随着铁山水库库区及北干渠沿线农村污染综合整治工作的推进，铁山水库和金凤水库的富营养化指数在逐年下降。</w:t>
      </w:r>
    </w:p>
    <w:p>
      <w:r>
        <w:br w:type="page"/>
      </w:r>
    </w:p>
    <w:p>
      <w:pPr>
        <w:pStyle w:val="85"/>
        <w:spacing w:before="156" w:after="156"/>
        <w:jc w:val="center"/>
        <w:rPr>
          <w:color w:val="000000" w:themeColor="text1"/>
        </w:rPr>
      </w:pPr>
      <w:bookmarkStart w:id="305" w:name="_Toc535851343"/>
      <w:r>
        <w:rPr>
          <w:color w:val="000000" w:themeColor="text1"/>
        </w:rPr>
        <w:t>4环境风险</w:t>
      </w:r>
      <w:r>
        <w:rPr>
          <w:rFonts w:hint="eastAsia"/>
          <w:color w:val="000000" w:themeColor="text1"/>
        </w:rPr>
        <w:t>源调查与风险评估</w:t>
      </w:r>
      <w:bookmarkEnd w:id="305"/>
    </w:p>
    <w:p>
      <w:pPr>
        <w:pStyle w:val="3"/>
        <w:rPr>
          <w:rStyle w:val="62"/>
          <w:color w:val="000000" w:themeColor="text1"/>
        </w:rPr>
      </w:pPr>
      <w:bookmarkStart w:id="306" w:name="_Toc535851344"/>
      <w:r>
        <w:rPr>
          <w:rStyle w:val="62"/>
          <w:color w:val="000000" w:themeColor="text1"/>
        </w:rPr>
        <w:t>4.</w:t>
      </w:r>
      <w:r>
        <w:rPr>
          <w:rStyle w:val="62"/>
          <w:rFonts w:hint="eastAsia"/>
          <w:color w:val="000000" w:themeColor="text1"/>
        </w:rPr>
        <w:t>1环境</w:t>
      </w:r>
      <w:r>
        <w:rPr>
          <w:rStyle w:val="62"/>
          <w:color w:val="000000" w:themeColor="text1"/>
        </w:rPr>
        <w:t>风险源</w:t>
      </w:r>
      <w:r>
        <w:rPr>
          <w:rStyle w:val="62"/>
          <w:rFonts w:hint="eastAsia"/>
          <w:color w:val="000000" w:themeColor="text1"/>
        </w:rPr>
        <w:t>辨识</w:t>
      </w:r>
      <w:bookmarkEnd w:id="306"/>
    </w:p>
    <w:p>
      <w:pPr>
        <w:rPr>
          <w:color w:val="000000" w:themeColor="text1"/>
        </w:rPr>
      </w:pPr>
      <w:r>
        <w:rPr>
          <w:rFonts w:hint="eastAsia"/>
          <w:color w:val="000000" w:themeColor="text1"/>
          <w:lang w:val="zh-CN"/>
        </w:rPr>
        <w:t>根据《集中式地表饮用水水源地环境应急管理工作指南（试行）》（环办[201</w:t>
      </w:r>
      <w:r>
        <w:rPr>
          <w:rFonts w:hint="eastAsia"/>
          <w:color w:val="000000" w:themeColor="text1"/>
        </w:rPr>
        <w:t>1</w:t>
      </w:r>
      <w:r>
        <w:rPr>
          <w:rFonts w:hint="eastAsia"/>
          <w:color w:val="000000" w:themeColor="text1"/>
          <w:lang w:val="zh-CN"/>
        </w:rPr>
        <w:t>]</w:t>
      </w:r>
      <w:r>
        <w:rPr>
          <w:rFonts w:hint="eastAsia"/>
          <w:color w:val="000000" w:themeColor="text1"/>
        </w:rPr>
        <w:t>93</w:t>
      </w:r>
      <w:r>
        <w:rPr>
          <w:rFonts w:hint="eastAsia"/>
          <w:color w:val="000000" w:themeColor="text1"/>
          <w:lang w:val="zh-CN"/>
        </w:rPr>
        <w:t>号）规定：</w:t>
      </w:r>
      <w:r>
        <w:rPr>
          <w:rFonts w:hint="eastAsia"/>
          <w:color w:val="000000" w:themeColor="text1"/>
        </w:rPr>
        <w:t>环境风险是指由生产、储存、流通、销售、使用、处置等过程中，通过环境介质传播的能对水源地的水质和生态环境产生破坏、损失乃至毁灭性作用等不利后果的因果条件。</w:t>
      </w:r>
      <w:r>
        <w:rPr>
          <w:color w:val="000000" w:themeColor="text1"/>
        </w:rPr>
        <w:t>环境风险源</w:t>
      </w:r>
      <w:r>
        <w:rPr>
          <w:rFonts w:hint="eastAsia"/>
          <w:color w:val="000000" w:themeColor="text1"/>
        </w:rPr>
        <w:t>是</w:t>
      </w:r>
      <w:r>
        <w:rPr>
          <w:color w:val="000000" w:themeColor="text1"/>
        </w:rPr>
        <w:t>指可能导致突发环境事件的污染源，以及生产、贮存、经营、使用、运输危险物质或产生、收集、利用、处置危险废物的场所、设备和装置</w:t>
      </w:r>
      <w:r>
        <w:rPr>
          <w:rFonts w:hint="eastAsia"/>
          <w:color w:val="000000" w:themeColor="text1"/>
        </w:rPr>
        <w:t>；集中式地表饮用水水源地的环境风险源可分为：固定源、流动源、面源。固定源是指排放有毒有害物质造成或可能造成水源水质恶化的一切工矿企业事业单位以及运输石化、化工产品的管线；流动源是指运输危险化学品、危险废物及其他影响饮用水安全物质的车辆、船舶等交通工具；面源是指有可能对水源地水质造成影响的没有固定污染排放点的畜禽水产养殖污水、农业灌溉尾水等。</w:t>
      </w:r>
    </w:p>
    <w:p>
      <w:pPr>
        <w:pStyle w:val="3"/>
        <w:rPr>
          <w:rStyle w:val="62"/>
          <w:color w:val="000000" w:themeColor="text1"/>
        </w:rPr>
      </w:pPr>
      <w:bookmarkStart w:id="307" w:name="_Toc535851345"/>
      <w:r>
        <w:rPr>
          <w:rStyle w:val="62"/>
          <w:color w:val="000000" w:themeColor="text1"/>
        </w:rPr>
        <w:t>4.</w:t>
      </w:r>
      <w:r>
        <w:rPr>
          <w:rStyle w:val="62"/>
          <w:rFonts w:hint="eastAsia"/>
          <w:color w:val="000000" w:themeColor="text1"/>
        </w:rPr>
        <w:t>2</w:t>
      </w:r>
      <w:r>
        <w:rPr>
          <w:rStyle w:val="62"/>
          <w:color w:val="000000" w:themeColor="text1"/>
        </w:rPr>
        <w:t>环境风险</w:t>
      </w:r>
      <w:r>
        <w:rPr>
          <w:rStyle w:val="62"/>
          <w:rFonts w:hint="eastAsia"/>
          <w:color w:val="000000" w:themeColor="text1"/>
        </w:rPr>
        <w:t>源项分析</w:t>
      </w:r>
      <w:bookmarkEnd w:id="307"/>
    </w:p>
    <w:p>
      <w:pPr>
        <w:rPr>
          <w:color w:val="000000" w:themeColor="text1"/>
          <w:kern w:val="0"/>
          <w:sz w:val="28"/>
          <w:szCs w:val="28"/>
        </w:rPr>
      </w:pPr>
      <w:r>
        <w:rPr>
          <w:color w:val="000000" w:themeColor="text1"/>
          <w:kern w:val="0"/>
        </w:rPr>
        <w:t>参照《集中式饮用水水源环境保护指南（试行）》中附件三的相关规定，分析潜在事件，筛选风险源，依据其在线量或贮量，定性分析突发性水污染事件及分值</w:t>
      </w:r>
      <w:r>
        <w:rPr>
          <w:rFonts w:hint="eastAsia"/>
          <w:color w:val="000000" w:themeColor="text1"/>
          <w:kern w:val="0"/>
        </w:rPr>
        <w:t>。</w:t>
      </w:r>
    </w:p>
    <w:p>
      <w:pPr>
        <w:pStyle w:val="5"/>
        <w:rPr>
          <w:color w:val="000000" w:themeColor="text1"/>
        </w:rPr>
      </w:pPr>
      <w:r>
        <w:rPr>
          <w:rFonts w:hint="eastAsia"/>
          <w:color w:val="000000" w:themeColor="text1"/>
        </w:rPr>
        <w:t>4</w:t>
      </w:r>
      <w:r>
        <w:rPr>
          <w:color w:val="000000" w:themeColor="text1"/>
        </w:rPr>
        <w:t>.</w:t>
      </w:r>
      <w:r>
        <w:rPr>
          <w:rFonts w:hint="eastAsia"/>
          <w:color w:val="000000" w:themeColor="text1"/>
        </w:rPr>
        <w:t>2</w:t>
      </w:r>
      <w:r>
        <w:rPr>
          <w:color w:val="000000" w:themeColor="text1"/>
        </w:rPr>
        <w:t xml:space="preserve">.1 </w:t>
      </w:r>
      <w:r>
        <w:rPr>
          <w:rFonts w:hint="eastAsia"/>
          <w:color w:val="000000" w:themeColor="text1"/>
        </w:rPr>
        <w:t>固定风险源识别</w:t>
      </w:r>
    </w:p>
    <w:p>
      <w:r>
        <w:rPr>
          <w:rFonts w:hint="eastAsia" w:ascii="宋体" w:hAnsi="宋体" w:cs="宋体"/>
          <w:szCs w:val="24"/>
        </w:rPr>
        <w:t>根据对铁山水库饮用水源保护区，金凤水库（含北干渠）饮用水源保护区，在产工矿企业污染源和关闭搬迁企业工矿企业等污染源的调查发现，截止2017年12月已关停竹木加工企业11家，岳阳市饮用水源保护区（铁山水库-北干渠-金凤水库）调查区域内主要生产企业为大塅加油站、月田电力加油站、月田加油站和毛八斗加油站、月田长石粉厂、弘峰长石粉有限公司、月田镇污水处理厂、毛田镇污水处理厂、金凤水库管理所，如表</w:t>
      </w:r>
      <w:r>
        <w:rPr>
          <w:rFonts w:hint="eastAsia"/>
          <w:szCs w:val="24"/>
        </w:rPr>
        <w:t>4-1~4-3</w:t>
      </w:r>
      <w:r>
        <w:rPr>
          <w:rFonts w:hint="eastAsia" w:ascii="宋体" w:hAnsi="宋体" w:cs="宋体"/>
          <w:szCs w:val="24"/>
        </w:rPr>
        <w:t>所示。</w:t>
      </w:r>
    </w:p>
    <w:p>
      <w:r>
        <w:rPr>
          <w:rFonts w:hint="eastAsia" w:ascii="宋体" w:hAnsi="宋体" w:cs="宋体"/>
          <w:szCs w:val="24"/>
        </w:rPr>
        <w:t>月田镇污水处理厂位于月田镇余家村，</w:t>
      </w:r>
      <w:r>
        <w:rPr>
          <w:szCs w:val="24"/>
        </w:rPr>
        <w:t>2016</w:t>
      </w:r>
      <w:r>
        <w:rPr>
          <w:rFonts w:hint="eastAsia" w:ascii="宋体" w:hAnsi="宋体" w:cs="宋体"/>
          <w:szCs w:val="24"/>
        </w:rPr>
        <w:t>年</w:t>
      </w:r>
      <w:r>
        <w:rPr>
          <w:szCs w:val="24"/>
        </w:rPr>
        <w:t>1</w:t>
      </w:r>
      <w:r>
        <w:rPr>
          <w:rFonts w:hint="eastAsia" w:ascii="宋体" w:hAnsi="宋体" w:cs="宋体"/>
          <w:szCs w:val="24"/>
        </w:rPr>
        <w:t>月建成并通水试运行，近期处理规模为</w:t>
      </w:r>
      <w:r>
        <w:rPr>
          <w:szCs w:val="24"/>
        </w:rPr>
        <w:t>1200m</w:t>
      </w:r>
      <w:r>
        <w:rPr>
          <w:szCs w:val="24"/>
          <w:vertAlign w:val="superscript"/>
        </w:rPr>
        <w:t>3</w:t>
      </w:r>
      <w:r>
        <w:rPr>
          <w:szCs w:val="24"/>
        </w:rPr>
        <w:t>/d</w:t>
      </w:r>
      <w:r>
        <w:rPr>
          <w:rFonts w:hint="eastAsia" w:ascii="宋体" w:hAnsi="宋体" w:cs="宋体"/>
          <w:szCs w:val="24"/>
        </w:rPr>
        <w:t>，污水处理工艺采用：预处理</w:t>
      </w:r>
      <w:r>
        <w:rPr>
          <w:szCs w:val="24"/>
        </w:rPr>
        <w:t>+</w:t>
      </w:r>
      <w:r>
        <w:rPr>
          <w:rFonts w:hint="eastAsia" w:ascii="宋体" w:hAnsi="宋体" w:cs="宋体"/>
          <w:szCs w:val="24"/>
        </w:rPr>
        <w:t>一体化污水处理设备（包括厌氧池、缺氧池、好氧池、沉淀池）</w:t>
      </w:r>
      <w:r>
        <w:rPr>
          <w:szCs w:val="24"/>
        </w:rPr>
        <w:t>+</w:t>
      </w:r>
      <w:r>
        <w:rPr>
          <w:rFonts w:hint="eastAsia" w:ascii="宋体" w:hAnsi="宋体" w:cs="宋体"/>
          <w:szCs w:val="24"/>
        </w:rPr>
        <w:t>人工湿地</w:t>
      </w:r>
      <w:r>
        <w:rPr>
          <w:szCs w:val="24"/>
        </w:rPr>
        <w:t>+</w:t>
      </w:r>
      <w:r>
        <w:rPr>
          <w:rFonts w:hint="eastAsia" w:ascii="宋体" w:hAnsi="宋体" w:cs="宋体"/>
          <w:szCs w:val="24"/>
        </w:rPr>
        <w:t>消毒处理工艺，出水水质达到《城镇污水处理厂污染物排放标准》（</w:t>
      </w:r>
      <w:r>
        <w:rPr>
          <w:szCs w:val="24"/>
        </w:rPr>
        <w:t>GB18918-2002</w:t>
      </w:r>
      <w:r>
        <w:rPr>
          <w:rFonts w:hint="eastAsia" w:ascii="宋体" w:hAnsi="宋体" w:cs="宋体"/>
          <w:szCs w:val="24"/>
        </w:rPr>
        <w:t>）一级</w:t>
      </w:r>
      <w:r>
        <w:rPr>
          <w:szCs w:val="24"/>
        </w:rPr>
        <w:t>A</w:t>
      </w:r>
      <w:r>
        <w:rPr>
          <w:rFonts w:hint="eastAsia" w:ascii="宋体" w:hAnsi="宋体" w:cs="宋体"/>
          <w:szCs w:val="24"/>
        </w:rPr>
        <w:t>标准后外排。</w:t>
      </w:r>
    </w:p>
    <w:p>
      <w:r>
        <w:rPr>
          <w:rFonts w:hint="eastAsia" w:ascii="宋体" w:hAnsi="宋体" w:cs="宋体"/>
          <w:szCs w:val="24"/>
        </w:rPr>
        <w:t>毛田镇污水处理厂</w:t>
      </w:r>
      <w:r>
        <w:rPr>
          <w:szCs w:val="24"/>
        </w:rPr>
        <w:t>2016</w:t>
      </w:r>
      <w:r>
        <w:rPr>
          <w:rFonts w:hint="eastAsia" w:ascii="宋体" w:hAnsi="宋体" w:cs="宋体"/>
          <w:szCs w:val="24"/>
        </w:rPr>
        <w:t>年</w:t>
      </w:r>
      <w:r>
        <w:rPr>
          <w:szCs w:val="24"/>
        </w:rPr>
        <w:t>5</w:t>
      </w:r>
      <w:r>
        <w:rPr>
          <w:rFonts w:hint="eastAsia" w:ascii="宋体" w:hAnsi="宋体" w:cs="宋体"/>
          <w:szCs w:val="24"/>
        </w:rPr>
        <w:t>月底投入试运行，近期处理规模为</w:t>
      </w:r>
      <w:r>
        <w:rPr>
          <w:szCs w:val="24"/>
        </w:rPr>
        <w:t>750m</w:t>
      </w:r>
      <w:r>
        <w:rPr>
          <w:szCs w:val="24"/>
          <w:vertAlign w:val="superscript"/>
        </w:rPr>
        <w:t>3</w:t>
      </w:r>
      <w:r>
        <w:rPr>
          <w:szCs w:val="24"/>
        </w:rPr>
        <w:t>/d</w:t>
      </w:r>
      <w:r>
        <w:rPr>
          <w:rFonts w:hint="eastAsia" w:ascii="宋体" w:hAnsi="宋体" w:cs="宋体"/>
          <w:szCs w:val="24"/>
        </w:rPr>
        <w:t>，污水处理工艺采用：预处理</w:t>
      </w:r>
      <w:r>
        <w:rPr>
          <w:szCs w:val="24"/>
        </w:rPr>
        <w:t>+</w:t>
      </w:r>
      <w:r>
        <w:rPr>
          <w:rFonts w:hint="eastAsia" w:ascii="宋体" w:hAnsi="宋体" w:cs="宋体"/>
          <w:szCs w:val="24"/>
        </w:rPr>
        <w:t>一体化污水处理设备（包括厌氧池、缺氧池、好氧池、沉淀池）</w:t>
      </w:r>
      <w:r>
        <w:rPr>
          <w:szCs w:val="24"/>
        </w:rPr>
        <w:t>+</w:t>
      </w:r>
      <w:r>
        <w:rPr>
          <w:rFonts w:hint="eastAsia" w:ascii="宋体" w:hAnsi="宋体" w:cs="宋体"/>
          <w:szCs w:val="24"/>
        </w:rPr>
        <w:t>人工湿地</w:t>
      </w:r>
      <w:r>
        <w:rPr>
          <w:szCs w:val="24"/>
        </w:rPr>
        <w:t>+UV</w:t>
      </w:r>
      <w:r>
        <w:rPr>
          <w:rFonts w:hint="eastAsia" w:ascii="宋体" w:hAnsi="宋体" w:cs="宋体"/>
          <w:szCs w:val="24"/>
        </w:rPr>
        <w:t>消毒处理工艺，出水水质达到《城镇污水处理厂污染物排放标准》（</w:t>
      </w:r>
      <w:r>
        <w:rPr>
          <w:szCs w:val="24"/>
        </w:rPr>
        <w:t>GB18918-2002</w:t>
      </w:r>
      <w:r>
        <w:rPr>
          <w:rFonts w:hint="eastAsia" w:ascii="宋体" w:hAnsi="宋体" w:cs="宋体"/>
          <w:szCs w:val="24"/>
        </w:rPr>
        <w:t>）一级</w:t>
      </w:r>
      <w:r>
        <w:rPr>
          <w:szCs w:val="24"/>
        </w:rPr>
        <w:t>A</w:t>
      </w:r>
      <w:r>
        <w:rPr>
          <w:rFonts w:hint="eastAsia" w:ascii="宋体" w:hAnsi="宋体" w:cs="宋体"/>
          <w:szCs w:val="24"/>
        </w:rPr>
        <w:t>标准，尾水排入毛田河，流经毛田河自然湿地再汇入铁山水库。</w:t>
      </w:r>
    </w:p>
    <w:p>
      <w:pPr>
        <w:ind w:firstLine="422"/>
        <w:jc w:val="center"/>
        <w:rPr>
          <w:b/>
          <w:sz w:val="21"/>
          <w:szCs w:val="21"/>
        </w:rPr>
      </w:pPr>
      <w:r>
        <w:rPr>
          <w:rFonts w:hint="eastAsia" w:ascii="宋体" w:hAnsi="宋体" w:cs="宋体"/>
          <w:b/>
          <w:sz w:val="21"/>
          <w:szCs w:val="21"/>
        </w:rPr>
        <w:t>表</w:t>
      </w:r>
      <w:r>
        <w:rPr>
          <w:rFonts w:hint="eastAsia"/>
          <w:b/>
          <w:sz w:val="21"/>
          <w:szCs w:val="21"/>
        </w:rPr>
        <w:t>4-1</w:t>
      </w:r>
      <w:r>
        <w:rPr>
          <w:b/>
          <w:sz w:val="21"/>
          <w:szCs w:val="21"/>
        </w:rPr>
        <w:t xml:space="preserve">  </w:t>
      </w:r>
      <w:r>
        <w:rPr>
          <w:rFonts w:hint="eastAsia" w:ascii="宋体" w:hAnsi="宋体" w:cs="宋体"/>
          <w:b/>
          <w:sz w:val="21"/>
          <w:szCs w:val="21"/>
        </w:rPr>
        <w:t>饮用水水源地调区固定风险源基本情况一览表</w:t>
      </w:r>
    </w:p>
    <w:tbl>
      <w:tblPr>
        <w:tblStyle w:val="47"/>
        <w:tblW w:w="8518" w:type="dxa"/>
        <w:tblInd w:w="0" w:type="dxa"/>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
      <w:tblGrid>
        <w:gridCol w:w="1590"/>
        <w:gridCol w:w="3008"/>
        <w:gridCol w:w="2991"/>
        <w:gridCol w:w="929"/>
      </w:tblGrid>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trPr>
        <w:tc>
          <w:tcPr>
            <w:tcW w:w="1590" w:type="dxa"/>
            <w:tcBorders>
              <w:top w:val="single" w:color="auto" w:sz="8" w:space="0"/>
              <w:left w:val="single" w:color="auto" w:sz="8" w:space="0"/>
              <w:bottom w:val="single" w:color="auto" w:sz="4" w:space="0"/>
              <w:right w:val="single" w:color="auto" w:sz="4" w:space="0"/>
            </w:tcBorders>
            <w:shd w:val="clear" w:color="auto" w:fill="auto"/>
            <w:vAlign w:val="center"/>
          </w:tcPr>
          <w:p>
            <w:pPr>
              <w:pStyle w:val="32"/>
              <w:widowControl w:val="0"/>
              <w:spacing w:before="0" w:beforeAutospacing="0" w:after="0" w:afterAutospacing="0"/>
              <w:jc w:val="center"/>
              <w:rPr>
                <w:b/>
                <w:sz w:val="21"/>
                <w:szCs w:val="21"/>
              </w:rPr>
            </w:pPr>
            <w:r>
              <w:rPr>
                <w:rFonts w:hint="eastAsia" w:ascii="Times New Roman" w:hAnsi="Times New Roman"/>
                <w:b/>
                <w:kern w:val="2"/>
                <w:sz w:val="21"/>
                <w:szCs w:val="21"/>
              </w:rPr>
              <w:t>企业</w:t>
            </w:r>
          </w:p>
        </w:tc>
        <w:tc>
          <w:tcPr>
            <w:tcW w:w="3008" w:type="dxa"/>
            <w:tcBorders>
              <w:top w:val="single" w:color="auto" w:sz="8" w:space="0"/>
              <w:left w:val="single" w:color="auto" w:sz="4" w:space="0"/>
              <w:bottom w:val="single" w:color="auto" w:sz="4" w:space="0"/>
              <w:right w:val="single" w:color="auto" w:sz="4" w:space="0"/>
            </w:tcBorders>
            <w:shd w:val="clear" w:color="auto" w:fill="auto"/>
            <w:vAlign w:val="center"/>
          </w:tcPr>
          <w:p>
            <w:pPr>
              <w:pStyle w:val="32"/>
              <w:widowControl w:val="0"/>
              <w:spacing w:before="0" w:beforeAutospacing="0" w:after="0" w:afterAutospacing="0"/>
              <w:jc w:val="center"/>
              <w:rPr>
                <w:b/>
                <w:sz w:val="21"/>
                <w:szCs w:val="21"/>
              </w:rPr>
            </w:pPr>
            <w:r>
              <w:rPr>
                <w:rFonts w:hint="eastAsia" w:ascii="Times New Roman" w:hAnsi="Times New Roman"/>
                <w:b/>
                <w:kern w:val="2"/>
                <w:sz w:val="21"/>
                <w:szCs w:val="21"/>
              </w:rPr>
              <w:t>距离取水口方位、距离</w:t>
            </w:r>
          </w:p>
        </w:tc>
        <w:tc>
          <w:tcPr>
            <w:tcW w:w="2991" w:type="dxa"/>
            <w:tcBorders>
              <w:top w:val="single" w:color="auto" w:sz="8" w:space="0"/>
              <w:left w:val="single" w:color="auto" w:sz="4" w:space="0"/>
              <w:bottom w:val="single" w:color="auto" w:sz="4" w:space="0"/>
              <w:right w:val="single" w:color="auto" w:sz="4" w:space="0"/>
            </w:tcBorders>
            <w:shd w:val="clear" w:color="auto" w:fill="auto"/>
            <w:vAlign w:val="center"/>
          </w:tcPr>
          <w:p>
            <w:pPr>
              <w:pStyle w:val="32"/>
              <w:widowControl w:val="0"/>
              <w:spacing w:before="0" w:beforeAutospacing="0" w:after="0" w:afterAutospacing="0"/>
              <w:jc w:val="center"/>
              <w:rPr>
                <w:b/>
                <w:sz w:val="21"/>
                <w:szCs w:val="21"/>
              </w:rPr>
            </w:pPr>
            <w:r>
              <w:rPr>
                <w:rFonts w:hint="eastAsia" w:ascii="Times New Roman" w:hAnsi="Times New Roman"/>
                <w:b/>
                <w:kern w:val="2"/>
                <w:sz w:val="21"/>
                <w:szCs w:val="21"/>
              </w:rPr>
              <w:t>地址</w:t>
            </w:r>
          </w:p>
        </w:tc>
        <w:tc>
          <w:tcPr>
            <w:tcW w:w="929" w:type="dxa"/>
            <w:tcBorders>
              <w:top w:val="single" w:color="auto" w:sz="8" w:space="0"/>
              <w:left w:val="single" w:color="auto" w:sz="4" w:space="0"/>
              <w:bottom w:val="single" w:color="auto" w:sz="4" w:space="0"/>
              <w:right w:val="single" w:color="auto" w:sz="8" w:space="0"/>
            </w:tcBorders>
            <w:shd w:val="clear" w:color="auto" w:fill="auto"/>
            <w:vAlign w:val="center"/>
          </w:tcPr>
          <w:p>
            <w:pPr>
              <w:pStyle w:val="32"/>
              <w:widowControl w:val="0"/>
              <w:spacing w:before="0" w:beforeAutospacing="0" w:after="0" w:afterAutospacing="0"/>
              <w:jc w:val="center"/>
              <w:rPr>
                <w:b/>
                <w:sz w:val="21"/>
                <w:szCs w:val="21"/>
              </w:rPr>
            </w:pPr>
            <w:r>
              <w:rPr>
                <w:rFonts w:hint="eastAsia" w:ascii="Times New Roman" w:hAnsi="Times New Roman"/>
                <w:b/>
                <w:kern w:val="2"/>
                <w:sz w:val="21"/>
                <w:szCs w:val="21"/>
              </w:rPr>
              <w:t>产品</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trPr>
        <w:tc>
          <w:tcPr>
            <w:tcW w:w="1590" w:type="dxa"/>
            <w:tcBorders>
              <w:top w:val="single" w:color="auto" w:sz="4" w:space="0"/>
              <w:left w:val="single" w:color="auto" w:sz="8" w:space="0"/>
              <w:bottom w:val="single" w:color="auto" w:sz="4" w:space="0"/>
              <w:right w:val="single" w:color="auto" w:sz="4" w:space="0"/>
            </w:tcBorders>
            <w:shd w:val="clear" w:color="auto" w:fill="auto"/>
            <w:vAlign w:val="center"/>
          </w:tcPr>
          <w:p>
            <w:pPr>
              <w:pStyle w:val="32"/>
              <w:widowControl w:val="0"/>
              <w:spacing w:before="0" w:beforeAutospacing="0" w:after="0" w:afterAutospacing="0"/>
              <w:jc w:val="both"/>
              <w:rPr>
                <w:sz w:val="21"/>
                <w:szCs w:val="21"/>
              </w:rPr>
            </w:pPr>
            <w:r>
              <w:rPr>
                <w:rFonts w:hint="eastAsia" w:ascii="Times New Roman" w:hAnsi="Times New Roman"/>
                <w:kern w:val="2"/>
                <w:sz w:val="21"/>
                <w:szCs w:val="21"/>
              </w:rPr>
              <w:t>大塅加油站</w:t>
            </w:r>
          </w:p>
        </w:tc>
        <w:tc>
          <w:tcPr>
            <w:tcW w:w="3008" w:type="dxa"/>
            <w:tcBorders>
              <w:top w:val="single" w:color="auto" w:sz="4" w:space="0"/>
              <w:left w:val="single" w:color="auto" w:sz="4" w:space="0"/>
              <w:bottom w:val="single" w:color="auto" w:sz="4" w:space="0"/>
              <w:right w:val="single" w:color="auto" w:sz="4" w:space="0"/>
            </w:tcBorders>
            <w:shd w:val="clear" w:color="auto" w:fill="auto"/>
            <w:vAlign w:val="center"/>
          </w:tcPr>
          <w:p>
            <w:pPr>
              <w:pStyle w:val="32"/>
              <w:widowControl w:val="0"/>
              <w:spacing w:before="0" w:beforeAutospacing="0" w:after="0" w:afterAutospacing="0"/>
              <w:jc w:val="both"/>
              <w:rPr>
                <w:sz w:val="21"/>
                <w:szCs w:val="21"/>
                <w:u w:val="single"/>
              </w:rPr>
            </w:pPr>
            <w:r>
              <w:rPr>
                <w:rFonts w:hint="eastAsia" w:ascii="Times New Roman" w:hAnsi="Times New Roman"/>
                <w:kern w:val="2"/>
                <w:sz w:val="21"/>
                <w:szCs w:val="21"/>
                <w:u w:val="single"/>
              </w:rPr>
              <w:t>小湄连通隧洞出口上游约</w:t>
            </w:r>
            <w:r>
              <w:rPr>
                <w:rFonts w:ascii="Times New Roman" w:hAnsi="Times New Roman" w:cs="Times New Roman"/>
                <w:kern w:val="2"/>
                <w:sz w:val="21"/>
                <w:szCs w:val="21"/>
                <w:u w:val="single"/>
              </w:rPr>
              <w:t>2km</w:t>
            </w:r>
            <w:r>
              <w:rPr>
                <w:rFonts w:hint="eastAsia" w:ascii="Times New Roman" w:hAnsi="Times New Roman"/>
                <w:kern w:val="2"/>
                <w:sz w:val="21"/>
                <w:szCs w:val="21"/>
                <w:u w:val="single"/>
              </w:rPr>
              <w:t>，东淇东侧</w:t>
            </w:r>
            <w:r>
              <w:rPr>
                <w:rFonts w:ascii="Times New Roman" w:hAnsi="Times New Roman" w:cs="Times New Roman"/>
                <w:kern w:val="2"/>
                <w:sz w:val="21"/>
                <w:szCs w:val="21"/>
                <w:u w:val="single"/>
              </w:rPr>
              <w:t>100m</w:t>
            </w:r>
          </w:p>
        </w:tc>
        <w:tc>
          <w:tcPr>
            <w:tcW w:w="2991" w:type="dxa"/>
            <w:tcBorders>
              <w:top w:val="single" w:color="auto" w:sz="4" w:space="0"/>
              <w:left w:val="single" w:color="auto" w:sz="4" w:space="0"/>
              <w:bottom w:val="single" w:color="auto" w:sz="4" w:space="0"/>
              <w:right w:val="single" w:color="auto" w:sz="4" w:space="0"/>
            </w:tcBorders>
            <w:shd w:val="clear" w:color="auto" w:fill="auto"/>
            <w:vAlign w:val="center"/>
          </w:tcPr>
          <w:p>
            <w:pPr>
              <w:pStyle w:val="32"/>
              <w:widowControl w:val="0"/>
              <w:spacing w:before="0" w:beforeAutospacing="0" w:after="0" w:afterAutospacing="0"/>
              <w:jc w:val="both"/>
              <w:rPr>
                <w:sz w:val="21"/>
                <w:szCs w:val="21"/>
                <w:u w:val="single"/>
              </w:rPr>
            </w:pPr>
            <w:r>
              <w:rPr>
                <w:rFonts w:hint="eastAsia" w:ascii="Times New Roman" w:hAnsi="Times New Roman"/>
                <w:kern w:val="2"/>
                <w:sz w:val="21"/>
                <w:szCs w:val="21"/>
                <w:u w:val="single"/>
              </w:rPr>
              <w:t>公田镇，临近小饶港水库的二级陆域保护区约20米</w:t>
            </w:r>
          </w:p>
        </w:tc>
        <w:tc>
          <w:tcPr>
            <w:tcW w:w="929" w:type="dxa"/>
            <w:tcBorders>
              <w:top w:val="single" w:color="auto" w:sz="4" w:space="0"/>
              <w:left w:val="single" w:color="auto" w:sz="4" w:space="0"/>
              <w:bottom w:val="single" w:color="auto" w:sz="4" w:space="0"/>
              <w:right w:val="single" w:color="auto" w:sz="8" w:space="0"/>
            </w:tcBorders>
            <w:shd w:val="clear" w:color="auto" w:fill="auto"/>
            <w:vAlign w:val="center"/>
          </w:tcPr>
          <w:p>
            <w:pPr>
              <w:pStyle w:val="32"/>
              <w:widowControl w:val="0"/>
              <w:spacing w:before="0" w:beforeAutospacing="0" w:after="0" w:afterAutospacing="0"/>
              <w:jc w:val="both"/>
              <w:rPr>
                <w:sz w:val="21"/>
                <w:szCs w:val="21"/>
              </w:rPr>
            </w:pPr>
            <w:r>
              <w:rPr>
                <w:rFonts w:hint="eastAsia" w:ascii="Times New Roman" w:hAnsi="Times New Roman"/>
                <w:kern w:val="2"/>
                <w:sz w:val="21"/>
                <w:szCs w:val="21"/>
              </w:rPr>
              <w:t>加油站</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trPr>
        <w:tc>
          <w:tcPr>
            <w:tcW w:w="1590" w:type="dxa"/>
            <w:tcBorders>
              <w:top w:val="single" w:color="auto" w:sz="4" w:space="0"/>
              <w:left w:val="single" w:color="auto" w:sz="8" w:space="0"/>
              <w:bottom w:val="single" w:color="auto" w:sz="4" w:space="0"/>
              <w:right w:val="single" w:color="auto" w:sz="4" w:space="0"/>
            </w:tcBorders>
            <w:shd w:val="clear" w:color="auto" w:fill="auto"/>
            <w:vAlign w:val="center"/>
          </w:tcPr>
          <w:p>
            <w:pPr>
              <w:pStyle w:val="32"/>
              <w:widowControl w:val="0"/>
              <w:spacing w:before="0" w:beforeAutospacing="0" w:after="0" w:afterAutospacing="0"/>
              <w:jc w:val="both"/>
              <w:rPr>
                <w:sz w:val="21"/>
                <w:szCs w:val="21"/>
              </w:rPr>
            </w:pPr>
            <w:r>
              <w:rPr>
                <w:rFonts w:hint="eastAsia" w:ascii="Times New Roman" w:hAnsi="Times New Roman"/>
                <w:kern w:val="2"/>
                <w:sz w:val="21"/>
                <w:szCs w:val="21"/>
              </w:rPr>
              <w:t>月田电力加油站</w:t>
            </w:r>
          </w:p>
        </w:tc>
        <w:tc>
          <w:tcPr>
            <w:tcW w:w="3008" w:type="dxa"/>
            <w:tcBorders>
              <w:top w:val="single" w:color="auto" w:sz="4" w:space="0"/>
              <w:left w:val="single" w:color="auto" w:sz="4" w:space="0"/>
              <w:bottom w:val="single" w:color="auto" w:sz="4" w:space="0"/>
              <w:right w:val="single" w:color="auto" w:sz="4" w:space="0"/>
            </w:tcBorders>
            <w:shd w:val="clear" w:color="auto" w:fill="auto"/>
            <w:vAlign w:val="center"/>
          </w:tcPr>
          <w:p>
            <w:pPr>
              <w:pStyle w:val="32"/>
              <w:widowControl w:val="0"/>
              <w:spacing w:before="0" w:beforeAutospacing="0" w:after="0" w:afterAutospacing="0"/>
              <w:jc w:val="both"/>
              <w:rPr>
                <w:sz w:val="21"/>
                <w:szCs w:val="21"/>
                <w:u w:val="single"/>
              </w:rPr>
            </w:pPr>
            <w:r>
              <w:rPr>
                <w:rFonts w:hint="eastAsia" w:ascii="Times New Roman" w:hAnsi="Times New Roman"/>
                <w:kern w:val="2"/>
                <w:sz w:val="21"/>
                <w:szCs w:val="21"/>
                <w:u w:val="single"/>
              </w:rPr>
              <w:t>沙河铁山水库汇入口上游约</w:t>
            </w:r>
            <w:r>
              <w:rPr>
                <w:rFonts w:ascii="Times New Roman" w:hAnsi="Times New Roman" w:cs="Times New Roman"/>
                <w:kern w:val="2"/>
                <w:sz w:val="21"/>
                <w:szCs w:val="21"/>
                <w:u w:val="single"/>
              </w:rPr>
              <w:t>4.6km</w:t>
            </w:r>
            <w:r>
              <w:rPr>
                <w:rFonts w:hint="eastAsia" w:ascii="Times New Roman" w:hAnsi="Times New Roman"/>
                <w:kern w:val="2"/>
                <w:sz w:val="21"/>
                <w:szCs w:val="21"/>
                <w:u w:val="single"/>
              </w:rPr>
              <w:t>，沙河北侧</w:t>
            </w:r>
            <w:r>
              <w:rPr>
                <w:rFonts w:ascii="Times New Roman" w:hAnsi="Times New Roman" w:cs="Times New Roman"/>
                <w:kern w:val="2"/>
                <w:sz w:val="21"/>
                <w:szCs w:val="21"/>
                <w:u w:val="single"/>
              </w:rPr>
              <w:t>30m</w:t>
            </w:r>
          </w:p>
        </w:tc>
        <w:tc>
          <w:tcPr>
            <w:tcW w:w="2991" w:type="dxa"/>
            <w:tcBorders>
              <w:top w:val="single" w:color="auto" w:sz="4" w:space="0"/>
              <w:left w:val="single" w:color="auto" w:sz="4" w:space="0"/>
              <w:bottom w:val="single" w:color="auto" w:sz="4" w:space="0"/>
              <w:right w:val="single" w:color="auto" w:sz="4" w:space="0"/>
            </w:tcBorders>
            <w:shd w:val="clear" w:color="auto" w:fill="auto"/>
            <w:vAlign w:val="center"/>
          </w:tcPr>
          <w:p>
            <w:pPr>
              <w:pStyle w:val="32"/>
              <w:widowControl w:val="0"/>
              <w:spacing w:before="0" w:beforeAutospacing="0" w:after="0" w:afterAutospacing="0"/>
              <w:jc w:val="both"/>
              <w:rPr>
                <w:sz w:val="21"/>
                <w:szCs w:val="21"/>
                <w:u w:val="single"/>
              </w:rPr>
            </w:pPr>
            <w:r>
              <w:rPr>
                <w:rFonts w:hint="eastAsia" w:ascii="Times New Roman" w:hAnsi="Times New Roman"/>
                <w:kern w:val="2"/>
                <w:sz w:val="21"/>
                <w:szCs w:val="21"/>
                <w:u w:val="single"/>
              </w:rPr>
              <w:t>月田镇，临近铁山水库二级保护区水域约4600米</w:t>
            </w:r>
          </w:p>
        </w:tc>
        <w:tc>
          <w:tcPr>
            <w:tcW w:w="929" w:type="dxa"/>
            <w:tcBorders>
              <w:top w:val="single" w:color="auto" w:sz="4" w:space="0"/>
              <w:left w:val="single" w:color="auto" w:sz="4" w:space="0"/>
              <w:bottom w:val="single" w:color="auto" w:sz="4" w:space="0"/>
              <w:right w:val="single" w:color="auto" w:sz="8" w:space="0"/>
            </w:tcBorders>
            <w:shd w:val="clear" w:color="auto" w:fill="auto"/>
            <w:vAlign w:val="center"/>
          </w:tcPr>
          <w:p>
            <w:pPr>
              <w:pStyle w:val="32"/>
              <w:widowControl w:val="0"/>
              <w:spacing w:before="0" w:beforeAutospacing="0" w:after="0" w:afterAutospacing="0"/>
              <w:jc w:val="both"/>
              <w:rPr>
                <w:sz w:val="21"/>
                <w:szCs w:val="21"/>
              </w:rPr>
            </w:pPr>
            <w:r>
              <w:rPr>
                <w:rFonts w:hint="eastAsia" w:ascii="Times New Roman" w:hAnsi="Times New Roman"/>
                <w:kern w:val="2"/>
                <w:sz w:val="21"/>
                <w:szCs w:val="21"/>
              </w:rPr>
              <w:t>加油站</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trPr>
        <w:tc>
          <w:tcPr>
            <w:tcW w:w="1590" w:type="dxa"/>
            <w:tcBorders>
              <w:top w:val="single" w:color="auto" w:sz="4" w:space="0"/>
              <w:left w:val="single" w:color="auto" w:sz="8" w:space="0"/>
              <w:bottom w:val="single" w:color="auto" w:sz="4" w:space="0"/>
              <w:right w:val="single" w:color="auto" w:sz="4" w:space="0"/>
            </w:tcBorders>
            <w:shd w:val="clear" w:color="auto" w:fill="auto"/>
            <w:vAlign w:val="center"/>
          </w:tcPr>
          <w:p>
            <w:pPr>
              <w:pStyle w:val="32"/>
              <w:widowControl w:val="0"/>
              <w:spacing w:before="0" w:beforeAutospacing="0" w:after="0" w:afterAutospacing="0"/>
              <w:jc w:val="both"/>
              <w:rPr>
                <w:sz w:val="21"/>
                <w:szCs w:val="21"/>
              </w:rPr>
            </w:pPr>
            <w:r>
              <w:rPr>
                <w:rFonts w:hint="eastAsia" w:ascii="Times New Roman" w:hAnsi="Times New Roman"/>
                <w:kern w:val="2"/>
                <w:sz w:val="21"/>
                <w:szCs w:val="21"/>
              </w:rPr>
              <w:t>月田加油站</w:t>
            </w:r>
          </w:p>
        </w:tc>
        <w:tc>
          <w:tcPr>
            <w:tcW w:w="3008" w:type="dxa"/>
            <w:tcBorders>
              <w:top w:val="single" w:color="auto" w:sz="4" w:space="0"/>
              <w:left w:val="single" w:color="auto" w:sz="4" w:space="0"/>
              <w:bottom w:val="single" w:color="auto" w:sz="4" w:space="0"/>
              <w:right w:val="single" w:color="auto" w:sz="4" w:space="0"/>
            </w:tcBorders>
            <w:shd w:val="clear" w:color="auto" w:fill="auto"/>
            <w:vAlign w:val="center"/>
          </w:tcPr>
          <w:p>
            <w:pPr>
              <w:pStyle w:val="32"/>
              <w:widowControl w:val="0"/>
              <w:spacing w:before="0" w:beforeAutospacing="0" w:after="0" w:afterAutospacing="0"/>
              <w:jc w:val="both"/>
              <w:rPr>
                <w:sz w:val="21"/>
                <w:szCs w:val="21"/>
                <w:u w:val="single"/>
              </w:rPr>
            </w:pPr>
            <w:r>
              <w:rPr>
                <w:rFonts w:hint="eastAsia" w:ascii="Times New Roman" w:hAnsi="Times New Roman"/>
                <w:kern w:val="2"/>
                <w:sz w:val="21"/>
                <w:szCs w:val="21"/>
                <w:u w:val="single"/>
              </w:rPr>
              <w:t>沙河铁山水库汇入口上游约</w:t>
            </w:r>
            <w:r>
              <w:rPr>
                <w:rFonts w:ascii="Times New Roman" w:hAnsi="Times New Roman" w:cs="Times New Roman"/>
                <w:kern w:val="2"/>
                <w:sz w:val="21"/>
                <w:szCs w:val="21"/>
                <w:u w:val="single"/>
              </w:rPr>
              <w:t>6.1km</w:t>
            </w:r>
            <w:r>
              <w:rPr>
                <w:rFonts w:hint="eastAsia" w:ascii="Times New Roman" w:hAnsi="Times New Roman"/>
                <w:kern w:val="2"/>
                <w:sz w:val="21"/>
                <w:szCs w:val="21"/>
                <w:u w:val="single"/>
              </w:rPr>
              <w:t>，沙河东侧</w:t>
            </w:r>
            <w:r>
              <w:rPr>
                <w:rFonts w:ascii="Times New Roman" w:hAnsi="Times New Roman" w:cs="Times New Roman"/>
                <w:kern w:val="2"/>
                <w:sz w:val="21"/>
                <w:szCs w:val="21"/>
                <w:u w:val="single"/>
              </w:rPr>
              <w:t>10m</w:t>
            </w:r>
          </w:p>
        </w:tc>
        <w:tc>
          <w:tcPr>
            <w:tcW w:w="2991" w:type="dxa"/>
            <w:tcBorders>
              <w:top w:val="single" w:color="auto" w:sz="4" w:space="0"/>
              <w:left w:val="single" w:color="auto" w:sz="4" w:space="0"/>
              <w:bottom w:val="single" w:color="auto" w:sz="4" w:space="0"/>
              <w:right w:val="single" w:color="auto" w:sz="4" w:space="0"/>
            </w:tcBorders>
            <w:shd w:val="clear" w:color="auto" w:fill="auto"/>
            <w:vAlign w:val="center"/>
          </w:tcPr>
          <w:p>
            <w:pPr>
              <w:pStyle w:val="32"/>
              <w:widowControl w:val="0"/>
              <w:spacing w:before="0" w:beforeAutospacing="0" w:after="0" w:afterAutospacing="0"/>
              <w:jc w:val="both"/>
              <w:rPr>
                <w:sz w:val="21"/>
                <w:szCs w:val="21"/>
                <w:u w:val="single"/>
              </w:rPr>
            </w:pPr>
            <w:r>
              <w:rPr>
                <w:rFonts w:hint="eastAsia" w:ascii="Times New Roman" w:hAnsi="Times New Roman"/>
                <w:kern w:val="2"/>
                <w:sz w:val="21"/>
                <w:szCs w:val="21"/>
                <w:u w:val="single"/>
              </w:rPr>
              <w:t>月田镇，临近铁山水库二级保护区水域约6100米</w:t>
            </w:r>
          </w:p>
        </w:tc>
        <w:tc>
          <w:tcPr>
            <w:tcW w:w="929" w:type="dxa"/>
            <w:tcBorders>
              <w:top w:val="single" w:color="auto" w:sz="4" w:space="0"/>
              <w:left w:val="single" w:color="auto" w:sz="4" w:space="0"/>
              <w:bottom w:val="single" w:color="auto" w:sz="4" w:space="0"/>
              <w:right w:val="single" w:color="auto" w:sz="8" w:space="0"/>
            </w:tcBorders>
            <w:shd w:val="clear" w:color="auto" w:fill="auto"/>
            <w:vAlign w:val="center"/>
          </w:tcPr>
          <w:p>
            <w:pPr>
              <w:pStyle w:val="32"/>
              <w:widowControl w:val="0"/>
              <w:spacing w:before="0" w:beforeAutospacing="0" w:after="0" w:afterAutospacing="0"/>
              <w:jc w:val="both"/>
              <w:rPr>
                <w:sz w:val="21"/>
                <w:szCs w:val="21"/>
              </w:rPr>
            </w:pPr>
            <w:r>
              <w:rPr>
                <w:rFonts w:hint="eastAsia" w:ascii="Times New Roman" w:hAnsi="Times New Roman"/>
                <w:kern w:val="2"/>
                <w:sz w:val="21"/>
                <w:szCs w:val="21"/>
              </w:rPr>
              <w:t>加油站</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trHeight w:val="90" w:hRule="atLeast"/>
        </w:trPr>
        <w:tc>
          <w:tcPr>
            <w:tcW w:w="1590" w:type="dxa"/>
            <w:tcBorders>
              <w:top w:val="single" w:color="auto" w:sz="4" w:space="0"/>
              <w:left w:val="single" w:color="auto" w:sz="8" w:space="0"/>
              <w:bottom w:val="single" w:color="auto" w:sz="4" w:space="0"/>
              <w:right w:val="single" w:color="auto" w:sz="4" w:space="0"/>
            </w:tcBorders>
            <w:shd w:val="clear" w:color="auto" w:fill="auto"/>
            <w:vAlign w:val="center"/>
          </w:tcPr>
          <w:p>
            <w:pPr>
              <w:pStyle w:val="32"/>
              <w:widowControl w:val="0"/>
              <w:spacing w:before="0" w:beforeAutospacing="0" w:after="0" w:afterAutospacing="0"/>
              <w:jc w:val="both"/>
              <w:rPr>
                <w:sz w:val="21"/>
                <w:szCs w:val="21"/>
              </w:rPr>
            </w:pPr>
            <w:r>
              <w:rPr>
                <w:rFonts w:hint="eastAsia" w:ascii="Times New Roman" w:hAnsi="Times New Roman"/>
                <w:kern w:val="2"/>
                <w:sz w:val="21"/>
                <w:szCs w:val="21"/>
              </w:rPr>
              <w:t>八斗加油站</w:t>
            </w:r>
          </w:p>
        </w:tc>
        <w:tc>
          <w:tcPr>
            <w:tcW w:w="3008" w:type="dxa"/>
            <w:tcBorders>
              <w:top w:val="single" w:color="auto" w:sz="4" w:space="0"/>
              <w:left w:val="single" w:color="auto" w:sz="4" w:space="0"/>
              <w:bottom w:val="single" w:color="auto" w:sz="4" w:space="0"/>
              <w:right w:val="single" w:color="auto" w:sz="4" w:space="0"/>
            </w:tcBorders>
            <w:shd w:val="clear" w:color="auto" w:fill="auto"/>
            <w:vAlign w:val="center"/>
          </w:tcPr>
          <w:p>
            <w:pPr>
              <w:pStyle w:val="32"/>
              <w:widowControl w:val="0"/>
              <w:spacing w:before="0" w:beforeAutospacing="0" w:after="0" w:afterAutospacing="0"/>
              <w:jc w:val="both"/>
              <w:rPr>
                <w:sz w:val="21"/>
                <w:szCs w:val="21"/>
                <w:u w:val="single"/>
              </w:rPr>
            </w:pPr>
            <w:r>
              <w:rPr>
                <w:rFonts w:hint="eastAsia" w:ascii="Times New Roman" w:hAnsi="Times New Roman"/>
                <w:kern w:val="2"/>
                <w:sz w:val="21"/>
                <w:szCs w:val="21"/>
                <w:u w:val="single"/>
              </w:rPr>
              <w:t>毛田河铁山水库汇入口西侧约</w:t>
            </w:r>
            <w:r>
              <w:rPr>
                <w:rFonts w:ascii="Times New Roman" w:hAnsi="Times New Roman" w:cs="Times New Roman"/>
                <w:kern w:val="2"/>
                <w:sz w:val="21"/>
                <w:szCs w:val="21"/>
                <w:u w:val="single"/>
              </w:rPr>
              <w:t>100m</w:t>
            </w:r>
          </w:p>
        </w:tc>
        <w:tc>
          <w:tcPr>
            <w:tcW w:w="2991" w:type="dxa"/>
            <w:tcBorders>
              <w:top w:val="single" w:color="auto" w:sz="4" w:space="0"/>
              <w:left w:val="single" w:color="auto" w:sz="4" w:space="0"/>
              <w:bottom w:val="single" w:color="auto" w:sz="4" w:space="0"/>
              <w:right w:val="single" w:color="auto" w:sz="4" w:space="0"/>
            </w:tcBorders>
            <w:shd w:val="clear" w:color="auto" w:fill="auto"/>
            <w:vAlign w:val="center"/>
          </w:tcPr>
          <w:p>
            <w:pPr>
              <w:pStyle w:val="32"/>
              <w:widowControl w:val="0"/>
              <w:spacing w:before="0" w:beforeAutospacing="0" w:after="0" w:afterAutospacing="0"/>
              <w:jc w:val="both"/>
              <w:rPr>
                <w:sz w:val="21"/>
                <w:szCs w:val="21"/>
                <w:u w:val="single"/>
              </w:rPr>
            </w:pPr>
            <w:r>
              <w:rPr>
                <w:rFonts w:hint="eastAsia" w:ascii="Times New Roman" w:hAnsi="Times New Roman"/>
                <w:kern w:val="2"/>
                <w:sz w:val="21"/>
                <w:szCs w:val="21"/>
                <w:u w:val="single"/>
              </w:rPr>
              <w:t>毛田镇，临近铁山水库二级保护区水域约100米</w:t>
            </w:r>
          </w:p>
        </w:tc>
        <w:tc>
          <w:tcPr>
            <w:tcW w:w="929" w:type="dxa"/>
            <w:tcBorders>
              <w:top w:val="single" w:color="auto" w:sz="4" w:space="0"/>
              <w:left w:val="single" w:color="auto" w:sz="4" w:space="0"/>
              <w:bottom w:val="single" w:color="auto" w:sz="4" w:space="0"/>
              <w:right w:val="single" w:color="auto" w:sz="8" w:space="0"/>
            </w:tcBorders>
            <w:shd w:val="clear" w:color="auto" w:fill="auto"/>
            <w:vAlign w:val="center"/>
          </w:tcPr>
          <w:p>
            <w:pPr>
              <w:pStyle w:val="32"/>
              <w:widowControl w:val="0"/>
              <w:spacing w:before="0" w:beforeAutospacing="0" w:after="0" w:afterAutospacing="0"/>
              <w:jc w:val="both"/>
              <w:rPr>
                <w:sz w:val="21"/>
                <w:szCs w:val="21"/>
              </w:rPr>
            </w:pPr>
            <w:r>
              <w:rPr>
                <w:rFonts w:hint="eastAsia" w:ascii="Times New Roman" w:hAnsi="Times New Roman"/>
                <w:kern w:val="2"/>
                <w:sz w:val="21"/>
                <w:szCs w:val="21"/>
              </w:rPr>
              <w:t>加油站</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trPr>
        <w:tc>
          <w:tcPr>
            <w:tcW w:w="1590" w:type="dxa"/>
            <w:tcBorders>
              <w:top w:val="single" w:color="auto" w:sz="4" w:space="0"/>
              <w:left w:val="single" w:color="auto" w:sz="8" w:space="0"/>
              <w:bottom w:val="single" w:color="auto" w:sz="4" w:space="0"/>
              <w:right w:val="single" w:color="auto" w:sz="4" w:space="0"/>
            </w:tcBorders>
            <w:shd w:val="clear" w:color="auto" w:fill="auto"/>
            <w:vAlign w:val="center"/>
          </w:tcPr>
          <w:p>
            <w:pPr>
              <w:pStyle w:val="32"/>
              <w:widowControl w:val="0"/>
              <w:spacing w:before="0" w:beforeAutospacing="0" w:after="0" w:afterAutospacing="0"/>
              <w:jc w:val="both"/>
              <w:rPr>
                <w:sz w:val="21"/>
                <w:szCs w:val="21"/>
              </w:rPr>
            </w:pPr>
            <w:r>
              <w:rPr>
                <w:rFonts w:hint="eastAsia" w:ascii="Times New Roman" w:hAnsi="Times New Roman"/>
                <w:kern w:val="2"/>
                <w:sz w:val="21"/>
                <w:szCs w:val="21"/>
              </w:rPr>
              <w:t>月田长石粉厂</w:t>
            </w:r>
          </w:p>
        </w:tc>
        <w:tc>
          <w:tcPr>
            <w:tcW w:w="3008" w:type="dxa"/>
            <w:tcBorders>
              <w:top w:val="single" w:color="auto" w:sz="4" w:space="0"/>
              <w:left w:val="single" w:color="auto" w:sz="4" w:space="0"/>
              <w:bottom w:val="single" w:color="auto" w:sz="4" w:space="0"/>
              <w:right w:val="single" w:color="auto" w:sz="4" w:space="0"/>
            </w:tcBorders>
            <w:shd w:val="clear" w:color="auto" w:fill="auto"/>
            <w:vAlign w:val="center"/>
          </w:tcPr>
          <w:p>
            <w:pPr>
              <w:pStyle w:val="32"/>
              <w:widowControl w:val="0"/>
              <w:spacing w:before="0" w:beforeAutospacing="0" w:after="0" w:afterAutospacing="0"/>
              <w:jc w:val="both"/>
              <w:rPr>
                <w:sz w:val="21"/>
                <w:szCs w:val="21"/>
                <w:u w:val="single"/>
              </w:rPr>
            </w:pPr>
            <w:r>
              <w:rPr>
                <w:rFonts w:hint="eastAsia" w:ascii="Times New Roman" w:hAnsi="Times New Roman"/>
                <w:kern w:val="2"/>
                <w:sz w:val="21"/>
                <w:szCs w:val="21"/>
                <w:u w:val="single"/>
              </w:rPr>
              <w:t>沙河铁山水库汇入口上游约</w:t>
            </w:r>
            <w:r>
              <w:rPr>
                <w:rFonts w:ascii="Times New Roman" w:hAnsi="Times New Roman" w:cs="Times New Roman"/>
                <w:kern w:val="2"/>
                <w:sz w:val="21"/>
                <w:szCs w:val="21"/>
                <w:u w:val="single"/>
              </w:rPr>
              <w:t>8.2km</w:t>
            </w:r>
            <w:r>
              <w:rPr>
                <w:rFonts w:hint="eastAsia" w:ascii="Times New Roman" w:hAnsi="Times New Roman"/>
                <w:kern w:val="2"/>
                <w:sz w:val="21"/>
                <w:szCs w:val="21"/>
                <w:u w:val="single"/>
              </w:rPr>
              <w:t>，沙河东侧</w:t>
            </w:r>
            <w:r>
              <w:rPr>
                <w:rFonts w:ascii="Times New Roman" w:hAnsi="Times New Roman" w:cs="Times New Roman"/>
                <w:kern w:val="2"/>
                <w:sz w:val="21"/>
                <w:szCs w:val="21"/>
                <w:u w:val="single"/>
              </w:rPr>
              <w:t>10m</w:t>
            </w:r>
          </w:p>
        </w:tc>
        <w:tc>
          <w:tcPr>
            <w:tcW w:w="2991" w:type="dxa"/>
            <w:tcBorders>
              <w:top w:val="single" w:color="auto" w:sz="4" w:space="0"/>
              <w:left w:val="single" w:color="auto" w:sz="4" w:space="0"/>
              <w:bottom w:val="single" w:color="auto" w:sz="4" w:space="0"/>
              <w:right w:val="single" w:color="auto" w:sz="4" w:space="0"/>
            </w:tcBorders>
            <w:shd w:val="clear" w:color="auto" w:fill="auto"/>
            <w:vAlign w:val="center"/>
          </w:tcPr>
          <w:p>
            <w:pPr>
              <w:pStyle w:val="32"/>
              <w:widowControl w:val="0"/>
              <w:spacing w:before="0" w:beforeAutospacing="0" w:after="0" w:afterAutospacing="0"/>
              <w:jc w:val="both"/>
              <w:rPr>
                <w:sz w:val="21"/>
                <w:szCs w:val="21"/>
                <w:u w:val="single"/>
              </w:rPr>
            </w:pPr>
            <w:r>
              <w:rPr>
                <w:rFonts w:hint="eastAsia" w:ascii="Times New Roman" w:hAnsi="Times New Roman"/>
                <w:kern w:val="2"/>
                <w:sz w:val="21"/>
                <w:szCs w:val="21"/>
                <w:u w:val="single"/>
              </w:rPr>
              <w:t>月田镇，准保护区范围内</w:t>
            </w:r>
          </w:p>
        </w:tc>
        <w:tc>
          <w:tcPr>
            <w:tcW w:w="929" w:type="dxa"/>
            <w:tcBorders>
              <w:top w:val="single" w:color="auto" w:sz="4" w:space="0"/>
              <w:left w:val="single" w:color="auto" w:sz="4" w:space="0"/>
              <w:bottom w:val="single" w:color="auto" w:sz="4" w:space="0"/>
              <w:right w:val="single" w:color="auto" w:sz="8" w:space="0"/>
            </w:tcBorders>
            <w:shd w:val="clear" w:color="auto" w:fill="auto"/>
            <w:vAlign w:val="center"/>
          </w:tcPr>
          <w:p>
            <w:pPr>
              <w:pStyle w:val="32"/>
              <w:widowControl w:val="0"/>
              <w:spacing w:before="0" w:beforeAutospacing="0" w:after="0" w:afterAutospacing="0"/>
              <w:jc w:val="both"/>
              <w:rPr>
                <w:sz w:val="21"/>
                <w:szCs w:val="21"/>
              </w:rPr>
            </w:pPr>
            <w:r>
              <w:rPr>
                <w:rFonts w:hint="eastAsia" w:ascii="Times New Roman" w:hAnsi="Times New Roman"/>
                <w:kern w:val="2"/>
                <w:sz w:val="21"/>
                <w:szCs w:val="21"/>
              </w:rPr>
              <w:t>长石粉</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trPr>
        <w:tc>
          <w:tcPr>
            <w:tcW w:w="1590" w:type="dxa"/>
            <w:tcBorders>
              <w:top w:val="single" w:color="auto" w:sz="4" w:space="0"/>
              <w:left w:val="single" w:color="auto" w:sz="8" w:space="0"/>
              <w:bottom w:val="single" w:color="auto" w:sz="4" w:space="0"/>
              <w:right w:val="single" w:color="auto" w:sz="4" w:space="0"/>
            </w:tcBorders>
            <w:shd w:val="clear" w:color="auto" w:fill="auto"/>
            <w:vAlign w:val="center"/>
          </w:tcPr>
          <w:p>
            <w:pPr>
              <w:pStyle w:val="32"/>
              <w:widowControl w:val="0"/>
              <w:spacing w:before="0" w:beforeAutospacing="0" w:after="0" w:afterAutospacing="0"/>
              <w:jc w:val="both"/>
              <w:rPr>
                <w:sz w:val="21"/>
                <w:szCs w:val="21"/>
              </w:rPr>
            </w:pPr>
            <w:r>
              <w:rPr>
                <w:rFonts w:hint="eastAsia" w:ascii="Times New Roman" w:hAnsi="Times New Roman"/>
                <w:kern w:val="2"/>
                <w:sz w:val="21"/>
                <w:szCs w:val="21"/>
              </w:rPr>
              <w:t>弘峰长石粉有限公司</w:t>
            </w:r>
          </w:p>
        </w:tc>
        <w:tc>
          <w:tcPr>
            <w:tcW w:w="3008" w:type="dxa"/>
            <w:tcBorders>
              <w:top w:val="single" w:color="auto" w:sz="4" w:space="0"/>
              <w:left w:val="single" w:color="auto" w:sz="4" w:space="0"/>
              <w:bottom w:val="single" w:color="auto" w:sz="4" w:space="0"/>
              <w:right w:val="single" w:color="auto" w:sz="4" w:space="0"/>
            </w:tcBorders>
            <w:shd w:val="clear" w:color="auto" w:fill="auto"/>
            <w:vAlign w:val="center"/>
          </w:tcPr>
          <w:p>
            <w:pPr>
              <w:pStyle w:val="32"/>
              <w:widowControl w:val="0"/>
              <w:spacing w:before="0" w:beforeAutospacing="0" w:after="0" w:afterAutospacing="0"/>
              <w:jc w:val="both"/>
              <w:rPr>
                <w:sz w:val="21"/>
                <w:szCs w:val="21"/>
                <w:u w:val="single"/>
              </w:rPr>
            </w:pPr>
            <w:r>
              <w:rPr>
                <w:rFonts w:hint="eastAsia" w:ascii="Times New Roman" w:hAnsi="Times New Roman"/>
                <w:kern w:val="2"/>
                <w:sz w:val="21"/>
                <w:szCs w:val="21"/>
                <w:u w:val="single"/>
              </w:rPr>
              <w:t>沙河铁山水库汇入口上游约</w:t>
            </w:r>
            <w:r>
              <w:rPr>
                <w:rFonts w:ascii="Times New Roman" w:hAnsi="Times New Roman" w:cs="Times New Roman"/>
                <w:kern w:val="2"/>
                <w:sz w:val="21"/>
                <w:szCs w:val="21"/>
                <w:u w:val="single"/>
              </w:rPr>
              <w:t>6.2km</w:t>
            </w:r>
            <w:r>
              <w:rPr>
                <w:rFonts w:hint="eastAsia" w:ascii="Times New Roman" w:hAnsi="Times New Roman"/>
                <w:kern w:val="2"/>
                <w:sz w:val="21"/>
                <w:szCs w:val="21"/>
                <w:u w:val="single"/>
              </w:rPr>
              <w:t>，沙河东侧</w:t>
            </w:r>
            <w:r>
              <w:rPr>
                <w:rFonts w:ascii="Times New Roman" w:hAnsi="Times New Roman" w:cs="Times New Roman"/>
                <w:kern w:val="2"/>
                <w:sz w:val="21"/>
                <w:szCs w:val="21"/>
                <w:u w:val="single"/>
              </w:rPr>
              <w:t>10m</w:t>
            </w:r>
          </w:p>
        </w:tc>
        <w:tc>
          <w:tcPr>
            <w:tcW w:w="2991" w:type="dxa"/>
            <w:tcBorders>
              <w:top w:val="single" w:color="auto" w:sz="4" w:space="0"/>
              <w:left w:val="single" w:color="auto" w:sz="4" w:space="0"/>
              <w:bottom w:val="single" w:color="auto" w:sz="4" w:space="0"/>
              <w:right w:val="single" w:color="auto" w:sz="4" w:space="0"/>
            </w:tcBorders>
            <w:shd w:val="clear" w:color="auto" w:fill="auto"/>
            <w:vAlign w:val="center"/>
          </w:tcPr>
          <w:p>
            <w:pPr>
              <w:pStyle w:val="32"/>
              <w:widowControl w:val="0"/>
              <w:spacing w:before="0" w:beforeAutospacing="0" w:after="0" w:afterAutospacing="0"/>
              <w:jc w:val="both"/>
              <w:rPr>
                <w:sz w:val="21"/>
                <w:szCs w:val="21"/>
                <w:u w:val="single"/>
              </w:rPr>
            </w:pPr>
            <w:r>
              <w:rPr>
                <w:rFonts w:hint="eastAsia" w:ascii="Times New Roman" w:hAnsi="Times New Roman"/>
                <w:kern w:val="2"/>
                <w:sz w:val="21"/>
                <w:szCs w:val="21"/>
                <w:u w:val="single"/>
              </w:rPr>
              <w:t>月田镇，准保护区范围内</w:t>
            </w:r>
          </w:p>
        </w:tc>
        <w:tc>
          <w:tcPr>
            <w:tcW w:w="929" w:type="dxa"/>
            <w:tcBorders>
              <w:top w:val="single" w:color="auto" w:sz="4" w:space="0"/>
              <w:left w:val="single" w:color="auto" w:sz="4" w:space="0"/>
              <w:bottom w:val="single" w:color="auto" w:sz="4" w:space="0"/>
              <w:right w:val="single" w:color="auto" w:sz="8" w:space="0"/>
            </w:tcBorders>
            <w:shd w:val="clear" w:color="auto" w:fill="auto"/>
            <w:vAlign w:val="center"/>
          </w:tcPr>
          <w:p>
            <w:pPr>
              <w:pStyle w:val="32"/>
              <w:widowControl w:val="0"/>
              <w:spacing w:before="0" w:beforeAutospacing="0" w:after="0" w:afterAutospacing="0"/>
              <w:jc w:val="both"/>
              <w:rPr>
                <w:sz w:val="21"/>
                <w:szCs w:val="21"/>
              </w:rPr>
            </w:pPr>
            <w:r>
              <w:rPr>
                <w:rFonts w:hint="eastAsia" w:ascii="Times New Roman" w:hAnsi="Times New Roman"/>
                <w:kern w:val="2"/>
                <w:sz w:val="21"/>
                <w:szCs w:val="21"/>
              </w:rPr>
              <w:t>长石粉</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trPr>
        <w:tc>
          <w:tcPr>
            <w:tcW w:w="1590" w:type="dxa"/>
            <w:tcBorders>
              <w:top w:val="single" w:color="auto" w:sz="4" w:space="0"/>
              <w:left w:val="single" w:color="auto" w:sz="8" w:space="0"/>
              <w:bottom w:val="single" w:color="auto" w:sz="4" w:space="0"/>
              <w:right w:val="single" w:color="auto" w:sz="4" w:space="0"/>
            </w:tcBorders>
            <w:shd w:val="clear" w:color="auto" w:fill="auto"/>
            <w:vAlign w:val="center"/>
          </w:tcPr>
          <w:p>
            <w:pPr>
              <w:pStyle w:val="32"/>
              <w:widowControl w:val="0"/>
              <w:spacing w:before="0" w:beforeAutospacing="0" w:after="0" w:afterAutospacing="0"/>
              <w:jc w:val="both"/>
              <w:rPr>
                <w:rFonts w:ascii="Times New Roman" w:hAnsi="Times New Roman"/>
                <w:kern w:val="2"/>
                <w:sz w:val="21"/>
                <w:szCs w:val="21"/>
              </w:rPr>
            </w:pPr>
            <w:r>
              <w:rPr>
                <w:rFonts w:hint="eastAsia" w:ascii="Times New Roman" w:hAnsi="Times New Roman"/>
                <w:kern w:val="2"/>
                <w:sz w:val="21"/>
                <w:szCs w:val="21"/>
              </w:rPr>
              <w:t>月田镇污水处理厂</w:t>
            </w:r>
          </w:p>
        </w:tc>
        <w:tc>
          <w:tcPr>
            <w:tcW w:w="3008" w:type="dxa"/>
            <w:tcBorders>
              <w:top w:val="single" w:color="auto" w:sz="4" w:space="0"/>
              <w:left w:val="single" w:color="auto" w:sz="4" w:space="0"/>
              <w:bottom w:val="single" w:color="auto" w:sz="4" w:space="0"/>
              <w:right w:val="single" w:color="auto" w:sz="4" w:space="0"/>
            </w:tcBorders>
            <w:shd w:val="clear" w:color="auto" w:fill="auto"/>
            <w:vAlign w:val="center"/>
          </w:tcPr>
          <w:p>
            <w:pPr>
              <w:pStyle w:val="32"/>
              <w:widowControl w:val="0"/>
              <w:spacing w:before="0" w:beforeAutospacing="0" w:after="0" w:afterAutospacing="0"/>
              <w:jc w:val="both"/>
              <w:rPr>
                <w:rFonts w:ascii="Times New Roman" w:hAnsi="Times New Roman"/>
                <w:kern w:val="2"/>
                <w:sz w:val="21"/>
                <w:szCs w:val="21"/>
                <w:u w:val="single"/>
              </w:rPr>
            </w:pPr>
            <w:r>
              <w:rPr>
                <w:rFonts w:hint="eastAsia" w:ascii="Times New Roman" w:hAnsi="Times New Roman"/>
                <w:kern w:val="2"/>
                <w:sz w:val="21"/>
                <w:szCs w:val="21"/>
                <w:u w:val="single"/>
              </w:rPr>
              <w:t>距离铁山水库北干渠取水口约15km</w:t>
            </w:r>
          </w:p>
        </w:tc>
        <w:tc>
          <w:tcPr>
            <w:tcW w:w="2991" w:type="dxa"/>
            <w:tcBorders>
              <w:top w:val="single" w:color="auto" w:sz="4" w:space="0"/>
              <w:left w:val="single" w:color="auto" w:sz="4" w:space="0"/>
              <w:bottom w:val="single" w:color="auto" w:sz="4" w:space="0"/>
              <w:right w:val="single" w:color="auto" w:sz="4" w:space="0"/>
            </w:tcBorders>
            <w:shd w:val="clear" w:color="auto" w:fill="auto"/>
            <w:vAlign w:val="center"/>
          </w:tcPr>
          <w:p>
            <w:pPr>
              <w:pStyle w:val="32"/>
              <w:widowControl w:val="0"/>
              <w:spacing w:before="0" w:beforeAutospacing="0" w:after="0" w:afterAutospacing="0"/>
              <w:jc w:val="both"/>
              <w:rPr>
                <w:rFonts w:ascii="Times New Roman" w:hAnsi="Times New Roman"/>
                <w:kern w:val="2"/>
                <w:sz w:val="21"/>
                <w:szCs w:val="21"/>
                <w:u w:val="single"/>
              </w:rPr>
            </w:pPr>
            <w:r>
              <w:rPr>
                <w:rFonts w:hint="eastAsia" w:ascii="Times New Roman" w:hAnsi="Times New Roman"/>
                <w:kern w:val="2"/>
                <w:sz w:val="21"/>
                <w:szCs w:val="21"/>
                <w:u w:val="single"/>
              </w:rPr>
              <w:t>月田镇，临近铁山水库二级保护水域区约4600米</w:t>
            </w:r>
          </w:p>
        </w:tc>
        <w:tc>
          <w:tcPr>
            <w:tcW w:w="929" w:type="dxa"/>
            <w:vMerge w:val="restart"/>
            <w:tcBorders>
              <w:top w:val="single" w:color="auto" w:sz="4" w:space="0"/>
              <w:left w:val="single" w:color="auto" w:sz="4" w:space="0"/>
              <w:right w:val="single" w:color="auto" w:sz="8" w:space="0"/>
            </w:tcBorders>
            <w:shd w:val="clear" w:color="auto" w:fill="auto"/>
            <w:vAlign w:val="center"/>
          </w:tcPr>
          <w:p>
            <w:pPr>
              <w:pStyle w:val="32"/>
              <w:widowControl w:val="0"/>
              <w:spacing w:before="0" w:beforeAutospacing="0" w:after="0" w:afterAutospacing="0"/>
              <w:jc w:val="both"/>
              <w:rPr>
                <w:rFonts w:ascii="Times New Roman" w:hAnsi="Times New Roman"/>
                <w:kern w:val="2"/>
                <w:sz w:val="21"/>
                <w:szCs w:val="21"/>
              </w:rPr>
            </w:pPr>
            <w:r>
              <w:rPr>
                <w:rFonts w:hint="eastAsia" w:ascii="Times New Roman" w:hAnsi="Times New Roman"/>
                <w:kern w:val="2"/>
                <w:sz w:val="21"/>
                <w:szCs w:val="21"/>
              </w:rPr>
              <w:t>市政污水处理</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trPr>
        <w:tc>
          <w:tcPr>
            <w:tcW w:w="1590" w:type="dxa"/>
            <w:tcBorders>
              <w:top w:val="single" w:color="auto" w:sz="4" w:space="0"/>
              <w:left w:val="single" w:color="auto" w:sz="8" w:space="0"/>
              <w:bottom w:val="single" w:color="auto" w:sz="4" w:space="0"/>
              <w:right w:val="single" w:color="auto" w:sz="4" w:space="0"/>
            </w:tcBorders>
            <w:shd w:val="clear" w:color="auto" w:fill="auto"/>
            <w:vAlign w:val="center"/>
          </w:tcPr>
          <w:p>
            <w:pPr>
              <w:pStyle w:val="32"/>
              <w:widowControl w:val="0"/>
              <w:spacing w:before="0" w:beforeAutospacing="0" w:after="0" w:afterAutospacing="0"/>
              <w:jc w:val="both"/>
              <w:rPr>
                <w:rFonts w:ascii="Times New Roman" w:hAnsi="Times New Roman"/>
                <w:kern w:val="2"/>
                <w:sz w:val="21"/>
                <w:szCs w:val="21"/>
              </w:rPr>
            </w:pPr>
            <w:r>
              <w:rPr>
                <w:rFonts w:hint="eastAsia" w:ascii="Times New Roman" w:hAnsi="Times New Roman"/>
                <w:kern w:val="2"/>
                <w:sz w:val="21"/>
                <w:szCs w:val="21"/>
              </w:rPr>
              <w:t>毛田镇污水处理厂</w:t>
            </w:r>
          </w:p>
        </w:tc>
        <w:tc>
          <w:tcPr>
            <w:tcW w:w="3008" w:type="dxa"/>
            <w:tcBorders>
              <w:top w:val="single" w:color="auto" w:sz="4" w:space="0"/>
              <w:left w:val="single" w:color="auto" w:sz="4" w:space="0"/>
              <w:bottom w:val="single" w:color="auto" w:sz="4" w:space="0"/>
              <w:right w:val="single" w:color="auto" w:sz="4" w:space="0"/>
            </w:tcBorders>
            <w:shd w:val="clear" w:color="auto" w:fill="auto"/>
            <w:vAlign w:val="center"/>
          </w:tcPr>
          <w:p>
            <w:pPr>
              <w:pStyle w:val="32"/>
              <w:widowControl w:val="0"/>
              <w:spacing w:before="0" w:beforeAutospacing="0" w:after="0" w:afterAutospacing="0"/>
              <w:jc w:val="both"/>
              <w:rPr>
                <w:rFonts w:ascii="Times New Roman" w:hAnsi="Times New Roman"/>
                <w:kern w:val="2"/>
                <w:sz w:val="21"/>
                <w:szCs w:val="21"/>
                <w:u w:val="single"/>
              </w:rPr>
            </w:pPr>
            <w:r>
              <w:rPr>
                <w:rFonts w:hint="eastAsia" w:ascii="Times New Roman" w:hAnsi="Times New Roman"/>
                <w:kern w:val="2"/>
                <w:sz w:val="21"/>
                <w:szCs w:val="21"/>
                <w:u w:val="single"/>
              </w:rPr>
              <w:t>距离铁山水库北干渠取水口约10km</w:t>
            </w:r>
          </w:p>
        </w:tc>
        <w:tc>
          <w:tcPr>
            <w:tcW w:w="2991" w:type="dxa"/>
            <w:tcBorders>
              <w:top w:val="single" w:color="auto" w:sz="4" w:space="0"/>
              <w:left w:val="single" w:color="auto" w:sz="4" w:space="0"/>
              <w:bottom w:val="single" w:color="auto" w:sz="4" w:space="0"/>
              <w:right w:val="single" w:color="auto" w:sz="4" w:space="0"/>
            </w:tcBorders>
            <w:shd w:val="clear" w:color="auto" w:fill="auto"/>
            <w:vAlign w:val="center"/>
          </w:tcPr>
          <w:p>
            <w:pPr>
              <w:pStyle w:val="32"/>
              <w:widowControl w:val="0"/>
              <w:spacing w:before="0" w:beforeAutospacing="0" w:after="0" w:afterAutospacing="0"/>
              <w:jc w:val="both"/>
              <w:rPr>
                <w:rFonts w:ascii="Times New Roman" w:hAnsi="Times New Roman"/>
                <w:kern w:val="2"/>
                <w:sz w:val="21"/>
                <w:szCs w:val="21"/>
                <w:u w:val="single"/>
              </w:rPr>
            </w:pPr>
            <w:r>
              <w:rPr>
                <w:rFonts w:hint="eastAsia" w:ascii="Times New Roman" w:hAnsi="Times New Roman"/>
                <w:kern w:val="2"/>
                <w:sz w:val="21"/>
                <w:szCs w:val="21"/>
                <w:u w:val="single"/>
              </w:rPr>
              <w:t>毛田镇，临近铁山水库二级保护区水域约100米</w:t>
            </w:r>
          </w:p>
        </w:tc>
        <w:tc>
          <w:tcPr>
            <w:tcW w:w="929" w:type="dxa"/>
            <w:vMerge w:val="continue"/>
            <w:tcBorders>
              <w:left w:val="single" w:color="auto" w:sz="4" w:space="0"/>
              <w:bottom w:val="single" w:color="auto" w:sz="4" w:space="0"/>
              <w:right w:val="single" w:color="auto" w:sz="8" w:space="0"/>
            </w:tcBorders>
            <w:shd w:val="clear" w:color="auto" w:fill="auto"/>
            <w:vAlign w:val="center"/>
          </w:tcPr>
          <w:p>
            <w:pPr>
              <w:pStyle w:val="32"/>
              <w:widowControl w:val="0"/>
              <w:spacing w:before="0" w:beforeAutospacing="0" w:after="0" w:afterAutospacing="0"/>
              <w:jc w:val="both"/>
              <w:rPr>
                <w:rFonts w:ascii="Times New Roman" w:hAnsi="Times New Roman"/>
                <w:kern w:val="2"/>
                <w:sz w:val="21"/>
                <w:szCs w:val="21"/>
              </w:rPr>
            </w:pP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trPr>
        <w:tc>
          <w:tcPr>
            <w:tcW w:w="1590" w:type="dxa"/>
            <w:tcBorders>
              <w:top w:val="single" w:color="auto" w:sz="4" w:space="0"/>
              <w:left w:val="single" w:color="auto" w:sz="8" w:space="0"/>
              <w:bottom w:val="single" w:color="auto" w:sz="8" w:space="0"/>
              <w:right w:val="single" w:color="auto" w:sz="4" w:space="0"/>
            </w:tcBorders>
            <w:shd w:val="clear" w:color="auto" w:fill="auto"/>
            <w:vAlign w:val="center"/>
          </w:tcPr>
          <w:p>
            <w:pPr>
              <w:pStyle w:val="32"/>
              <w:widowControl w:val="0"/>
              <w:spacing w:before="0" w:beforeAutospacing="0" w:after="0" w:afterAutospacing="0"/>
              <w:jc w:val="both"/>
              <w:rPr>
                <w:rFonts w:ascii="Times New Roman" w:hAnsi="Times New Roman"/>
                <w:kern w:val="2"/>
                <w:sz w:val="21"/>
                <w:szCs w:val="21"/>
              </w:rPr>
            </w:pPr>
            <w:r>
              <w:rPr>
                <w:rFonts w:hint="eastAsia" w:ascii="Times New Roman" w:hAnsi="Times New Roman"/>
                <w:kern w:val="2"/>
                <w:sz w:val="21"/>
                <w:szCs w:val="21"/>
              </w:rPr>
              <w:t>金凤水库管理所</w:t>
            </w:r>
          </w:p>
        </w:tc>
        <w:tc>
          <w:tcPr>
            <w:tcW w:w="3008" w:type="dxa"/>
            <w:tcBorders>
              <w:top w:val="single" w:color="auto" w:sz="4" w:space="0"/>
              <w:left w:val="single" w:color="auto" w:sz="4" w:space="0"/>
              <w:bottom w:val="single" w:color="auto" w:sz="8" w:space="0"/>
              <w:right w:val="single" w:color="auto" w:sz="4" w:space="0"/>
            </w:tcBorders>
            <w:shd w:val="clear" w:color="auto" w:fill="auto"/>
            <w:vAlign w:val="center"/>
          </w:tcPr>
          <w:p>
            <w:pPr>
              <w:pStyle w:val="32"/>
              <w:widowControl w:val="0"/>
              <w:spacing w:before="0" w:beforeAutospacing="0" w:after="0" w:afterAutospacing="0"/>
              <w:jc w:val="both"/>
              <w:rPr>
                <w:rFonts w:ascii="Times New Roman" w:hAnsi="Times New Roman"/>
                <w:kern w:val="2"/>
                <w:sz w:val="21"/>
                <w:szCs w:val="21"/>
                <w:u w:val="single"/>
              </w:rPr>
            </w:pPr>
            <w:r>
              <w:rPr>
                <w:rFonts w:hint="eastAsia" w:ascii="Times New Roman" w:hAnsi="Times New Roman"/>
                <w:kern w:val="2"/>
                <w:sz w:val="21"/>
                <w:szCs w:val="21"/>
                <w:u w:val="single"/>
              </w:rPr>
              <w:t>距离金凤水库取水口约110m</w:t>
            </w:r>
          </w:p>
        </w:tc>
        <w:tc>
          <w:tcPr>
            <w:tcW w:w="2991" w:type="dxa"/>
            <w:tcBorders>
              <w:top w:val="single" w:color="auto" w:sz="4" w:space="0"/>
              <w:left w:val="single" w:color="auto" w:sz="4" w:space="0"/>
              <w:bottom w:val="single" w:color="auto" w:sz="8" w:space="0"/>
              <w:right w:val="single" w:color="auto" w:sz="4" w:space="0"/>
            </w:tcBorders>
            <w:shd w:val="clear" w:color="auto" w:fill="auto"/>
            <w:vAlign w:val="center"/>
          </w:tcPr>
          <w:p>
            <w:pPr>
              <w:pStyle w:val="32"/>
              <w:widowControl w:val="0"/>
              <w:spacing w:before="0" w:beforeAutospacing="0" w:after="0" w:afterAutospacing="0"/>
              <w:jc w:val="both"/>
              <w:rPr>
                <w:rFonts w:ascii="Times New Roman" w:hAnsi="Times New Roman"/>
                <w:kern w:val="2"/>
                <w:sz w:val="21"/>
                <w:szCs w:val="21"/>
                <w:u w:val="single"/>
              </w:rPr>
            </w:pPr>
            <w:r>
              <w:rPr>
                <w:rFonts w:hint="eastAsia" w:ascii="Times New Roman" w:hAnsi="Times New Roman"/>
                <w:kern w:val="2"/>
                <w:sz w:val="21"/>
                <w:szCs w:val="21"/>
                <w:u w:val="single"/>
              </w:rPr>
              <w:t>岳阳经开区，在一级陆域保护区范围内</w:t>
            </w:r>
          </w:p>
        </w:tc>
        <w:tc>
          <w:tcPr>
            <w:tcW w:w="929" w:type="dxa"/>
            <w:tcBorders>
              <w:top w:val="single" w:color="auto" w:sz="4" w:space="0"/>
              <w:left w:val="single" w:color="auto" w:sz="4" w:space="0"/>
              <w:bottom w:val="single" w:color="auto" w:sz="8" w:space="0"/>
              <w:right w:val="single" w:color="auto" w:sz="8" w:space="0"/>
            </w:tcBorders>
            <w:shd w:val="clear" w:color="auto" w:fill="auto"/>
            <w:vAlign w:val="center"/>
          </w:tcPr>
          <w:p>
            <w:pPr>
              <w:pStyle w:val="32"/>
              <w:widowControl w:val="0"/>
              <w:spacing w:before="0" w:beforeAutospacing="0" w:after="0" w:afterAutospacing="0"/>
              <w:jc w:val="center"/>
              <w:rPr>
                <w:rFonts w:ascii="Times New Roman" w:hAnsi="Times New Roman"/>
                <w:kern w:val="2"/>
                <w:sz w:val="21"/>
                <w:szCs w:val="21"/>
              </w:rPr>
            </w:pPr>
            <w:r>
              <w:rPr>
                <w:rFonts w:hint="eastAsia" w:ascii="Times New Roman" w:hAnsi="Times New Roman"/>
                <w:kern w:val="2"/>
                <w:sz w:val="21"/>
                <w:szCs w:val="21"/>
              </w:rPr>
              <w:t>/</w:t>
            </w:r>
          </w:p>
        </w:tc>
      </w:tr>
    </w:tbl>
    <w:p>
      <w:pPr>
        <w:ind w:firstLine="422"/>
        <w:jc w:val="center"/>
        <w:rPr>
          <w:b/>
          <w:sz w:val="21"/>
          <w:szCs w:val="21"/>
        </w:rPr>
      </w:pPr>
      <w:r>
        <w:rPr>
          <w:rFonts w:hint="eastAsia" w:ascii="宋体" w:hAnsi="宋体" w:cs="宋体"/>
          <w:b/>
          <w:sz w:val="21"/>
          <w:szCs w:val="21"/>
        </w:rPr>
        <w:t>表</w:t>
      </w:r>
      <w:r>
        <w:rPr>
          <w:rFonts w:hint="eastAsia"/>
          <w:b/>
          <w:sz w:val="21"/>
          <w:szCs w:val="21"/>
        </w:rPr>
        <w:t xml:space="preserve">4-2  </w:t>
      </w:r>
      <w:r>
        <w:rPr>
          <w:rFonts w:hint="eastAsia" w:ascii="宋体" w:hAnsi="宋体" w:cs="宋体"/>
          <w:b/>
          <w:sz w:val="21"/>
          <w:szCs w:val="21"/>
        </w:rPr>
        <w:t>饮用水水源地调查区固定污风险源风险防范措施情况一览表</w:t>
      </w:r>
    </w:p>
    <w:tbl>
      <w:tblPr>
        <w:tblStyle w:val="47"/>
        <w:tblW w:w="8519"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092"/>
        <w:gridCol w:w="642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trPr>
        <w:tc>
          <w:tcPr>
            <w:tcW w:w="2092" w:type="dxa"/>
            <w:tcBorders>
              <w:top w:val="single" w:color="auto" w:sz="4" w:space="0"/>
              <w:left w:val="single" w:color="auto" w:sz="4" w:space="0"/>
              <w:bottom w:val="single" w:color="auto" w:sz="4" w:space="0"/>
              <w:right w:val="single" w:color="auto" w:sz="4" w:space="0"/>
            </w:tcBorders>
            <w:shd w:val="clear" w:color="auto" w:fill="auto"/>
            <w:vAlign w:val="center"/>
          </w:tcPr>
          <w:p>
            <w:pPr>
              <w:pStyle w:val="32"/>
              <w:widowControl w:val="0"/>
              <w:spacing w:before="0" w:beforeAutospacing="0" w:after="0" w:afterAutospacing="0"/>
              <w:jc w:val="center"/>
              <w:rPr>
                <w:b/>
                <w:sz w:val="21"/>
                <w:szCs w:val="21"/>
              </w:rPr>
            </w:pPr>
            <w:r>
              <w:rPr>
                <w:rFonts w:hint="eastAsia" w:ascii="Times New Roman" w:hAnsi="Times New Roman"/>
                <w:b/>
                <w:kern w:val="2"/>
                <w:sz w:val="21"/>
                <w:szCs w:val="21"/>
              </w:rPr>
              <w:t>企业</w:t>
            </w:r>
          </w:p>
        </w:tc>
        <w:tc>
          <w:tcPr>
            <w:tcW w:w="6427" w:type="dxa"/>
            <w:tcBorders>
              <w:top w:val="single" w:color="auto" w:sz="4" w:space="0"/>
              <w:left w:val="nil"/>
              <w:bottom w:val="single" w:color="auto" w:sz="4" w:space="0"/>
              <w:right w:val="single" w:color="auto" w:sz="4" w:space="0"/>
            </w:tcBorders>
            <w:shd w:val="clear" w:color="auto" w:fill="auto"/>
            <w:vAlign w:val="center"/>
          </w:tcPr>
          <w:p>
            <w:pPr>
              <w:pStyle w:val="32"/>
              <w:widowControl w:val="0"/>
              <w:spacing w:before="0" w:beforeAutospacing="0" w:after="0" w:afterAutospacing="0"/>
              <w:jc w:val="center"/>
              <w:rPr>
                <w:b/>
                <w:sz w:val="21"/>
                <w:szCs w:val="21"/>
              </w:rPr>
            </w:pPr>
            <w:r>
              <w:rPr>
                <w:rFonts w:hint="eastAsia" w:ascii="Times New Roman" w:hAnsi="Times New Roman"/>
                <w:b/>
                <w:kern w:val="2"/>
                <w:sz w:val="21"/>
                <w:szCs w:val="21"/>
              </w:rPr>
              <w:t>风险防范措施</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trPr>
        <w:tc>
          <w:tcPr>
            <w:tcW w:w="2092" w:type="dxa"/>
            <w:tcBorders>
              <w:top w:val="single" w:color="auto" w:sz="4" w:space="0"/>
              <w:left w:val="single" w:color="auto" w:sz="4" w:space="0"/>
              <w:bottom w:val="single" w:color="auto" w:sz="4" w:space="0"/>
              <w:right w:val="single" w:color="auto" w:sz="4" w:space="0"/>
            </w:tcBorders>
            <w:shd w:val="clear" w:color="auto" w:fill="auto"/>
            <w:vAlign w:val="center"/>
          </w:tcPr>
          <w:p>
            <w:pPr>
              <w:pStyle w:val="32"/>
              <w:widowControl w:val="0"/>
              <w:spacing w:before="0" w:beforeAutospacing="0" w:after="0" w:afterAutospacing="0"/>
              <w:jc w:val="both"/>
              <w:rPr>
                <w:sz w:val="21"/>
                <w:szCs w:val="21"/>
              </w:rPr>
            </w:pPr>
            <w:r>
              <w:rPr>
                <w:rFonts w:hint="eastAsia" w:ascii="Times New Roman" w:hAnsi="Times New Roman"/>
                <w:kern w:val="2"/>
                <w:sz w:val="21"/>
                <w:szCs w:val="21"/>
              </w:rPr>
              <w:t>大塅加油站、月田电力加油站、月田加油站、八斗加油站</w:t>
            </w:r>
          </w:p>
        </w:tc>
        <w:tc>
          <w:tcPr>
            <w:tcW w:w="6427" w:type="dxa"/>
            <w:tcBorders>
              <w:top w:val="single" w:color="auto" w:sz="4" w:space="0"/>
              <w:left w:val="nil"/>
              <w:bottom w:val="single" w:color="auto" w:sz="4" w:space="0"/>
              <w:right w:val="single" w:color="auto" w:sz="4" w:space="0"/>
            </w:tcBorders>
            <w:shd w:val="clear" w:color="auto" w:fill="auto"/>
            <w:vAlign w:val="center"/>
          </w:tcPr>
          <w:p>
            <w:pPr>
              <w:pStyle w:val="32"/>
              <w:widowControl w:val="0"/>
              <w:spacing w:before="0" w:beforeAutospacing="0" w:after="0" w:afterAutospacing="0"/>
              <w:rPr>
                <w:sz w:val="21"/>
                <w:szCs w:val="21"/>
                <w:u w:val="single"/>
              </w:rPr>
            </w:pPr>
            <w:r>
              <w:rPr>
                <w:rFonts w:ascii="Times New Roman" w:hAnsi="Times New Roman" w:cs="Times New Roman"/>
                <w:kern w:val="2"/>
                <w:sz w:val="21"/>
                <w:szCs w:val="21"/>
                <w:u w:val="single"/>
              </w:rPr>
              <w:t>1</w:t>
            </w:r>
            <w:r>
              <w:rPr>
                <w:rFonts w:hint="eastAsia" w:ascii="Times New Roman" w:hAnsi="Times New Roman"/>
                <w:kern w:val="2"/>
                <w:sz w:val="21"/>
                <w:szCs w:val="21"/>
                <w:u w:val="single"/>
              </w:rPr>
              <w:t>、清罐废水：委托有资质单位进行专业处理；</w:t>
            </w:r>
          </w:p>
          <w:p>
            <w:pPr>
              <w:pStyle w:val="32"/>
              <w:widowControl w:val="0"/>
              <w:spacing w:before="0" w:beforeAutospacing="0" w:after="0" w:afterAutospacing="0"/>
              <w:rPr>
                <w:sz w:val="21"/>
                <w:szCs w:val="21"/>
                <w:u w:val="single"/>
              </w:rPr>
            </w:pPr>
            <w:r>
              <w:rPr>
                <w:rFonts w:ascii="Times New Roman" w:hAnsi="Times New Roman" w:cs="Times New Roman"/>
                <w:kern w:val="2"/>
                <w:sz w:val="21"/>
                <w:szCs w:val="21"/>
                <w:u w:val="single"/>
              </w:rPr>
              <w:t>2</w:t>
            </w:r>
            <w:r>
              <w:rPr>
                <w:rFonts w:hint="eastAsia" w:ascii="Times New Roman" w:hAnsi="Times New Roman"/>
                <w:kern w:val="2"/>
                <w:sz w:val="21"/>
                <w:szCs w:val="21"/>
                <w:u w:val="single"/>
              </w:rPr>
              <w:t>、地面冲洗废水：沉砂池、隔油池、沉淀池三级处理后，回用与厂区绿化；</w:t>
            </w:r>
          </w:p>
          <w:p>
            <w:pPr>
              <w:pStyle w:val="32"/>
              <w:widowControl w:val="0"/>
              <w:spacing w:before="0" w:beforeAutospacing="0" w:after="0" w:afterAutospacing="0"/>
              <w:rPr>
                <w:sz w:val="21"/>
                <w:szCs w:val="21"/>
              </w:rPr>
            </w:pPr>
            <w:r>
              <w:rPr>
                <w:rFonts w:ascii="Times New Roman" w:hAnsi="Times New Roman" w:cs="Times New Roman"/>
                <w:kern w:val="2"/>
                <w:sz w:val="21"/>
                <w:szCs w:val="21"/>
                <w:u w:val="single"/>
              </w:rPr>
              <w:t>3</w:t>
            </w:r>
            <w:r>
              <w:rPr>
                <w:rFonts w:hint="eastAsia" w:ascii="Times New Roman" w:hAnsi="Times New Roman"/>
                <w:kern w:val="2"/>
                <w:sz w:val="21"/>
                <w:szCs w:val="21"/>
                <w:u w:val="single"/>
              </w:rPr>
              <w:t>、生活废水：化粪池处理后回用于厂区绿化及周边林地及农田灌溉。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trPr>
        <w:tc>
          <w:tcPr>
            <w:tcW w:w="2092" w:type="dxa"/>
            <w:tcBorders>
              <w:top w:val="single" w:color="auto" w:sz="4" w:space="0"/>
              <w:left w:val="single" w:color="auto" w:sz="4" w:space="0"/>
              <w:bottom w:val="single" w:color="auto" w:sz="4" w:space="0"/>
              <w:right w:val="single" w:color="auto" w:sz="4" w:space="0"/>
            </w:tcBorders>
            <w:shd w:val="clear" w:color="auto" w:fill="auto"/>
            <w:vAlign w:val="center"/>
          </w:tcPr>
          <w:p>
            <w:pPr>
              <w:pStyle w:val="32"/>
              <w:widowControl w:val="0"/>
              <w:spacing w:before="0" w:beforeAutospacing="0" w:after="0" w:afterAutospacing="0"/>
              <w:jc w:val="both"/>
              <w:rPr>
                <w:sz w:val="21"/>
                <w:szCs w:val="21"/>
              </w:rPr>
            </w:pPr>
            <w:r>
              <w:rPr>
                <w:rFonts w:hint="eastAsia" w:ascii="Times New Roman" w:hAnsi="Times New Roman"/>
                <w:kern w:val="2"/>
                <w:sz w:val="21"/>
                <w:szCs w:val="21"/>
              </w:rPr>
              <w:t>弘峰长石粉有限公司、月田长石粉厂</w:t>
            </w:r>
          </w:p>
        </w:tc>
        <w:tc>
          <w:tcPr>
            <w:tcW w:w="6427" w:type="dxa"/>
            <w:tcBorders>
              <w:top w:val="single" w:color="auto" w:sz="4" w:space="0"/>
              <w:left w:val="nil"/>
              <w:bottom w:val="single" w:color="auto" w:sz="4" w:space="0"/>
              <w:right w:val="single" w:color="auto" w:sz="4" w:space="0"/>
            </w:tcBorders>
            <w:shd w:val="clear" w:color="auto" w:fill="auto"/>
            <w:vAlign w:val="center"/>
          </w:tcPr>
          <w:p>
            <w:pPr>
              <w:pStyle w:val="32"/>
              <w:widowControl w:val="0"/>
              <w:spacing w:before="0" w:beforeAutospacing="0" w:after="0" w:afterAutospacing="0"/>
              <w:rPr>
                <w:sz w:val="21"/>
                <w:szCs w:val="21"/>
              </w:rPr>
            </w:pPr>
            <w:r>
              <w:rPr>
                <w:rFonts w:hint="eastAsia" w:ascii="Times New Roman" w:hAnsi="Times New Roman"/>
                <w:kern w:val="2"/>
                <w:sz w:val="21"/>
                <w:szCs w:val="21"/>
                <w:u w:val="single"/>
              </w:rPr>
              <w:t>生产废水经沉淀后回用。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trPr>
        <w:tc>
          <w:tcPr>
            <w:tcW w:w="2092" w:type="dxa"/>
            <w:tcBorders>
              <w:top w:val="single" w:color="auto" w:sz="4" w:space="0"/>
              <w:left w:val="single" w:color="auto" w:sz="4" w:space="0"/>
              <w:bottom w:val="single" w:color="auto" w:sz="4" w:space="0"/>
              <w:right w:val="single" w:color="auto" w:sz="4" w:space="0"/>
            </w:tcBorders>
            <w:shd w:val="clear" w:color="auto" w:fill="auto"/>
            <w:vAlign w:val="center"/>
          </w:tcPr>
          <w:p>
            <w:pPr>
              <w:pStyle w:val="32"/>
              <w:widowControl w:val="0"/>
              <w:spacing w:before="0" w:beforeAutospacing="0" w:after="0" w:afterAutospacing="0"/>
              <w:jc w:val="both"/>
              <w:rPr>
                <w:rFonts w:ascii="Times New Roman" w:hAnsi="Times New Roman"/>
                <w:kern w:val="2"/>
                <w:sz w:val="21"/>
                <w:szCs w:val="21"/>
              </w:rPr>
            </w:pPr>
            <w:r>
              <w:rPr>
                <w:rFonts w:hint="eastAsia" w:ascii="Times New Roman" w:hAnsi="Times New Roman"/>
                <w:kern w:val="2"/>
                <w:sz w:val="21"/>
                <w:szCs w:val="21"/>
              </w:rPr>
              <w:t>月田镇污水处理厂</w:t>
            </w:r>
          </w:p>
        </w:tc>
        <w:tc>
          <w:tcPr>
            <w:tcW w:w="6427" w:type="dxa"/>
            <w:tcBorders>
              <w:top w:val="single" w:color="auto" w:sz="4" w:space="0"/>
              <w:left w:val="nil"/>
              <w:right w:val="single" w:color="auto" w:sz="4" w:space="0"/>
            </w:tcBorders>
            <w:shd w:val="clear" w:color="auto" w:fill="auto"/>
            <w:vAlign w:val="center"/>
          </w:tcPr>
          <w:p>
            <w:pPr>
              <w:pStyle w:val="32"/>
              <w:widowControl w:val="0"/>
              <w:spacing w:before="0" w:beforeAutospacing="0" w:after="0" w:afterAutospacing="0"/>
              <w:rPr>
                <w:rFonts w:ascii="Times New Roman" w:hAnsi="Times New Roman"/>
                <w:kern w:val="2"/>
                <w:sz w:val="21"/>
                <w:szCs w:val="21"/>
              </w:rPr>
            </w:pPr>
            <w:r>
              <w:rPr>
                <w:rFonts w:hint="eastAsia" w:ascii="Times New Roman" w:hAnsi="Times New Roman" w:cs="Times New Roman"/>
                <w:sz w:val="21"/>
                <w:szCs w:val="21"/>
              </w:rPr>
              <w:t>生活污水经处理达到</w:t>
            </w:r>
            <w:r>
              <w:rPr>
                <w:rFonts w:ascii="Times New Roman" w:hAnsi="Times New Roman" w:cs="Times New Roman"/>
                <w:sz w:val="21"/>
                <w:szCs w:val="21"/>
              </w:rPr>
              <w:t>GB18918-2002</w:t>
            </w:r>
            <w:r>
              <w:rPr>
                <w:rFonts w:hint="eastAsia" w:ascii="Times New Roman" w:hAnsi="Times New Roman" w:cs="Times New Roman"/>
                <w:sz w:val="21"/>
                <w:szCs w:val="21"/>
              </w:rPr>
              <w:t>一级</w:t>
            </w:r>
            <w:r>
              <w:rPr>
                <w:rFonts w:ascii="Times New Roman" w:hAnsi="Times New Roman" w:cs="Times New Roman"/>
                <w:sz w:val="21"/>
                <w:szCs w:val="21"/>
              </w:rPr>
              <w:t>A</w:t>
            </w:r>
            <w:r>
              <w:rPr>
                <w:rFonts w:hint="eastAsia" w:ascii="Times New Roman" w:hAnsi="Times New Roman" w:cs="Times New Roman"/>
                <w:sz w:val="21"/>
                <w:szCs w:val="21"/>
              </w:rPr>
              <w:t>标准后排入沙河</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trPr>
        <w:tc>
          <w:tcPr>
            <w:tcW w:w="2092" w:type="dxa"/>
            <w:tcBorders>
              <w:top w:val="single" w:color="auto" w:sz="4" w:space="0"/>
              <w:left w:val="single" w:color="auto" w:sz="4" w:space="0"/>
              <w:bottom w:val="single" w:color="auto" w:sz="4" w:space="0"/>
              <w:right w:val="single" w:color="auto" w:sz="4" w:space="0"/>
            </w:tcBorders>
            <w:shd w:val="clear" w:color="auto" w:fill="auto"/>
            <w:vAlign w:val="center"/>
          </w:tcPr>
          <w:p>
            <w:pPr>
              <w:pStyle w:val="32"/>
              <w:widowControl w:val="0"/>
              <w:spacing w:before="0" w:beforeAutospacing="0" w:after="0" w:afterAutospacing="0"/>
              <w:jc w:val="both"/>
              <w:rPr>
                <w:rFonts w:ascii="Times New Roman" w:hAnsi="Times New Roman"/>
                <w:kern w:val="2"/>
                <w:sz w:val="21"/>
                <w:szCs w:val="21"/>
              </w:rPr>
            </w:pPr>
            <w:r>
              <w:rPr>
                <w:rFonts w:hint="eastAsia" w:ascii="Times New Roman" w:hAnsi="Times New Roman"/>
                <w:kern w:val="2"/>
                <w:sz w:val="21"/>
                <w:szCs w:val="21"/>
              </w:rPr>
              <w:t>毛田镇污水处理厂</w:t>
            </w:r>
          </w:p>
        </w:tc>
        <w:tc>
          <w:tcPr>
            <w:tcW w:w="6427" w:type="dxa"/>
            <w:tcBorders>
              <w:left w:val="nil"/>
              <w:bottom w:val="single" w:color="auto" w:sz="4" w:space="0"/>
              <w:right w:val="single" w:color="auto" w:sz="4" w:space="0"/>
            </w:tcBorders>
            <w:shd w:val="clear" w:color="auto" w:fill="auto"/>
            <w:vAlign w:val="center"/>
          </w:tcPr>
          <w:p>
            <w:pPr>
              <w:pStyle w:val="32"/>
              <w:widowControl w:val="0"/>
              <w:spacing w:before="0" w:beforeAutospacing="0" w:after="0" w:afterAutospacing="0"/>
              <w:rPr>
                <w:rFonts w:ascii="Times New Roman" w:hAnsi="Times New Roman"/>
                <w:kern w:val="2"/>
                <w:sz w:val="21"/>
                <w:szCs w:val="21"/>
              </w:rPr>
            </w:pPr>
            <w:r>
              <w:rPr>
                <w:rFonts w:hint="eastAsia" w:ascii="Times New Roman" w:hAnsi="Times New Roman" w:cs="Times New Roman"/>
                <w:sz w:val="21"/>
                <w:szCs w:val="21"/>
              </w:rPr>
              <w:t>生活污水经处理达到</w:t>
            </w:r>
            <w:r>
              <w:rPr>
                <w:rFonts w:ascii="Times New Roman" w:hAnsi="Times New Roman" w:cs="Times New Roman"/>
                <w:sz w:val="21"/>
                <w:szCs w:val="21"/>
              </w:rPr>
              <w:t>GB18918-2002</w:t>
            </w:r>
            <w:r>
              <w:rPr>
                <w:rFonts w:hint="eastAsia" w:ascii="Times New Roman" w:hAnsi="Times New Roman" w:cs="Times New Roman"/>
                <w:sz w:val="21"/>
                <w:szCs w:val="21"/>
              </w:rPr>
              <w:t>一级</w:t>
            </w:r>
            <w:r>
              <w:rPr>
                <w:rFonts w:ascii="Times New Roman" w:hAnsi="Times New Roman" w:cs="Times New Roman"/>
                <w:sz w:val="21"/>
                <w:szCs w:val="21"/>
              </w:rPr>
              <w:t>A</w:t>
            </w:r>
            <w:r>
              <w:rPr>
                <w:rFonts w:hint="eastAsia" w:ascii="Times New Roman" w:hAnsi="Times New Roman" w:cs="Times New Roman"/>
                <w:sz w:val="21"/>
                <w:szCs w:val="21"/>
              </w:rPr>
              <w:t>标准后排入毛田河</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trPr>
        <w:tc>
          <w:tcPr>
            <w:tcW w:w="2092" w:type="dxa"/>
            <w:tcBorders>
              <w:top w:val="single" w:color="auto" w:sz="4" w:space="0"/>
              <w:left w:val="single" w:color="auto" w:sz="4" w:space="0"/>
              <w:bottom w:val="single" w:color="auto" w:sz="4" w:space="0"/>
              <w:right w:val="single" w:color="auto" w:sz="4" w:space="0"/>
            </w:tcBorders>
            <w:shd w:val="clear" w:color="auto" w:fill="auto"/>
            <w:vAlign w:val="center"/>
          </w:tcPr>
          <w:p>
            <w:pPr>
              <w:pStyle w:val="32"/>
              <w:widowControl w:val="0"/>
              <w:spacing w:before="0" w:beforeAutospacing="0" w:after="0" w:afterAutospacing="0"/>
              <w:jc w:val="both"/>
              <w:rPr>
                <w:rFonts w:ascii="Times New Roman" w:hAnsi="Times New Roman"/>
                <w:kern w:val="2"/>
                <w:sz w:val="21"/>
                <w:szCs w:val="21"/>
              </w:rPr>
            </w:pPr>
            <w:r>
              <w:rPr>
                <w:rFonts w:hint="eastAsia" w:ascii="Times New Roman" w:hAnsi="Times New Roman"/>
                <w:kern w:val="2"/>
                <w:sz w:val="21"/>
                <w:szCs w:val="21"/>
              </w:rPr>
              <w:t>金凤水库管理所</w:t>
            </w:r>
          </w:p>
        </w:tc>
        <w:tc>
          <w:tcPr>
            <w:tcW w:w="6427" w:type="dxa"/>
            <w:tcBorders>
              <w:top w:val="single" w:color="auto" w:sz="4" w:space="0"/>
              <w:left w:val="nil"/>
              <w:bottom w:val="single" w:color="auto" w:sz="4" w:space="0"/>
              <w:right w:val="single" w:color="auto" w:sz="4" w:space="0"/>
            </w:tcBorders>
            <w:shd w:val="clear" w:color="auto" w:fill="auto"/>
            <w:vAlign w:val="center"/>
          </w:tcPr>
          <w:p>
            <w:pPr>
              <w:pStyle w:val="32"/>
              <w:widowControl w:val="0"/>
              <w:spacing w:before="0" w:beforeAutospacing="0" w:after="0" w:afterAutospacing="0"/>
              <w:rPr>
                <w:rFonts w:ascii="Times New Roman" w:hAnsi="Times New Roman"/>
                <w:kern w:val="2"/>
                <w:sz w:val="21"/>
                <w:szCs w:val="21"/>
              </w:rPr>
            </w:pPr>
            <w:r>
              <w:rPr>
                <w:rFonts w:hint="eastAsia" w:ascii="Times New Roman" w:hAnsi="Times New Roman"/>
                <w:kern w:val="2"/>
                <w:sz w:val="21"/>
                <w:szCs w:val="21"/>
                <w:u w:val="single"/>
              </w:rPr>
              <w:t>生活污水经管道引出库区外排放</w:t>
            </w:r>
          </w:p>
        </w:tc>
      </w:tr>
    </w:tbl>
    <w:p>
      <w:pPr>
        <w:ind w:firstLine="422"/>
        <w:jc w:val="center"/>
        <w:rPr>
          <w:rFonts w:ascii="宋体" w:hAnsi="宋体" w:cs="宋体"/>
          <w:b/>
          <w:sz w:val="21"/>
          <w:szCs w:val="21"/>
        </w:rPr>
      </w:pPr>
    </w:p>
    <w:p>
      <w:pPr>
        <w:ind w:firstLine="422"/>
        <w:jc w:val="center"/>
        <w:rPr>
          <w:rFonts w:ascii="宋体" w:hAnsi="宋体" w:cs="宋体"/>
          <w:b/>
          <w:sz w:val="21"/>
          <w:szCs w:val="21"/>
        </w:rPr>
      </w:pPr>
    </w:p>
    <w:p>
      <w:pPr>
        <w:ind w:firstLine="422"/>
        <w:jc w:val="center"/>
        <w:rPr>
          <w:b/>
          <w:sz w:val="21"/>
          <w:szCs w:val="21"/>
        </w:rPr>
      </w:pPr>
      <w:r>
        <w:rPr>
          <w:rFonts w:hint="eastAsia" w:ascii="宋体" w:hAnsi="宋体" w:cs="宋体"/>
          <w:b/>
          <w:sz w:val="21"/>
          <w:szCs w:val="21"/>
        </w:rPr>
        <w:t>表</w:t>
      </w:r>
      <w:r>
        <w:rPr>
          <w:rFonts w:hint="eastAsia"/>
          <w:b/>
          <w:sz w:val="21"/>
          <w:szCs w:val="21"/>
        </w:rPr>
        <w:t>4-3</w:t>
      </w:r>
      <w:r>
        <w:rPr>
          <w:b/>
          <w:sz w:val="21"/>
          <w:szCs w:val="21"/>
        </w:rPr>
        <w:t xml:space="preserve"> </w:t>
      </w:r>
      <w:r>
        <w:rPr>
          <w:rFonts w:hint="eastAsia" w:ascii="宋体" w:hAnsi="宋体" w:cs="宋体"/>
          <w:b/>
          <w:sz w:val="21"/>
          <w:szCs w:val="21"/>
        </w:rPr>
        <w:t>饮用水水源地调查区固定风险源环境风险物质一览表</w:t>
      </w:r>
    </w:p>
    <w:tbl>
      <w:tblPr>
        <w:tblStyle w:val="47"/>
        <w:tblW w:w="8512" w:type="dxa"/>
        <w:tblInd w:w="0" w:type="dxa"/>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
      <w:tblGrid>
        <w:gridCol w:w="1785"/>
        <w:gridCol w:w="1080"/>
        <w:gridCol w:w="1410"/>
        <w:gridCol w:w="3030"/>
        <w:gridCol w:w="1207"/>
      </w:tblGrid>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trPr>
        <w:tc>
          <w:tcPr>
            <w:tcW w:w="1785" w:type="dxa"/>
            <w:tcBorders>
              <w:top w:val="single" w:color="auto" w:sz="8" w:space="0"/>
              <w:left w:val="single" w:color="auto" w:sz="8" w:space="0"/>
              <w:bottom w:val="single" w:color="auto" w:sz="4" w:space="0"/>
              <w:right w:val="single" w:color="auto" w:sz="4" w:space="0"/>
            </w:tcBorders>
            <w:shd w:val="clear" w:color="auto" w:fill="auto"/>
            <w:vAlign w:val="center"/>
          </w:tcPr>
          <w:p>
            <w:pPr>
              <w:pStyle w:val="32"/>
              <w:widowControl w:val="0"/>
              <w:spacing w:before="0" w:beforeAutospacing="0" w:after="0" w:afterAutospacing="0"/>
              <w:jc w:val="center"/>
              <w:rPr>
                <w:b/>
                <w:sz w:val="21"/>
                <w:szCs w:val="21"/>
              </w:rPr>
            </w:pPr>
            <w:r>
              <w:rPr>
                <w:rFonts w:hint="eastAsia" w:ascii="Times New Roman" w:hAnsi="Times New Roman"/>
                <w:b/>
                <w:kern w:val="2"/>
                <w:sz w:val="21"/>
                <w:szCs w:val="21"/>
              </w:rPr>
              <w:t>企业</w:t>
            </w:r>
          </w:p>
        </w:tc>
        <w:tc>
          <w:tcPr>
            <w:tcW w:w="1080" w:type="dxa"/>
            <w:tcBorders>
              <w:top w:val="single" w:color="auto" w:sz="8" w:space="0"/>
              <w:left w:val="single" w:color="auto" w:sz="4" w:space="0"/>
              <w:bottom w:val="single" w:color="auto" w:sz="4" w:space="0"/>
              <w:right w:val="single" w:color="auto" w:sz="4" w:space="0"/>
            </w:tcBorders>
            <w:shd w:val="clear" w:color="auto" w:fill="auto"/>
            <w:vAlign w:val="center"/>
          </w:tcPr>
          <w:p>
            <w:pPr>
              <w:pStyle w:val="32"/>
              <w:widowControl w:val="0"/>
              <w:spacing w:before="0" w:beforeAutospacing="0" w:after="0" w:afterAutospacing="0"/>
              <w:jc w:val="center"/>
              <w:rPr>
                <w:b/>
                <w:sz w:val="21"/>
                <w:szCs w:val="21"/>
              </w:rPr>
            </w:pPr>
            <w:r>
              <w:rPr>
                <w:rFonts w:hint="eastAsia" w:ascii="Times New Roman" w:hAnsi="Times New Roman"/>
                <w:b/>
                <w:kern w:val="2"/>
                <w:sz w:val="21"/>
                <w:szCs w:val="21"/>
              </w:rPr>
              <w:t>危险物质</w:t>
            </w:r>
          </w:p>
        </w:tc>
        <w:tc>
          <w:tcPr>
            <w:tcW w:w="1410" w:type="dxa"/>
            <w:tcBorders>
              <w:top w:val="single" w:color="auto" w:sz="8" w:space="0"/>
              <w:left w:val="single" w:color="auto" w:sz="4" w:space="0"/>
              <w:bottom w:val="single" w:color="auto" w:sz="4" w:space="0"/>
              <w:right w:val="single" w:color="auto" w:sz="4" w:space="0"/>
            </w:tcBorders>
            <w:shd w:val="clear" w:color="auto" w:fill="auto"/>
            <w:vAlign w:val="center"/>
          </w:tcPr>
          <w:p>
            <w:pPr>
              <w:pStyle w:val="32"/>
              <w:widowControl w:val="0"/>
              <w:spacing w:before="0" w:beforeAutospacing="0" w:after="0" w:afterAutospacing="0"/>
              <w:jc w:val="center"/>
              <w:rPr>
                <w:rFonts w:ascii="Times New Roman" w:hAnsi="Times New Roman"/>
                <w:b/>
                <w:kern w:val="2"/>
                <w:sz w:val="21"/>
                <w:szCs w:val="21"/>
              </w:rPr>
            </w:pPr>
            <w:r>
              <w:rPr>
                <w:rFonts w:hint="eastAsia" w:ascii="Times New Roman" w:hAnsi="Times New Roman"/>
                <w:b/>
                <w:kern w:val="2"/>
                <w:sz w:val="21"/>
                <w:szCs w:val="21"/>
              </w:rPr>
              <w:t>最大储存量</w:t>
            </w:r>
          </w:p>
        </w:tc>
        <w:tc>
          <w:tcPr>
            <w:tcW w:w="3030" w:type="dxa"/>
            <w:tcBorders>
              <w:top w:val="single" w:color="auto" w:sz="8" w:space="0"/>
              <w:left w:val="single" w:color="auto" w:sz="4" w:space="0"/>
              <w:bottom w:val="single" w:color="auto" w:sz="4" w:space="0"/>
              <w:right w:val="single" w:color="auto" w:sz="4" w:space="0"/>
            </w:tcBorders>
            <w:shd w:val="clear" w:color="auto" w:fill="auto"/>
            <w:vAlign w:val="center"/>
          </w:tcPr>
          <w:p>
            <w:pPr>
              <w:pStyle w:val="32"/>
              <w:widowControl w:val="0"/>
              <w:spacing w:before="0" w:beforeAutospacing="0" w:after="0" w:afterAutospacing="0"/>
              <w:jc w:val="center"/>
              <w:rPr>
                <w:b/>
                <w:sz w:val="21"/>
                <w:szCs w:val="21"/>
              </w:rPr>
            </w:pPr>
            <w:r>
              <w:rPr>
                <w:rFonts w:hint="eastAsia" w:ascii="Times New Roman" w:hAnsi="Times New Roman"/>
                <w:b/>
                <w:kern w:val="2"/>
                <w:sz w:val="21"/>
                <w:szCs w:val="21"/>
              </w:rPr>
              <w:t>风险环节</w:t>
            </w:r>
          </w:p>
        </w:tc>
        <w:tc>
          <w:tcPr>
            <w:tcW w:w="1207" w:type="dxa"/>
            <w:tcBorders>
              <w:top w:val="single" w:color="auto" w:sz="8" w:space="0"/>
              <w:left w:val="single" w:color="auto" w:sz="4" w:space="0"/>
              <w:bottom w:val="single" w:color="auto" w:sz="4" w:space="0"/>
              <w:right w:val="single" w:color="auto" w:sz="8" w:space="0"/>
            </w:tcBorders>
            <w:shd w:val="clear" w:color="auto" w:fill="auto"/>
            <w:vAlign w:val="center"/>
          </w:tcPr>
          <w:p>
            <w:pPr>
              <w:pStyle w:val="32"/>
              <w:widowControl w:val="0"/>
              <w:spacing w:before="0" w:beforeAutospacing="0" w:after="0" w:afterAutospacing="0"/>
              <w:jc w:val="center"/>
              <w:rPr>
                <w:b/>
                <w:sz w:val="21"/>
                <w:szCs w:val="21"/>
              </w:rPr>
            </w:pPr>
            <w:r>
              <w:rPr>
                <w:rFonts w:hint="eastAsia" w:ascii="Times New Roman" w:hAnsi="Times New Roman"/>
                <w:b/>
                <w:kern w:val="2"/>
                <w:sz w:val="21"/>
                <w:szCs w:val="21"/>
              </w:rPr>
              <w:t>环境风险</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trPr>
        <w:tc>
          <w:tcPr>
            <w:tcW w:w="1785" w:type="dxa"/>
            <w:vMerge w:val="restart"/>
            <w:tcBorders>
              <w:top w:val="single" w:color="auto" w:sz="4" w:space="0"/>
              <w:left w:val="single" w:color="auto" w:sz="8" w:space="0"/>
              <w:right w:val="single" w:color="auto" w:sz="4" w:space="0"/>
            </w:tcBorders>
            <w:shd w:val="clear" w:color="auto" w:fill="auto"/>
            <w:vAlign w:val="center"/>
          </w:tcPr>
          <w:p>
            <w:pPr>
              <w:pStyle w:val="32"/>
              <w:widowControl w:val="0"/>
              <w:spacing w:before="0" w:beforeAutospacing="0" w:after="0" w:afterAutospacing="0"/>
              <w:jc w:val="center"/>
              <w:rPr>
                <w:sz w:val="21"/>
                <w:szCs w:val="21"/>
              </w:rPr>
            </w:pPr>
            <w:r>
              <w:rPr>
                <w:rFonts w:hint="eastAsia" w:ascii="Times New Roman" w:hAnsi="Times New Roman"/>
                <w:kern w:val="2"/>
                <w:sz w:val="21"/>
                <w:szCs w:val="21"/>
              </w:rPr>
              <w:t>大塅加油站</w:t>
            </w:r>
          </w:p>
        </w:tc>
        <w:tc>
          <w:tcPr>
            <w:tcW w:w="108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32"/>
              <w:widowControl w:val="0"/>
              <w:spacing w:before="0" w:beforeAutospacing="0" w:after="0" w:afterAutospacing="0"/>
              <w:jc w:val="center"/>
              <w:rPr>
                <w:rFonts w:ascii="Times New Roman" w:hAnsi="Times New Roman"/>
                <w:kern w:val="2"/>
                <w:sz w:val="21"/>
                <w:szCs w:val="21"/>
              </w:rPr>
            </w:pPr>
            <w:r>
              <w:rPr>
                <w:rFonts w:hint="eastAsia" w:ascii="Times New Roman" w:hAnsi="Times New Roman"/>
                <w:kern w:val="2"/>
                <w:sz w:val="21"/>
                <w:szCs w:val="21"/>
              </w:rPr>
              <w:t>柴油</w:t>
            </w:r>
          </w:p>
        </w:tc>
        <w:tc>
          <w:tcPr>
            <w:tcW w:w="141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32"/>
              <w:widowControl w:val="0"/>
              <w:spacing w:before="0" w:beforeAutospacing="0" w:after="0" w:afterAutospacing="0"/>
              <w:jc w:val="center"/>
              <w:rPr>
                <w:rFonts w:ascii="Times New Roman" w:hAnsi="Times New Roman" w:cs="Times New Roman"/>
                <w:kern w:val="2"/>
                <w:sz w:val="21"/>
                <w:szCs w:val="21"/>
                <w:u w:val="single"/>
              </w:rPr>
            </w:pPr>
            <w:r>
              <w:rPr>
                <w:rFonts w:hint="eastAsia" w:ascii="Times New Roman" w:hAnsi="Times New Roman" w:cs="Times New Roman"/>
                <w:kern w:val="2"/>
                <w:sz w:val="21"/>
                <w:szCs w:val="21"/>
                <w:u w:val="single"/>
              </w:rPr>
              <w:t>30m</w:t>
            </w:r>
            <w:r>
              <w:rPr>
                <w:rFonts w:hint="eastAsia" w:ascii="Times New Roman" w:hAnsi="Times New Roman" w:cs="Times New Roman"/>
                <w:kern w:val="2"/>
                <w:sz w:val="21"/>
                <w:szCs w:val="21"/>
                <w:u w:val="single"/>
                <w:vertAlign w:val="superscript"/>
              </w:rPr>
              <w:t>3</w:t>
            </w:r>
          </w:p>
        </w:tc>
        <w:tc>
          <w:tcPr>
            <w:tcW w:w="3030" w:type="dxa"/>
            <w:vMerge w:val="restart"/>
            <w:tcBorders>
              <w:top w:val="single" w:color="auto" w:sz="4" w:space="0"/>
              <w:left w:val="single" w:color="auto" w:sz="4" w:space="0"/>
              <w:right w:val="single" w:color="auto" w:sz="4" w:space="0"/>
            </w:tcBorders>
            <w:shd w:val="clear" w:color="auto" w:fill="auto"/>
            <w:vAlign w:val="center"/>
          </w:tcPr>
          <w:p>
            <w:pPr>
              <w:pStyle w:val="32"/>
              <w:widowControl w:val="0"/>
              <w:spacing w:before="0" w:beforeAutospacing="0" w:after="0" w:afterAutospacing="0"/>
              <w:jc w:val="both"/>
              <w:rPr>
                <w:rFonts w:ascii="Times New Roman" w:hAnsi="Times New Roman"/>
                <w:kern w:val="2"/>
                <w:sz w:val="21"/>
                <w:szCs w:val="21"/>
                <w:u w:val="single"/>
              </w:rPr>
            </w:pPr>
            <w:r>
              <w:rPr>
                <w:rFonts w:ascii="Times New Roman" w:hAnsi="Times New Roman" w:cs="Times New Roman"/>
                <w:kern w:val="2"/>
                <w:sz w:val="21"/>
                <w:szCs w:val="21"/>
                <w:u w:val="single"/>
              </w:rPr>
              <w:t>1</w:t>
            </w:r>
            <w:r>
              <w:rPr>
                <w:rFonts w:hint="eastAsia" w:ascii="Times New Roman" w:hAnsi="Times New Roman"/>
                <w:kern w:val="2"/>
                <w:sz w:val="21"/>
                <w:szCs w:val="21"/>
                <w:u w:val="single"/>
              </w:rPr>
              <w:t>）输送管道、阀门故障引起的泄漏；</w:t>
            </w:r>
            <w:r>
              <w:rPr>
                <w:rFonts w:ascii="Times New Roman" w:hAnsi="Times New Roman" w:cs="Times New Roman"/>
                <w:kern w:val="2"/>
                <w:sz w:val="21"/>
                <w:szCs w:val="21"/>
                <w:u w:val="single"/>
              </w:rPr>
              <w:t>2</w:t>
            </w:r>
            <w:r>
              <w:rPr>
                <w:rFonts w:hint="eastAsia" w:ascii="Times New Roman" w:hAnsi="Times New Roman"/>
                <w:kern w:val="2"/>
                <w:sz w:val="21"/>
                <w:szCs w:val="21"/>
                <w:u w:val="single"/>
              </w:rPr>
              <w:t>）各类违章操作、违章检修等引起各类事故；</w:t>
            </w:r>
          </w:p>
          <w:p>
            <w:pPr>
              <w:pStyle w:val="32"/>
              <w:widowControl w:val="0"/>
              <w:spacing w:before="0" w:beforeAutospacing="0" w:after="0" w:afterAutospacing="0"/>
              <w:jc w:val="both"/>
              <w:rPr>
                <w:sz w:val="21"/>
                <w:szCs w:val="21"/>
              </w:rPr>
            </w:pPr>
            <w:r>
              <w:rPr>
                <w:rFonts w:ascii="Times New Roman" w:hAnsi="Times New Roman" w:cs="Times New Roman"/>
                <w:kern w:val="2"/>
                <w:sz w:val="21"/>
                <w:szCs w:val="21"/>
                <w:u w:val="single"/>
              </w:rPr>
              <w:t>3</w:t>
            </w:r>
            <w:r>
              <w:rPr>
                <w:rFonts w:hint="eastAsia" w:ascii="Times New Roman" w:hAnsi="Times New Roman"/>
                <w:kern w:val="2"/>
                <w:sz w:val="21"/>
                <w:szCs w:val="21"/>
                <w:u w:val="single"/>
              </w:rPr>
              <w:t>）违规堆放，违章动火引起的燃烧爆炸事故。</w:t>
            </w:r>
          </w:p>
        </w:tc>
        <w:tc>
          <w:tcPr>
            <w:tcW w:w="1207" w:type="dxa"/>
            <w:vMerge w:val="restart"/>
            <w:tcBorders>
              <w:top w:val="single" w:color="auto" w:sz="4" w:space="0"/>
              <w:left w:val="single" w:color="auto" w:sz="4" w:space="0"/>
              <w:right w:val="single" w:color="auto" w:sz="8" w:space="0"/>
            </w:tcBorders>
            <w:shd w:val="clear" w:color="auto" w:fill="auto"/>
            <w:vAlign w:val="center"/>
          </w:tcPr>
          <w:p>
            <w:pPr>
              <w:pStyle w:val="32"/>
              <w:widowControl w:val="0"/>
              <w:spacing w:before="0" w:beforeAutospacing="0" w:after="0" w:afterAutospacing="0"/>
              <w:jc w:val="both"/>
              <w:rPr>
                <w:sz w:val="21"/>
                <w:szCs w:val="21"/>
              </w:rPr>
            </w:pPr>
            <w:r>
              <w:rPr>
                <w:rFonts w:hint="eastAsia" w:ascii="Times New Roman" w:hAnsi="Times New Roman"/>
                <w:kern w:val="2"/>
                <w:sz w:val="21"/>
                <w:szCs w:val="21"/>
              </w:rPr>
              <w:t>风险物质泄漏、火灾爆炸风险</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trPr>
        <w:tc>
          <w:tcPr>
            <w:tcW w:w="1785" w:type="dxa"/>
            <w:vMerge w:val="continue"/>
            <w:tcBorders>
              <w:left w:val="single" w:color="auto" w:sz="8" w:space="0"/>
              <w:bottom w:val="single" w:color="auto" w:sz="4" w:space="0"/>
              <w:right w:val="single" w:color="auto" w:sz="4" w:space="0"/>
            </w:tcBorders>
            <w:shd w:val="clear" w:color="auto" w:fill="auto"/>
            <w:vAlign w:val="center"/>
          </w:tcPr>
          <w:p>
            <w:pPr>
              <w:pStyle w:val="32"/>
              <w:widowControl w:val="0"/>
              <w:spacing w:before="0" w:beforeAutospacing="0" w:after="0" w:afterAutospacing="0"/>
              <w:jc w:val="center"/>
              <w:rPr>
                <w:sz w:val="21"/>
                <w:szCs w:val="21"/>
              </w:rPr>
            </w:pPr>
          </w:p>
        </w:tc>
        <w:tc>
          <w:tcPr>
            <w:tcW w:w="108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32"/>
              <w:widowControl w:val="0"/>
              <w:spacing w:before="0" w:beforeAutospacing="0" w:after="0" w:afterAutospacing="0"/>
              <w:jc w:val="center"/>
              <w:rPr>
                <w:rFonts w:ascii="Times New Roman" w:hAnsi="Times New Roman"/>
                <w:kern w:val="2"/>
                <w:sz w:val="21"/>
                <w:szCs w:val="21"/>
              </w:rPr>
            </w:pPr>
            <w:r>
              <w:rPr>
                <w:rFonts w:hint="eastAsia" w:ascii="Times New Roman" w:hAnsi="Times New Roman"/>
                <w:kern w:val="2"/>
                <w:sz w:val="21"/>
                <w:szCs w:val="21"/>
              </w:rPr>
              <w:t>汽油</w:t>
            </w:r>
          </w:p>
        </w:tc>
        <w:tc>
          <w:tcPr>
            <w:tcW w:w="141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32"/>
              <w:widowControl w:val="0"/>
              <w:spacing w:before="0" w:beforeAutospacing="0" w:after="0" w:afterAutospacing="0"/>
              <w:jc w:val="center"/>
              <w:rPr>
                <w:rFonts w:ascii="Times New Roman" w:hAnsi="Times New Roman" w:cs="Times New Roman"/>
                <w:kern w:val="2"/>
                <w:sz w:val="21"/>
                <w:szCs w:val="21"/>
                <w:u w:val="single"/>
              </w:rPr>
            </w:pPr>
            <w:r>
              <w:rPr>
                <w:rFonts w:hint="eastAsia" w:ascii="Times New Roman" w:hAnsi="Times New Roman" w:cs="Times New Roman"/>
                <w:kern w:val="2"/>
                <w:sz w:val="21"/>
                <w:szCs w:val="21"/>
                <w:u w:val="single"/>
              </w:rPr>
              <w:t>30m</w:t>
            </w:r>
            <w:r>
              <w:rPr>
                <w:rFonts w:hint="eastAsia" w:ascii="Times New Roman" w:hAnsi="Times New Roman" w:cs="Times New Roman"/>
                <w:kern w:val="2"/>
                <w:sz w:val="21"/>
                <w:szCs w:val="21"/>
                <w:u w:val="single"/>
                <w:vertAlign w:val="superscript"/>
              </w:rPr>
              <w:t>3</w:t>
            </w:r>
          </w:p>
        </w:tc>
        <w:tc>
          <w:tcPr>
            <w:tcW w:w="3030" w:type="dxa"/>
            <w:vMerge w:val="continue"/>
            <w:tcBorders>
              <w:left w:val="single" w:color="auto" w:sz="4" w:space="0"/>
              <w:right w:val="single" w:color="auto" w:sz="4" w:space="0"/>
            </w:tcBorders>
            <w:shd w:val="clear" w:color="auto" w:fill="auto"/>
            <w:vAlign w:val="center"/>
          </w:tcPr>
          <w:p>
            <w:pPr>
              <w:pStyle w:val="32"/>
              <w:widowControl w:val="0"/>
              <w:spacing w:before="0" w:beforeAutospacing="0" w:after="0" w:afterAutospacing="0"/>
              <w:jc w:val="both"/>
              <w:rPr>
                <w:rFonts w:ascii="Times New Roman" w:hAnsi="Times New Roman" w:cs="Times New Roman"/>
                <w:kern w:val="2"/>
                <w:sz w:val="21"/>
                <w:szCs w:val="21"/>
              </w:rPr>
            </w:pPr>
          </w:p>
        </w:tc>
        <w:tc>
          <w:tcPr>
            <w:tcW w:w="1207" w:type="dxa"/>
            <w:vMerge w:val="continue"/>
            <w:tcBorders>
              <w:left w:val="single" w:color="auto" w:sz="4" w:space="0"/>
              <w:right w:val="single" w:color="auto" w:sz="8" w:space="0"/>
            </w:tcBorders>
            <w:shd w:val="clear" w:color="auto" w:fill="auto"/>
            <w:vAlign w:val="center"/>
          </w:tcPr>
          <w:p>
            <w:pPr>
              <w:pStyle w:val="32"/>
              <w:widowControl w:val="0"/>
              <w:spacing w:before="0" w:beforeAutospacing="0" w:after="0" w:afterAutospacing="0"/>
              <w:jc w:val="both"/>
              <w:rPr>
                <w:rFonts w:ascii="Times New Roman" w:hAnsi="Times New Roman"/>
                <w:kern w:val="2"/>
                <w:sz w:val="21"/>
                <w:szCs w:val="21"/>
              </w:rPr>
            </w:pP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trPr>
        <w:tc>
          <w:tcPr>
            <w:tcW w:w="1785" w:type="dxa"/>
            <w:vMerge w:val="restart"/>
            <w:tcBorders>
              <w:top w:val="single" w:color="auto" w:sz="4" w:space="0"/>
              <w:left w:val="single" w:color="auto" w:sz="8" w:space="0"/>
              <w:right w:val="single" w:color="auto" w:sz="4" w:space="0"/>
            </w:tcBorders>
            <w:shd w:val="clear" w:color="auto" w:fill="auto"/>
            <w:vAlign w:val="center"/>
          </w:tcPr>
          <w:p>
            <w:pPr>
              <w:pStyle w:val="32"/>
              <w:widowControl w:val="0"/>
              <w:spacing w:before="0" w:beforeAutospacing="0" w:after="0" w:afterAutospacing="0"/>
              <w:jc w:val="center"/>
              <w:rPr>
                <w:rFonts w:ascii="Times New Roman" w:hAnsi="Times New Roman"/>
                <w:kern w:val="2"/>
                <w:sz w:val="21"/>
                <w:szCs w:val="21"/>
              </w:rPr>
            </w:pPr>
            <w:r>
              <w:rPr>
                <w:rFonts w:hint="eastAsia" w:ascii="Times New Roman" w:hAnsi="Times New Roman"/>
                <w:kern w:val="2"/>
                <w:sz w:val="21"/>
                <w:szCs w:val="21"/>
              </w:rPr>
              <w:t>月田电力加油站</w:t>
            </w:r>
          </w:p>
        </w:tc>
        <w:tc>
          <w:tcPr>
            <w:tcW w:w="108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32"/>
              <w:widowControl w:val="0"/>
              <w:spacing w:before="0" w:beforeAutospacing="0" w:after="0" w:afterAutospacing="0"/>
              <w:jc w:val="center"/>
              <w:rPr>
                <w:rFonts w:ascii="Times New Roman" w:hAnsi="Times New Roman"/>
                <w:kern w:val="2"/>
                <w:sz w:val="21"/>
                <w:szCs w:val="21"/>
              </w:rPr>
            </w:pPr>
            <w:r>
              <w:rPr>
                <w:rFonts w:hint="eastAsia" w:ascii="Times New Roman" w:hAnsi="Times New Roman"/>
                <w:kern w:val="2"/>
                <w:sz w:val="21"/>
                <w:szCs w:val="21"/>
              </w:rPr>
              <w:t>柴油</w:t>
            </w:r>
          </w:p>
        </w:tc>
        <w:tc>
          <w:tcPr>
            <w:tcW w:w="141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32"/>
              <w:widowControl w:val="0"/>
              <w:spacing w:before="0" w:beforeAutospacing="0" w:after="0" w:afterAutospacing="0"/>
              <w:jc w:val="center"/>
              <w:rPr>
                <w:rFonts w:ascii="Times New Roman" w:hAnsi="Times New Roman" w:cs="Times New Roman"/>
                <w:kern w:val="2"/>
                <w:sz w:val="21"/>
                <w:szCs w:val="21"/>
                <w:u w:val="single"/>
              </w:rPr>
            </w:pPr>
            <w:r>
              <w:rPr>
                <w:rFonts w:hint="eastAsia" w:ascii="Times New Roman" w:hAnsi="Times New Roman" w:cs="Times New Roman"/>
                <w:kern w:val="2"/>
                <w:sz w:val="21"/>
                <w:szCs w:val="21"/>
                <w:u w:val="single"/>
              </w:rPr>
              <w:t>30m</w:t>
            </w:r>
            <w:r>
              <w:rPr>
                <w:rFonts w:hint="eastAsia" w:ascii="Times New Roman" w:hAnsi="Times New Roman" w:cs="Times New Roman"/>
                <w:kern w:val="2"/>
                <w:sz w:val="21"/>
                <w:szCs w:val="21"/>
                <w:u w:val="single"/>
                <w:vertAlign w:val="superscript"/>
              </w:rPr>
              <w:t>3</w:t>
            </w:r>
          </w:p>
        </w:tc>
        <w:tc>
          <w:tcPr>
            <w:tcW w:w="3030" w:type="dxa"/>
            <w:vMerge w:val="continue"/>
            <w:tcBorders>
              <w:left w:val="single" w:color="auto" w:sz="4" w:space="0"/>
              <w:right w:val="single" w:color="auto" w:sz="4" w:space="0"/>
            </w:tcBorders>
            <w:shd w:val="clear" w:color="auto" w:fill="auto"/>
            <w:vAlign w:val="center"/>
          </w:tcPr>
          <w:p>
            <w:pPr>
              <w:pStyle w:val="32"/>
              <w:widowControl w:val="0"/>
              <w:spacing w:before="0" w:beforeAutospacing="0" w:after="0" w:afterAutospacing="0"/>
              <w:jc w:val="both"/>
              <w:rPr>
                <w:rFonts w:ascii="Times New Roman" w:hAnsi="Times New Roman" w:cs="Times New Roman"/>
                <w:kern w:val="2"/>
                <w:sz w:val="21"/>
                <w:szCs w:val="21"/>
              </w:rPr>
            </w:pPr>
          </w:p>
        </w:tc>
        <w:tc>
          <w:tcPr>
            <w:tcW w:w="1207" w:type="dxa"/>
            <w:vMerge w:val="continue"/>
            <w:tcBorders>
              <w:left w:val="single" w:color="auto" w:sz="4" w:space="0"/>
              <w:right w:val="single" w:color="auto" w:sz="8" w:space="0"/>
            </w:tcBorders>
            <w:shd w:val="clear" w:color="auto" w:fill="auto"/>
            <w:vAlign w:val="center"/>
          </w:tcPr>
          <w:p>
            <w:pPr>
              <w:pStyle w:val="32"/>
              <w:widowControl w:val="0"/>
              <w:spacing w:before="0" w:beforeAutospacing="0" w:after="0" w:afterAutospacing="0"/>
              <w:jc w:val="both"/>
              <w:rPr>
                <w:rFonts w:ascii="Times New Roman" w:hAnsi="Times New Roman"/>
                <w:kern w:val="2"/>
                <w:sz w:val="21"/>
                <w:szCs w:val="21"/>
              </w:rPr>
            </w:pP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trPr>
        <w:tc>
          <w:tcPr>
            <w:tcW w:w="1785" w:type="dxa"/>
            <w:vMerge w:val="continue"/>
            <w:tcBorders>
              <w:left w:val="single" w:color="auto" w:sz="8" w:space="0"/>
              <w:bottom w:val="single" w:color="auto" w:sz="4" w:space="0"/>
              <w:right w:val="single" w:color="auto" w:sz="4" w:space="0"/>
            </w:tcBorders>
            <w:shd w:val="clear" w:color="auto" w:fill="auto"/>
            <w:vAlign w:val="center"/>
          </w:tcPr>
          <w:p>
            <w:pPr>
              <w:pStyle w:val="32"/>
              <w:widowControl w:val="0"/>
              <w:spacing w:before="0" w:beforeAutospacing="0" w:after="0" w:afterAutospacing="0"/>
              <w:jc w:val="center"/>
              <w:rPr>
                <w:rFonts w:ascii="Times New Roman" w:hAnsi="Times New Roman"/>
                <w:kern w:val="2"/>
                <w:sz w:val="21"/>
                <w:szCs w:val="21"/>
              </w:rPr>
            </w:pPr>
          </w:p>
        </w:tc>
        <w:tc>
          <w:tcPr>
            <w:tcW w:w="108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32"/>
              <w:widowControl w:val="0"/>
              <w:spacing w:before="0" w:beforeAutospacing="0" w:after="0" w:afterAutospacing="0"/>
              <w:jc w:val="center"/>
              <w:rPr>
                <w:rFonts w:ascii="Times New Roman" w:hAnsi="Times New Roman"/>
                <w:kern w:val="2"/>
                <w:sz w:val="21"/>
                <w:szCs w:val="21"/>
              </w:rPr>
            </w:pPr>
            <w:r>
              <w:rPr>
                <w:rFonts w:hint="eastAsia" w:ascii="Times New Roman" w:hAnsi="Times New Roman"/>
                <w:kern w:val="2"/>
                <w:sz w:val="21"/>
                <w:szCs w:val="21"/>
              </w:rPr>
              <w:t>汽油</w:t>
            </w:r>
          </w:p>
        </w:tc>
        <w:tc>
          <w:tcPr>
            <w:tcW w:w="141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32"/>
              <w:widowControl w:val="0"/>
              <w:spacing w:before="0" w:beforeAutospacing="0" w:after="0" w:afterAutospacing="0"/>
              <w:jc w:val="center"/>
              <w:rPr>
                <w:rFonts w:ascii="Times New Roman" w:hAnsi="Times New Roman" w:cs="Times New Roman"/>
                <w:kern w:val="2"/>
                <w:sz w:val="21"/>
                <w:szCs w:val="21"/>
                <w:u w:val="single"/>
              </w:rPr>
            </w:pPr>
            <w:r>
              <w:rPr>
                <w:rFonts w:hint="eastAsia" w:ascii="Times New Roman" w:hAnsi="Times New Roman" w:cs="Times New Roman"/>
                <w:kern w:val="2"/>
                <w:sz w:val="21"/>
                <w:szCs w:val="21"/>
                <w:u w:val="single"/>
              </w:rPr>
              <w:t>60m</w:t>
            </w:r>
            <w:r>
              <w:rPr>
                <w:rFonts w:hint="eastAsia" w:ascii="Times New Roman" w:hAnsi="Times New Roman" w:cs="Times New Roman"/>
                <w:kern w:val="2"/>
                <w:sz w:val="21"/>
                <w:szCs w:val="21"/>
                <w:u w:val="single"/>
                <w:vertAlign w:val="superscript"/>
              </w:rPr>
              <w:t>3</w:t>
            </w:r>
          </w:p>
        </w:tc>
        <w:tc>
          <w:tcPr>
            <w:tcW w:w="3030" w:type="dxa"/>
            <w:vMerge w:val="continue"/>
            <w:tcBorders>
              <w:left w:val="single" w:color="auto" w:sz="4" w:space="0"/>
              <w:right w:val="single" w:color="auto" w:sz="4" w:space="0"/>
            </w:tcBorders>
            <w:shd w:val="clear" w:color="auto" w:fill="auto"/>
            <w:vAlign w:val="center"/>
          </w:tcPr>
          <w:p>
            <w:pPr>
              <w:pStyle w:val="32"/>
              <w:widowControl w:val="0"/>
              <w:spacing w:before="0" w:beforeAutospacing="0" w:after="0" w:afterAutospacing="0"/>
              <w:jc w:val="both"/>
              <w:rPr>
                <w:rFonts w:ascii="Times New Roman" w:hAnsi="Times New Roman" w:cs="Times New Roman"/>
                <w:kern w:val="2"/>
                <w:sz w:val="21"/>
                <w:szCs w:val="21"/>
              </w:rPr>
            </w:pPr>
          </w:p>
        </w:tc>
        <w:tc>
          <w:tcPr>
            <w:tcW w:w="1207" w:type="dxa"/>
            <w:vMerge w:val="continue"/>
            <w:tcBorders>
              <w:left w:val="single" w:color="auto" w:sz="4" w:space="0"/>
              <w:right w:val="single" w:color="auto" w:sz="8" w:space="0"/>
            </w:tcBorders>
            <w:shd w:val="clear" w:color="auto" w:fill="auto"/>
            <w:vAlign w:val="center"/>
          </w:tcPr>
          <w:p>
            <w:pPr>
              <w:pStyle w:val="32"/>
              <w:widowControl w:val="0"/>
              <w:spacing w:before="0" w:beforeAutospacing="0" w:after="0" w:afterAutospacing="0"/>
              <w:jc w:val="both"/>
              <w:rPr>
                <w:rFonts w:ascii="Times New Roman" w:hAnsi="Times New Roman"/>
                <w:kern w:val="2"/>
                <w:sz w:val="21"/>
                <w:szCs w:val="21"/>
              </w:rPr>
            </w:pP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trPr>
        <w:tc>
          <w:tcPr>
            <w:tcW w:w="1785" w:type="dxa"/>
            <w:vMerge w:val="restart"/>
            <w:tcBorders>
              <w:top w:val="single" w:color="auto" w:sz="4" w:space="0"/>
              <w:left w:val="single" w:color="auto" w:sz="8" w:space="0"/>
              <w:right w:val="single" w:color="auto" w:sz="4" w:space="0"/>
            </w:tcBorders>
            <w:shd w:val="clear" w:color="auto" w:fill="auto"/>
            <w:vAlign w:val="center"/>
          </w:tcPr>
          <w:p>
            <w:pPr>
              <w:pStyle w:val="32"/>
              <w:widowControl w:val="0"/>
              <w:spacing w:before="0" w:beforeAutospacing="0" w:after="0" w:afterAutospacing="0"/>
              <w:jc w:val="center"/>
              <w:rPr>
                <w:rFonts w:ascii="Times New Roman" w:hAnsi="Times New Roman"/>
                <w:kern w:val="2"/>
                <w:sz w:val="21"/>
                <w:szCs w:val="21"/>
              </w:rPr>
            </w:pPr>
            <w:r>
              <w:rPr>
                <w:rFonts w:hint="eastAsia" w:ascii="Times New Roman" w:hAnsi="Times New Roman"/>
                <w:kern w:val="2"/>
                <w:sz w:val="21"/>
                <w:szCs w:val="21"/>
              </w:rPr>
              <w:t>月田加油站</w:t>
            </w:r>
          </w:p>
        </w:tc>
        <w:tc>
          <w:tcPr>
            <w:tcW w:w="108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32"/>
              <w:widowControl w:val="0"/>
              <w:spacing w:before="0" w:beforeAutospacing="0" w:after="0" w:afterAutospacing="0"/>
              <w:jc w:val="center"/>
              <w:rPr>
                <w:rFonts w:ascii="Times New Roman" w:hAnsi="Times New Roman"/>
                <w:kern w:val="2"/>
                <w:sz w:val="21"/>
                <w:szCs w:val="21"/>
              </w:rPr>
            </w:pPr>
            <w:r>
              <w:rPr>
                <w:rFonts w:hint="eastAsia" w:ascii="Times New Roman" w:hAnsi="Times New Roman"/>
                <w:kern w:val="2"/>
                <w:sz w:val="21"/>
                <w:szCs w:val="21"/>
              </w:rPr>
              <w:t>柴油</w:t>
            </w:r>
          </w:p>
        </w:tc>
        <w:tc>
          <w:tcPr>
            <w:tcW w:w="141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32"/>
              <w:widowControl w:val="0"/>
              <w:spacing w:before="0" w:beforeAutospacing="0" w:after="0" w:afterAutospacing="0"/>
              <w:jc w:val="center"/>
              <w:rPr>
                <w:rFonts w:ascii="Times New Roman" w:hAnsi="Times New Roman" w:cs="Times New Roman"/>
                <w:kern w:val="2"/>
                <w:sz w:val="21"/>
                <w:szCs w:val="21"/>
                <w:u w:val="single"/>
              </w:rPr>
            </w:pPr>
            <w:r>
              <w:rPr>
                <w:rFonts w:hint="eastAsia" w:ascii="Times New Roman" w:hAnsi="Times New Roman" w:cs="Times New Roman"/>
                <w:kern w:val="2"/>
                <w:sz w:val="21"/>
                <w:szCs w:val="21"/>
                <w:u w:val="single"/>
              </w:rPr>
              <w:t>30m</w:t>
            </w:r>
            <w:r>
              <w:rPr>
                <w:rFonts w:hint="eastAsia" w:ascii="Times New Roman" w:hAnsi="Times New Roman" w:cs="Times New Roman"/>
                <w:kern w:val="2"/>
                <w:sz w:val="21"/>
                <w:szCs w:val="21"/>
                <w:u w:val="single"/>
                <w:vertAlign w:val="superscript"/>
              </w:rPr>
              <w:t>3</w:t>
            </w:r>
          </w:p>
        </w:tc>
        <w:tc>
          <w:tcPr>
            <w:tcW w:w="3030" w:type="dxa"/>
            <w:vMerge w:val="continue"/>
            <w:tcBorders>
              <w:left w:val="single" w:color="auto" w:sz="4" w:space="0"/>
              <w:right w:val="single" w:color="auto" w:sz="4" w:space="0"/>
            </w:tcBorders>
            <w:shd w:val="clear" w:color="auto" w:fill="auto"/>
            <w:vAlign w:val="center"/>
          </w:tcPr>
          <w:p>
            <w:pPr>
              <w:pStyle w:val="32"/>
              <w:widowControl w:val="0"/>
              <w:spacing w:before="0" w:beforeAutospacing="0" w:after="0" w:afterAutospacing="0"/>
              <w:jc w:val="both"/>
              <w:rPr>
                <w:rFonts w:ascii="Times New Roman" w:hAnsi="Times New Roman" w:cs="Times New Roman"/>
                <w:kern w:val="2"/>
                <w:sz w:val="21"/>
                <w:szCs w:val="21"/>
              </w:rPr>
            </w:pPr>
          </w:p>
        </w:tc>
        <w:tc>
          <w:tcPr>
            <w:tcW w:w="1207" w:type="dxa"/>
            <w:vMerge w:val="continue"/>
            <w:tcBorders>
              <w:left w:val="single" w:color="auto" w:sz="4" w:space="0"/>
              <w:right w:val="single" w:color="auto" w:sz="8" w:space="0"/>
            </w:tcBorders>
            <w:shd w:val="clear" w:color="auto" w:fill="auto"/>
            <w:vAlign w:val="center"/>
          </w:tcPr>
          <w:p>
            <w:pPr>
              <w:pStyle w:val="32"/>
              <w:widowControl w:val="0"/>
              <w:spacing w:before="0" w:beforeAutospacing="0" w:after="0" w:afterAutospacing="0"/>
              <w:jc w:val="both"/>
              <w:rPr>
                <w:rFonts w:ascii="Times New Roman" w:hAnsi="Times New Roman"/>
                <w:kern w:val="2"/>
                <w:sz w:val="21"/>
                <w:szCs w:val="21"/>
              </w:rPr>
            </w:pP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trPr>
        <w:tc>
          <w:tcPr>
            <w:tcW w:w="1785" w:type="dxa"/>
            <w:vMerge w:val="continue"/>
            <w:tcBorders>
              <w:left w:val="single" w:color="auto" w:sz="8" w:space="0"/>
              <w:bottom w:val="single" w:color="auto" w:sz="4" w:space="0"/>
              <w:right w:val="single" w:color="auto" w:sz="4" w:space="0"/>
            </w:tcBorders>
            <w:shd w:val="clear" w:color="auto" w:fill="auto"/>
            <w:vAlign w:val="center"/>
          </w:tcPr>
          <w:p>
            <w:pPr>
              <w:pStyle w:val="32"/>
              <w:widowControl w:val="0"/>
              <w:spacing w:before="0" w:beforeAutospacing="0" w:after="0" w:afterAutospacing="0"/>
              <w:jc w:val="center"/>
              <w:rPr>
                <w:rFonts w:ascii="Times New Roman" w:hAnsi="Times New Roman"/>
                <w:kern w:val="2"/>
                <w:sz w:val="21"/>
                <w:szCs w:val="21"/>
              </w:rPr>
            </w:pPr>
          </w:p>
        </w:tc>
        <w:tc>
          <w:tcPr>
            <w:tcW w:w="108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32"/>
              <w:widowControl w:val="0"/>
              <w:spacing w:before="0" w:beforeAutospacing="0" w:after="0" w:afterAutospacing="0"/>
              <w:jc w:val="center"/>
              <w:rPr>
                <w:rFonts w:ascii="Times New Roman" w:hAnsi="Times New Roman"/>
                <w:kern w:val="2"/>
                <w:sz w:val="21"/>
                <w:szCs w:val="21"/>
              </w:rPr>
            </w:pPr>
            <w:r>
              <w:rPr>
                <w:rFonts w:hint="eastAsia" w:ascii="Times New Roman" w:hAnsi="Times New Roman"/>
                <w:kern w:val="2"/>
                <w:sz w:val="21"/>
                <w:szCs w:val="21"/>
              </w:rPr>
              <w:t>汽油</w:t>
            </w:r>
          </w:p>
        </w:tc>
        <w:tc>
          <w:tcPr>
            <w:tcW w:w="141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32"/>
              <w:widowControl w:val="0"/>
              <w:spacing w:before="0" w:beforeAutospacing="0" w:after="0" w:afterAutospacing="0"/>
              <w:jc w:val="center"/>
              <w:rPr>
                <w:rFonts w:ascii="Times New Roman" w:hAnsi="Times New Roman" w:cs="Times New Roman"/>
                <w:kern w:val="2"/>
                <w:sz w:val="21"/>
                <w:szCs w:val="21"/>
                <w:u w:val="single"/>
              </w:rPr>
            </w:pPr>
            <w:r>
              <w:rPr>
                <w:rFonts w:hint="eastAsia" w:ascii="Times New Roman" w:hAnsi="Times New Roman" w:cs="Times New Roman"/>
                <w:kern w:val="2"/>
                <w:sz w:val="21"/>
                <w:szCs w:val="21"/>
                <w:u w:val="single"/>
              </w:rPr>
              <w:t>30m</w:t>
            </w:r>
            <w:r>
              <w:rPr>
                <w:rFonts w:hint="eastAsia" w:ascii="Times New Roman" w:hAnsi="Times New Roman" w:cs="Times New Roman"/>
                <w:kern w:val="2"/>
                <w:sz w:val="21"/>
                <w:szCs w:val="21"/>
                <w:u w:val="single"/>
                <w:vertAlign w:val="superscript"/>
              </w:rPr>
              <w:t>3</w:t>
            </w:r>
          </w:p>
        </w:tc>
        <w:tc>
          <w:tcPr>
            <w:tcW w:w="3030" w:type="dxa"/>
            <w:vMerge w:val="continue"/>
            <w:tcBorders>
              <w:left w:val="single" w:color="auto" w:sz="4" w:space="0"/>
              <w:right w:val="single" w:color="auto" w:sz="4" w:space="0"/>
            </w:tcBorders>
            <w:shd w:val="clear" w:color="auto" w:fill="auto"/>
            <w:vAlign w:val="center"/>
          </w:tcPr>
          <w:p>
            <w:pPr>
              <w:pStyle w:val="32"/>
              <w:widowControl w:val="0"/>
              <w:spacing w:before="0" w:beforeAutospacing="0" w:after="0" w:afterAutospacing="0"/>
              <w:jc w:val="both"/>
              <w:rPr>
                <w:rFonts w:ascii="Times New Roman" w:hAnsi="Times New Roman" w:cs="Times New Roman"/>
                <w:kern w:val="2"/>
                <w:sz w:val="21"/>
                <w:szCs w:val="21"/>
              </w:rPr>
            </w:pPr>
          </w:p>
        </w:tc>
        <w:tc>
          <w:tcPr>
            <w:tcW w:w="1207" w:type="dxa"/>
            <w:vMerge w:val="continue"/>
            <w:tcBorders>
              <w:left w:val="single" w:color="auto" w:sz="4" w:space="0"/>
              <w:right w:val="single" w:color="auto" w:sz="8" w:space="0"/>
            </w:tcBorders>
            <w:shd w:val="clear" w:color="auto" w:fill="auto"/>
            <w:vAlign w:val="center"/>
          </w:tcPr>
          <w:p>
            <w:pPr>
              <w:pStyle w:val="32"/>
              <w:widowControl w:val="0"/>
              <w:spacing w:before="0" w:beforeAutospacing="0" w:after="0" w:afterAutospacing="0"/>
              <w:jc w:val="both"/>
              <w:rPr>
                <w:rFonts w:ascii="Times New Roman" w:hAnsi="Times New Roman"/>
                <w:kern w:val="2"/>
                <w:sz w:val="21"/>
                <w:szCs w:val="21"/>
              </w:rPr>
            </w:pP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trPr>
        <w:tc>
          <w:tcPr>
            <w:tcW w:w="1785" w:type="dxa"/>
            <w:vMerge w:val="restart"/>
            <w:tcBorders>
              <w:top w:val="single" w:color="auto" w:sz="4" w:space="0"/>
              <w:left w:val="single" w:color="auto" w:sz="8" w:space="0"/>
              <w:right w:val="single" w:color="auto" w:sz="4" w:space="0"/>
            </w:tcBorders>
            <w:shd w:val="clear" w:color="auto" w:fill="auto"/>
            <w:vAlign w:val="center"/>
          </w:tcPr>
          <w:p>
            <w:pPr>
              <w:pStyle w:val="32"/>
              <w:widowControl w:val="0"/>
              <w:spacing w:before="0" w:beforeAutospacing="0" w:after="0" w:afterAutospacing="0"/>
              <w:jc w:val="center"/>
              <w:rPr>
                <w:rFonts w:ascii="Times New Roman" w:hAnsi="Times New Roman"/>
                <w:kern w:val="2"/>
                <w:sz w:val="21"/>
                <w:szCs w:val="21"/>
              </w:rPr>
            </w:pPr>
            <w:r>
              <w:rPr>
                <w:rFonts w:hint="eastAsia" w:ascii="Times New Roman" w:hAnsi="Times New Roman"/>
                <w:kern w:val="2"/>
                <w:sz w:val="21"/>
                <w:szCs w:val="21"/>
              </w:rPr>
              <w:t>八斗加油站</w:t>
            </w:r>
          </w:p>
        </w:tc>
        <w:tc>
          <w:tcPr>
            <w:tcW w:w="108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32"/>
              <w:widowControl w:val="0"/>
              <w:spacing w:before="0" w:beforeAutospacing="0" w:after="0" w:afterAutospacing="0"/>
              <w:jc w:val="center"/>
              <w:rPr>
                <w:rFonts w:ascii="Times New Roman" w:hAnsi="Times New Roman"/>
                <w:kern w:val="2"/>
                <w:sz w:val="21"/>
                <w:szCs w:val="21"/>
              </w:rPr>
            </w:pPr>
            <w:r>
              <w:rPr>
                <w:rFonts w:hint="eastAsia" w:ascii="Times New Roman" w:hAnsi="Times New Roman"/>
                <w:kern w:val="2"/>
                <w:sz w:val="21"/>
                <w:szCs w:val="21"/>
              </w:rPr>
              <w:t>柴油</w:t>
            </w:r>
          </w:p>
        </w:tc>
        <w:tc>
          <w:tcPr>
            <w:tcW w:w="141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32"/>
              <w:widowControl w:val="0"/>
              <w:spacing w:before="0" w:beforeAutospacing="0" w:after="0" w:afterAutospacing="0"/>
              <w:jc w:val="center"/>
              <w:rPr>
                <w:rFonts w:ascii="Times New Roman" w:hAnsi="Times New Roman" w:cs="Times New Roman"/>
                <w:kern w:val="2"/>
                <w:sz w:val="21"/>
                <w:szCs w:val="21"/>
                <w:u w:val="single"/>
              </w:rPr>
            </w:pPr>
            <w:r>
              <w:rPr>
                <w:rFonts w:hint="eastAsia" w:ascii="Times New Roman" w:hAnsi="Times New Roman" w:cs="Times New Roman"/>
                <w:kern w:val="2"/>
                <w:sz w:val="21"/>
                <w:szCs w:val="21"/>
                <w:u w:val="single"/>
              </w:rPr>
              <w:t>30m</w:t>
            </w:r>
            <w:r>
              <w:rPr>
                <w:rFonts w:hint="eastAsia" w:ascii="Times New Roman" w:hAnsi="Times New Roman" w:cs="Times New Roman"/>
                <w:kern w:val="2"/>
                <w:sz w:val="21"/>
                <w:szCs w:val="21"/>
                <w:u w:val="single"/>
                <w:vertAlign w:val="superscript"/>
              </w:rPr>
              <w:t>3</w:t>
            </w:r>
          </w:p>
        </w:tc>
        <w:tc>
          <w:tcPr>
            <w:tcW w:w="3030" w:type="dxa"/>
            <w:vMerge w:val="continue"/>
            <w:tcBorders>
              <w:left w:val="single" w:color="auto" w:sz="4" w:space="0"/>
              <w:right w:val="single" w:color="auto" w:sz="4" w:space="0"/>
            </w:tcBorders>
            <w:shd w:val="clear" w:color="auto" w:fill="auto"/>
            <w:vAlign w:val="center"/>
          </w:tcPr>
          <w:p>
            <w:pPr>
              <w:pStyle w:val="32"/>
              <w:widowControl w:val="0"/>
              <w:spacing w:before="0" w:beforeAutospacing="0" w:after="0" w:afterAutospacing="0"/>
              <w:jc w:val="both"/>
              <w:rPr>
                <w:rFonts w:ascii="Times New Roman" w:hAnsi="Times New Roman" w:cs="Times New Roman"/>
                <w:kern w:val="2"/>
                <w:sz w:val="21"/>
                <w:szCs w:val="21"/>
              </w:rPr>
            </w:pPr>
          </w:p>
        </w:tc>
        <w:tc>
          <w:tcPr>
            <w:tcW w:w="1207" w:type="dxa"/>
            <w:vMerge w:val="continue"/>
            <w:tcBorders>
              <w:left w:val="single" w:color="auto" w:sz="4" w:space="0"/>
              <w:right w:val="single" w:color="auto" w:sz="8" w:space="0"/>
            </w:tcBorders>
            <w:shd w:val="clear" w:color="auto" w:fill="auto"/>
            <w:vAlign w:val="center"/>
          </w:tcPr>
          <w:p>
            <w:pPr>
              <w:pStyle w:val="32"/>
              <w:widowControl w:val="0"/>
              <w:spacing w:before="0" w:beforeAutospacing="0" w:after="0" w:afterAutospacing="0"/>
              <w:jc w:val="both"/>
              <w:rPr>
                <w:rFonts w:ascii="Times New Roman" w:hAnsi="Times New Roman"/>
                <w:kern w:val="2"/>
                <w:sz w:val="21"/>
                <w:szCs w:val="21"/>
              </w:rPr>
            </w:pP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trPr>
        <w:tc>
          <w:tcPr>
            <w:tcW w:w="1785" w:type="dxa"/>
            <w:vMerge w:val="continue"/>
            <w:tcBorders>
              <w:left w:val="single" w:color="auto" w:sz="8" w:space="0"/>
              <w:right w:val="single" w:color="auto" w:sz="4" w:space="0"/>
            </w:tcBorders>
            <w:shd w:val="clear" w:color="auto" w:fill="auto"/>
            <w:vAlign w:val="center"/>
          </w:tcPr>
          <w:p>
            <w:pPr>
              <w:pStyle w:val="32"/>
              <w:widowControl w:val="0"/>
              <w:spacing w:before="0" w:beforeAutospacing="0" w:after="0" w:afterAutospacing="0"/>
              <w:jc w:val="both"/>
              <w:rPr>
                <w:rFonts w:ascii="Times New Roman" w:hAnsi="Times New Roman"/>
                <w:kern w:val="2"/>
                <w:sz w:val="21"/>
                <w:szCs w:val="21"/>
              </w:rPr>
            </w:pPr>
          </w:p>
        </w:tc>
        <w:tc>
          <w:tcPr>
            <w:tcW w:w="1080" w:type="dxa"/>
            <w:tcBorders>
              <w:top w:val="single" w:color="auto" w:sz="4" w:space="0"/>
              <w:left w:val="single" w:color="auto" w:sz="4" w:space="0"/>
              <w:right w:val="single" w:color="auto" w:sz="4" w:space="0"/>
            </w:tcBorders>
            <w:shd w:val="clear" w:color="auto" w:fill="auto"/>
            <w:vAlign w:val="center"/>
          </w:tcPr>
          <w:p>
            <w:pPr>
              <w:pStyle w:val="32"/>
              <w:widowControl w:val="0"/>
              <w:spacing w:before="0" w:beforeAutospacing="0" w:after="0" w:afterAutospacing="0"/>
              <w:jc w:val="center"/>
              <w:rPr>
                <w:rFonts w:ascii="Times New Roman" w:hAnsi="Times New Roman"/>
                <w:kern w:val="2"/>
                <w:sz w:val="21"/>
                <w:szCs w:val="21"/>
              </w:rPr>
            </w:pPr>
            <w:r>
              <w:rPr>
                <w:rFonts w:hint="eastAsia" w:ascii="Times New Roman" w:hAnsi="Times New Roman"/>
                <w:kern w:val="2"/>
                <w:sz w:val="21"/>
                <w:szCs w:val="21"/>
              </w:rPr>
              <w:t>汽油</w:t>
            </w:r>
          </w:p>
        </w:tc>
        <w:tc>
          <w:tcPr>
            <w:tcW w:w="1410" w:type="dxa"/>
            <w:tcBorders>
              <w:top w:val="single" w:color="auto" w:sz="4" w:space="0"/>
              <w:left w:val="single" w:color="auto" w:sz="4" w:space="0"/>
              <w:bottom w:val="single" w:color="auto" w:sz="8" w:space="0"/>
              <w:right w:val="single" w:color="auto" w:sz="4" w:space="0"/>
            </w:tcBorders>
            <w:shd w:val="clear" w:color="auto" w:fill="auto"/>
            <w:vAlign w:val="center"/>
          </w:tcPr>
          <w:p>
            <w:pPr>
              <w:pStyle w:val="32"/>
              <w:widowControl w:val="0"/>
              <w:spacing w:before="0" w:beforeAutospacing="0" w:after="0" w:afterAutospacing="0"/>
              <w:jc w:val="center"/>
              <w:rPr>
                <w:rFonts w:ascii="Times New Roman" w:hAnsi="Times New Roman" w:cs="Times New Roman"/>
                <w:kern w:val="2"/>
                <w:sz w:val="21"/>
                <w:szCs w:val="21"/>
                <w:u w:val="single"/>
              </w:rPr>
            </w:pPr>
            <w:r>
              <w:rPr>
                <w:rFonts w:hint="eastAsia" w:ascii="Times New Roman" w:hAnsi="Times New Roman" w:cs="Times New Roman"/>
                <w:kern w:val="2"/>
                <w:sz w:val="21"/>
                <w:szCs w:val="21"/>
                <w:u w:val="single"/>
              </w:rPr>
              <w:t>30m</w:t>
            </w:r>
            <w:r>
              <w:rPr>
                <w:rFonts w:hint="eastAsia" w:ascii="Times New Roman" w:hAnsi="Times New Roman" w:cs="Times New Roman"/>
                <w:kern w:val="2"/>
                <w:sz w:val="21"/>
                <w:szCs w:val="21"/>
                <w:u w:val="single"/>
                <w:vertAlign w:val="superscript"/>
              </w:rPr>
              <w:t>3</w:t>
            </w:r>
          </w:p>
        </w:tc>
        <w:tc>
          <w:tcPr>
            <w:tcW w:w="3030" w:type="dxa"/>
            <w:vMerge w:val="continue"/>
            <w:tcBorders>
              <w:left w:val="single" w:color="auto" w:sz="4" w:space="0"/>
              <w:right w:val="single" w:color="auto" w:sz="4" w:space="0"/>
            </w:tcBorders>
            <w:shd w:val="clear" w:color="auto" w:fill="auto"/>
            <w:vAlign w:val="center"/>
          </w:tcPr>
          <w:p>
            <w:pPr>
              <w:pStyle w:val="32"/>
              <w:widowControl w:val="0"/>
              <w:spacing w:before="0" w:beforeAutospacing="0" w:after="0" w:afterAutospacing="0"/>
              <w:jc w:val="both"/>
              <w:rPr>
                <w:rFonts w:ascii="Times New Roman" w:hAnsi="Times New Roman" w:cs="Times New Roman"/>
                <w:kern w:val="2"/>
                <w:sz w:val="21"/>
                <w:szCs w:val="21"/>
              </w:rPr>
            </w:pPr>
          </w:p>
        </w:tc>
        <w:tc>
          <w:tcPr>
            <w:tcW w:w="1207" w:type="dxa"/>
            <w:vMerge w:val="continue"/>
            <w:tcBorders>
              <w:left w:val="single" w:color="auto" w:sz="4" w:space="0"/>
              <w:right w:val="single" w:color="auto" w:sz="8" w:space="0"/>
            </w:tcBorders>
            <w:shd w:val="clear" w:color="auto" w:fill="auto"/>
            <w:vAlign w:val="center"/>
          </w:tcPr>
          <w:p>
            <w:pPr>
              <w:pStyle w:val="32"/>
              <w:widowControl w:val="0"/>
              <w:spacing w:before="0" w:beforeAutospacing="0" w:after="0" w:afterAutospacing="0"/>
              <w:jc w:val="both"/>
              <w:rPr>
                <w:rFonts w:ascii="Times New Roman" w:hAnsi="Times New Roman"/>
                <w:kern w:val="2"/>
                <w:sz w:val="21"/>
                <w:szCs w:val="21"/>
              </w:rPr>
            </w:pPr>
          </w:p>
        </w:tc>
      </w:tr>
    </w:tbl>
    <w:p>
      <w:pPr>
        <w:rPr>
          <w:color w:val="000000" w:themeColor="text1"/>
          <w:kern w:val="0"/>
        </w:rPr>
      </w:pPr>
      <w:r>
        <w:rPr>
          <w:color w:val="000000" w:themeColor="text1"/>
        </w:rPr>
        <w:t>参照《集中式饮用水水源环境保护指南（试行）》中附件三，分析潜在事件，筛选风险源。</w:t>
      </w:r>
      <w:r>
        <w:rPr>
          <w:rFonts w:hint="eastAsia"/>
          <w:color w:val="000000" w:themeColor="text1"/>
          <w:kern w:val="0"/>
        </w:rPr>
        <w:t>关于</w:t>
      </w:r>
      <w:r>
        <w:rPr>
          <w:rFonts w:hint="eastAsia"/>
          <w:color w:val="000000" w:themeColor="text1"/>
        </w:rPr>
        <w:t>岳阳市饮用水源保护区（铁山水库-北干渠-金凤水库）</w:t>
      </w:r>
      <w:r>
        <w:rPr>
          <w:rFonts w:hint="eastAsia"/>
        </w:rPr>
        <w:t>固定环境风险源分布情况见表4-4，</w:t>
      </w:r>
      <w:r>
        <w:rPr>
          <w:color w:val="000000" w:themeColor="text1"/>
          <w:kern w:val="0"/>
        </w:rPr>
        <w:t>固定源评价指标及评分值见表4-</w:t>
      </w:r>
      <w:r>
        <w:rPr>
          <w:rFonts w:hint="eastAsia"/>
          <w:color w:val="000000" w:themeColor="text1"/>
          <w:kern w:val="0"/>
        </w:rPr>
        <w:t>5</w:t>
      </w:r>
      <w:r>
        <w:rPr>
          <w:color w:val="000000" w:themeColor="text1"/>
          <w:kern w:val="0"/>
        </w:rPr>
        <w:t>。</w:t>
      </w:r>
    </w:p>
    <w:p>
      <w:pPr>
        <w:widowControl/>
        <w:ind w:firstLine="0" w:firstLineChars="0"/>
        <w:jc w:val="center"/>
        <w:rPr>
          <w:b/>
          <w:color w:val="000000" w:themeColor="text1"/>
          <w:kern w:val="0"/>
          <w:sz w:val="21"/>
          <w:szCs w:val="21"/>
        </w:rPr>
      </w:pPr>
      <w:r>
        <w:rPr>
          <w:rFonts w:hint="eastAsia"/>
          <w:b/>
          <w:color w:val="000000" w:themeColor="text1"/>
          <w:kern w:val="0"/>
          <w:sz w:val="21"/>
          <w:szCs w:val="21"/>
        </w:rPr>
        <w:t>表4-4  饮用水水源地调查区固定环境风险源分布情况一览表</w:t>
      </w:r>
    </w:p>
    <w:tbl>
      <w:tblPr>
        <w:tblStyle w:val="47"/>
        <w:tblW w:w="8522" w:type="dxa"/>
        <w:tblInd w:w="0" w:type="dxa"/>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
      <w:tblGrid>
        <w:gridCol w:w="2386"/>
        <w:gridCol w:w="1508"/>
        <w:gridCol w:w="1462"/>
        <w:gridCol w:w="1133"/>
        <w:gridCol w:w="2033"/>
      </w:tblGrid>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trPr>
        <w:tc>
          <w:tcPr>
            <w:tcW w:w="2386" w:type="dxa"/>
            <w:tcBorders>
              <w:tl2br w:val="nil"/>
              <w:tr2bl w:val="nil"/>
            </w:tcBorders>
            <w:shd w:val="clear" w:color="auto" w:fill="auto"/>
            <w:vAlign w:val="center"/>
          </w:tcPr>
          <w:p>
            <w:pPr>
              <w:pStyle w:val="80"/>
              <w:rPr>
                <w:rFonts w:ascii="Times New Roman" w:hAnsi="Times New Roman" w:cs="Times New Roman"/>
                <w:b/>
                <w:sz w:val="21"/>
                <w:szCs w:val="21"/>
              </w:rPr>
            </w:pPr>
            <w:r>
              <w:rPr>
                <w:rFonts w:hint="eastAsia" w:ascii="Times New Roman" w:hAnsi="Times New Roman" w:cs="Times New Roman"/>
                <w:b/>
                <w:sz w:val="21"/>
                <w:szCs w:val="21"/>
              </w:rPr>
              <w:t>企业名称</w:t>
            </w:r>
          </w:p>
        </w:tc>
        <w:tc>
          <w:tcPr>
            <w:tcW w:w="1508" w:type="dxa"/>
            <w:tcBorders>
              <w:tl2br w:val="nil"/>
              <w:tr2bl w:val="nil"/>
            </w:tcBorders>
            <w:shd w:val="clear" w:color="auto" w:fill="auto"/>
            <w:vAlign w:val="center"/>
          </w:tcPr>
          <w:p>
            <w:pPr>
              <w:pStyle w:val="80"/>
              <w:rPr>
                <w:rFonts w:ascii="Times New Roman" w:hAnsi="Times New Roman" w:cs="Times New Roman"/>
                <w:b/>
                <w:sz w:val="21"/>
                <w:szCs w:val="21"/>
              </w:rPr>
            </w:pPr>
            <w:r>
              <w:rPr>
                <w:rFonts w:hint="eastAsia" w:ascii="Times New Roman" w:hAnsi="Times New Roman" w:cs="Times New Roman"/>
                <w:b/>
                <w:sz w:val="21"/>
                <w:szCs w:val="21"/>
              </w:rPr>
              <w:t>一级保护区</w:t>
            </w:r>
          </w:p>
        </w:tc>
        <w:tc>
          <w:tcPr>
            <w:tcW w:w="1462" w:type="dxa"/>
            <w:tcBorders>
              <w:tl2br w:val="nil"/>
              <w:tr2bl w:val="nil"/>
            </w:tcBorders>
            <w:shd w:val="clear" w:color="auto" w:fill="auto"/>
            <w:vAlign w:val="center"/>
          </w:tcPr>
          <w:p>
            <w:pPr>
              <w:pStyle w:val="80"/>
              <w:rPr>
                <w:rFonts w:ascii="Times New Roman" w:hAnsi="Times New Roman" w:cs="Times New Roman"/>
                <w:b/>
                <w:sz w:val="21"/>
                <w:szCs w:val="21"/>
              </w:rPr>
            </w:pPr>
            <w:r>
              <w:rPr>
                <w:rFonts w:hint="eastAsia" w:ascii="Times New Roman" w:hAnsi="Times New Roman" w:cs="Times New Roman"/>
                <w:b/>
                <w:sz w:val="21"/>
                <w:szCs w:val="21"/>
              </w:rPr>
              <w:t>二级保护区</w:t>
            </w:r>
          </w:p>
        </w:tc>
        <w:tc>
          <w:tcPr>
            <w:tcW w:w="1133" w:type="dxa"/>
            <w:tcBorders>
              <w:tl2br w:val="nil"/>
              <w:tr2bl w:val="nil"/>
            </w:tcBorders>
            <w:shd w:val="clear" w:color="auto" w:fill="auto"/>
            <w:vAlign w:val="center"/>
          </w:tcPr>
          <w:p>
            <w:pPr>
              <w:pStyle w:val="80"/>
              <w:rPr>
                <w:rFonts w:ascii="Times New Roman" w:hAnsi="Times New Roman" w:cs="Times New Roman"/>
                <w:b/>
                <w:sz w:val="21"/>
                <w:szCs w:val="21"/>
              </w:rPr>
            </w:pPr>
            <w:r>
              <w:rPr>
                <w:rFonts w:hint="eastAsia" w:ascii="Times New Roman" w:hAnsi="Times New Roman" w:cs="Times New Roman"/>
                <w:b/>
                <w:sz w:val="21"/>
                <w:szCs w:val="21"/>
              </w:rPr>
              <w:t>准保护区</w:t>
            </w:r>
          </w:p>
        </w:tc>
        <w:tc>
          <w:tcPr>
            <w:tcW w:w="2033" w:type="dxa"/>
            <w:tcBorders>
              <w:tl2br w:val="nil"/>
              <w:tr2bl w:val="nil"/>
            </w:tcBorders>
            <w:shd w:val="clear" w:color="auto" w:fill="auto"/>
            <w:vAlign w:val="center"/>
          </w:tcPr>
          <w:p>
            <w:pPr>
              <w:pStyle w:val="80"/>
              <w:rPr>
                <w:rFonts w:ascii="Times New Roman" w:hAnsi="Times New Roman" w:cs="Times New Roman"/>
                <w:b/>
                <w:sz w:val="21"/>
                <w:szCs w:val="21"/>
              </w:rPr>
            </w:pPr>
            <w:r>
              <w:rPr>
                <w:rFonts w:hint="eastAsia" w:ascii="Times New Roman" w:hAnsi="Times New Roman" w:cs="Times New Roman"/>
                <w:b/>
                <w:sz w:val="21"/>
                <w:szCs w:val="21"/>
              </w:rPr>
              <w:t>除保护区以外的调查范围区</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trPr>
        <w:tc>
          <w:tcPr>
            <w:tcW w:w="2386" w:type="dxa"/>
            <w:tcBorders>
              <w:tl2br w:val="nil"/>
              <w:tr2bl w:val="nil"/>
            </w:tcBorders>
            <w:shd w:val="clear" w:color="auto" w:fill="auto"/>
            <w:vAlign w:val="center"/>
          </w:tcPr>
          <w:p>
            <w:pPr>
              <w:pStyle w:val="80"/>
              <w:rPr>
                <w:rFonts w:ascii="Times New Roman" w:hAnsi="Times New Roman" w:cs="Times New Roman"/>
                <w:sz w:val="21"/>
                <w:szCs w:val="21"/>
              </w:rPr>
            </w:pPr>
            <w:r>
              <w:rPr>
                <w:rFonts w:hint="eastAsia" w:ascii="Times New Roman" w:hAnsi="Times New Roman" w:cs="Times New Roman"/>
                <w:sz w:val="21"/>
                <w:szCs w:val="21"/>
              </w:rPr>
              <w:t>加油站</w:t>
            </w:r>
          </w:p>
        </w:tc>
        <w:tc>
          <w:tcPr>
            <w:tcW w:w="1508" w:type="dxa"/>
            <w:tcBorders>
              <w:tl2br w:val="nil"/>
              <w:tr2bl w:val="nil"/>
            </w:tcBorders>
            <w:shd w:val="clear" w:color="auto" w:fill="auto"/>
            <w:vAlign w:val="center"/>
          </w:tcPr>
          <w:p>
            <w:pPr>
              <w:pStyle w:val="80"/>
              <w:rPr>
                <w:rFonts w:ascii="Times New Roman" w:hAnsi="Times New Roman" w:cs="Times New Roman"/>
                <w:sz w:val="21"/>
                <w:szCs w:val="21"/>
              </w:rPr>
            </w:pPr>
          </w:p>
        </w:tc>
        <w:tc>
          <w:tcPr>
            <w:tcW w:w="1462" w:type="dxa"/>
            <w:tcBorders>
              <w:tl2br w:val="nil"/>
              <w:tr2bl w:val="nil"/>
            </w:tcBorders>
            <w:shd w:val="clear" w:color="auto" w:fill="auto"/>
            <w:vAlign w:val="center"/>
          </w:tcPr>
          <w:p>
            <w:pPr>
              <w:pStyle w:val="80"/>
              <w:rPr>
                <w:rFonts w:ascii="Times New Roman" w:hAnsi="Times New Roman" w:cs="Times New Roman"/>
                <w:sz w:val="21"/>
                <w:szCs w:val="21"/>
              </w:rPr>
            </w:pPr>
          </w:p>
        </w:tc>
        <w:tc>
          <w:tcPr>
            <w:tcW w:w="1133" w:type="dxa"/>
            <w:tcBorders>
              <w:tl2br w:val="nil"/>
              <w:tr2bl w:val="nil"/>
            </w:tcBorders>
            <w:shd w:val="clear" w:color="auto" w:fill="auto"/>
            <w:vAlign w:val="center"/>
          </w:tcPr>
          <w:p>
            <w:pPr>
              <w:pStyle w:val="80"/>
              <w:rPr>
                <w:rFonts w:ascii="Times New Roman" w:hAnsi="Times New Roman" w:cs="Times New Roman"/>
                <w:sz w:val="21"/>
                <w:szCs w:val="21"/>
              </w:rPr>
            </w:pPr>
            <w:r>
              <w:rPr>
                <w:rFonts w:hint="eastAsia" w:ascii="Times New Roman" w:hAnsi="Times New Roman" w:cs="Times New Roman"/>
                <w:sz w:val="21"/>
                <w:szCs w:val="21"/>
              </w:rPr>
              <w:t>4</w:t>
            </w:r>
          </w:p>
        </w:tc>
        <w:tc>
          <w:tcPr>
            <w:tcW w:w="2033" w:type="dxa"/>
            <w:tcBorders>
              <w:tl2br w:val="nil"/>
              <w:tr2bl w:val="nil"/>
            </w:tcBorders>
            <w:shd w:val="clear" w:color="auto" w:fill="auto"/>
            <w:vAlign w:val="center"/>
          </w:tcPr>
          <w:p>
            <w:pPr>
              <w:pStyle w:val="80"/>
              <w:rPr>
                <w:rFonts w:ascii="Times New Roman" w:hAnsi="Times New Roman" w:cs="Times New Roman"/>
                <w:sz w:val="21"/>
                <w:szCs w:val="21"/>
              </w:rPr>
            </w:pP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trPr>
        <w:tc>
          <w:tcPr>
            <w:tcW w:w="2386" w:type="dxa"/>
            <w:tcBorders>
              <w:tl2br w:val="nil"/>
              <w:tr2bl w:val="nil"/>
            </w:tcBorders>
            <w:shd w:val="clear" w:color="auto" w:fill="auto"/>
            <w:vAlign w:val="center"/>
          </w:tcPr>
          <w:p>
            <w:pPr>
              <w:pStyle w:val="80"/>
              <w:rPr>
                <w:rFonts w:ascii="Times New Roman" w:hAnsi="Times New Roman" w:cs="Times New Roman"/>
                <w:sz w:val="21"/>
                <w:szCs w:val="21"/>
              </w:rPr>
            </w:pPr>
            <w:r>
              <w:rPr>
                <w:rFonts w:hint="eastAsia" w:ascii="Times New Roman" w:hAnsi="Times New Roman" w:cs="Times New Roman"/>
                <w:sz w:val="21"/>
                <w:szCs w:val="21"/>
              </w:rPr>
              <w:t>生活污水排放口</w:t>
            </w:r>
          </w:p>
        </w:tc>
        <w:tc>
          <w:tcPr>
            <w:tcW w:w="1508" w:type="dxa"/>
            <w:tcBorders>
              <w:tl2br w:val="nil"/>
              <w:tr2bl w:val="nil"/>
            </w:tcBorders>
            <w:shd w:val="clear" w:color="auto" w:fill="auto"/>
            <w:vAlign w:val="center"/>
          </w:tcPr>
          <w:p>
            <w:pPr>
              <w:pStyle w:val="80"/>
              <w:rPr>
                <w:rFonts w:ascii="Times New Roman" w:hAnsi="Times New Roman" w:cs="Times New Roman"/>
                <w:sz w:val="21"/>
                <w:szCs w:val="21"/>
              </w:rPr>
            </w:pPr>
          </w:p>
        </w:tc>
        <w:tc>
          <w:tcPr>
            <w:tcW w:w="1462" w:type="dxa"/>
            <w:tcBorders>
              <w:tl2br w:val="nil"/>
              <w:tr2bl w:val="nil"/>
            </w:tcBorders>
            <w:shd w:val="clear" w:color="auto" w:fill="auto"/>
            <w:vAlign w:val="center"/>
          </w:tcPr>
          <w:p>
            <w:pPr>
              <w:pStyle w:val="80"/>
              <w:rPr>
                <w:rFonts w:ascii="Times New Roman" w:hAnsi="Times New Roman" w:cs="Times New Roman"/>
                <w:sz w:val="21"/>
                <w:szCs w:val="21"/>
              </w:rPr>
            </w:pPr>
          </w:p>
        </w:tc>
        <w:tc>
          <w:tcPr>
            <w:tcW w:w="1133" w:type="dxa"/>
            <w:tcBorders>
              <w:tl2br w:val="nil"/>
              <w:tr2bl w:val="nil"/>
            </w:tcBorders>
            <w:shd w:val="clear" w:color="auto" w:fill="auto"/>
            <w:vAlign w:val="center"/>
          </w:tcPr>
          <w:p>
            <w:pPr>
              <w:pStyle w:val="80"/>
              <w:rPr>
                <w:rFonts w:ascii="Times New Roman" w:hAnsi="Times New Roman" w:cs="Times New Roman"/>
                <w:sz w:val="21"/>
                <w:szCs w:val="21"/>
              </w:rPr>
            </w:pPr>
            <w:r>
              <w:rPr>
                <w:rFonts w:hint="eastAsia" w:ascii="Times New Roman" w:hAnsi="Times New Roman" w:cs="Times New Roman"/>
                <w:sz w:val="21"/>
                <w:szCs w:val="21"/>
              </w:rPr>
              <w:t>2</w:t>
            </w:r>
          </w:p>
        </w:tc>
        <w:tc>
          <w:tcPr>
            <w:tcW w:w="2033" w:type="dxa"/>
            <w:tcBorders>
              <w:tl2br w:val="nil"/>
              <w:tr2bl w:val="nil"/>
            </w:tcBorders>
            <w:shd w:val="clear" w:color="auto" w:fill="auto"/>
            <w:vAlign w:val="center"/>
          </w:tcPr>
          <w:p>
            <w:pPr>
              <w:pStyle w:val="80"/>
              <w:rPr>
                <w:rFonts w:ascii="Times New Roman" w:hAnsi="Times New Roman" w:cs="Times New Roman"/>
                <w:sz w:val="21"/>
                <w:szCs w:val="21"/>
              </w:rPr>
            </w:pP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trPr>
        <w:tc>
          <w:tcPr>
            <w:tcW w:w="2386" w:type="dxa"/>
            <w:tcBorders>
              <w:tl2br w:val="nil"/>
              <w:tr2bl w:val="nil"/>
            </w:tcBorders>
            <w:shd w:val="clear" w:color="auto" w:fill="auto"/>
            <w:vAlign w:val="center"/>
          </w:tcPr>
          <w:p>
            <w:pPr>
              <w:pStyle w:val="80"/>
              <w:rPr>
                <w:rFonts w:ascii="Times New Roman" w:hAnsi="Times New Roman" w:cs="Times New Roman"/>
                <w:sz w:val="21"/>
                <w:szCs w:val="21"/>
              </w:rPr>
            </w:pPr>
            <w:r>
              <w:rPr>
                <w:rFonts w:hint="eastAsia" w:ascii="Times New Roman" w:hAnsi="Times New Roman" w:cs="Times New Roman"/>
                <w:sz w:val="21"/>
                <w:szCs w:val="21"/>
              </w:rPr>
              <w:t>月田长石粉厂</w:t>
            </w:r>
          </w:p>
        </w:tc>
        <w:tc>
          <w:tcPr>
            <w:tcW w:w="1508" w:type="dxa"/>
            <w:tcBorders>
              <w:tl2br w:val="nil"/>
              <w:tr2bl w:val="nil"/>
            </w:tcBorders>
            <w:shd w:val="clear" w:color="auto" w:fill="auto"/>
            <w:vAlign w:val="center"/>
          </w:tcPr>
          <w:p>
            <w:pPr>
              <w:pStyle w:val="80"/>
              <w:rPr>
                <w:rFonts w:ascii="Times New Roman" w:hAnsi="Times New Roman" w:cs="Times New Roman"/>
                <w:sz w:val="21"/>
                <w:szCs w:val="21"/>
              </w:rPr>
            </w:pPr>
          </w:p>
        </w:tc>
        <w:tc>
          <w:tcPr>
            <w:tcW w:w="1462" w:type="dxa"/>
            <w:tcBorders>
              <w:tl2br w:val="nil"/>
              <w:tr2bl w:val="nil"/>
            </w:tcBorders>
            <w:shd w:val="clear" w:color="auto" w:fill="auto"/>
            <w:vAlign w:val="center"/>
          </w:tcPr>
          <w:p>
            <w:pPr>
              <w:pStyle w:val="80"/>
              <w:rPr>
                <w:rFonts w:ascii="Times New Roman" w:hAnsi="Times New Roman" w:cs="Times New Roman"/>
                <w:sz w:val="21"/>
                <w:szCs w:val="21"/>
              </w:rPr>
            </w:pPr>
          </w:p>
        </w:tc>
        <w:tc>
          <w:tcPr>
            <w:tcW w:w="1133" w:type="dxa"/>
            <w:tcBorders>
              <w:tl2br w:val="nil"/>
              <w:tr2bl w:val="nil"/>
            </w:tcBorders>
            <w:shd w:val="clear" w:color="auto" w:fill="auto"/>
            <w:vAlign w:val="center"/>
          </w:tcPr>
          <w:p>
            <w:pPr>
              <w:pStyle w:val="80"/>
              <w:rPr>
                <w:rFonts w:ascii="Times New Roman" w:hAnsi="Times New Roman" w:cs="Times New Roman"/>
                <w:sz w:val="21"/>
                <w:szCs w:val="21"/>
              </w:rPr>
            </w:pPr>
            <w:r>
              <w:rPr>
                <w:rFonts w:hint="eastAsia" w:ascii="Times New Roman" w:hAnsi="Times New Roman" w:cs="Times New Roman"/>
                <w:sz w:val="21"/>
                <w:szCs w:val="21"/>
              </w:rPr>
              <w:t>√</w:t>
            </w:r>
          </w:p>
        </w:tc>
        <w:tc>
          <w:tcPr>
            <w:tcW w:w="2033" w:type="dxa"/>
            <w:tcBorders>
              <w:tl2br w:val="nil"/>
              <w:tr2bl w:val="nil"/>
            </w:tcBorders>
            <w:shd w:val="clear" w:color="auto" w:fill="auto"/>
            <w:vAlign w:val="center"/>
          </w:tcPr>
          <w:p>
            <w:pPr>
              <w:pStyle w:val="80"/>
              <w:rPr>
                <w:rFonts w:ascii="Times New Roman" w:hAnsi="Times New Roman" w:cs="Times New Roman"/>
                <w:sz w:val="21"/>
                <w:szCs w:val="21"/>
              </w:rPr>
            </w:pP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trPr>
        <w:tc>
          <w:tcPr>
            <w:tcW w:w="2386" w:type="dxa"/>
            <w:tcBorders>
              <w:tl2br w:val="nil"/>
              <w:tr2bl w:val="nil"/>
            </w:tcBorders>
            <w:shd w:val="clear" w:color="auto" w:fill="auto"/>
            <w:vAlign w:val="center"/>
          </w:tcPr>
          <w:p>
            <w:pPr>
              <w:pStyle w:val="80"/>
              <w:rPr>
                <w:rFonts w:ascii="Times New Roman" w:hAnsi="Times New Roman" w:cs="Times New Roman"/>
                <w:sz w:val="21"/>
                <w:szCs w:val="21"/>
              </w:rPr>
            </w:pPr>
            <w:r>
              <w:rPr>
                <w:rFonts w:hint="eastAsia" w:ascii="Times New Roman" w:hAnsi="Times New Roman" w:cs="Times New Roman"/>
                <w:sz w:val="21"/>
                <w:szCs w:val="21"/>
              </w:rPr>
              <w:t>弘峰长石粉有限公司</w:t>
            </w:r>
          </w:p>
        </w:tc>
        <w:tc>
          <w:tcPr>
            <w:tcW w:w="1508" w:type="dxa"/>
            <w:tcBorders>
              <w:tl2br w:val="nil"/>
              <w:tr2bl w:val="nil"/>
            </w:tcBorders>
            <w:shd w:val="clear" w:color="auto" w:fill="auto"/>
            <w:vAlign w:val="center"/>
          </w:tcPr>
          <w:p>
            <w:pPr>
              <w:pStyle w:val="80"/>
              <w:rPr>
                <w:rFonts w:ascii="Times New Roman" w:hAnsi="Times New Roman" w:cs="Times New Roman"/>
                <w:sz w:val="21"/>
                <w:szCs w:val="21"/>
              </w:rPr>
            </w:pPr>
          </w:p>
        </w:tc>
        <w:tc>
          <w:tcPr>
            <w:tcW w:w="1462" w:type="dxa"/>
            <w:tcBorders>
              <w:tl2br w:val="nil"/>
              <w:tr2bl w:val="nil"/>
            </w:tcBorders>
            <w:shd w:val="clear" w:color="auto" w:fill="auto"/>
            <w:vAlign w:val="center"/>
          </w:tcPr>
          <w:p>
            <w:pPr>
              <w:pStyle w:val="80"/>
              <w:rPr>
                <w:rFonts w:ascii="Times New Roman" w:hAnsi="Times New Roman" w:cs="Times New Roman"/>
                <w:sz w:val="21"/>
                <w:szCs w:val="21"/>
              </w:rPr>
            </w:pPr>
          </w:p>
        </w:tc>
        <w:tc>
          <w:tcPr>
            <w:tcW w:w="1133" w:type="dxa"/>
            <w:tcBorders>
              <w:tl2br w:val="nil"/>
              <w:tr2bl w:val="nil"/>
            </w:tcBorders>
            <w:shd w:val="clear" w:color="auto" w:fill="auto"/>
            <w:vAlign w:val="center"/>
          </w:tcPr>
          <w:p>
            <w:pPr>
              <w:pStyle w:val="80"/>
              <w:rPr>
                <w:rFonts w:ascii="Times New Roman" w:hAnsi="Times New Roman" w:cs="Times New Roman"/>
                <w:sz w:val="21"/>
                <w:szCs w:val="21"/>
              </w:rPr>
            </w:pPr>
            <w:r>
              <w:rPr>
                <w:rFonts w:hint="eastAsia" w:ascii="Times New Roman" w:hAnsi="Times New Roman" w:cs="Times New Roman"/>
                <w:sz w:val="21"/>
                <w:szCs w:val="21"/>
              </w:rPr>
              <w:t>√</w:t>
            </w:r>
          </w:p>
        </w:tc>
        <w:tc>
          <w:tcPr>
            <w:tcW w:w="2033" w:type="dxa"/>
            <w:tcBorders>
              <w:tl2br w:val="nil"/>
              <w:tr2bl w:val="nil"/>
            </w:tcBorders>
            <w:shd w:val="clear" w:color="auto" w:fill="auto"/>
            <w:vAlign w:val="center"/>
          </w:tcPr>
          <w:p>
            <w:pPr>
              <w:pStyle w:val="80"/>
              <w:rPr>
                <w:rFonts w:ascii="Times New Roman" w:hAnsi="Times New Roman" w:cs="Times New Roman"/>
                <w:sz w:val="21"/>
                <w:szCs w:val="21"/>
              </w:rPr>
            </w:pP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trPr>
        <w:tc>
          <w:tcPr>
            <w:tcW w:w="2386" w:type="dxa"/>
            <w:tcBorders>
              <w:tl2br w:val="nil"/>
              <w:tr2bl w:val="nil"/>
            </w:tcBorders>
            <w:shd w:val="clear" w:color="auto" w:fill="auto"/>
            <w:vAlign w:val="center"/>
          </w:tcPr>
          <w:p>
            <w:pPr>
              <w:pStyle w:val="80"/>
              <w:rPr>
                <w:rFonts w:ascii="Times New Roman" w:hAnsi="Times New Roman" w:cs="Times New Roman"/>
                <w:sz w:val="21"/>
                <w:szCs w:val="21"/>
              </w:rPr>
            </w:pPr>
            <w:r>
              <w:rPr>
                <w:rFonts w:hint="eastAsia" w:ascii="Times New Roman" w:hAnsi="Times New Roman" w:cs="Times New Roman"/>
                <w:sz w:val="21"/>
                <w:szCs w:val="21"/>
              </w:rPr>
              <w:t>金凤水库管理所</w:t>
            </w:r>
          </w:p>
        </w:tc>
        <w:tc>
          <w:tcPr>
            <w:tcW w:w="1508" w:type="dxa"/>
            <w:tcBorders>
              <w:tl2br w:val="nil"/>
              <w:tr2bl w:val="nil"/>
            </w:tcBorders>
            <w:shd w:val="clear" w:color="auto" w:fill="auto"/>
            <w:vAlign w:val="center"/>
          </w:tcPr>
          <w:p>
            <w:pPr>
              <w:pStyle w:val="80"/>
              <w:rPr>
                <w:rFonts w:ascii="Times New Roman" w:hAnsi="Times New Roman" w:cs="Times New Roman"/>
                <w:sz w:val="21"/>
                <w:szCs w:val="21"/>
              </w:rPr>
            </w:pPr>
            <w:r>
              <w:rPr>
                <w:rFonts w:hint="eastAsia" w:ascii="Times New Roman" w:hAnsi="Times New Roman" w:cs="Times New Roman"/>
                <w:sz w:val="21"/>
                <w:szCs w:val="21"/>
              </w:rPr>
              <w:t>√</w:t>
            </w:r>
          </w:p>
        </w:tc>
        <w:tc>
          <w:tcPr>
            <w:tcW w:w="1462" w:type="dxa"/>
            <w:tcBorders>
              <w:tl2br w:val="nil"/>
              <w:tr2bl w:val="nil"/>
            </w:tcBorders>
            <w:shd w:val="clear" w:color="auto" w:fill="auto"/>
            <w:vAlign w:val="center"/>
          </w:tcPr>
          <w:p>
            <w:pPr>
              <w:pStyle w:val="80"/>
              <w:rPr>
                <w:rFonts w:ascii="Times New Roman" w:hAnsi="Times New Roman" w:cs="Times New Roman"/>
                <w:sz w:val="21"/>
                <w:szCs w:val="21"/>
              </w:rPr>
            </w:pPr>
          </w:p>
        </w:tc>
        <w:tc>
          <w:tcPr>
            <w:tcW w:w="1133" w:type="dxa"/>
            <w:tcBorders>
              <w:tl2br w:val="nil"/>
              <w:tr2bl w:val="nil"/>
            </w:tcBorders>
            <w:shd w:val="clear" w:color="auto" w:fill="auto"/>
            <w:vAlign w:val="center"/>
          </w:tcPr>
          <w:p>
            <w:pPr>
              <w:pStyle w:val="80"/>
              <w:rPr>
                <w:rFonts w:ascii="Times New Roman" w:hAnsi="Times New Roman" w:cs="Times New Roman"/>
                <w:sz w:val="21"/>
                <w:szCs w:val="21"/>
              </w:rPr>
            </w:pPr>
          </w:p>
        </w:tc>
        <w:tc>
          <w:tcPr>
            <w:tcW w:w="2033" w:type="dxa"/>
            <w:tcBorders>
              <w:tl2br w:val="nil"/>
              <w:tr2bl w:val="nil"/>
            </w:tcBorders>
            <w:shd w:val="clear" w:color="auto" w:fill="auto"/>
            <w:vAlign w:val="center"/>
          </w:tcPr>
          <w:p>
            <w:pPr>
              <w:pStyle w:val="80"/>
              <w:rPr>
                <w:rFonts w:ascii="Times New Roman" w:hAnsi="Times New Roman" w:cs="Times New Roman"/>
                <w:sz w:val="21"/>
                <w:szCs w:val="21"/>
              </w:rPr>
            </w:pPr>
          </w:p>
        </w:tc>
      </w:tr>
    </w:tbl>
    <w:p>
      <w:pPr>
        <w:spacing w:line="240" w:lineRule="auto"/>
        <w:ind w:firstLine="420"/>
        <w:rPr>
          <w:color w:val="000000" w:themeColor="text1"/>
          <w:kern w:val="0"/>
          <w:sz w:val="21"/>
          <w:szCs w:val="21"/>
        </w:rPr>
      </w:pPr>
    </w:p>
    <w:p>
      <w:pPr>
        <w:spacing w:line="240" w:lineRule="auto"/>
        <w:ind w:firstLine="420"/>
        <w:rPr>
          <w:color w:val="000000" w:themeColor="text1"/>
          <w:kern w:val="0"/>
          <w:sz w:val="21"/>
          <w:szCs w:val="21"/>
        </w:rPr>
        <w:sectPr>
          <w:pgSz w:w="11906" w:h="16838"/>
          <w:pgMar w:top="1440" w:right="1800" w:bottom="1440" w:left="1800" w:header="851" w:footer="992" w:gutter="0"/>
          <w:cols w:space="425" w:num="1"/>
          <w:docGrid w:type="lines" w:linePitch="312" w:charSpace="0"/>
        </w:sectPr>
      </w:pPr>
    </w:p>
    <w:p>
      <w:pPr>
        <w:widowControl/>
        <w:spacing w:line="440" w:lineRule="exact"/>
        <w:ind w:firstLine="422"/>
        <w:jc w:val="center"/>
        <w:rPr>
          <w:b/>
          <w:color w:val="000000" w:themeColor="text1"/>
          <w:kern w:val="0"/>
          <w:sz w:val="21"/>
          <w:szCs w:val="21"/>
        </w:rPr>
      </w:pPr>
      <w:r>
        <w:rPr>
          <w:b/>
          <w:color w:val="000000" w:themeColor="text1"/>
          <w:kern w:val="0"/>
          <w:sz w:val="21"/>
          <w:szCs w:val="21"/>
        </w:rPr>
        <w:t>表4-</w:t>
      </w:r>
      <w:r>
        <w:rPr>
          <w:rFonts w:hint="eastAsia"/>
          <w:b/>
          <w:color w:val="000000" w:themeColor="text1"/>
          <w:kern w:val="0"/>
          <w:sz w:val="21"/>
          <w:szCs w:val="21"/>
        </w:rPr>
        <w:t>5</w:t>
      </w:r>
      <w:r>
        <w:rPr>
          <w:b/>
          <w:color w:val="000000" w:themeColor="text1"/>
          <w:kern w:val="0"/>
          <w:sz w:val="21"/>
          <w:szCs w:val="21"/>
        </w:rPr>
        <w:t xml:space="preserve"> </w:t>
      </w:r>
      <w:r>
        <w:rPr>
          <w:rFonts w:hint="eastAsia"/>
          <w:b/>
          <w:color w:val="000000" w:themeColor="text1"/>
          <w:kern w:val="0"/>
          <w:sz w:val="21"/>
          <w:szCs w:val="21"/>
        </w:rPr>
        <w:t xml:space="preserve"> </w:t>
      </w:r>
      <w:r>
        <w:rPr>
          <w:b/>
          <w:color w:val="000000" w:themeColor="text1"/>
          <w:kern w:val="0"/>
          <w:sz w:val="21"/>
          <w:szCs w:val="21"/>
        </w:rPr>
        <w:t xml:space="preserve"> 固定源评价指标及评分值（R</w:t>
      </w:r>
      <w:r>
        <w:rPr>
          <w:b/>
          <w:color w:val="000000" w:themeColor="text1"/>
          <w:kern w:val="0"/>
          <w:sz w:val="21"/>
          <w:szCs w:val="21"/>
          <w:vertAlign w:val="subscript"/>
        </w:rPr>
        <w:t>P</w:t>
      </w:r>
      <w:r>
        <w:rPr>
          <w:b/>
          <w:color w:val="000000" w:themeColor="text1"/>
          <w:kern w:val="0"/>
          <w:sz w:val="21"/>
          <w:szCs w:val="21"/>
        </w:rPr>
        <w:t>）</w:t>
      </w:r>
    </w:p>
    <w:tbl>
      <w:tblPr>
        <w:tblStyle w:val="47"/>
        <w:tblW w:w="14409" w:type="dxa"/>
        <w:tblInd w:w="0" w:type="dxa"/>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
      <w:tblGrid>
        <w:gridCol w:w="900"/>
        <w:gridCol w:w="931"/>
        <w:gridCol w:w="957"/>
        <w:gridCol w:w="873"/>
        <w:gridCol w:w="1069"/>
        <w:gridCol w:w="1340"/>
        <w:gridCol w:w="1746"/>
        <w:gridCol w:w="1040"/>
        <w:gridCol w:w="888"/>
        <w:gridCol w:w="1464"/>
        <w:gridCol w:w="1493"/>
        <w:gridCol w:w="867"/>
        <w:gridCol w:w="841"/>
      </w:tblGrid>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trPr>
        <w:tc>
          <w:tcPr>
            <w:tcW w:w="900" w:type="dxa"/>
            <w:vMerge w:val="restart"/>
            <w:tcBorders>
              <w:tl2br w:val="nil"/>
              <w:tr2bl w:val="nil"/>
            </w:tcBorders>
            <w:vAlign w:val="center"/>
          </w:tcPr>
          <w:p>
            <w:pPr>
              <w:widowControl/>
              <w:snapToGrid w:val="0"/>
              <w:spacing w:line="240" w:lineRule="auto"/>
              <w:ind w:firstLine="0" w:firstLineChars="0"/>
              <w:jc w:val="center"/>
              <w:rPr>
                <w:color w:val="000000" w:themeColor="text1"/>
                <w:kern w:val="0"/>
                <w:sz w:val="18"/>
                <w:szCs w:val="18"/>
              </w:rPr>
            </w:pPr>
            <w:r>
              <w:rPr>
                <w:rFonts w:hint="eastAsia"/>
                <w:color w:val="000000" w:themeColor="text1"/>
                <w:kern w:val="0"/>
                <w:sz w:val="18"/>
                <w:szCs w:val="18"/>
              </w:rPr>
              <w:t>风险源</w:t>
            </w:r>
          </w:p>
        </w:tc>
        <w:tc>
          <w:tcPr>
            <w:tcW w:w="3830" w:type="dxa"/>
            <w:gridSpan w:val="4"/>
            <w:tcBorders>
              <w:tl2br w:val="nil"/>
              <w:tr2bl w:val="nil"/>
            </w:tcBorders>
            <w:vAlign w:val="center"/>
          </w:tcPr>
          <w:p>
            <w:pPr>
              <w:widowControl/>
              <w:snapToGrid w:val="0"/>
              <w:spacing w:line="240" w:lineRule="auto"/>
              <w:ind w:firstLine="360"/>
              <w:jc w:val="center"/>
              <w:rPr>
                <w:color w:val="000000" w:themeColor="text1"/>
                <w:kern w:val="0"/>
                <w:sz w:val="18"/>
                <w:szCs w:val="18"/>
              </w:rPr>
            </w:pPr>
            <w:r>
              <w:rPr>
                <w:rFonts w:hint="eastAsia"/>
                <w:color w:val="000000" w:themeColor="text1"/>
                <w:kern w:val="0"/>
                <w:sz w:val="18"/>
                <w:szCs w:val="18"/>
              </w:rPr>
              <w:t>一级保护区</w:t>
            </w:r>
          </w:p>
        </w:tc>
        <w:tc>
          <w:tcPr>
            <w:tcW w:w="5014" w:type="dxa"/>
            <w:gridSpan w:val="4"/>
            <w:tcBorders>
              <w:tl2br w:val="nil"/>
              <w:tr2bl w:val="nil"/>
            </w:tcBorders>
            <w:vAlign w:val="center"/>
          </w:tcPr>
          <w:p>
            <w:pPr>
              <w:widowControl/>
              <w:snapToGrid w:val="0"/>
              <w:spacing w:line="240" w:lineRule="auto"/>
              <w:ind w:firstLine="360"/>
              <w:jc w:val="center"/>
              <w:rPr>
                <w:color w:val="000000" w:themeColor="text1"/>
                <w:kern w:val="0"/>
                <w:sz w:val="18"/>
                <w:szCs w:val="18"/>
              </w:rPr>
            </w:pPr>
            <w:r>
              <w:rPr>
                <w:rFonts w:hint="eastAsia"/>
                <w:color w:val="000000" w:themeColor="text1"/>
                <w:kern w:val="0"/>
                <w:sz w:val="18"/>
                <w:szCs w:val="18"/>
              </w:rPr>
              <w:t>二级保护区</w:t>
            </w:r>
          </w:p>
        </w:tc>
        <w:tc>
          <w:tcPr>
            <w:tcW w:w="4665" w:type="dxa"/>
            <w:gridSpan w:val="4"/>
            <w:tcBorders>
              <w:tl2br w:val="nil"/>
              <w:tr2bl w:val="nil"/>
            </w:tcBorders>
            <w:vAlign w:val="center"/>
          </w:tcPr>
          <w:p>
            <w:pPr>
              <w:widowControl/>
              <w:snapToGrid w:val="0"/>
              <w:spacing w:line="240" w:lineRule="auto"/>
              <w:ind w:firstLine="630" w:firstLineChars="350"/>
              <w:jc w:val="center"/>
              <w:rPr>
                <w:color w:val="000000" w:themeColor="text1"/>
                <w:kern w:val="0"/>
                <w:sz w:val="18"/>
                <w:szCs w:val="18"/>
              </w:rPr>
            </w:pPr>
            <w:r>
              <w:rPr>
                <w:rFonts w:hint="eastAsia"/>
                <w:color w:val="000000" w:themeColor="text1"/>
                <w:kern w:val="0"/>
                <w:sz w:val="18"/>
                <w:szCs w:val="18"/>
              </w:rPr>
              <w:t>准保护区</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trPr>
        <w:tc>
          <w:tcPr>
            <w:tcW w:w="900" w:type="dxa"/>
            <w:vMerge w:val="continue"/>
            <w:tcBorders>
              <w:tl2br w:val="nil"/>
              <w:tr2bl w:val="nil"/>
            </w:tcBorders>
            <w:vAlign w:val="center"/>
          </w:tcPr>
          <w:p>
            <w:pPr>
              <w:widowControl/>
              <w:snapToGrid w:val="0"/>
              <w:spacing w:line="240" w:lineRule="auto"/>
              <w:ind w:firstLine="360"/>
              <w:jc w:val="center"/>
              <w:rPr>
                <w:color w:val="000000" w:themeColor="text1"/>
                <w:kern w:val="0"/>
                <w:sz w:val="18"/>
                <w:szCs w:val="18"/>
              </w:rPr>
            </w:pPr>
          </w:p>
        </w:tc>
        <w:tc>
          <w:tcPr>
            <w:tcW w:w="931" w:type="dxa"/>
            <w:tcBorders>
              <w:tl2br w:val="nil"/>
              <w:tr2bl w:val="nil"/>
            </w:tcBorders>
            <w:vAlign w:val="center"/>
          </w:tcPr>
          <w:p>
            <w:pPr>
              <w:widowControl/>
              <w:snapToGrid w:val="0"/>
              <w:spacing w:line="240" w:lineRule="auto"/>
              <w:ind w:firstLine="0" w:firstLineChars="0"/>
              <w:jc w:val="center"/>
              <w:rPr>
                <w:color w:val="000000" w:themeColor="text1"/>
                <w:kern w:val="0"/>
                <w:sz w:val="18"/>
                <w:szCs w:val="18"/>
              </w:rPr>
            </w:pPr>
            <w:r>
              <w:rPr>
                <w:rFonts w:hint="eastAsia"/>
                <w:color w:val="000000" w:themeColor="text1"/>
                <w:kern w:val="0"/>
                <w:sz w:val="18"/>
                <w:szCs w:val="18"/>
              </w:rPr>
              <w:t>指标值</w:t>
            </w:r>
          </w:p>
        </w:tc>
        <w:tc>
          <w:tcPr>
            <w:tcW w:w="957" w:type="dxa"/>
            <w:tcBorders>
              <w:tl2br w:val="nil"/>
              <w:tr2bl w:val="nil"/>
            </w:tcBorders>
            <w:vAlign w:val="center"/>
          </w:tcPr>
          <w:p>
            <w:pPr>
              <w:widowControl/>
              <w:snapToGrid w:val="0"/>
              <w:spacing w:line="240" w:lineRule="auto"/>
              <w:ind w:firstLine="0" w:firstLineChars="0"/>
              <w:jc w:val="center"/>
              <w:rPr>
                <w:color w:val="000000" w:themeColor="text1"/>
                <w:kern w:val="0"/>
                <w:sz w:val="18"/>
                <w:szCs w:val="18"/>
              </w:rPr>
            </w:pPr>
            <w:r>
              <w:rPr>
                <w:rFonts w:hint="eastAsia"/>
                <w:color w:val="000000" w:themeColor="text1"/>
                <w:kern w:val="0"/>
                <w:sz w:val="18"/>
                <w:szCs w:val="18"/>
              </w:rPr>
              <w:t>评分值（P</w:t>
            </w:r>
            <w:r>
              <w:rPr>
                <w:rFonts w:hint="eastAsia"/>
                <w:color w:val="000000" w:themeColor="text1"/>
                <w:kern w:val="0"/>
                <w:sz w:val="18"/>
                <w:szCs w:val="18"/>
                <w:vertAlign w:val="subscript"/>
              </w:rPr>
              <w:t>1</w:t>
            </w:r>
            <w:r>
              <w:rPr>
                <w:rFonts w:hint="eastAsia"/>
                <w:color w:val="000000" w:themeColor="text1"/>
                <w:kern w:val="0"/>
                <w:sz w:val="18"/>
                <w:szCs w:val="18"/>
              </w:rPr>
              <w:t>）</w:t>
            </w:r>
          </w:p>
        </w:tc>
        <w:tc>
          <w:tcPr>
            <w:tcW w:w="873" w:type="dxa"/>
            <w:tcBorders>
              <w:tl2br w:val="nil"/>
              <w:tr2bl w:val="nil"/>
            </w:tcBorders>
            <w:vAlign w:val="center"/>
          </w:tcPr>
          <w:p>
            <w:pPr>
              <w:adjustRightInd w:val="0"/>
              <w:snapToGrid w:val="0"/>
              <w:spacing w:line="240" w:lineRule="auto"/>
              <w:ind w:firstLine="0" w:firstLineChars="0"/>
              <w:jc w:val="center"/>
              <w:rPr>
                <w:b/>
                <w:color w:val="000000" w:themeColor="text1"/>
                <w:sz w:val="18"/>
                <w:szCs w:val="18"/>
              </w:rPr>
            </w:pPr>
            <w:r>
              <w:rPr>
                <w:rFonts w:hint="eastAsia"/>
                <w:b/>
                <w:color w:val="000000" w:themeColor="text1"/>
                <w:sz w:val="18"/>
                <w:szCs w:val="18"/>
              </w:rPr>
              <w:t>现状</w:t>
            </w:r>
          </w:p>
          <w:p>
            <w:pPr>
              <w:adjustRightInd w:val="0"/>
              <w:snapToGrid w:val="0"/>
              <w:spacing w:line="240" w:lineRule="auto"/>
              <w:ind w:firstLine="0" w:firstLineChars="0"/>
              <w:jc w:val="center"/>
              <w:rPr>
                <w:b/>
                <w:color w:val="000000" w:themeColor="text1"/>
                <w:sz w:val="18"/>
                <w:szCs w:val="18"/>
              </w:rPr>
            </w:pPr>
            <w:r>
              <w:rPr>
                <w:rFonts w:hint="eastAsia"/>
                <w:b/>
                <w:color w:val="000000" w:themeColor="text1"/>
                <w:sz w:val="18"/>
                <w:szCs w:val="18"/>
              </w:rPr>
              <w:t>描述</w:t>
            </w:r>
          </w:p>
        </w:tc>
        <w:tc>
          <w:tcPr>
            <w:tcW w:w="1069" w:type="dxa"/>
            <w:tcBorders>
              <w:tl2br w:val="nil"/>
              <w:tr2bl w:val="nil"/>
            </w:tcBorders>
            <w:vAlign w:val="center"/>
          </w:tcPr>
          <w:p>
            <w:pPr>
              <w:adjustRightInd w:val="0"/>
              <w:snapToGrid w:val="0"/>
              <w:spacing w:line="240" w:lineRule="auto"/>
              <w:ind w:firstLine="264" w:firstLineChars="147"/>
              <w:rPr>
                <w:b/>
                <w:color w:val="000000" w:themeColor="text1"/>
                <w:sz w:val="18"/>
                <w:szCs w:val="18"/>
              </w:rPr>
            </w:pPr>
            <w:r>
              <w:rPr>
                <w:rFonts w:hint="eastAsia"/>
                <w:b/>
                <w:color w:val="000000" w:themeColor="text1"/>
                <w:sz w:val="18"/>
                <w:szCs w:val="18"/>
              </w:rPr>
              <w:t>评分</w:t>
            </w:r>
          </w:p>
        </w:tc>
        <w:tc>
          <w:tcPr>
            <w:tcW w:w="1340" w:type="dxa"/>
            <w:tcBorders>
              <w:tl2br w:val="nil"/>
              <w:tr2bl w:val="nil"/>
            </w:tcBorders>
            <w:vAlign w:val="center"/>
          </w:tcPr>
          <w:p>
            <w:pPr>
              <w:widowControl/>
              <w:snapToGrid w:val="0"/>
              <w:spacing w:line="240" w:lineRule="auto"/>
              <w:ind w:firstLine="0" w:firstLineChars="0"/>
              <w:jc w:val="center"/>
              <w:rPr>
                <w:color w:val="000000" w:themeColor="text1"/>
                <w:kern w:val="0"/>
                <w:sz w:val="18"/>
                <w:szCs w:val="18"/>
              </w:rPr>
            </w:pPr>
            <w:r>
              <w:rPr>
                <w:rFonts w:hint="eastAsia"/>
                <w:color w:val="000000" w:themeColor="text1"/>
                <w:kern w:val="0"/>
                <w:sz w:val="18"/>
                <w:szCs w:val="18"/>
              </w:rPr>
              <w:t>指标值</w:t>
            </w:r>
          </w:p>
        </w:tc>
        <w:tc>
          <w:tcPr>
            <w:tcW w:w="1746" w:type="dxa"/>
            <w:tcBorders>
              <w:tl2br w:val="nil"/>
              <w:tr2bl w:val="nil"/>
            </w:tcBorders>
            <w:vAlign w:val="center"/>
          </w:tcPr>
          <w:p>
            <w:pPr>
              <w:widowControl/>
              <w:snapToGrid w:val="0"/>
              <w:spacing w:line="240" w:lineRule="auto"/>
              <w:ind w:firstLine="0" w:firstLineChars="0"/>
              <w:jc w:val="center"/>
              <w:rPr>
                <w:color w:val="000000" w:themeColor="text1"/>
                <w:kern w:val="0"/>
                <w:sz w:val="18"/>
                <w:szCs w:val="18"/>
              </w:rPr>
            </w:pPr>
            <w:r>
              <w:rPr>
                <w:rFonts w:hint="eastAsia"/>
                <w:color w:val="000000" w:themeColor="text1"/>
                <w:kern w:val="0"/>
                <w:sz w:val="18"/>
                <w:szCs w:val="18"/>
              </w:rPr>
              <w:t>评分值（P</w:t>
            </w:r>
            <w:r>
              <w:rPr>
                <w:rFonts w:hint="eastAsia"/>
                <w:color w:val="000000" w:themeColor="text1"/>
                <w:kern w:val="0"/>
                <w:sz w:val="18"/>
                <w:szCs w:val="18"/>
                <w:vertAlign w:val="subscript"/>
              </w:rPr>
              <w:t>2</w:t>
            </w:r>
            <w:r>
              <w:rPr>
                <w:rFonts w:hint="eastAsia"/>
                <w:color w:val="000000" w:themeColor="text1"/>
                <w:kern w:val="0"/>
                <w:sz w:val="18"/>
                <w:szCs w:val="18"/>
              </w:rPr>
              <w:t>）</w:t>
            </w:r>
          </w:p>
        </w:tc>
        <w:tc>
          <w:tcPr>
            <w:tcW w:w="1040" w:type="dxa"/>
            <w:tcBorders>
              <w:tl2br w:val="nil"/>
              <w:tr2bl w:val="nil"/>
            </w:tcBorders>
            <w:vAlign w:val="center"/>
          </w:tcPr>
          <w:p>
            <w:pPr>
              <w:adjustRightInd w:val="0"/>
              <w:snapToGrid w:val="0"/>
              <w:spacing w:line="240" w:lineRule="auto"/>
              <w:ind w:firstLine="0" w:firstLineChars="0"/>
              <w:jc w:val="center"/>
              <w:rPr>
                <w:b/>
                <w:color w:val="000000" w:themeColor="text1"/>
                <w:sz w:val="18"/>
                <w:szCs w:val="18"/>
              </w:rPr>
            </w:pPr>
            <w:r>
              <w:rPr>
                <w:rFonts w:hint="eastAsia"/>
                <w:b/>
                <w:color w:val="000000" w:themeColor="text1"/>
                <w:sz w:val="18"/>
                <w:szCs w:val="18"/>
              </w:rPr>
              <w:t>现状</w:t>
            </w:r>
          </w:p>
          <w:p>
            <w:pPr>
              <w:adjustRightInd w:val="0"/>
              <w:snapToGrid w:val="0"/>
              <w:spacing w:line="240" w:lineRule="auto"/>
              <w:ind w:firstLine="0" w:firstLineChars="0"/>
              <w:jc w:val="center"/>
              <w:rPr>
                <w:b/>
                <w:color w:val="000000" w:themeColor="text1"/>
                <w:sz w:val="18"/>
                <w:szCs w:val="18"/>
              </w:rPr>
            </w:pPr>
            <w:r>
              <w:rPr>
                <w:rFonts w:hint="eastAsia"/>
                <w:b/>
                <w:color w:val="000000" w:themeColor="text1"/>
                <w:sz w:val="18"/>
                <w:szCs w:val="18"/>
              </w:rPr>
              <w:t>描述</w:t>
            </w:r>
          </w:p>
        </w:tc>
        <w:tc>
          <w:tcPr>
            <w:tcW w:w="888" w:type="dxa"/>
            <w:tcBorders>
              <w:tl2br w:val="nil"/>
              <w:tr2bl w:val="nil"/>
            </w:tcBorders>
            <w:vAlign w:val="center"/>
          </w:tcPr>
          <w:p>
            <w:pPr>
              <w:adjustRightInd w:val="0"/>
              <w:snapToGrid w:val="0"/>
              <w:spacing w:line="240" w:lineRule="auto"/>
              <w:ind w:firstLine="0" w:firstLineChars="0"/>
              <w:jc w:val="center"/>
              <w:rPr>
                <w:b/>
                <w:color w:val="000000" w:themeColor="text1"/>
                <w:sz w:val="18"/>
                <w:szCs w:val="18"/>
              </w:rPr>
            </w:pPr>
            <w:r>
              <w:rPr>
                <w:rFonts w:hint="eastAsia"/>
                <w:b/>
                <w:color w:val="000000" w:themeColor="text1"/>
                <w:sz w:val="18"/>
                <w:szCs w:val="18"/>
              </w:rPr>
              <w:t>评分</w:t>
            </w:r>
          </w:p>
        </w:tc>
        <w:tc>
          <w:tcPr>
            <w:tcW w:w="1464" w:type="dxa"/>
            <w:tcBorders>
              <w:tl2br w:val="nil"/>
              <w:tr2bl w:val="nil"/>
            </w:tcBorders>
            <w:vAlign w:val="center"/>
          </w:tcPr>
          <w:p>
            <w:pPr>
              <w:widowControl/>
              <w:snapToGrid w:val="0"/>
              <w:spacing w:line="240" w:lineRule="auto"/>
              <w:ind w:firstLine="0" w:firstLineChars="0"/>
              <w:jc w:val="center"/>
              <w:rPr>
                <w:color w:val="000000" w:themeColor="text1"/>
                <w:kern w:val="0"/>
                <w:sz w:val="18"/>
                <w:szCs w:val="18"/>
              </w:rPr>
            </w:pPr>
            <w:r>
              <w:rPr>
                <w:rFonts w:hint="eastAsia"/>
                <w:color w:val="000000" w:themeColor="text1"/>
                <w:kern w:val="0"/>
                <w:sz w:val="18"/>
                <w:szCs w:val="18"/>
              </w:rPr>
              <w:t>指标值</w:t>
            </w:r>
          </w:p>
        </w:tc>
        <w:tc>
          <w:tcPr>
            <w:tcW w:w="1493" w:type="dxa"/>
            <w:tcBorders>
              <w:tl2br w:val="nil"/>
              <w:tr2bl w:val="nil"/>
            </w:tcBorders>
            <w:vAlign w:val="center"/>
          </w:tcPr>
          <w:p>
            <w:pPr>
              <w:widowControl/>
              <w:snapToGrid w:val="0"/>
              <w:spacing w:line="240" w:lineRule="auto"/>
              <w:ind w:firstLine="0" w:firstLineChars="0"/>
              <w:jc w:val="center"/>
              <w:rPr>
                <w:color w:val="000000" w:themeColor="text1"/>
                <w:kern w:val="0"/>
                <w:sz w:val="18"/>
                <w:szCs w:val="18"/>
              </w:rPr>
            </w:pPr>
            <w:r>
              <w:rPr>
                <w:rFonts w:hint="eastAsia"/>
                <w:color w:val="000000" w:themeColor="text1"/>
                <w:kern w:val="0"/>
                <w:sz w:val="18"/>
                <w:szCs w:val="18"/>
              </w:rPr>
              <w:t>评分值（P</w:t>
            </w:r>
            <w:r>
              <w:rPr>
                <w:rFonts w:hint="eastAsia"/>
                <w:color w:val="000000" w:themeColor="text1"/>
                <w:kern w:val="0"/>
                <w:sz w:val="18"/>
                <w:szCs w:val="18"/>
                <w:vertAlign w:val="subscript"/>
              </w:rPr>
              <w:t>3</w:t>
            </w:r>
            <w:r>
              <w:rPr>
                <w:rFonts w:hint="eastAsia"/>
                <w:color w:val="000000" w:themeColor="text1"/>
                <w:kern w:val="0"/>
                <w:sz w:val="18"/>
                <w:szCs w:val="18"/>
              </w:rPr>
              <w:t>）</w:t>
            </w:r>
          </w:p>
        </w:tc>
        <w:tc>
          <w:tcPr>
            <w:tcW w:w="867" w:type="dxa"/>
            <w:tcBorders>
              <w:tl2br w:val="nil"/>
              <w:tr2bl w:val="nil"/>
            </w:tcBorders>
            <w:vAlign w:val="center"/>
          </w:tcPr>
          <w:p>
            <w:pPr>
              <w:adjustRightInd w:val="0"/>
              <w:snapToGrid w:val="0"/>
              <w:spacing w:line="240" w:lineRule="auto"/>
              <w:ind w:firstLine="0" w:firstLineChars="0"/>
              <w:jc w:val="center"/>
              <w:rPr>
                <w:b/>
                <w:color w:val="000000" w:themeColor="text1"/>
                <w:sz w:val="18"/>
                <w:szCs w:val="18"/>
              </w:rPr>
            </w:pPr>
            <w:r>
              <w:rPr>
                <w:rFonts w:hint="eastAsia"/>
                <w:b/>
                <w:color w:val="000000" w:themeColor="text1"/>
                <w:sz w:val="18"/>
                <w:szCs w:val="18"/>
              </w:rPr>
              <w:t>现状</w:t>
            </w:r>
          </w:p>
          <w:p>
            <w:pPr>
              <w:adjustRightInd w:val="0"/>
              <w:snapToGrid w:val="0"/>
              <w:spacing w:line="240" w:lineRule="auto"/>
              <w:ind w:firstLine="0" w:firstLineChars="0"/>
              <w:jc w:val="center"/>
              <w:rPr>
                <w:b/>
                <w:color w:val="000000" w:themeColor="text1"/>
                <w:sz w:val="18"/>
                <w:szCs w:val="18"/>
              </w:rPr>
            </w:pPr>
            <w:r>
              <w:rPr>
                <w:rFonts w:hint="eastAsia"/>
                <w:b/>
                <w:color w:val="000000" w:themeColor="text1"/>
                <w:sz w:val="18"/>
                <w:szCs w:val="18"/>
              </w:rPr>
              <w:t>描述</w:t>
            </w:r>
          </w:p>
        </w:tc>
        <w:tc>
          <w:tcPr>
            <w:tcW w:w="841" w:type="dxa"/>
            <w:tcBorders>
              <w:tl2br w:val="nil"/>
              <w:tr2bl w:val="nil"/>
            </w:tcBorders>
            <w:vAlign w:val="center"/>
          </w:tcPr>
          <w:p>
            <w:pPr>
              <w:adjustRightInd w:val="0"/>
              <w:snapToGrid w:val="0"/>
              <w:spacing w:line="240" w:lineRule="auto"/>
              <w:ind w:firstLine="0" w:firstLineChars="0"/>
              <w:jc w:val="center"/>
              <w:rPr>
                <w:b/>
                <w:color w:val="000000" w:themeColor="text1"/>
                <w:sz w:val="18"/>
                <w:szCs w:val="18"/>
              </w:rPr>
            </w:pPr>
            <w:r>
              <w:rPr>
                <w:rFonts w:hint="eastAsia"/>
                <w:b/>
                <w:color w:val="000000" w:themeColor="text1"/>
                <w:sz w:val="18"/>
                <w:szCs w:val="18"/>
              </w:rPr>
              <w:t>评分</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trPr>
        <w:tc>
          <w:tcPr>
            <w:tcW w:w="900" w:type="dxa"/>
            <w:tcBorders>
              <w:tl2br w:val="nil"/>
              <w:tr2bl w:val="nil"/>
            </w:tcBorders>
            <w:vAlign w:val="center"/>
          </w:tcPr>
          <w:p>
            <w:pPr>
              <w:widowControl/>
              <w:snapToGrid w:val="0"/>
              <w:spacing w:line="240" w:lineRule="auto"/>
              <w:ind w:firstLine="0" w:firstLineChars="0"/>
              <w:jc w:val="center"/>
              <w:rPr>
                <w:color w:val="000000" w:themeColor="text1"/>
                <w:kern w:val="0"/>
                <w:sz w:val="18"/>
                <w:szCs w:val="18"/>
              </w:rPr>
            </w:pPr>
            <w:r>
              <w:rPr>
                <w:rFonts w:hint="eastAsia"/>
                <w:color w:val="000000" w:themeColor="text1"/>
                <w:kern w:val="0"/>
                <w:sz w:val="18"/>
                <w:szCs w:val="18"/>
              </w:rPr>
              <w:t>石油化工行业（个）</w:t>
            </w:r>
          </w:p>
        </w:tc>
        <w:tc>
          <w:tcPr>
            <w:tcW w:w="931" w:type="dxa"/>
            <w:tcBorders>
              <w:tl2br w:val="nil"/>
              <w:tr2bl w:val="nil"/>
            </w:tcBorders>
          </w:tcPr>
          <w:p>
            <w:pPr>
              <w:widowControl/>
              <w:snapToGrid w:val="0"/>
              <w:spacing w:line="240" w:lineRule="auto"/>
              <w:ind w:firstLine="0" w:firstLineChars="0"/>
              <w:jc w:val="center"/>
              <w:rPr>
                <w:color w:val="000000" w:themeColor="text1"/>
                <w:kern w:val="0"/>
                <w:sz w:val="18"/>
                <w:szCs w:val="18"/>
              </w:rPr>
            </w:pPr>
            <w:r>
              <w:rPr>
                <w:rFonts w:hint="eastAsia"/>
                <w:color w:val="000000" w:themeColor="text1"/>
                <w:kern w:val="0"/>
                <w:sz w:val="18"/>
                <w:szCs w:val="18"/>
              </w:rPr>
              <w:t>无</w:t>
            </w:r>
          </w:p>
          <w:p>
            <w:pPr>
              <w:widowControl/>
              <w:snapToGrid w:val="0"/>
              <w:spacing w:line="240" w:lineRule="auto"/>
              <w:ind w:firstLine="0" w:firstLineChars="0"/>
              <w:jc w:val="center"/>
              <w:rPr>
                <w:color w:val="000000" w:themeColor="text1"/>
                <w:kern w:val="0"/>
                <w:sz w:val="18"/>
                <w:szCs w:val="18"/>
              </w:rPr>
            </w:pPr>
            <w:r>
              <w:rPr>
                <w:rFonts w:hint="eastAsia"/>
                <w:color w:val="000000" w:themeColor="text1"/>
                <w:kern w:val="0"/>
                <w:sz w:val="18"/>
                <w:szCs w:val="18"/>
              </w:rPr>
              <w:t>存在</w:t>
            </w:r>
          </w:p>
        </w:tc>
        <w:tc>
          <w:tcPr>
            <w:tcW w:w="957" w:type="dxa"/>
            <w:tcBorders>
              <w:tl2br w:val="nil"/>
              <w:tr2bl w:val="nil"/>
            </w:tcBorders>
          </w:tcPr>
          <w:p>
            <w:pPr>
              <w:widowControl/>
              <w:snapToGrid w:val="0"/>
              <w:spacing w:line="240" w:lineRule="auto"/>
              <w:ind w:firstLine="0" w:firstLineChars="0"/>
              <w:jc w:val="center"/>
              <w:rPr>
                <w:color w:val="000000" w:themeColor="text1"/>
                <w:kern w:val="0"/>
                <w:sz w:val="18"/>
                <w:szCs w:val="18"/>
              </w:rPr>
            </w:pPr>
            <w:r>
              <w:rPr>
                <w:rFonts w:hint="eastAsia"/>
                <w:color w:val="000000" w:themeColor="text1"/>
                <w:kern w:val="0"/>
                <w:sz w:val="18"/>
                <w:szCs w:val="18"/>
              </w:rPr>
              <w:t>0</w:t>
            </w:r>
          </w:p>
          <w:p>
            <w:pPr>
              <w:widowControl/>
              <w:snapToGrid w:val="0"/>
              <w:spacing w:line="240" w:lineRule="auto"/>
              <w:ind w:firstLine="0" w:firstLineChars="0"/>
              <w:jc w:val="center"/>
              <w:rPr>
                <w:color w:val="000000" w:themeColor="text1"/>
                <w:kern w:val="0"/>
                <w:sz w:val="18"/>
                <w:szCs w:val="18"/>
              </w:rPr>
            </w:pPr>
            <w:r>
              <w:rPr>
                <w:rFonts w:hint="eastAsia"/>
                <w:color w:val="000000" w:themeColor="text1"/>
                <w:kern w:val="0"/>
                <w:sz w:val="18"/>
                <w:szCs w:val="18"/>
              </w:rPr>
              <w:t>10</w:t>
            </w:r>
          </w:p>
        </w:tc>
        <w:tc>
          <w:tcPr>
            <w:tcW w:w="873" w:type="dxa"/>
            <w:tcBorders>
              <w:tl2br w:val="nil"/>
              <w:tr2bl w:val="nil"/>
            </w:tcBorders>
            <w:vAlign w:val="center"/>
          </w:tcPr>
          <w:p>
            <w:pPr>
              <w:widowControl/>
              <w:snapToGrid w:val="0"/>
              <w:spacing w:line="240" w:lineRule="auto"/>
              <w:ind w:firstLine="0" w:firstLineChars="0"/>
              <w:jc w:val="center"/>
              <w:rPr>
                <w:b/>
                <w:color w:val="000000" w:themeColor="text1"/>
                <w:kern w:val="0"/>
                <w:sz w:val="18"/>
                <w:szCs w:val="18"/>
              </w:rPr>
            </w:pPr>
            <w:r>
              <w:rPr>
                <w:rFonts w:hint="eastAsia"/>
                <w:b/>
                <w:color w:val="000000" w:themeColor="text1"/>
                <w:kern w:val="0"/>
                <w:sz w:val="18"/>
                <w:szCs w:val="18"/>
              </w:rPr>
              <w:t>无石油化工企业</w:t>
            </w:r>
          </w:p>
        </w:tc>
        <w:tc>
          <w:tcPr>
            <w:tcW w:w="1069" w:type="dxa"/>
            <w:tcBorders>
              <w:tl2br w:val="nil"/>
              <w:tr2bl w:val="nil"/>
            </w:tcBorders>
            <w:vAlign w:val="center"/>
          </w:tcPr>
          <w:p>
            <w:pPr>
              <w:widowControl/>
              <w:snapToGrid w:val="0"/>
              <w:spacing w:line="240" w:lineRule="auto"/>
              <w:ind w:firstLine="0" w:firstLineChars="0"/>
              <w:jc w:val="center"/>
              <w:rPr>
                <w:b/>
                <w:color w:val="000000" w:themeColor="text1"/>
                <w:kern w:val="0"/>
                <w:sz w:val="18"/>
                <w:szCs w:val="18"/>
              </w:rPr>
            </w:pPr>
            <w:r>
              <w:rPr>
                <w:rFonts w:hint="eastAsia"/>
                <w:b/>
                <w:color w:val="000000" w:themeColor="text1"/>
                <w:kern w:val="0"/>
                <w:sz w:val="18"/>
                <w:szCs w:val="18"/>
              </w:rPr>
              <w:t>0</w:t>
            </w:r>
          </w:p>
        </w:tc>
        <w:tc>
          <w:tcPr>
            <w:tcW w:w="1340" w:type="dxa"/>
            <w:tcBorders>
              <w:tl2br w:val="nil"/>
              <w:tr2bl w:val="nil"/>
            </w:tcBorders>
          </w:tcPr>
          <w:p>
            <w:pPr>
              <w:widowControl/>
              <w:snapToGrid w:val="0"/>
              <w:spacing w:line="240" w:lineRule="auto"/>
              <w:ind w:firstLine="360"/>
              <w:jc w:val="center"/>
              <w:rPr>
                <w:color w:val="000000" w:themeColor="text1"/>
                <w:kern w:val="0"/>
                <w:sz w:val="18"/>
                <w:szCs w:val="18"/>
              </w:rPr>
            </w:pPr>
            <w:r>
              <w:rPr>
                <w:rFonts w:hint="eastAsia"/>
                <w:color w:val="000000" w:themeColor="text1"/>
                <w:kern w:val="0"/>
                <w:sz w:val="18"/>
                <w:szCs w:val="18"/>
              </w:rPr>
              <w:t>无</w:t>
            </w:r>
          </w:p>
          <w:p>
            <w:pPr>
              <w:widowControl/>
              <w:snapToGrid w:val="0"/>
              <w:spacing w:line="240" w:lineRule="auto"/>
              <w:ind w:firstLine="360"/>
              <w:jc w:val="center"/>
              <w:rPr>
                <w:color w:val="000000" w:themeColor="text1"/>
                <w:kern w:val="0"/>
                <w:sz w:val="18"/>
                <w:szCs w:val="18"/>
              </w:rPr>
            </w:pPr>
            <w:r>
              <w:rPr>
                <w:rFonts w:hint="eastAsia"/>
                <w:color w:val="000000" w:themeColor="text1"/>
                <w:kern w:val="0"/>
                <w:sz w:val="18"/>
                <w:szCs w:val="18"/>
              </w:rPr>
              <w:t>1</w:t>
            </w:r>
          </w:p>
          <w:p>
            <w:pPr>
              <w:widowControl/>
              <w:snapToGrid w:val="0"/>
              <w:spacing w:line="240" w:lineRule="auto"/>
              <w:ind w:firstLine="360"/>
              <w:jc w:val="center"/>
              <w:rPr>
                <w:color w:val="000000" w:themeColor="text1"/>
                <w:kern w:val="0"/>
                <w:sz w:val="18"/>
                <w:szCs w:val="18"/>
              </w:rPr>
            </w:pPr>
            <w:r>
              <w:rPr>
                <w:rFonts w:hint="eastAsia"/>
                <w:color w:val="000000" w:themeColor="text1"/>
                <w:kern w:val="0"/>
                <w:sz w:val="18"/>
                <w:szCs w:val="18"/>
              </w:rPr>
              <w:t>2~4</w:t>
            </w:r>
          </w:p>
          <w:p>
            <w:pPr>
              <w:widowControl/>
              <w:snapToGrid w:val="0"/>
              <w:spacing w:line="240" w:lineRule="auto"/>
              <w:ind w:firstLine="360"/>
              <w:jc w:val="center"/>
              <w:rPr>
                <w:color w:val="000000" w:themeColor="text1"/>
                <w:kern w:val="0"/>
                <w:sz w:val="18"/>
                <w:szCs w:val="18"/>
              </w:rPr>
            </w:pPr>
            <w:r>
              <w:rPr>
                <w:rFonts w:hint="eastAsia"/>
                <w:color w:val="000000" w:themeColor="text1"/>
                <w:kern w:val="0"/>
                <w:sz w:val="18"/>
                <w:szCs w:val="18"/>
              </w:rPr>
              <w:t>＞4</w:t>
            </w:r>
          </w:p>
        </w:tc>
        <w:tc>
          <w:tcPr>
            <w:tcW w:w="1746" w:type="dxa"/>
            <w:tcBorders>
              <w:tl2br w:val="nil"/>
              <w:tr2bl w:val="nil"/>
            </w:tcBorders>
          </w:tcPr>
          <w:p>
            <w:pPr>
              <w:widowControl/>
              <w:snapToGrid w:val="0"/>
              <w:spacing w:line="240" w:lineRule="auto"/>
              <w:ind w:firstLine="0" w:firstLineChars="0"/>
              <w:jc w:val="center"/>
              <w:rPr>
                <w:color w:val="000000" w:themeColor="text1"/>
                <w:kern w:val="0"/>
                <w:sz w:val="18"/>
                <w:szCs w:val="18"/>
              </w:rPr>
            </w:pPr>
            <w:r>
              <w:rPr>
                <w:rFonts w:hint="eastAsia"/>
                <w:color w:val="000000" w:themeColor="text1"/>
                <w:kern w:val="0"/>
                <w:sz w:val="18"/>
                <w:szCs w:val="18"/>
              </w:rPr>
              <w:t>0</w:t>
            </w:r>
          </w:p>
          <w:p>
            <w:pPr>
              <w:widowControl/>
              <w:snapToGrid w:val="0"/>
              <w:spacing w:line="240" w:lineRule="auto"/>
              <w:ind w:firstLine="0" w:firstLineChars="0"/>
              <w:jc w:val="center"/>
              <w:rPr>
                <w:color w:val="000000" w:themeColor="text1"/>
                <w:kern w:val="0"/>
                <w:sz w:val="18"/>
                <w:szCs w:val="18"/>
              </w:rPr>
            </w:pPr>
            <w:r>
              <w:rPr>
                <w:rFonts w:hint="eastAsia"/>
                <w:color w:val="000000" w:themeColor="text1"/>
                <w:kern w:val="0"/>
                <w:sz w:val="18"/>
                <w:szCs w:val="18"/>
              </w:rPr>
              <w:t>5</w:t>
            </w:r>
          </w:p>
          <w:p>
            <w:pPr>
              <w:widowControl/>
              <w:snapToGrid w:val="0"/>
              <w:spacing w:line="240" w:lineRule="auto"/>
              <w:ind w:firstLine="0" w:firstLineChars="0"/>
              <w:jc w:val="center"/>
              <w:rPr>
                <w:color w:val="000000" w:themeColor="text1"/>
                <w:kern w:val="0"/>
                <w:sz w:val="18"/>
                <w:szCs w:val="18"/>
              </w:rPr>
            </w:pPr>
            <w:r>
              <w:rPr>
                <w:rFonts w:hint="eastAsia"/>
                <w:color w:val="000000" w:themeColor="text1"/>
                <w:kern w:val="0"/>
                <w:sz w:val="18"/>
                <w:szCs w:val="18"/>
              </w:rPr>
              <w:t>7</w:t>
            </w:r>
          </w:p>
          <w:p>
            <w:pPr>
              <w:widowControl/>
              <w:snapToGrid w:val="0"/>
              <w:spacing w:line="240" w:lineRule="auto"/>
              <w:ind w:firstLine="0" w:firstLineChars="0"/>
              <w:jc w:val="center"/>
              <w:rPr>
                <w:color w:val="000000" w:themeColor="text1"/>
                <w:kern w:val="0"/>
                <w:sz w:val="18"/>
                <w:szCs w:val="18"/>
              </w:rPr>
            </w:pPr>
            <w:r>
              <w:rPr>
                <w:rFonts w:hint="eastAsia"/>
                <w:color w:val="000000" w:themeColor="text1"/>
                <w:kern w:val="0"/>
                <w:sz w:val="18"/>
                <w:szCs w:val="18"/>
              </w:rPr>
              <w:t>10</w:t>
            </w:r>
          </w:p>
        </w:tc>
        <w:tc>
          <w:tcPr>
            <w:tcW w:w="1040" w:type="dxa"/>
            <w:tcBorders>
              <w:tl2br w:val="nil"/>
              <w:tr2bl w:val="nil"/>
            </w:tcBorders>
            <w:vAlign w:val="center"/>
          </w:tcPr>
          <w:p>
            <w:pPr>
              <w:widowControl/>
              <w:snapToGrid w:val="0"/>
              <w:spacing w:line="240" w:lineRule="auto"/>
              <w:ind w:firstLine="0" w:firstLineChars="0"/>
              <w:jc w:val="center"/>
              <w:rPr>
                <w:b/>
                <w:color w:val="000000" w:themeColor="text1"/>
                <w:kern w:val="0"/>
                <w:sz w:val="18"/>
                <w:szCs w:val="18"/>
              </w:rPr>
            </w:pPr>
            <w:r>
              <w:rPr>
                <w:rFonts w:hint="eastAsia"/>
                <w:b/>
                <w:color w:val="000000" w:themeColor="text1"/>
                <w:kern w:val="0"/>
                <w:sz w:val="18"/>
                <w:szCs w:val="18"/>
              </w:rPr>
              <w:t>无石油化工企业</w:t>
            </w:r>
          </w:p>
        </w:tc>
        <w:tc>
          <w:tcPr>
            <w:tcW w:w="888" w:type="dxa"/>
            <w:tcBorders>
              <w:tl2br w:val="nil"/>
              <w:tr2bl w:val="nil"/>
            </w:tcBorders>
            <w:vAlign w:val="center"/>
          </w:tcPr>
          <w:p>
            <w:pPr>
              <w:widowControl/>
              <w:snapToGrid w:val="0"/>
              <w:spacing w:line="240" w:lineRule="auto"/>
              <w:ind w:firstLine="0" w:firstLineChars="0"/>
              <w:jc w:val="center"/>
              <w:rPr>
                <w:b/>
                <w:color w:val="000000" w:themeColor="text1"/>
                <w:kern w:val="0"/>
                <w:sz w:val="18"/>
                <w:szCs w:val="18"/>
              </w:rPr>
            </w:pPr>
            <w:r>
              <w:rPr>
                <w:rFonts w:hint="eastAsia"/>
                <w:b/>
                <w:color w:val="000000" w:themeColor="text1"/>
                <w:kern w:val="0"/>
                <w:sz w:val="18"/>
                <w:szCs w:val="18"/>
              </w:rPr>
              <w:t>0</w:t>
            </w:r>
          </w:p>
        </w:tc>
        <w:tc>
          <w:tcPr>
            <w:tcW w:w="1464" w:type="dxa"/>
            <w:tcBorders>
              <w:tl2br w:val="nil"/>
              <w:tr2bl w:val="nil"/>
            </w:tcBorders>
          </w:tcPr>
          <w:p>
            <w:pPr>
              <w:widowControl/>
              <w:snapToGrid w:val="0"/>
              <w:spacing w:line="240" w:lineRule="auto"/>
              <w:ind w:firstLine="0" w:firstLineChars="0"/>
              <w:jc w:val="center"/>
              <w:rPr>
                <w:color w:val="000000" w:themeColor="text1"/>
                <w:kern w:val="0"/>
                <w:sz w:val="18"/>
                <w:szCs w:val="18"/>
              </w:rPr>
            </w:pPr>
            <w:r>
              <w:rPr>
                <w:rFonts w:hint="eastAsia"/>
                <w:color w:val="000000" w:themeColor="text1"/>
                <w:kern w:val="0"/>
                <w:sz w:val="18"/>
                <w:szCs w:val="18"/>
              </w:rPr>
              <w:t>无</w:t>
            </w:r>
          </w:p>
          <w:p>
            <w:pPr>
              <w:widowControl/>
              <w:snapToGrid w:val="0"/>
              <w:spacing w:line="240" w:lineRule="auto"/>
              <w:ind w:firstLine="0" w:firstLineChars="0"/>
              <w:jc w:val="center"/>
              <w:rPr>
                <w:color w:val="000000" w:themeColor="text1"/>
                <w:kern w:val="0"/>
                <w:sz w:val="18"/>
                <w:szCs w:val="18"/>
              </w:rPr>
            </w:pPr>
            <w:r>
              <w:rPr>
                <w:rFonts w:hint="eastAsia"/>
                <w:color w:val="000000" w:themeColor="text1"/>
                <w:kern w:val="0"/>
                <w:sz w:val="18"/>
                <w:szCs w:val="18"/>
              </w:rPr>
              <w:t>1</w:t>
            </w:r>
          </w:p>
          <w:p>
            <w:pPr>
              <w:widowControl/>
              <w:snapToGrid w:val="0"/>
              <w:spacing w:line="240" w:lineRule="auto"/>
              <w:ind w:firstLine="0" w:firstLineChars="0"/>
              <w:jc w:val="center"/>
              <w:rPr>
                <w:color w:val="000000" w:themeColor="text1"/>
                <w:kern w:val="0"/>
                <w:sz w:val="18"/>
                <w:szCs w:val="18"/>
              </w:rPr>
            </w:pPr>
            <w:r>
              <w:rPr>
                <w:rFonts w:hint="eastAsia"/>
                <w:color w:val="000000" w:themeColor="text1"/>
                <w:kern w:val="0"/>
                <w:sz w:val="18"/>
                <w:szCs w:val="18"/>
              </w:rPr>
              <w:t>2~4</w:t>
            </w:r>
          </w:p>
          <w:p>
            <w:pPr>
              <w:widowControl/>
              <w:snapToGrid w:val="0"/>
              <w:spacing w:line="240" w:lineRule="auto"/>
              <w:ind w:firstLine="0" w:firstLineChars="0"/>
              <w:jc w:val="center"/>
              <w:rPr>
                <w:color w:val="000000" w:themeColor="text1"/>
                <w:kern w:val="0"/>
                <w:sz w:val="18"/>
                <w:szCs w:val="18"/>
              </w:rPr>
            </w:pPr>
            <w:r>
              <w:rPr>
                <w:rFonts w:hint="eastAsia"/>
                <w:color w:val="000000" w:themeColor="text1"/>
                <w:kern w:val="0"/>
                <w:sz w:val="18"/>
                <w:szCs w:val="18"/>
              </w:rPr>
              <w:t>5~10</w:t>
            </w:r>
          </w:p>
          <w:p>
            <w:pPr>
              <w:widowControl/>
              <w:snapToGrid w:val="0"/>
              <w:spacing w:line="240" w:lineRule="auto"/>
              <w:ind w:firstLine="0" w:firstLineChars="0"/>
              <w:jc w:val="center"/>
              <w:rPr>
                <w:color w:val="000000" w:themeColor="text1"/>
                <w:kern w:val="0"/>
                <w:sz w:val="18"/>
                <w:szCs w:val="18"/>
              </w:rPr>
            </w:pPr>
            <w:r>
              <w:rPr>
                <w:rFonts w:hint="eastAsia"/>
                <w:color w:val="000000" w:themeColor="text1"/>
                <w:kern w:val="0"/>
                <w:sz w:val="18"/>
                <w:szCs w:val="18"/>
              </w:rPr>
              <w:t>＞10</w:t>
            </w:r>
          </w:p>
        </w:tc>
        <w:tc>
          <w:tcPr>
            <w:tcW w:w="1493" w:type="dxa"/>
            <w:tcBorders>
              <w:tl2br w:val="nil"/>
              <w:tr2bl w:val="nil"/>
            </w:tcBorders>
          </w:tcPr>
          <w:p>
            <w:pPr>
              <w:widowControl/>
              <w:snapToGrid w:val="0"/>
              <w:spacing w:line="240" w:lineRule="auto"/>
              <w:ind w:firstLine="0" w:firstLineChars="0"/>
              <w:jc w:val="center"/>
              <w:rPr>
                <w:color w:val="000000" w:themeColor="text1"/>
                <w:kern w:val="0"/>
                <w:sz w:val="18"/>
                <w:szCs w:val="18"/>
              </w:rPr>
            </w:pPr>
            <w:r>
              <w:rPr>
                <w:rFonts w:hint="eastAsia"/>
                <w:color w:val="000000" w:themeColor="text1"/>
                <w:kern w:val="0"/>
                <w:sz w:val="18"/>
                <w:szCs w:val="18"/>
              </w:rPr>
              <w:t>0</w:t>
            </w:r>
          </w:p>
          <w:p>
            <w:pPr>
              <w:widowControl/>
              <w:snapToGrid w:val="0"/>
              <w:spacing w:line="240" w:lineRule="auto"/>
              <w:ind w:firstLine="0" w:firstLineChars="0"/>
              <w:jc w:val="center"/>
              <w:rPr>
                <w:color w:val="000000" w:themeColor="text1"/>
                <w:kern w:val="0"/>
                <w:sz w:val="18"/>
                <w:szCs w:val="18"/>
              </w:rPr>
            </w:pPr>
            <w:r>
              <w:rPr>
                <w:rFonts w:hint="eastAsia"/>
                <w:color w:val="000000" w:themeColor="text1"/>
                <w:kern w:val="0"/>
                <w:sz w:val="18"/>
                <w:szCs w:val="18"/>
              </w:rPr>
              <w:t>4</w:t>
            </w:r>
          </w:p>
          <w:p>
            <w:pPr>
              <w:widowControl/>
              <w:snapToGrid w:val="0"/>
              <w:spacing w:line="240" w:lineRule="auto"/>
              <w:ind w:firstLine="0" w:firstLineChars="0"/>
              <w:jc w:val="center"/>
              <w:rPr>
                <w:color w:val="000000" w:themeColor="text1"/>
                <w:kern w:val="0"/>
                <w:sz w:val="18"/>
                <w:szCs w:val="18"/>
              </w:rPr>
            </w:pPr>
            <w:r>
              <w:rPr>
                <w:rFonts w:hint="eastAsia"/>
                <w:color w:val="000000" w:themeColor="text1"/>
                <w:kern w:val="0"/>
                <w:sz w:val="18"/>
                <w:szCs w:val="18"/>
              </w:rPr>
              <w:t>6</w:t>
            </w:r>
          </w:p>
          <w:p>
            <w:pPr>
              <w:widowControl/>
              <w:snapToGrid w:val="0"/>
              <w:spacing w:line="240" w:lineRule="auto"/>
              <w:ind w:firstLine="0" w:firstLineChars="0"/>
              <w:jc w:val="center"/>
              <w:rPr>
                <w:color w:val="000000" w:themeColor="text1"/>
                <w:kern w:val="0"/>
                <w:sz w:val="18"/>
                <w:szCs w:val="18"/>
              </w:rPr>
            </w:pPr>
            <w:r>
              <w:rPr>
                <w:rFonts w:hint="eastAsia"/>
                <w:color w:val="000000" w:themeColor="text1"/>
                <w:kern w:val="0"/>
                <w:sz w:val="18"/>
                <w:szCs w:val="18"/>
              </w:rPr>
              <w:t>8</w:t>
            </w:r>
          </w:p>
          <w:p>
            <w:pPr>
              <w:widowControl/>
              <w:snapToGrid w:val="0"/>
              <w:spacing w:line="240" w:lineRule="auto"/>
              <w:ind w:firstLine="0" w:firstLineChars="0"/>
              <w:jc w:val="center"/>
              <w:rPr>
                <w:color w:val="000000" w:themeColor="text1"/>
                <w:kern w:val="0"/>
                <w:sz w:val="18"/>
                <w:szCs w:val="18"/>
              </w:rPr>
            </w:pPr>
            <w:r>
              <w:rPr>
                <w:rFonts w:hint="eastAsia"/>
                <w:color w:val="000000" w:themeColor="text1"/>
                <w:kern w:val="0"/>
                <w:sz w:val="18"/>
                <w:szCs w:val="18"/>
              </w:rPr>
              <w:t>10</w:t>
            </w:r>
          </w:p>
        </w:tc>
        <w:tc>
          <w:tcPr>
            <w:tcW w:w="867" w:type="dxa"/>
            <w:tcBorders>
              <w:tl2br w:val="nil"/>
              <w:tr2bl w:val="nil"/>
            </w:tcBorders>
            <w:vAlign w:val="center"/>
          </w:tcPr>
          <w:p>
            <w:pPr>
              <w:widowControl/>
              <w:snapToGrid w:val="0"/>
              <w:spacing w:line="240" w:lineRule="auto"/>
              <w:ind w:firstLine="0" w:firstLineChars="0"/>
              <w:jc w:val="center"/>
              <w:rPr>
                <w:color w:val="000000" w:themeColor="text1"/>
                <w:kern w:val="0"/>
                <w:sz w:val="18"/>
                <w:szCs w:val="18"/>
              </w:rPr>
            </w:pPr>
            <w:r>
              <w:rPr>
                <w:rFonts w:hint="eastAsia"/>
                <w:b/>
                <w:color w:val="000000" w:themeColor="text1"/>
                <w:kern w:val="0"/>
                <w:sz w:val="18"/>
                <w:szCs w:val="18"/>
              </w:rPr>
              <w:t>无石油化工企业</w:t>
            </w:r>
          </w:p>
        </w:tc>
        <w:tc>
          <w:tcPr>
            <w:tcW w:w="841" w:type="dxa"/>
            <w:tcBorders>
              <w:tl2br w:val="nil"/>
              <w:tr2bl w:val="nil"/>
            </w:tcBorders>
            <w:vAlign w:val="center"/>
          </w:tcPr>
          <w:p>
            <w:pPr>
              <w:widowControl/>
              <w:snapToGrid w:val="0"/>
              <w:spacing w:line="240" w:lineRule="auto"/>
              <w:ind w:firstLine="0" w:firstLineChars="0"/>
              <w:jc w:val="center"/>
              <w:rPr>
                <w:color w:val="000000" w:themeColor="text1"/>
                <w:kern w:val="0"/>
                <w:sz w:val="18"/>
                <w:szCs w:val="18"/>
              </w:rPr>
            </w:pPr>
            <w:r>
              <w:rPr>
                <w:rFonts w:hint="eastAsia"/>
                <w:b/>
                <w:color w:val="000000" w:themeColor="text1"/>
                <w:kern w:val="0"/>
                <w:sz w:val="18"/>
                <w:szCs w:val="18"/>
              </w:rPr>
              <w:t>0</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trPr>
        <w:tc>
          <w:tcPr>
            <w:tcW w:w="900" w:type="dxa"/>
            <w:tcBorders>
              <w:tl2br w:val="nil"/>
              <w:tr2bl w:val="nil"/>
            </w:tcBorders>
            <w:vAlign w:val="center"/>
          </w:tcPr>
          <w:p>
            <w:pPr>
              <w:widowControl/>
              <w:snapToGrid w:val="0"/>
              <w:spacing w:line="240" w:lineRule="auto"/>
              <w:ind w:firstLine="0" w:firstLineChars="0"/>
              <w:jc w:val="center"/>
              <w:rPr>
                <w:color w:val="000000" w:themeColor="text1"/>
                <w:kern w:val="0"/>
                <w:sz w:val="18"/>
                <w:szCs w:val="18"/>
              </w:rPr>
            </w:pPr>
            <w:r>
              <w:rPr>
                <w:rFonts w:hint="eastAsia"/>
                <w:color w:val="000000" w:themeColor="text1"/>
                <w:kern w:val="0"/>
                <w:sz w:val="18"/>
                <w:szCs w:val="18"/>
              </w:rPr>
              <w:t>垃圾填埋场（处）</w:t>
            </w:r>
          </w:p>
        </w:tc>
        <w:tc>
          <w:tcPr>
            <w:tcW w:w="931" w:type="dxa"/>
            <w:tcBorders>
              <w:tl2br w:val="nil"/>
              <w:tr2bl w:val="nil"/>
            </w:tcBorders>
          </w:tcPr>
          <w:p>
            <w:pPr>
              <w:widowControl/>
              <w:snapToGrid w:val="0"/>
              <w:spacing w:line="240" w:lineRule="auto"/>
              <w:ind w:firstLine="0" w:firstLineChars="0"/>
              <w:jc w:val="center"/>
              <w:rPr>
                <w:color w:val="000000" w:themeColor="text1"/>
                <w:kern w:val="0"/>
                <w:sz w:val="18"/>
                <w:szCs w:val="18"/>
              </w:rPr>
            </w:pPr>
            <w:r>
              <w:rPr>
                <w:rFonts w:hint="eastAsia"/>
                <w:color w:val="000000" w:themeColor="text1"/>
                <w:kern w:val="0"/>
                <w:sz w:val="18"/>
                <w:szCs w:val="18"/>
              </w:rPr>
              <w:t>无</w:t>
            </w:r>
          </w:p>
          <w:p>
            <w:pPr>
              <w:widowControl/>
              <w:snapToGrid w:val="0"/>
              <w:spacing w:line="240" w:lineRule="auto"/>
              <w:ind w:firstLine="0" w:firstLineChars="0"/>
              <w:jc w:val="center"/>
              <w:rPr>
                <w:color w:val="000000" w:themeColor="text1"/>
                <w:kern w:val="0"/>
                <w:sz w:val="18"/>
                <w:szCs w:val="18"/>
              </w:rPr>
            </w:pPr>
            <w:r>
              <w:rPr>
                <w:rFonts w:hint="eastAsia"/>
                <w:color w:val="000000" w:themeColor="text1"/>
                <w:kern w:val="0"/>
                <w:sz w:val="18"/>
                <w:szCs w:val="18"/>
              </w:rPr>
              <w:t>存在</w:t>
            </w:r>
          </w:p>
        </w:tc>
        <w:tc>
          <w:tcPr>
            <w:tcW w:w="957" w:type="dxa"/>
            <w:tcBorders>
              <w:tl2br w:val="nil"/>
              <w:tr2bl w:val="nil"/>
            </w:tcBorders>
          </w:tcPr>
          <w:p>
            <w:pPr>
              <w:widowControl/>
              <w:snapToGrid w:val="0"/>
              <w:spacing w:line="240" w:lineRule="auto"/>
              <w:ind w:firstLine="0" w:firstLineChars="0"/>
              <w:jc w:val="center"/>
              <w:rPr>
                <w:color w:val="000000" w:themeColor="text1"/>
                <w:kern w:val="0"/>
                <w:sz w:val="18"/>
                <w:szCs w:val="18"/>
              </w:rPr>
            </w:pPr>
            <w:r>
              <w:rPr>
                <w:rFonts w:hint="eastAsia"/>
                <w:color w:val="000000" w:themeColor="text1"/>
                <w:kern w:val="0"/>
                <w:sz w:val="18"/>
                <w:szCs w:val="18"/>
              </w:rPr>
              <w:t>0</w:t>
            </w:r>
          </w:p>
          <w:p>
            <w:pPr>
              <w:widowControl/>
              <w:snapToGrid w:val="0"/>
              <w:spacing w:line="240" w:lineRule="auto"/>
              <w:ind w:firstLine="0" w:firstLineChars="0"/>
              <w:jc w:val="center"/>
              <w:rPr>
                <w:color w:val="000000" w:themeColor="text1"/>
                <w:kern w:val="0"/>
                <w:sz w:val="18"/>
                <w:szCs w:val="18"/>
              </w:rPr>
            </w:pPr>
            <w:r>
              <w:rPr>
                <w:rFonts w:hint="eastAsia"/>
                <w:color w:val="000000" w:themeColor="text1"/>
                <w:kern w:val="0"/>
                <w:sz w:val="18"/>
                <w:szCs w:val="18"/>
              </w:rPr>
              <w:t>10</w:t>
            </w:r>
          </w:p>
        </w:tc>
        <w:tc>
          <w:tcPr>
            <w:tcW w:w="873" w:type="dxa"/>
            <w:tcBorders>
              <w:tl2br w:val="nil"/>
              <w:tr2bl w:val="nil"/>
            </w:tcBorders>
            <w:vAlign w:val="center"/>
          </w:tcPr>
          <w:p>
            <w:pPr>
              <w:widowControl/>
              <w:snapToGrid w:val="0"/>
              <w:spacing w:line="240" w:lineRule="auto"/>
              <w:ind w:firstLine="0" w:firstLineChars="0"/>
              <w:jc w:val="center"/>
              <w:rPr>
                <w:b/>
                <w:color w:val="000000" w:themeColor="text1"/>
                <w:kern w:val="0"/>
                <w:sz w:val="18"/>
                <w:szCs w:val="18"/>
              </w:rPr>
            </w:pPr>
            <w:r>
              <w:rPr>
                <w:rFonts w:hint="eastAsia"/>
                <w:b/>
                <w:color w:val="000000" w:themeColor="text1"/>
                <w:kern w:val="0"/>
                <w:sz w:val="18"/>
                <w:szCs w:val="18"/>
              </w:rPr>
              <w:t>无垃圾填埋场</w:t>
            </w:r>
          </w:p>
        </w:tc>
        <w:tc>
          <w:tcPr>
            <w:tcW w:w="1069" w:type="dxa"/>
            <w:tcBorders>
              <w:tl2br w:val="nil"/>
              <w:tr2bl w:val="nil"/>
            </w:tcBorders>
            <w:vAlign w:val="center"/>
          </w:tcPr>
          <w:p>
            <w:pPr>
              <w:widowControl/>
              <w:snapToGrid w:val="0"/>
              <w:spacing w:line="240" w:lineRule="auto"/>
              <w:ind w:firstLine="0" w:firstLineChars="0"/>
              <w:jc w:val="center"/>
              <w:rPr>
                <w:b/>
                <w:color w:val="000000" w:themeColor="text1"/>
                <w:kern w:val="0"/>
                <w:sz w:val="18"/>
                <w:szCs w:val="18"/>
              </w:rPr>
            </w:pPr>
            <w:r>
              <w:rPr>
                <w:rFonts w:hint="eastAsia"/>
                <w:b/>
                <w:color w:val="000000" w:themeColor="text1"/>
                <w:kern w:val="0"/>
                <w:sz w:val="18"/>
                <w:szCs w:val="18"/>
              </w:rPr>
              <w:t>0</w:t>
            </w:r>
          </w:p>
        </w:tc>
        <w:tc>
          <w:tcPr>
            <w:tcW w:w="1340" w:type="dxa"/>
            <w:tcBorders>
              <w:tl2br w:val="nil"/>
              <w:tr2bl w:val="nil"/>
            </w:tcBorders>
          </w:tcPr>
          <w:p>
            <w:pPr>
              <w:widowControl/>
              <w:snapToGrid w:val="0"/>
              <w:spacing w:line="240" w:lineRule="auto"/>
              <w:ind w:firstLine="0" w:firstLineChars="0"/>
              <w:jc w:val="center"/>
              <w:rPr>
                <w:color w:val="000000" w:themeColor="text1"/>
                <w:kern w:val="0"/>
                <w:sz w:val="18"/>
                <w:szCs w:val="18"/>
              </w:rPr>
            </w:pPr>
            <w:r>
              <w:rPr>
                <w:rFonts w:hint="eastAsia"/>
                <w:color w:val="000000" w:themeColor="text1"/>
                <w:kern w:val="0"/>
                <w:sz w:val="18"/>
                <w:szCs w:val="18"/>
              </w:rPr>
              <w:t>无</w:t>
            </w:r>
          </w:p>
          <w:p>
            <w:pPr>
              <w:widowControl/>
              <w:snapToGrid w:val="0"/>
              <w:spacing w:line="240" w:lineRule="auto"/>
              <w:ind w:firstLine="0" w:firstLineChars="0"/>
              <w:jc w:val="center"/>
              <w:rPr>
                <w:color w:val="000000" w:themeColor="text1"/>
                <w:kern w:val="0"/>
                <w:sz w:val="18"/>
                <w:szCs w:val="18"/>
              </w:rPr>
            </w:pPr>
            <w:r>
              <w:rPr>
                <w:rFonts w:hint="eastAsia"/>
                <w:color w:val="000000" w:themeColor="text1"/>
                <w:kern w:val="0"/>
                <w:sz w:val="18"/>
                <w:szCs w:val="18"/>
              </w:rPr>
              <w:t>1</w:t>
            </w:r>
          </w:p>
          <w:p>
            <w:pPr>
              <w:widowControl/>
              <w:snapToGrid w:val="0"/>
              <w:spacing w:line="240" w:lineRule="auto"/>
              <w:ind w:firstLine="0" w:firstLineChars="0"/>
              <w:jc w:val="center"/>
              <w:rPr>
                <w:color w:val="000000" w:themeColor="text1"/>
                <w:kern w:val="0"/>
                <w:sz w:val="18"/>
                <w:szCs w:val="18"/>
              </w:rPr>
            </w:pPr>
            <w:r>
              <w:rPr>
                <w:rFonts w:hint="eastAsia"/>
                <w:color w:val="000000" w:themeColor="text1"/>
                <w:kern w:val="0"/>
                <w:sz w:val="18"/>
                <w:szCs w:val="18"/>
              </w:rPr>
              <w:t>2</w:t>
            </w:r>
          </w:p>
          <w:p>
            <w:pPr>
              <w:widowControl/>
              <w:snapToGrid w:val="0"/>
              <w:spacing w:line="240" w:lineRule="auto"/>
              <w:ind w:firstLine="0" w:firstLineChars="0"/>
              <w:jc w:val="center"/>
              <w:rPr>
                <w:color w:val="000000" w:themeColor="text1"/>
                <w:kern w:val="0"/>
                <w:sz w:val="18"/>
                <w:szCs w:val="18"/>
              </w:rPr>
            </w:pPr>
            <w:r>
              <w:rPr>
                <w:rFonts w:hint="eastAsia"/>
                <w:color w:val="000000" w:themeColor="text1"/>
                <w:kern w:val="0"/>
                <w:sz w:val="18"/>
                <w:szCs w:val="18"/>
              </w:rPr>
              <w:t>＞2</w:t>
            </w:r>
          </w:p>
        </w:tc>
        <w:tc>
          <w:tcPr>
            <w:tcW w:w="1746" w:type="dxa"/>
            <w:tcBorders>
              <w:tl2br w:val="nil"/>
              <w:tr2bl w:val="nil"/>
            </w:tcBorders>
          </w:tcPr>
          <w:p>
            <w:pPr>
              <w:widowControl/>
              <w:snapToGrid w:val="0"/>
              <w:spacing w:line="240" w:lineRule="auto"/>
              <w:ind w:firstLine="0" w:firstLineChars="0"/>
              <w:jc w:val="center"/>
              <w:rPr>
                <w:color w:val="000000" w:themeColor="text1"/>
                <w:kern w:val="0"/>
                <w:sz w:val="18"/>
                <w:szCs w:val="18"/>
              </w:rPr>
            </w:pPr>
            <w:r>
              <w:rPr>
                <w:rFonts w:hint="eastAsia"/>
                <w:color w:val="000000" w:themeColor="text1"/>
                <w:kern w:val="0"/>
                <w:sz w:val="18"/>
                <w:szCs w:val="18"/>
              </w:rPr>
              <w:t>0</w:t>
            </w:r>
          </w:p>
          <w:p>
            <w:pPr>
              <w:widowControl/>
              <w:snapToGrid w:val="0"/>
              <w:spacing w:line="240" w:lineRule="auto"/>
              <w:ind w:firstLine="0" w:firstLineChars="0"/>
              <w:jc w:val="center"/>
              <w:rPr>
                <w:color w:val="000000" w:themeColor="text1"/>
                <w:kern w:val="0"/>
                <w:sz w:val="18"/>
                <w:szCs w:val="18"/>
              </w:rPr>
            </w:pPr>
            <w:r>
              <w:rPr>
                <w:rFonts w:hint="eastAsia"/>
                <w:color w:val="000000" w:themeColor="text1"/>
                <w:kern w:val="0"/>
                <w:sz w:val="18"/>
                <w:szCs w:val="18"/>
              </w:rPr>
              <w:t>6</w:t>
            </w:r>
          </w:p>
          <w:p>
            <w:pPr>
              <w:widowControl/>
              <w:snapToGrid w:val="0"/>
              <w:spacing w:line="240" w:lineRule="auto"/>
              <w:ind w:firstLine="0" w:firstLineChars="0"/>
              <w:jc w:val="center"/>
              <w:rPr>
                <w:color w:val="000000" w:themeColor="text1"/>
                <w:kern w:val="0"/>
                <w:sz w:val="18"/>
                <w:szCs w:val="18"/>
              </w:rPr>
            </w:pPr>
            <w:r>
              <w:rPr>
                <w:rFonts w:hint="eastAsia"/>
                <w:color w:val="000000" w:themeColor="text1"/>
                <w:kern w:val="0"/>
                <w:sz w:val="18"/>
                <w:szCs w:val="18"/>
              </w:rPr>
              <w:t>8</w:t>
            </w:r>
          </w:p>
          <w:p>
            <w:pPr>
              <w:widowControl/>
              <w:snapToGrid w:val="0"/>
              <w:spacing w:line="240" w:lineRule="auto"/>
              <w:ind w:firstLine="0" w:firstLineChars="0"/>
              <w:jc w:val="center"/>
              <w:rPr>
                <w:color w:val="000000" w:themeColor="text1"/>
                <w:kern w:val="0"/>
                <w:sz w:val="18"/>
                <w:szCs w:val="18"/>
              </w:rPr>
            </w:pPr>
            <w:r>
              <w:rPr>
                <w:rFonts w:hint="eastAsia"/>
                <w:color w:val="000000" w:themeColor="text1"/>
                <w:kern w:val="0"/>
                <w:sz w:val="18"/>
                <w:szCs w:val="18"/>
              </w:rPr>
              <w:t>10</w:t>
            </w:r>
          </w:p>
        </w:tc>
        <w:tc>
          <w:tcPr>
            <w:tcW w:w="1040" w:type="dxa"/>
            <w:tcBorders>
              <w:tl2br w:val="nil"/>
              <w:tr2bl w:val="nil"/>
            </w:tcBorders>
            <w:vAlign w:val="center"/>
          </w:tcPr>
          <w:p>
            <w:pPr>
              <w:widowControl/>
              <w:snapToGrid w:val="0"/>
              <w:spacing w:line="240" w:lineRule="auto"/>
              <w:ind w:firstLine="0" w:firstLineChars="0"/>
              <w:jc w:val="center"/>
              <w:rPr>
                <w:b/>
                <w:color w:val="000000" w:themeColor="text1"/>
                <w:kern w:val="0"/>
                <w:sz w:val="18"/>
                <w:szCs w:val="18"/>
              </w:rPr>
            </w:pPr>
            <w:r>
              <w:rPr>
                <w:rFonts w:hint="eastAsia"/>
                <w:b/>
                <w:color w:val="000000" w:themeColor="text1"/>
                <w:kern w:val="0"/>
                <w:sz w:val="18"/>
                <w:szCs w:val="18"/>
              </w:rPr>
              <w:t>无垃圾填埋场</w:t>
            </w:r>
          </w:p>
        </w:tc>
        <w:tc>
          <w:tcPr>
            <w:tcW w:w="888" w:type="dxa"/>
            <w:tcBorders>
              <w:tl2br w:val="nil"/>
              <w:tr2bl w:val="nil"/>
            </w:tcBorders>
            <w:vAlign w:val="center"/>
          </w:tcPr>
          <w:p>
            <w:pPr>
              <w:widowControl/>
              <w:snapToGrid w:val="0"/>
              <w:spacing w:line="240" w:lineRule="auto"/>
              <w:ind w:firstLine="0" w:firstLineChars="0"/>
              <w:jc w:val="center"/>
              <w:rPr>
                <w:b/>
                <w:color w:val="000000" w:themeColor="text1"/>
                <w:kern w:val="0"/>
                <w:sz w:val="18"/>
                <w:szCs w:val="18"/>
              </w:rPr>
            </w:pPr>
            <w:r>
              <w:rPr>
                <w:rFonts w:hint="eastAsia"/>
                <w:b/>
                <w:color w:val="000000" w:themeColor="text1"/>
                <w:kern w:val="0"/>
                <w:sz w:val="18"/>
                <w:szCs w:val="18"/>
              </w:rPr>
              <w:t>0</w:t>
            </w:r>
          </w:p>
        </w:tc>
        <w:tc>
          <w:tcPr>
            <w:tcW w:w="1464" w:type="dxa"/>
            <w:tcBorders>
              <w:tl2br w:val="nil"/>
              <w:tr2bl w:val="nil"/>
            </w:tcBorders>
          </w:tcPr>
          <w:p>
            <w:pPr>
              <w:widowControl/>
              <w:snapToGrid w:val="0"/>
              <w:spacing w:line="240" w:lineRule="auto"/>
              <w:ind w:firstLine="0" w:firstLineChars="0"/>
              <w:jc w:val="center"/>
              <w:rPr>
                <w:color w:val="000000" w:themeColor="text1"/>
                <w:kern w:val="0"/>
                <w:sz w:val="18"/>
                <w:szCs w:val="18"/>
              </w:rPr>
            </w:pPr>
            <w:r>
              <w:rPr>
                <w:rFonts w:hint="eastAsia"/>
                <w:color w:val="000000" w:themeColor="text1"/>
                <w:kern w:val="0"/>
                <w:sz w:val="18"/>
                <w:szCs w:val="18"/>
              </w:rPr>
              <w:t>无</w:t>
            </w:r>
          </w:p>
          <w:p>
            <w:pPr>
              <w:widowControl/>
              <w:snapToGrid w:val="0"/>
              <w:spacing w:line="240" w:lineRule="auto"/>
              <w:ind w:firstLine="0" w:firstLineChars="0"/>
              <w:jc w:val="center"/>
              <w:rPr>
                <w:color w:val="000000" w:themeColor="text1"/>
                <w:kern w:val="0"/>
                <w:sz w:val="18"/>
                <w:szCs w:val="18"/>
              </w:rPr>
            </w:pPr>
            <w:r>
              <w:rPr>
                <w:rFonts w:hint="eastAsia"/>
                <w:color w:val="000000" w:themeColor="text1"/>
                <w:kern w:val="0"/>
                <w:sz w:val="18"/>
                <w:szCs w:val="18"/>
              </w:rPr>
              <w:t>1</w:t>
            </w:r>
          </w:p>
          <w:p>
            <w:pPr>
              <w:widowControl/>
              <w:snapToGrid w:val="0"/>
              <w:spacing w:line="240" w:lineRule="auto"/>
              <w:ind w:firstLine="0" w:firstLineChars="0"/>
              <w:jc w:val="center"/>
              <w:rPr>
                <w:color w:val="000000" w:themeColor="text1"/>
                <w:kern w:val="0"/>
                <w:sz w:val="18"/>
                <w:szCs w:val="18"/>
              </w:rPr>
            </w:pPr>
            <w:r>
              <w:rPr>
                <w:rFonts w:hint="eastAsia"/>
                <w:color w:val="000000" w:themeColor="text1"/>
                <w:kern w:val="0"/>
                <w:sz w:val="18"/>
                <w:szCs w:val="18"/>
              </w:rPr>
              <w:t>2</w:t>
            </w:r>
          </w:p>
          <w:p>
            <w:pPr>
              <w:widowControl/>
              <w:snapToGrid w:val="0"/>
              <w:spacing w:line="240" w:lineRule="auto"/>
              <w:ind w:firstLine="0" w:firstLineChars="0"/>
              <w:jc w:val="center"/>
              <w:rPr>
                <w:color w:val="000000" w:themeColor="text1"/>
                <w:kern w:val="0"/>
                <w:sz w:val="18"/>
                <w:szCs w:val="18"/>
              </w:rPr>
            </w:pPr>
            <w:r>
              <w:rPr>
                <w:rFonts w:hint="eastAsia"/>
                <w:color w:val="000000" w:themeColor="text1"/>
                <w:kern w:val="0"/>
                <w:sz w:val="18"/>
                <w:szCs w:val="18"/>
              </w:rPr>
              <w:t>3</w:t>
            </w:r>
          </w:p>
          <w:p>
            <w:pPr>
              <w:widowControl/>
              <w:snapToGrid w:val="0"/>
              <w:spacing w:line="240" w:lineRule="auto"/>
              <w:ind w:firstLine="0" w:firstLineChars="0"/>
              <w:jc w:val="center"/>
              <w:rPr>
                <w:color w:val="000000" w:themeColor="text1"/>
                <w:kern w:val="0"/>
                <w:sz w:val="18"/>
                <w:szCs w:val="18"/>
              </w:rPr>
            </w:pPr>
            <w:r>
              <w:rPr>
                <w:rFonts w:hint="eastAsia"/>
                <w:color w:val="000000" w:themeColor="text1"/>
                <w:kern w:val="0"/>
                <w:sz w:val="18"/>
                <w:szCs w:val="18"/>
              </w:rPr>
              <w:t>＞3</w:t>
            </w:r>
          </w:p>
        </w:tc>
        <w:tc>
          <w:tcPr>
            <w:tcW w:w="1493" w:type="dxa"/>
            <w:tcBorders>
              <w:tl2br w:val="nil"/>
              <w:tr2bl w:val="nil"/>
            </w:tcBorders>
          </w:tcPr>
          <w:p>
            <w:pPr>
              <w:widowControl/>
              <w:snapToGrid w:val="0"/>
              <w:spacing w:line="240" w:lineRule="auto"/>
              <w:ind w:firstLine="0" w:firstLineChars="0"/>
              <w:jc w:val="center"/>
              <w:rPr>
                <w:color w:val="000000" w:themeColor="text1"/>
                <w:kern w:val="0"/>
                <w:sz w:val="18"/>
                <w:szCs w:val="18"/>
              </w:rPr>
            </w:pPr>
            <w:r>
              <w:rPr>
                <w:rFonts w:hint="eastAsia"/>
                <w:color w:val="000000" w:themeColor="text1"/>
                <w:kern w:val="0"/>
                <w:sz w:val="18"/>
                <w:szCs w:val="18"/>
              </w:rPr>
              <w:t>0</w:t>
            </w:r>
          </w:p>
          <w:p>
            <w:pPr>
              <w:widowControl/>
              <w:snapToGrid w:val="0"/>
              <w:spacing w:line="240" w:lineRule="auto"/>
              <w:ind w:firstLine="0" w:firstLineChars="0"/>
              <w:jc w:val="center"/>
              <w:rPr>
                <w:color w:val="000000" w:themeColor="text1"/>
                <w:kern w:val="0"/>
                <w:sz w:val="18"/>
                <w:szCs w:val="18"/>
              </w:rPr>
            </w:pPr>
            <w:r>
              <w:rPr>
                <w:rFonts w:hint="eastAsia"/>
                <w:color w:val="000000" w:themeColor="text1"/>
                <w:kern w:val="0"/>
                <w:sz w:val="18"/>
                <w:szCs w:val="18"/>
              </w:rPr>
              <w:t>4</w:t>
            </w:r>
          </w:p>
          <w:p>
            <w:pPr>
              <w:widowControl/>
              <w:snapToGrid w:val="0"/>
              <w:spacing w:line="240" w:lineRule="auto"/>
              <w:ind w:firstLine="0" w:firstLineChars="0"/>
              <w:jc w:val="center"/>
              <w:rPr>
                <w:color w:val="000000" w:themeColor="text1"/>
                <w:kern w:val="0"/>
                <w:sz w:val="18"/>
                <w:szCs w:val="18"/>
              </w:rPr>
            </w:pPr>
            <w:r>
              <w:rPr>
                <w:rFonts w:hint="eastAsia"/>
                <w:color w:val="000000" w:themeColor="text1"/>
                <w:kern w:val="0"/>
                <w:sz w:val="18"/>
                <w:szCs w:val="18"/>
              </w:rPr>
              <w:t>6</w:t>
            </w:r>
          </w:p>
          <w:p>
            <w:pPr>
              <w:widowControl/>
              <w:snapToGrid w:val="0"/>
              <w:spacing w:line="240" w:lineRule="auto"/>
              <w:ind w:firstLine="0" w:firstLineChars="0"/>
              <w:jc w:val="center"/>
              <w:rPr>
                <w:color w:val="000000" w:themeColor="text1"/>
                <w:kern w:val="0"/>
                <w:sz w:val="18"/>
                <w:szCs w:val="18"/>
              </w:rPr>
            </w:pPr>
            <w:r>
              <w:rPr>
                <w:rFonts w:hint="eastAsia"/>
                <w:color w:val="000000" w:themeColor="text1"/>
                <w:kern w:val="0"/>
                <w:sz w:val="18"/>
                <w:szCs w:val="18"/>
              </w:rPr>
              <w:t>8</w:t>
            </w:r>
          </w:p>
          <w:p>
            <w:pPr>
              <w:widowControl/>
              <w:snapToGrid w:val="0"/>
              <w:spacing w:line="240" w:lineRule="auto"/>
              <w:ind w:firstLine="0" w:firstLineChars="0"/>
              <w:jc w:val="center"/>
              <w:rPr>
                <w:color w:val="000000" w:themeColor="text1"/>
                <w:kern w:val="0"/>
                <w:sz w:val="18"/>
                <w:szCs w:val="18"/>
              </w:rPr>
            </w:pPr>
            <w:r>
              <w:rPr>
                <w:rFonts w:hint="eastAsia"/>
                <w:color w:val="000000" w:themeColor="text1"/>
                <w:kern w:val="0"/>
                <w:sz w:val="18"/>
                <w:szCs w:val="18"/>
              </w:rPr>
              <w:t>10</w:t>
            </w:r>
          </w:p>
        </w:tc>
        <w:tc>
          <w:tcPr>
            <w:tcW w:w="867" w:type="dxa"/>
            <w:tcBorders>
              <w:tl2br w:val="nil"/>
              <w:tr2bl w:val="nil"/>
            </w:tcBorders>
            <w:vAlign w:val="center"/>
          </w:tcPr>
          <w:p>
            <w:pPr>
              <w:widowControl/>
              <w:snapToGrid w:val="0"/>
              <w:spacing w:line="240" w:lineRule="auto"/>
              <w:ind w:firstLine="0" w:firstLineChars="0"/>
              <w:jc w:val="center"/>
              <w:rPr>
                <w:color w:val="000000" w:themeColor="text1"/>
                <w:kern w:val="0"/>
                <w:sz w:val="18"/>
                <w:szCs w:val="18"/>
              </w:rPr>
            </w:pPr>
            <w:r>
              <w:rPr>
                <w:rFonts w:hint="eastAsia"/>
                <w:b/>
                <w:color w:val="000000" w:themeColor="text1"/>
                <w:kern w:val="0"/>
                <w:sz w:val="18"/>
                <w:szCs w:val="18"/>
              </w:rPr>
              <w:t>无垃圾填埋场</w:t>
            </w:r>
          </w:p>
        </w:tc>
        <w:tc>
          <w:tcPr>
            <w:tcW w:w="841" w:type="dxa"/>
            <w:tcBorders>
              <w:tl2br w:val="nil"/>
              <w:tr2bl w:val="nil"/>
            </w:tcBorders>
            <w:vAlign w:val="center"/>
          </w:tcPr>
          <w:p>
            <w:pPr>
              <w:widowControl/>
              <w:snapToGrid w:val="0"/>
              <w:spacing w:line="240" w:lineRule="auto"/>
              <w:ind w:firstLine="0" w:firstLineChars="0"/>
              <w:jc w:val="center"/>
              <w:rPr>
                <w:color w:val="000000" w:themeColor="text1"/>
                <w:kern w:val="0"/>
                <w:sz w:val="18"/>
                <w:szCs w:val="18"/>
              </w:rPr>
            </w:pPr>
            <w:r>
              <w:rPr>
                <w:rFonts w:hint="eastAsia"/>
                <w:b/>
                <w:color w:val="000000" w:themeColor="text1"/>
                <w:kern w:val="0"/>
                <w:sz w:val="18"/>
                <w:szCs w:val="18"/>
              </w:rPr>
              <w:t>0</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trPr>
        <w:tc>
          <w:tcPr>
            <w:tcW w:w="900" w:type="dxa"/>
            <w:tcBorders>
              <w:tl2br w:val="nil"/>
              <w:tr2bl w:val="nil"/>
            </w:tcBorders>
            <w:vAlign w:val="center"/>
          </w:tcPr>
          <w:p>
            <w:pPr>
              <w:widowControl/>
              <w:snapToGrid w:val="0"/>
              <w:spacing w:line="240" w:lineRule="auto"/>
              <w:ind w:firstLine="0" w:firstLineChars="0"/>
              <w:jc w:val="center"/>
              <w:rPr>
                <w:color w:val="000000" w:themeColor="text1"/>
                <w:kern w:val="0"/>
                <w:sz w:val="18"/>
                <w:szCs w:val="18"/>
              </w:rPr>
            </w:pPr>
            <w:r>
              <w:rPr>
                <w:rFonts w:hint="eastAsia"/>
                <w:color w:val="000000" w:themeColor="text1"/>
                <w:kern w:val="0"/>
                <w:sz w:val="18"/>
                <w:szCs w:val="18"/>
              </w:rPr>
              <w:t>危险废弃物填埋场（处）</w:t>
            </w:r>
          </w:p>
        </w:tc>
        <w:tc>
          <w:tcPr>
            <w:tcW w:w="931" w:type="dxa"/>
            <w:tcBorders>
              <w:tl2br w:val="nil"/>
              <w:tr2bl w:val="nil"/>
            </w:tcBorders>
          </w:tcPr>
          <w:p>
            <w:pPr>
              <w:widowControl/>
              <w:snapToGrid w:val="0"/>
              <w:spacing w:line="240" w:lineRule="auto"/>
              <w:ind w:firstLine="0" w:firstLineChars="0"/>
              <w:jc w:val="center"/>
              <w:rPr>
                <w:color w:val="000000" w:themeColor="text1"/>
                <w:kern w:val="0"/>
                <w:sz w:val="18"/>
                <w:szCs w:val="18"/>
              </w:rPr>
            </w:pPr>
            <w:r>
              <w:rPr>
                <w:rFonts w:hint="eastAsia"/>
                <w:color w:val="000000" w:themeColor="text1"/>
                <w:kern w:val="0"/>
                <w:sz w:val="18"/>
                <w:szCs w:val="18"/>
              </w:rPr>
              <w:t>无</w:t>
            </w:r>
          </w:p>
          <w:p>
            <w:pPr>
              <w:widowControl/>
              <w:snapToGrid w:val="0"/>
              <w:spacing w:line="240" w:lineRule="auto"/>
              <w:ind w:firstLine="0" w:firstLineChars="0"/>
              <w:jc w:val="center"/>
              <w:rPr>
                <w:color w:val="000000" w:themeColor="text1"/>
                <w:kern w:val="0"/>
                <w:sz w:val="18"/>
                <w:szCs w:val="18"/>
              </w:rPr>
            </w:pPr>
            <w:r>
              <w:rPr>
                <w:rFonts w:hint="eastAsia"/>
                <w:color w:val="000000" w:themeColor="text1"/>
                <w:kern w:val="0"/>
                <w:sz w:val="18"/>
                <w:szCs w:val="18"/>
              </w:rPr>
              <w:t>存在</w:t>
            </w:r>
          </w:p>
        </w:tc>
        <w:tc>
          <w:tcPr>
            <w:tcW w:w="957" w:type="dxa"/>
            <w:tcBorders>
              <w:tl2br w:val="nil"/>
              <w:tr2bl w:val="nil"/>
            </w:tcBorders>
          </w:tcPr>
          <w:p>
            <w:pPr>
              <w:widowControl/>
              <w:snapToGrid w:val="0"/>
              <w:spacing w:line="240" w:lineRule="auto"/>
              <w:ind w:firstLine="0" w:firstLineChars="0"/>
              <w:jc w:val="center"/>
              <w:rPr>
                <w:color w:val="000000" w:themeColor="text1"/>
                <w:kern w:val="0"/>
                <w:sz w:val="18"/>
                <w:szCs w:val="18"/>
              </w:rPr>
            </w:pPr>
            <w:r>
              <w:rPr>
                <w:rFonts w:hint="eastAsia"/>
                <w:color w:val="000000" w:themeColor="text1"/>
                <w:kern w:val="0"/>
                <w:sz w:val="18"/>
                <w:szCs w:val="18"/>
              </w:rPr>
              <w:t>0</w:t>
            </w:r>
          </w:p>
          <w:p>
            <w:pPr>
              <w:snapToGrid w:val="0"/>
              <w:spacing w:line="240" w:lineRule="auto"/>
              <w:ind w:firstLine="0" w:firstLineChars="0"/>
              <w:jc w:val="center"/>
              <w:rPr>
                <w:color w:val="000000" w:themeColor="text1"/>
                <w:kern w:val="0"/>
                <w:sz w:val="18"/>
                <w:szCs w:val="18"/>
              </w:rPr>
            </w:pPr>
            <w:r>
              <w:rPr>
                <w:rFonts w:hint="eastAsia"/>
                <w:color w:val="000000" w:themeColor="text1"/>
                <w:kern w:val="0"/>
                <w:sz w:val="18"/>
                <w:szCs w:val="18"/>
              </w:rPr>
              <w:t>10</w:t>
            </w:r>
          </w:p>
        </w:tc>
        <w:tc>
          <w:tcPr>
            <w:tcW w:w="873" w:type="dxa"/>
            <w:tcBorders>
              <w:tl2br w:val="nil"/>
              <w:tr2bl w:val="nil"/>
            </w:tcBorders>
            <w:vAlign w:val="center"/>
          </w:tcPr>
          <w:p>
            <w:pPr>
              <w:widowControl/>
              <w:snapToGrid w:val="0"/>
              <w:spacing w:line="240" w:lineRule="auto"/>
              <w:ind w:firstLine="0" w:firstLineChars="0"/>
              <w:jc w:val="center"/>
              <w:rPr>
                <w:b/>
                <w:color w:val="000000" w:themeColor="text1"/>
                <w:kern w:val="0"/>
                <w:sz w:val="18"/>
                <w:szCs w:val="18"/>
              </w:rPr>
            </w:pPr>
            <w:r>
              <w:rPr>
                <w:rFonts w:hint="eastAsia"/>
                <w:b/>
                <w:color w:val="000000" w:themeColor="text1"/>
                <w:kern w:val="0"/>
                <w:sz w:val="18"/>
                <w:szCs w:val="18"/>
              </w:rPr>
              <w:t>无危险废弃物填埋场</w:t>
            </w:r>
          </w:p>
        </w:tc>
        <w:tc>
          <w:tcPr>
            <w:tcW w:w="1069" w:type="dxa"/>
            <w:tcBorders>
              <w:tl2br w:val="nil"/>
              <w:tr2bl w:val="nil"/>
            </w:tcBorders>
            <w:vAlign w:val="center"/>
          </w:tcPr>
          <w:p>
            <w:pPr>
              <w:widowControl/>
              <w:snapToGrid w:val="0"/>
              <w:spacing w:line="240" w:lineRule="auto"/>
              <w:ind w:firstLine="0" w:firstLineChars="0"/>
              <w:jc w:val="center"/>
              <w:rPr>
                <w:b/>
                <w:color w:val="000000" w:themeColor="text1"/>
                <w:kern w:val="0"/>
                <w:sz w:val="18"/>
                <w:szCs w:val="18"/>
              </w:rPr>
            </w:pPr>
            <w:r>
              <w:rPr>
                <w:rFonts w:hint="eastAsia"/>
                <w:b/>
                <w:color w:val="000000" w:themeColor="text1"/>
                <w:kern w:val="0"/>
                <w:sz w:val="18"/>
                <w:szCs w:val="18"/>
              </w:rPr>
              <w:t>0</w:t>
            </w:r>
          </w:p>
        </w:tc>
        <w:tc>
          <w:tcPr>
            <w:tcW w:w="1340" w:type="dxa"/>
            <w:tcBorders>
              <w:tl2br w:val="nil"/>
              <w:tr2bl w:val="nil"/>
            </w:tcBorders>
          </w:tcPr>
          <w:p>
            <w:pPr>
              <w:widowControl/>
              <w:snapToGrid w:val="0"/>
              <w:spacing w:line="240" w:lineRule="auto"/>
              <w:ind w:firstLine="0" w:firstLineChars="0"/>
              <w:jc w:val="center"/>
              <w:rPr>
                <w:color w:val="000000" w:themeColor="text1"/>
                <w:kern w:val="0"/>
                <w:sz w:val="18"/>
                <w:szCs w:val="18"/>
              </w:rPr>
            </w:pPr>
            <w:r>
              <w:rPr>
                <w:rFonts w:hint="eastAsia"/>
                <w:color w:val="000000" w:themeColor="text1"/>
                <w:kern w:val="0"/>
                <w:sz w:val="18"/>
                <w:szCs w:val="18"/>
              </w:rPr>
              <w:t>无</w:t>
            </w:r>
          </w:p>
          <w:p>
            <w:pPr>
              <w:widowControl/>
              <w:snapToGrid w:val="0"/>
              <w:spacing w:line="240" w:lineRule="auto"/>
              <w:ind w:firstLine="0" w:firstLineChars="0"/>
              <w:jc w:val="center"/>
              <w:rPr>
                <w:color w:val="000000" w:themeColor="text1"/>
                <w:kern w:val="0"/>
                <w:sz w:val="18"/>
                <w:szCs w:val="18"/>
              </w:rPr>
            </w:pPr>
            <w:r>
              <w:rPr>
                <w:rFonts w:hint="eastAsia"/>
                <w:color w:val="000000" w:themeColor="text1"/>
                <w:kern w:val="0"/>
                <w:sz w:val="18"/>
                <w:szCs w:val="18"/>
              </w:rPr>
              <w:t>1</w:t>
            </w:r>
          </w:p>
          <w:p>
            <w:pPr>
              <w:widowControl/>
              <w:snapToGrid w:val="0"/>
              <w:spacing w:line="240" w:lineRule="auto"/>
              <w:ind w:firstLine="0" w:firstLineChars="0"/>
              <w:jc w:val="center"/>
              <w:rPr>
                <w:color w:val="000000" w:themeColor="text1"/>
                <w:kern w:val="0"/>
                <w:sz w:val="18"/>
                <w:szCs w:val="18"/>
              </w:rPr>
            </w:pPr>
            <w:r>
              <w:rPr>
                <w:rFonts w:hint="eastAsia"/>
                <w:color w:val="000000" w:themeColor="text1"/>
                <w:kern w:val="0"/>
                <w:sz w:val="18"/>
                <w:szCs w:val="18"/>
              </w:rPr>
              <w:t>＞1</w:t>
            </w:r>
          </w:p>
        </w:tc>
        <w:tc>
          <w:tcPr>
            <w:tcW w:w="1746" w:type="dxa"/>
            <w:tcBorders>
              <w:tl2br w:val="nil"/>
              <w:tr2bl w:val="nil"/>
            </w:tcBorders>
          </w:tcPr>
          <w:p>
            <w:pPr>
              <w:widowControl/>
              <w:snapToGrid w:val="0"/>
              <w:spacing w:line="240" w:lineRule="auto"/>
              <w:ind w:firstLine="0" w:firstLineChars="0"/>
              <w:jc w:val="center"/>
              <w:rPr>
                <w:color w:val="000000" w:themeColor="text1"/>
                <w:kern w:val="0"/>
                <w:sz w:val="18"/>
                <w:szCs w:val="18"/>
              </w:rPr>
            </w:pPr>
            <w:r>
              <w:rPr>
                <w:rFonts w:hint="eastAsia"/>
                <w:color w:val="000000" w:themeColor="text1"/>
                <w:kern w:val="0"/>
                <w:sz w:val="18"/>
                <w:szCs w:val="18"/>
              </w:rPr>
              <w:t>0</w:t>
            </w:r>
          </w:p>
          <w:p>
            <w:pPr>
              <w:widowControl/>
              <w:snapToGrid w:val="0"/>
              <w:spacing w:line="240" w:lineRule="auto"/>
              <w:ind w:firstLine="0" w:firstLineChars="0"/>
              <w:jc w:val="center"/>
              <w:rPr>
                <w:color w:val="000000" w:themeColor="text1"/>
                <w:kern w:val="0"/>
                <w:sz w:val="18"/>
                <w:szCs w:val="18"/>
              </w:rPr>
            </w:pPr>
            <w:r>
              <w:rPr>
                <w:rFonts w:hint="eastAsia"/>
                <w:color w:val="000000" w:themeColor="text1"/>
                <w:kern w:val="0"/>
                <w:sz w:val="18"/>
                <w:szCs w:val="18"/>
              </w:rPr>
              <w:t>8</w:t>
            </w:r>
          </w:p>
          <w:p>
            <w:pPr>
              <w:snapToGrid w:val="0"/>
              <w:spacing w:line="240" w:lineRule="auto"/>
              <w:ind w:firstLine="0" w:firstLineChars="0"/>
              <w:jc w:val="center"/>
              <w:rPr>
                <w:color w:val="000000" w:themeColor="text1"/>
                <w:kern w:val="0"/>
                <w:sz w:val="18"/>
                <w:szCs w:val="18"/>
              </w:rPr>
            </w:pPr>
            <w:r>
              <w:rPr>
                <w:rFonts w:hint="eastAsia"/>
                <w:color w:val="000000" w:themeColor="text1"/>
                <w:kern w:val="0"/>
                <w:sz w:val="18"/>
                <w:szCs w:val="18"/>
              </w:rPr>
              <w:t>10</w:t>
            </w:r>
          </w:p>
        </w:tc>
        <w:tc>
          <w:tcPr>
            <w:tcW w:w="1040" w:type="dxa"/>
            <w:tcBorders>
              <w:tl2br w:val="nil"/>
              <w:tr2bl w:val="nil"/>
            </w:tcBorders>
            <w:vAlign w:val="center"/>
          </w:tcPr>
          <w:p>
            <w:pPr>
              <w:widowControl/>
              <w:snapToGrid w:val="0"/>
              <w:spacing w:line="240" w:lineRule="auto"/>
              <w:ind w:firstLine="0" w:firstLineChars="0"/>
              <w:jc w:val="center"/>
              <w:rPr>
                <w:b/>
                <w:color w:val="000000" w:themeColor="text1"/>
                <w:kern w:val="0"/>
                <w:sz w:val="18"/>
                <w:szCs w:val="18"/>
              </w:rPr>
            </w:pPr>
            <w:r>
              <w:rPr>
                <w:rFonts w:hint="eastAsia"/>
                <w:b/>
                <w:color w:val="000000" w:themeColor="text1"/>
                <w:kern w:val="0"/>
                <w:sz w:val="18"/>
                <w:szCs w:val="18"/>
              </w:rPr>
              <w:t>无危险废弃物填埋场</w:t>
            </w:r>
          </w:p>
        </w:tc>
        <w:tc>
          <w:tcPr>
            <w:tcW w:w="888" w:type="dxa"/>
            <w:tcBorders>
              <w:tl2br w:val="nil"/>
              <w:tr2bl w:val="nil"/>
            </w:tcBorders>
            <w:vAlign w:val="center"/>
          </w:tcPr>
          <w:p>
            <w:pPr>
              <w:widowControl/>
              <w:snapToGrid w:val="0"/>
              <w:spacing w:line="240" w:lineRule="auto"/>
              <w:ind w:firstLine="0" w:firstLineChars="0"/>
              <w:jc w:val="center"/>
              <w:rPr>
                <w:b/>
                <w:color w:val="000000" w:themeColor="text1"/>
                <w:kern w:val="0"/>
                <w:sz w:val="18"/>
                <w:szCs w:val="18"/>
              </w:rPr>
            </w:pPr>
            <w:r>
              <w:rPr>
                <w:rFonts w:hint="eastAsia"/>
                <w:b/>
                <w:color w:val="000000" w:themeColor="text1"/>
                <w:kern w:val="0"/>
                <w:sz w:val="18"/>
                <w:szCs w:val="18"/>
              </w:rPr>
              <w:t>0</w:t>
            </w:r>
          </w:p>
        </w:tc>
        <w:tc>
          <w:tcPr>
            <w:tcW w:w="1464" w:type="dxa"/>
            <w:tcBorders>
              <w:tl2br w:val="nil"/>
              <w:tr2bl w:val="nil"/>
            </w:tcBorders>
          </w:tcPr>
          <w:p>
            <w:pPr>
              <w:widowControl/>
              <w:snapToGrid w:val="0"/>
              <w:spacing w:line="240" w:lineRule="auto"/>
              <w:ind w:firstLine="0" w:firstLineChars="0"/>
              <w:jc w:val="center"/>
              <w:rPr>
                <w:color w:val="000000" w:themeColor="text1"/>
                <w:kern w:val="0"/>
                <w:sz w:val="18"/>
                <w:szCs w:val="18"/>
              </w:rPr>
            </w:pPr>
            <w:r>
              <w:rPr>
                <w:rFonts w:hint="eastAsia"/>
                <w:color w:val="000000" w:themeColor="text1"/>
                <w:kern w:val="0"/>
                <w:sz w:val="18"/>
                <w:szCs w:val="18"/>
              </w:rPr>
              <w:t>无</w:t>
            </w:r>
          </w:p>
          <w:p>
            <w:pPr>
              <w:widowControl/>
              <w:snapToGrid w:val="0"/>
              <w:spacing w:line="240" w:lineRule="auto"/>
              <w:ind w:firstLine="0" w:firstLineChars="0"/>
              <w:jc w:val="center"/>
              <w:rPr>
                <w:color w:val="000000" w:themeColor="text1"/>
                <w:kern w:val="0"/>
                <w:sz w:val="18"/>
                <w:szCs w:val="18"/>
              </w:rPr>
            </w:pPr>
            <w:r>
              <w:rPr>
                <w:rFonts w:hint="eastAsia"/>
                <w:color w:val="000000" w:themeColor="text1"/>
                <w:kern w:val="0"/>
                <w:sz w:val="18"/>
                <w:szCs w:val="18"/>
              </w:rPr>
              <w:t>1</w:t>
            </w:r>
          </w:p>
          <w:p>
            <w:pPr>
              <w:widowControl/>
              <w:snapToGrid w:val="0"/>
              <w:spacing w:line="240" w:lineRule="auto"/>
              <w:ind w:firstLine="0" w:firstLineChars="0"/>
              <w:jc w:val="center"/>
              <w:rPr>
                <w:color w:val="000000" w:themeColor="text1"/>
                <w:kern w:val="0"/>
                <w:sz w:val="18"/>
                <w:szCs w:val="18"/>
              </w:rPr>
            </w:pPr>
            <w:r>
              <w:rPr>
                <w:rFonts w:hint="eastAsia"/>
                <w:color w:val="000000" w:themeColor="text1"/>
                <w:kern w:val="0"/>
                <w:sz w:val="18"/>
                <w:szCs w:val="18"/>
              </w:rPr>
              <w:t>2</w:t>
            </w:r>
          </w:p>
          <w:p>
            <w:pPr>
              <w:widowControl/>
              <w:snapToGrid w:val="0"/>
              <w:spacing w:line="240" w:lineRule="auto"/>
              <w:ind w:firstLine="0" w:firstLineChars="0"/>
              <w:jc w:val="center"/>
              <w:rPr>
                <w:color w:val="000000" w:themeColor="text1"/>
                <w:kern w:val="0"/>
                <w:sz w:val="18"/>
                <w:szCs w:val="18"/>
              </w:rPr>
            </w:pPr>
            <w:r>
              <w:rPr>
                <w:rFonts w:hint="eastAsia"/>
                <w:color w:val="000000" w:themeColor="text1"/>
                <w:kern w:val="0"/>
                <w:sz w:val="18"/>
                <w:szCs w:val="18"/>
              </w:rPr>
              <w:t>＞2</w:t>
            </w:r>
          </w:p>
        </w:tc>
        <w:tc>
          <w:tcPr>
            <w:tcW w:w="1493" w:type="dxa"/>
            <w:tcBorders>
              <w:tl2br w:val="nil"/>
              <w:tr2bl w:val="nil"/>
            </w:tcBorders>
          </w:tcPr>
          <w:p>
            <w:pPr>
              <w:widowControl/>
              <w:snapToGrid w:val="0"/>
              <w:spacing w:line="240" w:lineRule="auto"/>
              <w:ind w:firstLine="0" w:firstLineChars="0"/>
              <w:jc w:val="center"/>
              <w:rPr>
                <w:color w:val="000000" w:themeColor="text1"/>
                <w:kern w:val="0"/>
                <w:sz w:val="18"/>
                <w:szCs w:val="18"/>
              </w:rPr>
            </w:pPr>
            <w:r>
              <w:rPr>
                <w:rFonts w:hint="eastAsia"/>
                <w:color w:val="000000" w:themeColor="text1"/>
                <w:kern w:val="0"/>
                <w:sz w:val="18"/>
                <w:szCs w:val="18"/>
              </w:rPr>
              <w:t>0</w:t>
            </w:r>
          </w:p>
          <w:p>
            <w:pPr>
              <w:widowControl/>
              <w:snapToGrid w:val="0"/>
              <w:spacing w:line="240" w:lineRule="auto"/>
              <w:ind w:firstLine="0" w:firstLineChars="0"/>
              <w:jc w:val="center"/>
              <w:rPr>
                <w:color w:val="000000" w:themeColor="text1"/>
                <w:kern w:val="0"/>
                <w:sz w:val="18"/>
                <w:szCs w:val="18"/>
              </w:rPr>
            </w:pPr>
            <w:r>
              <w:rPr>
                <w:rFonts w:hint="eastAsia"/>
                <w:color w:val="000000" w:themeColor="text1"/>
                <w:kern w:val="0"/>
                <w:sz w:val="18"/>
                <w:szCs w:val="18"/>
              </w:rPr>
              <w:t>6</w:t>
            </w:r>
          </w:p>
          <w:p>
            <w:pPr>
              <w:widowControl/>
              <w:snapToGrid w:val="0"/>
              <w:spacing w:line="240" w:lineRule="auto"/>
              <w:ind w:firstLine="0" w:firstLineChars="0"/>
              <w:jc w:val="center"/>
              <w:rPr>
                <w:color w:val="000000" w:themeColor="text1"/>
                <w:kern w:val="0"/>
                <w:sz w:val="18"/>
                <w:szCs w:val="18"/>
              </w:rPr>
            </w:pPr>
            <w:r>
              <w:rPr>
                <w:rFonts w:hint="eastAsia"/>
                <w:color w:val="000000" w:themeColor="text1"/>
                <w:kern w:val="0"/>
                <w:sz w:val="18"/>
                <w:szCs w:val="18"/>
              </w:rPr>
              <w:t>8</w:t>
            </w:r>
          </w:p>
          <w:p>
            <w:pPr>
              <w:snapToGrid w:val="0"/>
              <w:spacing w:line="240" w:lineRule="auto"/>
              <w:ind w:firstLine="0" w:firstLineChars="0"/>
              <w:jc w:val="center"/>
              <w:rPr>
                <w:color w:val="000000" w:themeColor="text1"/>
                <w:kern w:val="0"/>
                <w:sz w:val="18"/>
                <w:szCs w:val="18"/>
              </w:rPr>
            </w:pPr>
            <w:r>
              <w:rPr>
                <w:rFonts w:hint="eastAsia"/>
                <w:color w:val="000000" w:themeColor="text1"/>
                <w:kern w:val="0"/>
                <w:sz w:val="18"/>
                <w:szCs w:val="18"/>
              </w:rPr>
              <w:t>10</w:t>
            </w:r>
          </w:p>
        </w:tc>
        <w:tc>
          <w:tcPr>
            <w:tcW w:w="867" w:type="dxa"/>
            <w:tcBorders>
              <w:tl2br w:val="nil"/>
              <w:tr2bl w:val="nil"/>
            </w:tcBorders>
            <w:vAlign w:val="center"/>
          </w:tcPr>
          <w:p>
            <w:pPr>
              <w:widowControl/>
              <w:snapToGrid w:val="0"/>
              <w:spacing w:line="240" w:lineRule="auto"/>
              <w:ind w:firstLine="0" w:firstLineChars="0"/>
              <w:jc w:val="center"/>
              <w:rPr>
                <w:color w:val="000000" w:themeColor="text1"/>
                <w:kern w:val="0"/>
                <w:sz w:val="18"/>
                <w:szCs w:val="18"/>
              </w:rPr>
            </w:pPr>
            <w:r>
              <w:rPr>
                <w:rFonts w:hint="eastAsia"/>
                <w:b/>
                <w:color w:val="000000" w:themeColor="text1"/>
                <w:kern w:val="0"/>
                <w:sz w:val="18"/>
                <w:szCs w:val="18"/>
              </w:rPr>
              <w:t>无危险废弃物填埋场</w:t>
            </w:r>
          </w:p>
        </w:tc>
        <w:tc>
          <w:tcPr>
            <w:tcW w:w="841" w:type="dxa"/>
            <w:tcBorders>
              <w:tl2br w:val="nil"/>
              <w:tr2bl w:val="nil"/>
            </w:tcBorders>
            <w:vAlign w:val="center"/>
          </w:tcPr>
          <w:p>
            <w:pPr>
              <w:widowControl/>
              <w:snapToGrid w:val="0"/>
              <w:spacing w:line="240" w:lineRule="auto"/>
              <w:ind w:firstLine="0" w:firstLineChars="0"/>
              <w:jc w:val="center"/>
              <w:rPr>
                <w:color w:val="000000" w:themeColor="text1"/>
                <w:kern w:val="0"/>
                <w:sz w:val="18"/>
                <w:szCs w:val="18"/>
              </w:rPr>
            </w:pPr>
            <w:r>
              <w:rPr>
                <w:rFonts w:hint="eastAsia"/>
                <w:b/>
                <w:color w:val="000000" w:themeColor="text1"/>
                <w:kern w:val="0"/>
                <w:sz w:val="18"/>
                <w:szCs w:val="18"/>
              </w:rPr>
              <w:t>0</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trPr>
        <w:tc>
          <w:tcPr>
            <w:tcW w:w="900" w:type="dxa"/>
            <w:tcBorders>
              <w:tl2br w:val="nil"/>
              <w:tr2bl w:val="nil"/>
            </w:tcBorders>
            <w:vAlign w:val="center"/>
          </w:tcPr>
          <w:p>
            <w:pPr>
              <w:widowControl/>
              <w:snapToGrid w:val="0"/>
              <w:spacing w:line="240" w:lineRule="auto"/>
              <w:ind w:firstLine="0" w:firstLineChars="0"/>
              <w:jc w:val="center"/>
              <w:rPr>
                <w:color w:val="000000" w:themeColor="text1"/>
                <w:kern w:val="0"/>
                <w:sz w:val="18"/>
                <w:szCs w:val="18"/>
              </w:rPr>
            </w:pPr>
            <w:r>
              <w:rPr>
                <w:rFonts w:hint="eastAsia"/>
                <w:color w:val="000000" w:themeColor="text1"/>
                <w:kern w:val="0"/>
                <w:sz w:val="18"/>
                <w:szCs w:val="18"/>
              </w:rPr>
              <w:t>尾矿库（座）</w:t>
            </w:r>
          </w:p>
        </w:tc>
        <w:tc>
          <w:tcPr>
            <w:tcW w:w="931" w:type="dxa"/>
            <w:tcBorders>
              <w:tl2br w:val="nil"/>
              <w:tr2bl w:val="nil"/>
            </w:tcBorders>
          </w:tcPr>
          <w:p>
            <w:pPr>
              <w:widowControl/>
              <w:snapToGrid w:val="0"/>
              <w:spacing w:line="240" w:lineRule="auto"/>
              <w:ind w:firstLine="0" w:firstLineChars="0"/>
              <w:jc w:val="center"/>
              <w:rPr>
                <w:color w:val="000000" w:themeColor="text1"/>
                <w:kern w:val="0"/>
                <w:sz w:val="18"/>
                <w:szCs w:val="18"/>
              </w:rPr>
            </w:pPr>
            <w:r>
              <w:rPr>
                <w:rFonts w:hint="eastAsia"/>
                <w:color w:val="000000" w:themeColor="text1"/>
                <w:kern w:val="0"/>
                <w:sz w:val="18"/>
                <w:szCs w:val="18"/>
              </w:rPr>
              <w:t>无</w:t>
            </w:r>
          </w:p>
          <w:p>
            <w:pPr>
              <w:widowControl/>
              <w:snapToGrid w:val="0"/>
              <w:spacing w:line="240" w:lineRule="auto"/>
              <w:ind w:firstLine="0" w:firstLineChars="0"/>
              <w:jc w:val="center"/>
              <w:rPr>
                <w:color w:val="000000" w:themeColor="text1"/>
                <w:kern w:val="0"/>
                <w:sz w:val="18"/>
                <w:szCs w:val="18"/>
              </w:rPr>
            </w:pPr>
            <w:r>
              <w:rPr>
                <w:rFonts w:hint="eastAsia"/>
                <w:color w:val="000000" w:themeColor="text1"/>
                <w:kern w:val="0"/>
                <w:sz w:val="18"/>
                <w:szCs w:val="18"/>
              </w:rPr>
              <w:t>存在</w:t>
            </w:r>
          </w:p>
        </w:tc>
        <w:tc>
          <w:tcPr>
            <w:tcW w:w="957" w:type="dxa"/>
            <w:tcBorders>
              <w:tl2br w:val="nil"/>
              <w:tr2bl w:val="nil"/>
            </w:tcBorders>
          </w:tcPr>
          <w:p>
            <w:pPr>
              <w:widowControl/>
              <w:snapToGrid w:val="0"/>
              <w:spacing w:line="240" w:lineRule="auto"/>
              <w:ind w:firstLine="0" w:firstLineChars="0"/>
              <w:jc w:val="center"/>
              <w:rPr>
                <w:color w:val="000000" w:themeColor="text1"/>
                <w:kern w:val="0"/>
                <w:sz w:val="18"/>
                <w:szCs w:val="18"/>
              </w:rPr>
            </w:pPr>
            <w:r>
              <w:rPr>
                <w:rFonts w:hint="eastAsia"/>
                <w:color w:val="000000" w:themeColor="text1"/>
                <w:kern w:val="0"/>
                <w:sz w:val="18"/>
                <w:szCs w:val="18"/>
              </w:rPr>
              <w:t>0</w:t>
            </w:r>
          </w:p>
          <w:p>
            <w:pPr>
              <w:widowControl/>
              <w:snapToGrid w:val="0"/>
              <w:spacing w:line="240" w:lineRule="auto"/>
              <w:ind w:firstLine="0" w:firstLineChars="0"/>
              <w:jc w:val="center"/>
              <w:rPr>
                <w:color w:val="000000" w:themeColor="text1"/>
                <w:kern w:val="0"/>
                <w:sz w:val="18"/>
                <w:szCs w:val="18"/>
              </w:rPr>
            </w:pPr>
            <w:r>
              <w:rPr>
                <w:rFonts w:hint="eastAsia"/>
                <w:color w:val="000000" w:themeColor="text1"/>
                <w:kern w:val="0"/>
                <w:sz w:val="18"/>
                <w:szCs w:val="18"/>
              </w:rPr>
              <w:t>10</w:t>
            </w:r>
          </w:p>
        </w:tc>
        <w:tc>
          <w:tcPr>
            <w:tcW w:w="873" w:type="dxa"/>
            <w:tcBorders>
              <w:tl2br w:val="nil"/>
              <w:tr2bl w:val="nil"/>
            </w:tcBorders>
            <w:vAlign w:val="center"/>
          </w:tcPr>
          <w:p>
            <w:pPr>
              <w:widowControl/>
              <w:snapToGrid w:val="0"/>
              <w:spacing w:line="240" w:lineRule="auto"/>
              <w:ind w:firstLine="0" w:firstLineChars="0"/>
              <w:jc w:val="center"/>
              <w:rPr>
                <w:b/>
                <w:color w:val="000000" w:themeColor="text1"/>
                <w:kern w:val="0"/>
                <w:sz w:val="18"/>
                <w:szCs w:val="18"/>
              </w:rPr>
            </w:pPr>
            <w:r>
              <w:rPr>
                <w:rFonts w:hint="eastAsia"/>
                <w:b/>
                <w:color w:val="000000" w:themeColor="text1"/>
                <w:kern w:val="0"/>
                <w:sz w:val="18"/>
                <w:szCs w:val="18"/>
              </w:rPr>
              <w:t>无尾矿库</w:t>
            </w:r>
          </w:p>
        </w:tc>
        <w:tc>
          <w:tcPr>
            <w:tcW w:w="1069" w:type="dxa"/>
            <w:tcBorders>
              <w:tl2br w:val="nil"/>
              <w:tr2bl w:val="nil"/>
            </w:tcBorders>
            <w:vAlign w:val="center"/>
          </w:tcPr>
          <w:p>
            <w:pPr>
              <w:widowControl/>
              <w:snapToGrid w:val="0"/>
              <w:spacing w:line="240" w:lineRule="auto"/>
              <w:ind w:firstLine="0" w:firstLineChars="0"/>
              <w:jc w:val="center"/>
              <w:rPr>
                <w:b/>
                <w:color w:val="000000" w:themeColor="text1"/>
                <w:kern w:val="0"/>
                <w:sz w:val="18"/>
                <w:szCs w:val="18"/>
              </w:rPr>
            </w:pPr>
            <w:r>
              <w:rPr>
                <w:rFonts w:hint="eastAsia"/>
                <w:b/>
                <w:color w:val="000000" w:themeColor="text1"/>
                <w:kern w:val="0"/>
                <w:sz w:val="18"/>
                <w:szCs w:val="18"/>
              </w:rPr>
              <w:t>0</w:t>
            </w:r>
          </w:p>
        </w:tc>
        <w:tc>
          <w:tcPr>
            <w:tcW w:w="1340" w:type="dxa"/>
            <w:tcBorders>
              <w:tl2br w:val="nil"/>
              <w:tr2bl w:val="nil"/>
            </w:tcBorders>
          </w:tcPr>
          <w:p>
            <w:pPr>
              <w:widowControl/>
              <w:snapToGrid w:val="0"/>
              <w:spacing w:line="240" w:lineRule="auto"/>
              <w:ind w:firstLine="0" w:firstLineChars="0"/>
              <w:jc w:val="center"/>
              <w:rPr>
                <w:color w:val="000000" w:themeColor="text1"/>
                <w:kern w:val="0"/>
                <w:sz w:val="18"/>
                <w:szCs w:val="18"/>
              </w:rPr>
            </w:pPr>
            <w:r>
              <w:rPr>
                <w:rFonts w:hint="eastAsia"/>
                <w:color w:val="000000" w:themeColor="text1"/>
                <w:kern w:val="0"/>
                <w:sz w:val="18"/>
                <w:szCs w:val="18"/>
              </w:rPr>
              <w:t>无</w:t>
            </w:r>
          </w:p>
          <w:p>
            <w:pPr>
              <w:widowControl/>
              <w:snapToGrid w:val="0"/>
              <w:spacing w:line="240" w:lineRule="auto"/>
              <w:ind w:firstLine="0" w:firstLineChars="0"/>
              <w:jc w:val="center"/>
              <w:rPr>
                <w:color w:val="000000" w:themeColor="text1"/>
                <w:kern w:val="0"/>
                <w:sz w:val="18"/>
                <w:szCs w:val="18"/>
              </w:rPr>
            </w:pPr>
            <w:r>
              <w:rPr>
                <w:rFonts w:hint="eastAsia"/>
                <w:color w:val="000000" w:themeColor="text1"/>
                <w:kern w:val="0"/>
                <w:sz w:val="18"/>
                <w:szCs w:val="18"/>
              </w:rPr>
              <w:t>1</w:t>
            </w:r>
          </w:p>
          <w:p>
            <w:pPr>
              <w:widowControl/>
              <w:snapToGrid w:val="0"/>
              <w:spacing w:line="240" w:lineRule="auto"/>
              <w:ind w:firstLine="0" w:firstLineChars="0"/>
              <w:jc w:val="center"/>
              <w:rPr>
                <w:color w:val="000000" w:themeColor="text1"/>
                <w:kern w:val="0"/>
                <w:sz w:val="18"/>
                <w:szCs w:val="18"/>
              </w:rPr>
            </w:pPr>
            <w:r>
              <w:rPr>
                <w:rFonts w:hint="eastAsia"/>
                <w:color w:val="000000" w:themeColor="text1"/>
                <w:kern w:val="0"/>
                <w:sz w:val="18"/>
                <w:szCs w:val="18"/>
              </w:rPr>
              <w:t>2</w:t>
            </w:r>
          </w:p>
          <w:p>
            <w:pPr>
              <w:widowControl/>
              <w:snapToGrid w:val="0"/>
              <w:spacing w:line="240" w:lineRule="auto"/>
              <w:ind w:firstLine="0" w:firstLineChars="0"/>
              <w:jc w:val="center"/>
              <w:rPr>
                <w:color w:val="000000" w:themeColor="text1"/>
                <w:kern w:val="0"/>
                <w:sz w:val="18"/>
                <w:szCs w:val="18"/>
              </w:rPr>
            </w:pPr>
            <w:r>
              <w:rPr>
                <w:rFonts w:hint="eastAsia"/>
                <w:color w:val="000000" w:themeColor="text1"/>
                <w:kern w:val="0"/>
                <w:sz w:val="18"/>
                <w:szCs w:val="18"/>
              </w:rPr>
              <w:t>3~4</w:t>
            </w:r>
          </w:p>
          <w:p>
            <w:pPr>
              <w:widowControl/>
              <w:snapToGrid w:val="0"/>
              <w:spacing w:line="240" w:lineRule="auto"/>
              <w:ind w:firstLine="0" w:firstLineChars="0"/>
              <w:jc w:val="center"/>
              <w:rPr>
                <w:color w:val="000000" w:themeColor="text1"/>
                <w:kern w:val="0"/>
                <w:sz w:val="18"/>
                <w:szCs w:val="18"/>
              </w:rPr>
            </w:pPr>
            <w:r>
              <w:rPr>
                <w:rFonts w:hint="eastAsia"/>
                <w:color w:val="000000" w:themeColor="text1"/>
                <w:kern w:val="0"/>
                <w:sz w:val="18"/>
                <w:szCs w:val="18"/>
              </w:rPr>
              <w:t>＞5</w:t>
            </w:r>
          </w:p>
        </w:tc>
        <w:tc>
          <w:tcPr>
            <w:tcW w:w="1746" w:type="dxa"/>
            <w:tcBorders>
              <w:tl2br w:val="nil"/>
              <w:tr2bl w:val="nil"/>
            </w:tcBorders>
          </w:tcPr>
          <w:p>
            <w:pPr>
              <w:widowControl/>
              <w:snapToGrid w:val="0"/>
              <w:spacing w:line="240" w:lineRule="auto"/>
              <w:ind w:firstLine="0" w:firstLineChars="0"/>
              <w:jc w:val="center"/>
              <w:rPr>
                <w:color w:val="000000" w:themeColor="text1"/>
                <w:kern w:val="0"/>
                <w:sz w:val="18"/>
                <w:szCs w:val="18"/>
              </w:rPr>
            </w:pPr>
            <w:r>
              <w:rPr>
                <w:rFonts w:hint="eastAsia"/>
                <w:color w:val="000000" w:themeColor="text1"/>
                <w:kern w:val="0"/>
                <w:sz w:val="18"/>
                <w:szCs w:val="18"/>
              </w:rPr>
              <w:t>0</w:t>
            </w:r>
          </w:p>
          <w:p>
            <w:pPr>
              <w:widowControl/>
              <w:snapToGrid w:val="0"/>
              <w:spacing w:line="240" w:lineRule="auto"/>
              <w:ind w:firstLine="0" w:firstLineChars="0"/>
              <w:jc w:val="center"/>
              <w:rPr>
                <w:color w:val="000000" w:themeColor="text1"/>
                <w:kern w:val="0"/>
                <w:sz w:val="18"/>
                <w:szCs w:val="18"/>
              </w:rPr>
            </w:pPr>
            <w:r>
              <w:rPr>
                <w:rFonts w:hint="eastAsia"/>
                <w:color w:val="000000" w:themeColor="text1"/>
                <w:kern w:val="0"/>
                <w:sz w:val="18"/>
                <w:szCs w:val="18"/>
              </w:rPr>
              <w:t>5</w:t>
            </w:r>
          </w:p>
          <w:p>
            <w:pPr>
              <w:widowControl/>
              <w:snapToGrid w:val="0"/>
              <w:spacing w:line="240" w:lineRule="auto"/>
              <w:ind w:firstLine="0" w:firstLineChars="0"/>
              <w:jc w:val="center"/>
              <w:rPr>
                <w:color w:val="000000" w:themeColor="text1"/>
                <w:kern w:val="0"/>
                <w:sz w:val="18"/>
                <w:szCs w:val="18"/>
              </w:rPr>
            </w:pPr>
            <w:r>
              <w:rPr>
                <w:rFonts w:hint="eastAsia"/>
                <w:color w:val="000000" w:themeColor="text1"/>
                <w:kern w:val="0"/>
                <w:sz w:val="18"/>
                <w:szCs w:val="18"/>
              </w:rPr>
              <w:t>7</w:t>
            </w:r>
          </w:p>
          <w:p>
            <w:pPr>
              <w:widowControl/>
              <w:snapToGrid w:val="0"/>
              <w:spacing w:line="240" w:lineRule="auto"/>
              <w:ind w:firstLine="0" w:firstLineChars="0"/>
              <w:jc w:val="center"/>
              <w:rPr>
                <w:color w:val="000000" w:themeColor="text1"/>
                <w:kern w:val="0"/>
                <w:sz w:val="18"/>
                <w:szCs w:val="18"/>
              </w:rPr>
            </w:pPr>
            <w:r>
              <w:rPr>
                <w:rFonts w:hint="eastAsia"/>
                <w:color w:val="000000" w:themeColor="text1"/>
                <w:kern w:val="0"/>
                <w:sz w:val="18"/>
                <w:szCs w:val="18"/>
              </w:rPr>
              <w:t>8</w:t>
            </w:r>
          </w:p>
          <w:p>
            <w:pPr>
              <w:snapToGrid w:val="0"/>
              <w:spacing w:line="240" w:lineRule="auto"/>
              <w:ind w:firstLine="0" w:firstLineChars="0"/>
              <w:jc w:val="center"/>
              <w:rPr>
                <w:color w:val="000000" w:themeColor="text1"/>
                <w:kern w:val="0"/>
                <w:sz w:val="18"/>
                <w:szCs w:val="18"/>
              </w:rPr>
            </w:pPr>
            <w:r>
              <w:rPr>
                <w:rFonts w:hint="eastAsia"/>
                <w:color w:val="000000" w:themeColor="text1"/>
                <w:kern w:val="0"/>
                <w:sz w:val="18"/>
                <w:szCs w:val="18"/>
              </w:rPr>
              <w:t>10</w:t>
            </w:r>
          </w:p>
        </w:tc>
        <w:tc>
          <w:tcPr>
            <w:tcW w:w="1040" w:type="dxa"/>
            <w:tcBorders>
              <w:tl2br w:val="nil"/>
              <w:tr2bl w:val="nil"/>
            </w:tcBorders>
            <w:vAlign w:val="center"/>
          </w:tcPr>
          <w:p>
            <w:pPr>
              <w:widowControl/>
              <w:snapToGrid w:val="0"/>
              <w:spacing w:line="240" w:lineRule="auto"/>
              <w:ind w:firstLine="0" w:firstLineChars="0"/>
              <w:jc w:val="center"/>
              <w:rPr>
                <w:b/>
                <w:color w:val="000000" w:themeColor="text1"/>
                <w:kern w:val="0"/>
                <w:sz w:val="18"/>
                <w:szCs w:val="18"/>
              </w:rPr>
            </w:pPr>
            <w:r>
              <w:rPr>
                <w:rFonts w:hint="eastAsia"/>
                <w:b/>
                <w:color w:val="000000" w:themeColor="text1"/>
                <w:kern w:val="0"/>
                <w:sz w:val="18"/>
                <w:szCs w:val="18"/>
              </w:rPr>
              <w:t>无尾矿库</w:t>
            </w:r>
          </w:p>
        </w:tc>
        <w:tc>
          <w:tcPr>
            <w:tcW w:w="888" w:type="dxa"/>
            <w:tcBorders>
              <w:tl2br w:val="nil"/>
              <w:tr2bl w:val="nil"/>
            </w:tcBorders>
            <w:vAlign w:val="center"/>
          </w:tcPr>
          <w:p>
            <w:pPr>
              <w:widowControl/>
              <w:snapToGrid w:val="0"/>
              <w:spacing w:line="240" w:lineRule="auto"/>
              <w:ind w:firstLine="0" w:firstLineChars="0"/>
              <w:jc w:val="center"/>
              <w:rPr>
                <w:b/>
                <w:color w:val="000000" w:themeColor="text1"/>
                <w:kern w:val="0"/>
                <w:sz w:val="18"/>
                <w:szCs w:val="18"/>
              </w:rPr>
            </w:pPr>
            <w:r>
              <w:rPr>
                <w:rFonts w:hint="eastAsia"/>
                <w:b/>
                <w:color w:val="000000" w:themeColor="text1"/>
                <w:kern w:val="0"/>
                <w:sz w:val="18"/>
                <w:szCs w:val="18"/>
              </w:rPr>
              <w:t>0</w:t>
            </w:r>
          </w:p>
        </w:tc>
        <w:tc>
          <w:tcPr>
            <w:tcW w:w="1464" w:type="dxa"/>
            <w:tcBorders>
              <w:tl2br w:val="nil"/>
              <w:tr2bl w:val="nil"/>
            </w:tcBorders>
          </w:tcPr>
          <w:p>
            <w:pPr>
              <w:widowControl/>
              <w:snapToGrid w:val="0"/>
              <w:spacing w:line="240" w:lineRule="auto"/>
              <w:ind w:firstLine="0" w:firstLineChars="0"/>
              <w:jc w:val="center"/>
              <w:rPr>
                <w:color w:val="000000" w:themeColor="text1"/>
                <w:kern w:val="0"/>
                <w:sz w:val="18"/>
                <w:szCs w:val="18"/>
              </w:rPr>
            </w:pPr>
            <w:r>
              <w:rPr>
                <w:rFonts w:hint="eastAsia"/>
                <w:color w:val="000000" w:themeColor="text1"/>
                <w:kern w:val="0"/>
                <w:sz w:val="18"/>
                <w:szCs w:val="18"/>
              </w:rPr>
              <w:t>无</w:t>
            </w:r>
          </w:p>
          <w:p>
            <w:pPr>
              <w:widowControl/>
              <w:snapToGrid w:val="0"/>
              <w:spacing w:line="240" w:lineRule="auto"/>
              <w:ind w:firstLine="0" w:firstLineChars="0"/>
              <w:jc w:val="center"/>
              <w:rPr>
                <w:color w:val="000000" w:themeColor="text1"/>
                <w:kern w:val="0"/>
                <w:sz w:val="18"/>
                <w:szCs w:val="18"/>
              </w:rPr>
            </w:pPr>
            <w:r>
              <w:rPr>
                <w:rFonts w:hint="eastAsia"/>
                <w:color w:val="000000" w:themeColor="text1"/>
                <w:kern w:val="0"/>
                <w:sz w:val="18"/>
                <w:szCs w:val="18"/>
              </w:rPr>
              <w:t>1</w:t>
            </w:r>
          </w:p>
          <w:p>
            <w:pPr>
              <w:widowControl/>
              <w:snapToGrid w:val="0"/>
              <w:spacing w:line="240" w:lineRule="auto"/>
              <w:ind w:firstLine="0" w:firstLineChars="0"/>
              <w:jc w:val="center"/>
              <w:rPr>
                <w:color w:val="000000" w:themeColor="text1"/>
                <w:kern w:val="0"/>
                <w:sz w:val="18"/>
                <w:szCs w:val="18"/>
              </w:rPr>
            </w:pPr>
            <w:r>
              <w:rPr>
                <w:rFonts w:hint="eastAsia"/>
                <w:color w:val="000000" w:themeColor="text1"/>
                <w:kern w:val="0"/>
                <w:sz w:val="18"/>
                <w:szCs w:val="18"/>
              </w:rPr>
              <w:t>2</w:t>
            </w:r>
          </w:p>
          <w:p>
            <w:pPr>
              <w:widowControl/>
              <w:snapToGrid w:val="0"/>
              <w:spacing w:line="240" w:lineRule="auto"/>
              <w:ind w:firstLine="0" w:firstLineChars="0"/>
              <w:jc w:val="center"/>
              <w:rPr>
                <w:color w:val="000000" w:themeColor="text1"/>
                <w:kern w:val="0"/>
                <w:sz w:val="18"/>
                <w:szCs w:val="18"/>
              </w:rPr>
            </w:pPr>
            <w:r>
              <w:rPr>
                <w:rFonts w:hint="eastAsia"/>
                <w:color w:val="000000" w:themeColor="text1"/>
                <w:kern w:val="0"/>
                <w:sz w:val="18"/>
                <w:szCs w:val="18"/>
              </w:rPr>
              <w:t>3~4</w:t>
            </w:r>
          </w:p>
          <w:p>
            <w:pPr>
              <w:widowControl/>
              <w:snapToGrid w:val="0"/>
              <w:spacing w:line="240" w:lineRule="auto"/>
              <w:ind w:firstLine="0" w:firstLineChars="0"/>
              <w:jc w:val="center"/>
              <w:rPr>
                <w:color w:val="000000" w:themeColor="text1"/>
                <w:kern w:val="0"/>
                <w:sz w:val="18"/>
                <w:szCs w:val="18"/>
              </w:rPr>
            </w:pPr>
            <w:r>
              <w:rPr>
                <w:rFonts w:hint="eastAsia"/>
                <w:color w:val="000000" w:themeColor="text1"/>
                <w:kern w:val="0"/>
                <w:sz w:val="18"/>
                <w:szCs w:val="18"/>
              </w:rPr>
              <w:t>5~6</w:t>
            </w:r>
          </w:p>
          <w:p>
            <w:pPr>
              <w:widowControl/>
              <w:snapToGrid w:val="0"/>
              <w:spacing w:line="240" w:lineRule="auto"/>
              <w:ind w:firstLine="0" w:firstLineChars="0"/>
              <w:jc w:val="center"/>
              <w:rPr>
                <w:color w:val="000000" w:themeColor="text1"/>
                <w:kern w:val="0"/>
                <w:sz w:val="18"/>
                <w:szCs w:val="18"/>
              </w:rPr>
            </w:pPr>
            <w:r>
              <w:rPr>
                <w:rFonts w:hint="eastAsia"/>
                <w:color w:val="000000" w:themeColor="text1"/>
                <w:kern w:val="0"/>
                <w:sz w:val="18"/>
                <w:szCs w:val="18"/>
              </w:rPr>
              <w:t>＞6</w:t>
            </w:r>
          </w:p>
        </w:tc>
        <w:tc>
          <w:tcPr>
            <w:tcW w:w="1493" w:type="dxa"/>
            <w:tcBorders>
              <w:tl2br w:val="nil"/>
              <w:tr2bl w:val="nil"/>
            </w:tcBorders>
          </w:tcPr>
          <w:p>
            <w:pPr>
              <w:widowControl/>
              <w:snapToGrid w:val="0"/>
              <w:spacing w:line="240" w:lineRule="auto"/>
              <w:ind w:firstLine="0" w:firstLineChars="0"/>
              <w:jc w:val="center"/>
              <w:rPr>
                <w:color w:val="000000" w:themeColor="text1"/>
                <w:kern w:val="0"/>
                <w:sz w:val="18"/>
                <w:szCs w:val="18"/>
              </w:rPr>
            </w:pPr>
            <w:r>
              <w:rPr>
                <w:rFonts w:hint="eastAsia"/>
                <w:color w:val="000000" w:themeColor="text1"/>
                <w:kern w:val="0"/>
                <w:sz w:val="18"/>
                <w:szCs w:val="18"/>
              </w:rPr>
              <w:t>0</w:t>
            </w:r>
          </w:p>
          <w:p>
            <w:pPr>
              <w:widowControl/>
              <w:snapToGrid w:val="0"/>
              <w:spacing w:line="240" w:lineRule="auto"/>
              <w:ind w:firstLine="0" w:firstLineChars="0"/>
              <w:jc w:val="center"/>
              <w:rPr>
                <w:color w:val="000000" w:themeColor="text1"/>
                <w:kern w:val="0"/>
                <w:sz w:val="18"/>
                <w:szCs w:val="18"/>
              </w:rPr>
            </w:pPr>
            <w:r>
              <w:rPr>
                <w:rFonts w:hint="eastAsia"/>
                <w:color w:val="000000" w:themeColor="text1"/>
                <w:kern w:val="0"/>
                <w:sz w:val="18"/>
                <w:szCs w:val="18"/>
              </w:rPr>
              <w:t>3</w:t>
            </w:r>
          </w:p>
          <w:p>
            <w:pPr>
              <w:widowControl/>
              <w:snapToGrid w:val="0"/>
              <w:spacing w:line="240" w:lineRule="auto"/>
              <w:ind w:firstLine="0" w:firstLineChars="0"/>
              <w:jc w:val="center"/>
              <w:rPr>
                <w:color w:val="000000" w:themeColor="text1"/>
                <w:kern w:val="0"/>
                <w:sz w:val="18"/>
                <w:szCs w:val="18"/>
              </w:rPr>
            </w:pPr>
            <w:r>
              <w:rPr>
                <w:rFonts w:hint="eastAsia"/>
                <w:color w:val="000000" w:themeColor="text1"/>
                <w:kern w:val="0"/>
                <w:sz w:val="18"/>
                <w:szCs w:val="18"/>
              </w:rPr>
              <w:t>5</w:t>
            </w:r>
          </w:p>
          <w:p>
            <w:pPr>
              <w:widowControl/>
              <w:snapToGrid w:val="0"/>
              <w:spacing w:line="240" w:lineRule="auto"/>
              <w:ind w:firstLine="0" w:firstLineChars="0"/>
              <w:jc w:val="center"/>
              <w:rPr>
                <w:color w:val="000000" w:themeColor="text1"/>
                <w:kern w:val="0"/>
                <w:sz w:val="18"/>
                <w:szCs w:val="18"/>
              </w:rPr>
            </w:pPr>
            <w:r>
              <w:rPr>
                <w:rFonts w:hint="eastAsia"/>
                <w:color w:val="000000" w:themeColor="text1"/>
                <w:kern w:val="0"/>
                <w:sz w:val="18"/>
                <w:szCs w:val="18"/>
              </w:rPr>
              <w:t>6</w:t>
            </w:r>
          </w:p>
          <w:p>
            <w:pPr>
              <w:widowControl/>
              <w:snapToGrid w:val="0"/>
              <w:spacing w:line="240" w:lineRule="auto"/>
              <w:ind w:firstLine="0" w:firstLineChars="0"/>
              <w:jc w:val="center"/>
              <w:rPr>
                <w:color w:val="000000" w:themeColor="text1"/>
                <w:kern w:val="0"/>
                <w:sz w:val="18"/>
                <w:szCs w:val="18"/>
              </w:rPr>
            </w:pPr>
            <w:r>
              <w:rPr>
                <w:rFonts w:hint="eastAsia"/>
                <w:color w:val="000000" w:themeColor="text1"/>
                <w:kern w:val="0"/>
                <w:sz w:val="18"/>
                <w:szCs w:val="18"/>
              </w:rPr>
              <w:t>8</w:t>
            </w:r>
          </w:p>
          <w:p>
            <w:pPr>
              <w:snapToGrid w:val="0"/>
              <w:spacing w:line="240" w:lineRule="auto"/>
              <w:ind w:firstLine="0" w:firstLineChars="0"/>
              <w:jc w:val="center"/>
              <w:rPr>
                <w:color w:val="000000" w:themeColor="text1"/>
                <w:kern w:val="0"/>
                <w:sz w:val="18"/>
                <w:szCs w:val="18"/>
              </w:rPr>
            </w:pPr>
            <w:r>
              <w:rPr>
                <w:rFonts w:hint="eastAsia"/>
                <w:color w:val="000000" w:themeColor="text1"/>
                <w:kern w:val="0"/>
                <w:sz w:val="18"/>
                <w:szCs w:val="18"/>
              </w:rPr>
              <w:t>10</w:t>
            </w:r>
          </w:p>
        </w:tc>
        <w:tc>
          <w:tcPr>
            <w:tcW w:w="867" w:type="dxa"/>
            <w:tcBorders>
              <w:tl2br w:val="nil"/>
              <w:tr2bl w:val="nil"/>
            </w:tcBorders>
            <w:vAlign w:val="center"/>
          </w:tcPr>
          <w:p>
            <w:pPr>
              <w:widowControl/>
              <w:snapToGrid w:val="0"/>
              <w:spacing w:line="240" w:lineRule="auto"/>
              <w:ind w:firstLine="0" w:firstLineChars="0"/>
              <w:jc w:val="center"/>
              <w:rPr>
                <w:color w:val="000000" w:themeColor="text1"/>
                <w:kern w:val="0"/>
                <w:sz w:val="18"/>
                <w:szCs w:val="18"/>
              </w:rPr>
            </w:pPr>
            <w:r>
              <w:rPr>
                <w:rFonts w:hint="eastAsia"/>
                <w:b/>
                <w:color w:val="000000" w:themeColor="text1"/>
                <w:kern w:val="0"/>
                <w:sz w:val="18"/>
                <w:szCs w:val="18"/>
              </w:rPr>
              <w:t>无尾矿库</w:t>
            </w:r>
          </w:p>
        </w:tc>
        <w:tc>
          <w:tcPr>
            <w:tcW w:w="841" w:type="dxa"/>
            <w:tcBorders>
              <w:tl2br w:val="nil"/>
              <w:tr2bl w:val="nil"/>
            </w:tcBorders>
            <w:vAlign w:val="center"/>
          </w:tcPr>
          <w:p>
            <w:pPr>
              <w:widowControl/>
              <w:snapToGrid w:val="0"/>
              <w:spacing w:line="240" w:lineRule="auto"/>
              <w:ind w:firstLine="0" w:firstLineChars="0"/>
              <w:jc w:val="center"/>
              <w:rPr>
                <w:color w:val="000000" w:themeColor="text1"/>
                <w:kern w:val="0"/>
                <w:sz w:val="18"/>
                <w:szCs w:val="18"/>
              </w:rPr>
            </w:pPr>
            <w:r>
              <w:rPr>
                <w:rFonts w:hint="eastAsia"/>
                <w:b/>
                <w:color w:val="000000" w:themeColor="text1"/>
                <w:kern w:val="0"/>
                <w:sz w:val="18"/>
                <w:szCs w:val="18"/>
              </w:rPr>
              <w:t>0</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trPr>
        <w:tc>
          <w:tcPr>
            <w:tcW w:w="900" w:type="dxa"/>
            <w:tcBorders>
              <w:tl2br w:val="nil"/>
              <w:tr2bl w:val="nil"/>
            </w:tcBorders>
            <w:vAlign w:val="center"/>
          </w:tcPr>
          <w:p>
            <w:pPr>
              <w:widowControl/>
              <w:snapToGrid w:val="0"/>
              <w:spacing w:line="240" w:lineRule="auto"/>
              <w:ind w:firstLine="0" w:firstLineChars="0"/>
              <w:jc w:val="center"/>
              <w:rPr>
                <w:color w:val="000000" w:themeColor="text1"/>
                <w:kern w:val="0"/>
                <w:sz w:val="18"/>
                <w:szCs w:val="18"/>
              </w:rPr>
            </w:pPr>
            <w:r>
              <w:rPr>
                <w:rFonts w:hint="eastAsia"/>
                <w:color w:val="000000" w:themeColor="text1"/>
                <w:kern w:val="0"/>
                <w:sz w:val="18"/>
                <w:szCs w:val="18"/>
              </w:rPr>
              <w:t>加油站（座）</w:t>
            </w:r>
          </w:p>
        </w:tc>
        <w:tc>
          <w:tcPr>
            <w:tcW w:w="931" w:type="dxa"/>
            <w:tcBorders>
              <w:tl2br w:val="nil"/>
              <w:tr2bl w:val="nil"/>
            </w:tcBorders>
          </w:tcPr>
          <w:p>
            <w:pPr>
              <w:widowControl/>
              <w:snapToGrid w:val="0"/>
              <w:spacing w:line="240" w:lineRule="auto"/>
              <w:ind w:firstLine="0" w:firstLineChars="0"/>
              <w:jc w:val="center"/>
              <w:rPr>
                <w:color w:val="000000" w:themeColor="text1"/>
                <w:kern w:val="0"/>
                <w:sz w:val="18"/>
                <w:szCs w:val="18"/>
              </w:rPr>
            </w:pPr>
            <w:r>
              <w:rPr>
                <w:rFonts w:hint="eastAsia"/>
                <w:color w:val="000000" w:themeColor="text1"/>
                <w:kern w:val="0"/>
                <w:sz w:val="18"/>
                <w:szCs w:val="18"/>
              </w:rPr>
              <w:t>无</w:t>
            </w:r>
          </w:p>
          <w:p>
            <w:pPr>
              <w:widowControl/>
              <w:snapToGrid w:val="0"/>
              <w:spacing w:line="240" w:lineRule="auto"/>
              <w:ind w:firstLine="0" w:firstLineChars="0"/>
              <w:jc w:val="center"/>
              <w:rPr>
                <w:color w:val="000000" w:themeColor="text1"/>
                <w:kern w:val="0"/>
                <w:sz w:val="18"/>
                <w:szCs w:val="18"/>
              </w:rPr>
            </w:pPr>
            <w:r>
              <w:rPr>
                <w:rFonts w:hint="eastAsia"/>
                <w:color w:val="000000" w:themeColor="text1"/>
                <w:kern w:val="0"/>
                <w:sz w:val="18"/>
                <w:szCs w:val="18"/>
              </w:rPr>
              <w:t>存在</w:t>
            </w:r>
          </w:p>
        </w:tc>
        <w:tc>
          <w:tcPr>
            <w:tcW w:w="957" w:type="dxa"/>
            <w:tcBorders>
              <w:tl2br w:val="nil"/>
              <w:tr2bl w:val="nil"/>
            </w:tcBorders>
          </w:tcPr>
          <w:p>
            <w:pPr>
              <w:widowControl/>
              <w:snapToGrid w:val="0"/>
              <w:spacing w:line="240" w:lineRule="auto"/>
              <w:ind w:firstLine="0" w:firstLineChars="0"/>
              <w:jc w:val="center"/>
              <w:rPr>
                <w:color w:val="000000" w:themeColor="text1"/>
                <w:kern w:val="0"/>
                <w:sz w:val="18"/>
                <w:szCs w:val="18"/>
              </w:rPr>
            </w:pPr>
            <w:r>
              <w:rPr>
                <w:rFonts w:hint="eastAsia"/>
                <w:color w:val="000000" w:themeColor="text1"/>
                <w:kern w:val="0"/>
                <w:sz w:val="18"/>
                <w:szCs w:val="18"/>
              </w:rPr>
              <w:t>0</w:t>
            </w:r>
          </w:p>
          <w:p>
            <w:pPr>
              <w:snapToGrid w:val="0"/>
              <w:spacing w:line="240" w:lineRule="auto"/>
              <w:ind w:firstLine="0" w:firstLineChars="0"/>
              <w:jc w:val="center"/>
              <w:rPr>
                <w:color w:val="000000" w:themeColor="text1"/>
                <w:kern w:val="0"/>
                <w:sz w:val="18"/>
                <w:szCs w:val="18"/>
              </w:rPr>
            </w:pPr>
            <w:r>
              <w:rPr>
                <w:rFonts w:hint="eastAsia"/>
                <w:color w:val="000000" w:themeColor="text1"/>
                <w:kern w:val="0"/>
                <w:sz w:val="18"/>
                <w:szCs w:val="18"/>
              </w:rPr>
              <w:t>10</w:t>
            </w:r>
          </w:p>
        </w:tc>
        <w:tc>
          <w:tcPr>
            <w:tcW w:w="873" w:type="dxa"/>
            <w:tcBorders>
              <w:tl2br w:val="nil"/>
              <w:tr2bl w:val="nil"/>
            </w:tcBorders>
            <w:vAlign w:val="center"/>
          </w:tcPr>
          <w:p>
            <w:pPr>
              <w:widowControl/>
              <w:snapToGrid w:val="0"/>
              <w:spacing w:line="240" w:lineRule="auto"/>
              <w:ind w:firstLine="0" w:firstLineChars="0"/>
              <w:jc w:val="center"/>
              <w:rPr>
                <w:b/>
                <w:color w:val="000000" w:themeColor="text1"/>
                <w:kern w:val="0"/>
                <w:sz w:val="18"/>
                <w:szCs w:val="18"/>
              </w:rPr>
            </w:pPr>
            <w:r>
              <w:rPr>
                <w:rFonts w:hint="eastAsia"/>
                <w:b/>
                <w:color w:val="000000" w:themeColor="text1"/>
                <w:kern w:val="0"/>
                <w:sz w:val="18"/>
                <w:szCs w:val="18"/>
              </w:rPr>
              <w:t>无加油站</w:t>
            </w:r>
          </w:p>
        </w:tc>
        <w:tc>
          <w:tcPr>
            <w:tcW w:w="1069" w:type="dxa"/>
            <w:tcBorders>
              <w:tl2br w:val="nil"/>
              <w:tr2bl w:val="nil"/>
            </w:tcBorders>
            <w:vAlign w:val="center"/>
          </w:tcPr>
          <w:p>
            <w:pPr>
              <w:widowControl/>
              <w:snapToGrid w:val="0"/>
              <w:spacing w:line="240" w:lineRule="auto"/>
              <w:ind w:firstLine="0" w:firstLineChars="0"/>
              <w:jc w:val="center"/>
              <w:rPr>
                <w:b/>
                <w:color w:val="000000" w:themeColor="text1"/>
                <w:kern w:val="0"/>
                <w:sz w:val="18"/>
                <w:szCs w:val="18"/>
              </w:rPr>
            </w:pPr>
            <w:r>
              <w:rPr>
                <w:rFonts w:hint="eastAsia"/>
                <w:b/>
                <w:color w:val="000000" w:themeColor="text1"/>
                <w:kern w:val="0"/>
                <w:sz w:val="18"/>
                <w:szCs w:val="18"/>
              </w:rPr>
              <w:t>0</w:t>
            </w:r>
          </w:p>
        </w:tc>
        <w:tc>
          <w:tcPr>
            <w:tcW w:w="1340" w:type="dxa"/>
            <w:tcBorders>
              <w:tl2br w:val="nil"/>
              <w:tr2bl w:val="nil"/>
            </w:tcBorders>
          </w:tcPr>
          <w:p>
            <w:pPr>
              <w:widowControl/>
              <w:snapToGrid w:val="0"/>
              <w:spacing w:line="240" w:lineRule="auto"/>
              <w:ind w:firstLine="0" w:firstLineChars="0"/>
              <w:jc w:val="center"/>
              <w:rPr>
                <w:color w:val="000000" w:themeColor="text1"/>
                <w:kern w:val="0"/>
                <w:sz w:val="18"/>
                <w:szCs w:val="18"/>
              </w:rPr>
            </w:pPr>
            <w:r>
              <w:rPr>
                <w:rFonts w:hint="eastAsia"/>
                <w:color w:val="000000" w:themeColor="text1"/>
                <w:kern w:val="0"/>
                <w:sz w:val="18"/>
                <w:szCs w:val="18"/>
              </w:rPr>
              <w:t>无</w:t>
            </w:r>
          </w:p>
          <w:p>
            <w:pPr>
              <w:widowControl/>
              <w:snapToGrid w:val="0"/>
              <w:spacing w:line="240" w:lineRule="auto"/>
              <w:ind w:firstLine="0" w:firstLineChars="0"/>
              <w:jc w:val="center"/>
              <w:rPr>
                <w:color w:val="000000" w:themeColor="text1"/>
                <w:kern w:val="0"/>
                <w:sz w:val="18"/>
                <w:szCs w:val="18"/>
              </w:rPr>
            </w:pPr>
            <w:r>
              <w:rPr>
                <w:rFonts w:hint="eastAsia"/>
                <w:color w:val="000000" w:themeColor="text1"/>
                <w:kern w:val="0"/>
                <w:sz w:val="18"/>
                <w:szCs w:val="18"/>
              </w:rPr>
              <w:t>1~2</w:t>
            </w:r>
          </w:p>
          <w:p>
            <w:pPr>
              <w:widowControl/>
              <w:snapToGrid w:val="0"/>
              <w:spacing w:line="240" w:lineRule="auto"/>
              <w:ind w:firstLine="0" w:firstLineChars="0"/>
              <w:jc w:val="center"/>
              <w:rPr>
                <w:color w:val="000000" w:themeColor="text1"/>
                <w:kern w:val="0"/>
                <w:sz w:val="18"/>
                <w:szCs w:val="18"/>
              </w:rPr>
            </w:pPr>
            <w:r>
              <w:rPr>
                <w:rFonts w:hint="eastAsia"/>
                <w:color w:val="000000" w:themeColor="text1"/>
                <w:kern w:val="0"/>
                <w:sz w:val="18"/>
                <w:szCs w:val="18"/>
              </w:rPr>
              <w:t>3~5</w:t>
            </w:r>
          </w:p>
          <w:p>
            <w:pPr>
              <w:widowControl/>
              <w:snapToGrid w:val="0"/>
              <w:spacing w:line="240" w:lineRule="auto"/>
              <w:ind w:firstLine="0" w:firstLineChars="0"/>
              <w:jc w:val="center"/>
              <w:rPr>
                <w:color w:val="000000" w:themeColor="text1"/>
                <w:kern w:val="0"/>
                <w:sz w:val="18"/>
                <w:szCs w:val="18"/>
              </w:rPr>
            </w:pPr>
            <w:r>
              <w:rPr>
                <w:rFonts w:hint="eastAsia"/>
                <w:color w:val="000000" w:themeColor="text1"/>
                <w:kern w:val="0"/>
                <w:sz w:val="18"/>
                <w:szCs w:val="18"/>
              </w:rPr>
              <w:t>6~8</w:t>
            </w:r>
          </w:p>
          <w:p>
            <w:pPr>
              <w:widowControl/>
              <w:snapToGrid w:val="0"/>
              <w:spacing w:line="240" w:lineRule="auto"/>
              <w:ind w:firstLine="0" w:firstLineChars="0"/>
              <w:jc w:val="center"/>
              <w:rPr>
                <w:color w:val="000000" w:themeColor="text1"/>
                <w:kern w:val="0"/>
                <w:sz w:val="18"/>
                <w:szCs w:val="18"/>
              </w:rPr>
            </w:pPr>
            <w:r>
              <w:rPr>
                <w:rFonts w:hint="eastAsia"/>
                <w:color w:val="000000" w:themeColor="text1"/>
                <w:kern w:val="0"/>
                <w:sz w:val="18"/>
                <w:szCs w:val="18"/>
              </w:rPr>
              <w:t>＞8</w:t>
            </w:r>
          </w:p>
        </w:tc>
        <w:tc>
          <w:tcPr>
            <w:tcW w:w="1746" w:type="dxa"/>
            <w:tcBorders>
              <w:tl2br w:val="nil"/>
              <w:tr2bl w:val="nil"/>
            </w:tcBorders>
          </w:tcPr>
          <w:p>
            <w:pPr>
              <w:widowControl/>
              <w:snapToGrid w:val="0"/>
              <w:spacing w:line="240" w:lineRule="auto"/>
              <w:ind w:firstLine="0" w:firstLineChars="0"/>
              <w:jc w:val="center"/>
              <w:rPr>
                <w:color w:val="000000" w:themeColor="text1"/>
                <w:kern w:val="0"/>
                <w:sz w:val="18"/>
                <w:szCs w:val="18"/>
              </w:rPr>
            </w:pPr>
            <w:r>
              <w:rPr>
                <w:rFonts w:hint="eastAsia"/>
                <w:color w:val="000000" w:themeColor="text1"/>
                <w:kern w:val="0"/>
                <w:sz w:val="18"/>
                <w:szCs w:val="18"/>
              </w:rPr>
              <w:t>0</w:t>
            </w:r>
          </w:p>
          <w:p>
            <w:pPr>
              <w:widowControl/>
              <w:snapToGrid w:val="0"/>
              <w:spacing w:line="240" w:lineRule="auto"/>
              <w:ind w:firstLine="0" w:firstLineChars="0"/>
              <w:jc w:val="center"/>
              <w:rPr>
                <w:color w:val="000000" w:themeColor="text1"/>
                <w:kern w:val="0"/>
                <w:sz w:val="18"/>
                <w:szCs w:val="18"/>
              </w:rPr>
            </w:pPr>
            <w:r>
              <w:rPr>
                <w:rFonts w:hint="eastAsia"/>
                <w:color w:val="000000" w:themeColor="text1"/>
                <w:kern w:val="0"/>
                <w:sz w:val="18"/>
                <w:szCs w:val="18"/>
              </w:rPr>
              <w:t>2</w:t>
            </w:r>
          </w:p>
          <w:p>
            <w:pPr>
              <w:widowControl/>
              <w:snapToGrid w:val="0"/>
              <w:spacing w:line="240" w:lineRule="auto"/>
              <w:ind w:firstLine="0" w:firstLineChars="0"/>
              <w:jc w:val="center"/>
              <w:rPr>
                <w:color w:val="000000" w:themeColor="text1"/>
                <w:kern w:val="0"/>
                <w:sz w:val="18"/>
                <w:szCs w:val="18"/>
              </w:rPr>
            </w:pPr>
            <w:r>
              <w:rPr>
                <w:rFonts w:hint="eastAsia"/>
                <w:color w:val="000000" w:themeColor="text1"/>
                <w:kern w:val="0"/>
                <w:sz w:val="18"/>
                <w:szCs w:val="18"/>
              </w:rPr>
              <w:t>4</w:t>
            </w:r>
          </w:p>
          <w:p>
            <w:pPr>
              <w:widowControl/>
              <w:snapToGrid w:val="0"/>
              <w:spacing w:line="240" w:lineRule="auto"/>
              <w:ind w:firstLine="0" w:firstLineChars="0"/>
              <w:jc w:val="center"/>
              <w:rPr>
                <w:color w:val="000000" w:themeColor="text1"/>
                <w:kern w:val="0"/>
                <w:sz w:val="18"/>
                <w:szCs w:val="18"/>
              </w:rPr>
            </w:pPr>
            <w:r>
              <w:rPr>
                <w:rFonts w:hint="eastAsia"/>
                <w:color w:val="000000" w:themeColor="text1"/>
                <w:kern w:val="0"/>
                <w:sz w:val="18"/>
                <w:szCs w:val="18"/>
              </w:rPr>
              <w:t>8</w:t>
            </w:r>
          </w:p>
          <w:p>
            <w:pPr>
              <w:snapToGrid w:val="0"/>
              <w:spacing w:line="240" w:lineRule="auto"/>
              <w:ind w:firstLine="0" w:firstLineChars="0"/>
              <w:jc w:val="center"/>
              <w:rPr>
                <w:color w:val="000000" w:themeColor="text1"/>
                <w:kern w:val="0"/>
                <w:sz w:val="18"/>
                <w:szCs w:val="18"/>
              </w:rPr>
            </w:pPr>
            <w:r>
              <w:rPr>
                <w:rFonts w:hint="eastAsia"/>
                <w:color w:val="000000" w:themeColor="text1"/>
                <w:kern w:val="0"/>
                <w:sz w:val="18"/>
                <w:szCs w:val="18"/>
              </w:rPr>
              <w:t>10</w:t>
            </w:r>
          </w:p>
        </w:tc>
        <w:tc>
          <w:tcPr>
            <w:tcW w:w="1040" w:type="dxa"/>
            <w:tcBorders>
              <w:tl2br w:val="nil"/>
              <w:tr2bl w:val="nil"/>
            </w:tcBorders>
            <w:vAlign w:val="center"/>
          </w:tcPr>
          <w:p>
            <w:pPr>
              <w:widowControl/>
              <w:snapToGrid w:val="0"/>
              <w:spacing w:line="240" w:lineRule="auto"/>
              <w:ind w:firstLine="0" w:firstLineChars="0"/>
              <w:jc w:val="center"/>
              <w:rPr>
                <w:b/>
                <w:color w:val="000000" w:themeColor="text1"/>
                <w:kern w:val="0"/>
                <w:sz w:val="18"/>
                <w:szCs w:val="18"/>
              </w:rPr>
            </w:pPr>
            <w:r>
              <w:rPr>
                <w:rFonts w:hint="eastAsia"/>
                <w:b/>
                <w:bCs/>
                <w:color w:val="000000" w:themeColor="text1"/>
                <w:kern w:val="0"/>
                <w:sz w:val="18"/>
                <w:szCs w:val="18"/>
              </w:rPr>
              <w:t>无加油站</w:t>
            </w:r>
          </w:p>
        </w:tc>
        <w:tc>
          <w:tcPr>
            <w:tcW w:w="888" w:type="dxa"/>
            <w:tcBorders>
              <w:tl2br w:val="nil"/>
              <w:tr2bl w:val="nil"/>
            </w:tcBorders>
            <w:vAlign w:val="center"/>
          </w:tcPr>
          <w:p>
            <w:pPr>
              <w:widowControl/>
              <w:snapToGrid w:val="0"/>
              <w:spacing w:line="240" w:lineRule="auto"/>
              <w:ind w:firstLine="0" w:firstLineChars="0"/>
              <w:jc w:val="center"/>
              <w:rPr>
                <w:b/>
                <w:color w:val="000000" w:themeColor="text1"/>
                <w:kern w:val="0"/>
                <w:sz w:val="18"/>
                <w:szCs w:val="18"/>
              </w:rPr>
            </w:pPr>
            <w:r>
              <w:rPr>
                <w:rFonts w:hint="eastAsia"/>
                <w:b/>
                <w:color w:val="000000" w:themeColor="text1"/>
                <w:kern w:val="0"/>
                <w:sz w:val="18"/>
                <w:szCs w:val="18"/>
              </w:rPr>
              <w:t>0</w:t>
            </w:r>
          </w:p>
        </w:tc>
        <w:tc>
          <w:tcPr>
            <w:tcW w:w="1464" w:type="dxa"/>
            <w:tcBorders>
              <w:tl2br w:val="nil"/>
              <w:tr2bl w:val="nil"/>
            </w:tcBorders>
          </w:tcPr>
          <w:p>
            <w:pPr>
              <w:widowControl/>
              <w:snapToGrid w:val="0"/>
              <w:spacing w:line="240" w:lineRule="auto"/>
              <w:ind w:firstLine="0" w:firstLineChars="0"/>
              <w:jc w:val="center"/>
              <w:rPr>
                <w:color w:val="000000" w:themeColor="text1"/>
                <w:kern w:val="0"/>
                <w:sz w:val="18"/>
                <w:szCs w:val="18"/>
              </w:rPr>
            </w:pPr>
            <w:r>
              <w:rPr>
                <w:rFonts w:hint="eastAsia"/>
                <w:color w:val="000000" w:themeColor="text1"/>
                <w:kern w:val="0"/>
                <w:sz w:val="18"/>
                <w:szCs w:val="18"/>
              </w:rPr>
              <w:t>无</w:t>
            </w:r>
          </w:p>
          <w:p>
            <w:pPr>
              <w:widowControl/>
              <w:snapToGrid w:val="0"/>
              <w:spacing w:line="240" w:lineRule="auto"/>
              <w:ind w:firstLine="0" w:firstLineChars="0"/>
              <w:jc w:val="center"/>
              <w:rPr>
                <w:color w:val="000000" w:themeColor="text1"/>
                <w:kern w:val="0"/>
                <w:sz w:val="18"/>
                <w:szCs w:val="18"/>
              </w:rPr>
            </w:pPr>
            <w:r>
              <w:rPr>
                <w:rFonts w:hint="eastAsia"/>
                <w:color w:val="000000" w:themeColor="text1"/>
                <w:kern w:val="0"/>
                <w:sz w:val="18"/>
                <w:szCs w:val="18"/>
              </w:rPr>
              <w:t>1~3</w:t>
            </w:r>
          </w:p>
          <w:p>
            <w:pPr>
              <w:widowControl/>
              <w:snapToGrid w:val="0"/>
              <w:spacing w:line="240" w:lineRule="auto"/>
              <w:ind w:firstLine="0" w:firstLineChars="0"/>
              <w:jc w:val="center"/>
              <w:rPr>
                <w:color w:val="000000" w:themeColor="text1"/>
                <w:kern w:val="0"/>
                <w:sz w:val="18"/>
                <w:szCs w:val="18"/>
              </w:rPr>
            </w:pPr>
            <w:r>
              <w:rPr>
                <w:rFonts w:hint="eastAsia"/>
                <w:color w:val="000000" w:themeColor="text1"/>
                <w:kern w:val="0"/>
                <w:sz w:val="18"/>
                <w:szCs w:val="18"/>
              </w:rPr>
              <w:t>4~6</w:t>
            </w:r>
          </w:p>
          <w:p>
            <w:pPr>
              <w:widowControl/>
              <w:snapToGrid w:val="0"/>
              <w:spacing w:line="240" w:lineRule="auto"/>
              <w:ind w:firstLine="0" w:firstLineChars="0"/>
              <w:jc w:val="center"/>
              <w:rPr>
                <w:color w:val="000000" w:themeColor="text1"/>
                <w:kern w:val="0"/>
                <w:sz w:val="18"/>
                <w:szCs w:val="18"/>
              </w:rPr>
            </w:pPr>
            <w:r>
              <w:rPr>
                <w:rFonts w:hint="eastAsia"/>
                <w:color w:val="000000" w:themeColor="text1"/>
                <w:kern w:val="0"/>
                <w:sz w:val="18"/>
                <w:szCs w:val="18"/>
              </w:rPr>
              <w:t>7~10</w:t>
            </w:r>
          </w:p>
          <w:p>
            <w:pPr>
              <w:widowControl/>
              <w:snapToGrid w:val="0"/>
              <w:spacing w:line="240" w:lineRule="auto"/>
              <w:ind w:firstLine="0" w:firstLineChars="0"/>
              <w:jc w:val="center"/>
              <w:rPr>
                <w:color w:val="000000" w:themeColor="text1"/>
                <w:kern w:val="0"/>
                <w:sz w:val="18"/>
                <w:szCs w:val="18"/>
              </w:rPr>
            </w:pPr>
            <w:r>
              <w:rPr>
                <w:rFonts w:hint="eastAsia"/>
                <w:color w:val="000000" w:themeColor="text1"/>
                <w:kern w:val="0"/>
                <w:sz w:val="18"/>
                <w:szCs w:val="18"/>
              </w:rPr>
              <w:t>＞10</w:t>
            </w:r>
          </w:p>
        </w:tc>
        <w:tc>
          <w:tcPr>
            <w:tcW w:w="1493" w:type="dxa"/>
            <w:tcBorders>
              <w:tl2br w:val="nil"/>
              <w:tr2bl w:val="nil"/>
            </w:tcBorders>
          </w:tcPr>
          <w:p>
            <w:pPr>
              <w:widowControl/>
              <w:snapToGrid w:val="0"/>
              <w:spacing w:line="240" w:lineRule="auto"/>
              <w:ind w:firstLine="0" w:firstLineChars="0"/>
              <w:jc w:val="center"/>
              <w:rPr>
                <w:color w:val="000000" w:themeColor="text1"/>
                <w:kern w:val="0"/>
                <w:sz w:val="18"/>
                <w:szCs w:val="18"/>
              </w:rPr>
            </w:pPr>
            <w:r>
              <w:rPr>
                <w:rFonts w:hint="eastAsia"/>
                <w:color w:val="000000" w:themeColor="text1"/>
                <w:kern w:val="0"/>
                <w:sz w:val="18"/>
                <w:szCs w:val="18"/>
              </w:rPr>
              <w:t>0</w:t>
            </w:r>
          </w:p>
          <w:p>
            <w:pPr>
              <w:widowControl/>
              <w:snapToGrid w:val="0"/>
              <w:spacing w:line="240" w:lineRule="auto"/>
              <w:ind w:firstLine="0" w:firstLineChars="0"/>
              <w:jc w:val="center"/>
              <w:rPr>
                <w:color w:val="000000" w:themeColor="text1"/>
                <w:kern w:val="0"/>
                <w:sz w:val="18"/>
                <w:szCs w:val="18"/>
              </w:rPr>
            </w:pPr>
            <w:r>
              <w:rPr>
                <w:rFonts w:hint="eastAsia"/>
                <w:color w:val="000000" w:themeColor="text1"/>
                <w:kern w:val="0"/>
                <w:sz w:val="18"/>
                <w:szCs w:val="18"/>
              </w:rPr>
              <w:t>2</w:t>
            </w:r>
          </w:p>
          <w:p>
            <w:pPr>
              <w:widowControl/>
              <w:snapToGrid w:val="0"/>
              <w:spacing w:line="240" w:lineRule="auto"/>
              <w:ind w:firstLine="0" w:firstLineChars="0"/>
              <w:jc w:val="center"/>
              <w:rPr>
                <w:color w:val="000000" w:themeColor="text1"/>
                <w:kern w:val="0"/>
                <w:sz w:val="18"/>
                <w:szCs w:val="18"/>
              </w:rPr>
            </w:pPr>
            <w:r>
              <w:rPr>
                <w:rFonts w:hint="eastAsia"/>
                <w:color w:val="000000" w:themeColor="text1"/>
                <w:kern w:val="0"/>
                <w:sz w:val="18"/>
                <w:szCs w:val="18"/>
              </w:rPr>
              <w:t>4</w:t>
            </w:r>
          </w:p>
          <w:p>
            <w:pPr>
              <w:widowControl/>
              <w:snapToGrid w:val="0"/>
              <w:spacing w:line="240" w:lineRule="auto"/>
              <w:ind w:firstLine="0" w:firstLineChars="0"/>
              <w:jc w:val="center"/>
              <w:rPr>
                <w:color w:val="000000" w:themeColor="text1"/>
                <w:kern w:val="0"/>
                <w:sz w:val="18"/>
                <w:szCs w:val="18"/>
              </w:rPr>
            </w:pPr>
            <w:r>
              <w:rPr>
                <w:rFonts w:hint="eastAsia"/>
                <w:color w:val="000000" w:themeColor="text1"/>
                <w:kern w:val="0"/>
                <w:sz w:val="18"/>
                <w:szCs w:val="18"/>
              </w:rPr>
              <w:t>8</w:t>
            </w:r>
          </w:p>
          <w:p>
            <w:pPr>
              <w:widowControl/>
              <w:snapToGrid w:val="0"/>
              <w:spacing w:line="240" w:lineRule="auto"/>
              <w:ind w:firstLine="0" w:firstLineChars="0"/>
              <w:jc w:val="center"/>
              <w:rPr>
                <w:color w:val="000000" w:themeColor="text1"/>
                <w:kern w:val="0"/>
                <w:sz w:val="18"/>
                <w:szCs w:val="18"/>
              </w:rPr>
            </w:pPr>
            <w:r>
              <w:rPr>
                <w:rFonts w:hint="eastAsia"/>
                <w:color w:val="000000" w:themeColor="text1"/>
                <w:kern w:val="0"/>
                <w:sz w:val="18"/>
                <w:szCs w:val="18"/>
              </w:rPr>
              <w:t>10</w:t>
            </w:r>
          </w:p>
        </w:tc>
        <w:tc>
          <w:tcPr>
            <w:tcW w:w="867" w:type="dxa"/>
            <w:tcBorders>
              <w:tl2br w:val="nil"/>
              <w:tr2bl w:val="nil"/>
            </w:tcBorders>
            <w:vAlign w:val="center"/>
          </w:tcPr>
          <w:p>
            <w:pPr>
              <w:spacing w:line="240" w:lineRule="auto"/>
              <w:ind w:firstLine="0" w:firstLineChars="0"/>
              <w:jc w:val="center"/>
              <w:rPr>
                <w:b/>
                <w:bCs/>
                <w:color w:val="000000" w:themeColor="text1"/>
                <w:kern w:val="0"/>
                <w:sz w:val="18"/>
                <w:szCs w:val="18"/>
              </w:rPr>
            </w:pPr>
            <w:r>
              <w:rPr>
                <w:rFonts w:hint="eastAsia"/>
                <w:b/>
                <w:color w:val="000000" w:themeColor="text1"/>
                <w:kern w:val="0"/>
                <w:sz w:val="18"/>
                <w:szCs w:val="18"/>
              </w:rPr>
              <w:t>4座</w:t>
            </w:r>
          </w:p>
        </w:tc>
        <w:tc>
          <w:tcPr>
            <w:tcW w:w="841" w:type="dxa"/>
            <w:tcBorders>
              <w:tl2br w:val="nil"/>
              <w:tr2bl w:val="nil"/>
            </w:tcBorders>
            <w:vAlign w:val="center"/>
          </w:tcPr>
          <w:p>
            <w:pPr>
              <w:spacing w:line="240" w:lineRule="auto"/>
              <w:ind w:firstLine="0" w:firstLineChars="0"/>
              <w:jc w:val="center"/>
              <w:rPr>
                <w:color w:val="000000" w:themeColor="text1"/>
                <w:kern w:val="0"/>
                <w:sz w:val="18"/>
                <w:szCs w:val="18"/>
              </w:rPr>
            </w:pPr>
            <w:r>
              <w:rPr>
                <w:rFonts w:hint="eastAsia"/>
                <w:b/>
                <w:bCs/>
                <w:color w:val="000000" w:themeColor="text1"/>
                <w:kern w:val="0"/>
                <w:sz w:val="18"/>
                <w:szCs w:val="18"/>
              </w:rPr>
              <w:t>4</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trPr>
        <w:tc>
          <w:tcPr>
            <w:tcW w:w="900" w:type="dxa"/>
            <w:tcBorders>
              <w:tl2br w:val="nil"/>
              <w:tr2bl w:val="nil"/>
            </w:tcBorders>
            <w:vAlign w:val="center"/>
          </w:tcPr>
          <w:p>
            <w:pPr>
              <w:widowControl/>
              <w:snapToGrid w:val="0"/>
              <w:spacing w:line="240" w:lineRule="auto"/>
              <w:ind w:firstLine="0" w:firstLineChars="0"/>
              <w:jc w:val="center"/>
              <w:rPr>
                <w:color w:val="000000" w:themeColor="text1"/>
                <w:kern w:val="0"/>
                <w:sz w:val="18"/>
                <w:szCs w:val="18"/>
              </w:rPr>
            </w:pPr>
            <w:r>
              <w:rPr>
                <w:rFonts w:hint="eastAsia"/>
                <w:color w:val="000000" w:themeColor="text1"/>
                <w:kern w:val="0"/>
                <w:sz w:val="18"/>
                <w:szCs w:val="18"/>
              </w:rPr>
              <w:t>油品储罐（座）</w:t>
            </w:r>
          </w:p>
        </w:tc>
        <w:tc>
          <w:tcPr>
            <w:tcW w:w="931" w:type="dxa"/>
            <w:tcBorders>
              <w:tl2br w:val="nil"/>
              <w:tr2bl w:val="nil"/>
            </w:tcBorders>
          </w:tcPr>
          <w:p>
            <w:pPr>
              <w:widowControl/>
              <w:snapToGrid w:val="0"/>
              <w:spacing w:line="240" w:lineRule="auto"/>
              <w:ind w:firstLine="0" w:firstLineChars="0"/>
              <w:jc w:val="center"/>
              <w:rPr>
                <w:color w:val="000000" w:themeColor="text1"/>
                <w:kern w:val="0"/>
                <w:sz w:val="18"/>
                <w:szCs w:val="18"/>
              </w:rPr>
            </w:pPr>
            <w:r>
              <w:rPr>
                <w:rFonts w:hint="eastAsia"/>
                <w:color w:val="000000" w:themeColor="text1"/>
                <w:kern w:val="0"/>
                <w:sz w:val="18"/>
                <w:szCs w:val="18"/>
              </w:rPr>
              <w:t>无</w:t>
            </w:r>
          </w:p>
          <w:p>
            <w:pPr>
              <w:widowControl/>
              <w:snapToGrid w:val="0"/>
              <w:spacing w:line="240" w:lineRule="auto"/>
              <w:ind w:firstLine="0" w:firstLineChars="0"/>
              <w:jc w:val="center"/>
              <w:rPr>
                <w:color w:val="000000" w:themeColor="text1"/>
                <w:kern w:val="0"/>
                <w:sz w:val="18"/>
                <w:szCs w:val="18"/>
              </w:rPr>
            </w:pPr>
            <w:r>
              <w:rPr>
                <w:rFonts w:hint="eastAsia"/>
                <w:color w:val="000000" w:themeColor="text1"/>
                <w:kern w:val="0"/>
                <w:sz w:val="18"/>
                <w:szCs w:val="18"/>
              </w:rPr>
              <w:t>存在</w:t>
            </w:r>
          </w:p>
        </w:tc>
        <w:tc>
          <w:tcPr>
            <w:tcW w:w="957" w:type="dxa"/>
            <w:tcBorders>
              <w:tl2br w:val="nil"/>
              <w:tr2bl w:val="nil"/>
            </w:tcBorders>
          </w:tcPr>
          <w:p>
            <w:pPr>
              <w:widowControl/>
              <w:snapToGrid w:val="0"/>
              <w:spacing w:line="240" w:lineRule="auto"/>
              <w:ind w:firstLine="0" w:firstLineChars="0"/>
              <w:jc w:val="center"/>
              <w:rPr>
                <w:color w:val="000000" w:themeColor="text1"/>
                <w:kern w:val="0"/>
                <w:sz w:val="18"/>
                <w:szCs w:val="18"/>
              </w:rPr>
            </w:pPr>
            <w:r>
              <w:rPr>
                <w:rFonts w:hint="eastAsia"/>
                <w:color w:val="000000" w:themeColor="text1"/>
                <w:kern w:val="0"/>
                <w:sz w:val="18"/>
                <w:szCs w:val="18"/>
              </w:rPr>
              <w:t>0</w:t>
            </w:r>
          </w:p>
          <w:p>
            <w:pPr>
              <w:widowControl/>
              <w:snapToGrid w:val="0"/>
              <w:spacing w:line="240" w:lineRule="auto"/>
              <w:ind w:firstLine="0" w:firstLineChars="0"/>
              <w:jc w:val="center"/>
              <w:rPr>
                <w:color w:val="000000" w:themeColor="text1"/>
                <w:kern w:val="0"/>
                <w:sz w:val="18"/>
                <w:szCs w:val="18"/>
              </w:rPr>
            </w:pPr>
            <w:r>
              <w:rPr>
                <w:rFonts w:hint="eastAsia"/>
                <w:color w:val="000000" w:themeColor="text1"/>
                <w:kern w:val="0"/>
                <w:sz w:val="18"/>
                <w:szCs w:val="18"/>
              </w:rPr>
              <w:t>10</w:t>
            </w:r>
          </w:p>
        </w:tc>
        <w:tc>
          <w:tcPr>
            <w:tcW w:w="873" w:type="dxa"/>
            <w:tcBorders>
              <w:tl2br w:val="nil"/>
              <w:tr2bl w:val="nil"/>
            </w:tcBorders>
            <w:vAlign w:val="center"/>
          </w:tcPr>
          <w:p>
            <w:pPr>
              <w:widowControl/>
              <w:snapToGrid w:val="0"/>
              <w:spacing w:line="240" w:lineRule="auto"/>
              <w:ind w:firstLine="0" w:firstLineChars="0"/>
              <w:jc w:val="center"/>
              <w:rPr>
                <w:b/>
                <w:color w:val="000000" w:themeColor="text1"/>
                <w:kern w:val="0"/>
                <w:sz w:val="18"/>
                <w:szCs w:val="18"/>
              </w:rPr>
            </w:pPr>
            <w:r>
              <w:rPr>
                <w:rFonts w:hint="eastAsia"/>
                <w:b/>
                <w:color w:val="000000" w:themeColor="text1"/>
                <w:kern w:val="0"/>
                <w:sz w:val="18"/>
                <w:szCs w:val="18"/>
              </w:rPr>
              <w:t>无油品储罐</w:t>
            </w:r>
          </w:p>
        </w:tc>
        <w:tc>
          <w:tcPr>
            <w:tcW w:w="1069" w:type="dxa"/>
            <w:tcBorders>
              <w:tl2br w:val="nil"/>
              <w:tr2bl w:val="nil"/>
            </w:tcBorders>
            <w:vAlign w:val="center"/>
          </w:tcPr>
          <w:p>
            <w:pPr>
              <w:widowControl/>
              <w:snapToGrid w:val="0"/>
              <w:spacing w:line="240" w:lineRule="auto"/>
              <w:ind w:firstLine="0" w:firstLineChars="0"/>
              <w:jc w:val="center"/>
              <w:rPr>
                <w:b/>
                <w:color w:val="000000" w:themeColor="text1"/>
                <w:kern w:val="0"/>
                <w:sz w:val="18"/>
                <w:szCs w:val="18"/>
              </w:rPr>
            </w:pPr>
            <w:r>
              <w:rPr>
                <w:rFonts w:hint="eastAsia"/>
                <w:b/>
                <w:color w:val="000000" w:themeColor="text1"/>
                <w:kern w:val="0"/>
                <w:sz w:val="18"/>
                <w:szCs w:val="18"/>
              </w:rPr>
              <w:t>0</w:t>
            </w:r>
          </w:p>
        </w:tc>
        <w:tc>
          <w:tcPr>
            <w:tcW w:w="1340" w:type="dxa"/>
            <w:tcBorders>
              <w:tl2br w:val="nil"/>
              <w:tr2bl w:val="nil"/>
            </w:tcBorders>
          </w:tcPr>
          <w:p>
            <w:pPr>
              <w:widowControl/>
              <w:snapToGrid w:val="0"/>
              <w:spacing w:line="240" w:lineRule="auto"/>
              <w:ind w:firstLine="0" w:firstLineChars="0"/>
              <w:jc w:val="center"/>
              <w:rPr>
                <w:color w:val="000000" w:themeColor="text1"/>
                <w:kern w:val="0"/>
                <w:sz w:val="18"/>
                <w:szCs w:val="18"/>
              </w:rPr>
            </w:pPr>
            <w:r>
              <w:rPr>
                <w:rFonts w:hint="eastAsia"/>
                <w:color w:val="000000" w:themeColor="text1"/>
                <w:kern w:val="0"/>
                <w:sz w:val="18"/>
                <w:szCs w:val="18"/>
              </w:rPr>
              <w:t>无</w:t>
            </w:r>
          </w:p>
          <w:p>
            <w:pPr>
              <w:widowControl/>
              <w:snapToGrid w:val="0"/>
              <w:spacing w:line="240" w:lineRule="auto"/>
              <w:ind w:firstLine="0" w:firstLineChars="0"/>
              <w:jc w:val="center"/>
              <w:rPr>
                <w:color w:val="000000" w:themeColor="text1"/>
                <w:kern w:val="0"/>
                <w:sz w:val="18"/>
                <w:szCs w:val="18"/>
              </w:rPr>
            </w:pPr>
            <w:r>
              <w:rPr>
                <w:rFonts w:hint="eastAsia"/>
                <w:color w:val="000000" w:themeColor="text1"/>
                <w:kern w:val="0"/>
                <w:sz w:val="18"/>
                <w:szCs w:val="18"/>
              </w:rPr>
              <w:t>1</w:t>
            </w:r>
          </w:p>
          <w:p>
            <w:pPr>
              <w:widowControl/>
              <w:snapToGrid w:val="0"/>
              <w:spacing w:line="240" w:lineRule="auto"/>
              <w:ind w:firstLine="0" w:firstLineChars="0"/>
              <w:jc w:val="center"/>
              <w:rPr>
                <w:color w:val="000000" w:themeColor="text1"/>
                <w:kern w:val="0"/>
                <w:sz w:val="18"/>
                <w:szCs w:val="18"/>
              </w:rPr>
            </w:pPr>
            <w:r>
              <w:rPr>
                <w:rFonts w:hint="eastAsia"/>
                <w:color w:val="000000" w:themeColor="text1"/>
                <w:kern w:val="0"/>
                <w:sz w:val="18"/>
                <w:szCs w:val="18"/>
              </w:rPr>
              <w:t>2~3</w:t>
            </w:r>
          </w:p>
          <w:p>
            <w:pPr>
              <w:widowControl/>
              <w:snapToGrid w:val="0"/>
              <w:spacing w:line="240" w:lineRule="auto"/>
              <w:ind w:firstLine="0" w:firstLineChars="0"/>
              <w:jc w:val="center"/>
              <w:rPr>
                <w:color w:val="000000" w:themeColor="text1"/>
                <w:kern w:val="0"/>
                <w:sz w:val="18"/>
                <w:szCs w:val="18"/>
              </w:rPr>
            </w:pPr>
            <w:r>
              <w:rPr>
                <w:rFonts w:hint="eastAsia"/>
                <w:color w:val="000000" w:themeColor="text1"/>
                <w:kern w:val="0"/>
                <w:sz w:val="18"/>
                <w:szCs w:val="18"/>
              </w:rPr>
              <w:t>4~5</w:t>
            </w:r>
          </w:p>
          <w:p>
            <w:pPr>
              <w:widowControl/>
              <w:snapToGrid w:val="0"/>
              <w:spacing w:line="240" w:lineRule="auto"/>
              <w:ind w:firstLine="0" w:firstLineChars="0"/>
              <w:jc w:val="center"/>
              <w:rPr>
                <w:color w:val="000000" w:themeColor="text1"/>
                <w:kern w:val="0"/>
                <w:sz w:val="18"/>
                <w:szCs w:val="18"/>
              </w:rPr>
            </w:pPr>
            <w:r>
              <w:rPr>
                <w:rFonts w:hint="eastAsia"/>
                <w:color w:val="000000" w:themeColor="text1"/>
                <w:kern w:val="0"/>
                <w:sz w:val="18"/>
                <w:szCs w:val="18"/>
              </w:rPr>
              <w:t>＞5</w:t>
            </w:r>
          </w:p>
        </w:tc>
        <w:tc>
          <w:tcPr>
            <w:tcW w:w="1746" w:type="dxa"/>
            <w:tcBorders>
              <w:tl2br w:val="nil"/>
              <w:tr2bl w:val="nil"/>
            </w:tcBorders>
          </w:tcPr>
          <w:p>
            <w:pPr>
              <w:widowControl/>
              <w:snapToGrid w:val="0"/>
              <w:spacing w:line="240" w:lineRule="auto"/>
              <w:ind w:firstLine="0" w:firstLineChars="0"/>
              <w:jc w:val="center"/>
              <w:rPr>
                <w:color w:val="000000" w:themeColor="text1"/>
                <w:kern w:val="0"/>
                <w:sz w:val="18"/>
                <w:szCs w:val="18"/>
              </w:rPr>
            </w:pPr>
            <w:r>
              <w:rPr>
                <w:rFonts w:hint="eastAsia"/>
                <w:color w:val="000000" w:themeColor="text1"/>
                <w:kern w:val="0"/>
                <w:sz w:val="18"/>
                <w:szCs w:val="18"/>
              </w:rPr>
              <w:t>0</w:t>
            </w:r>
          </w:p>
          <w:p>
            <w:pPr>
              <w:widowControl/>
              <w:snapToGrid w:val="0"/>
              <w:spacing w:line="240" w:lineRule="auto"/>
              <w:ind w:firstLine="0" w:firstLineChars="0"/>
              <w:jc w:val="center"/>
              <w:rPr>
                <w:color w:val="000000" w:themeColor="text1"/>
                <w:kern w:val="0"/>
                <w:sz w:val="18"/>
                <w:szCs w:val="18"/>
              </w:rPr>
            </w:pPr>
            <w:r>
              <w:rPr>
                <w:rFonts w:hint="eastAsia"/>
                <w:color w:val="000000" w:themeColor="text1"/>
                <w:kern w:val="0"/>
                <w:sz w:val="18"/>
                <w:szCs w:val="18"/>
              </w:rPr>
              <w:t>2</w:t>
            </w:r>
          </w:p>
          <w:p>
            <w:pPr>
              <w:widowControl/>
              <w:snapToGrid w:val="0"/>
              <w:spacing w:line="240" w:lineRule="auto"/>
              <w:ind w:firstLine="0" w:firstLineChars="0"/>
              <w:jc w:val="center"/>
              <w:rPr>
                <w:color w:val="000000" w:themeColor="text1"/>
                <w:kern w:val="0"/>
                <w:sz w:val="18"/>
                <w:szCs w:val="18"/>
              </w:rPr>
            </w:pPr>
            <w:r>
              <w:rPr>
                <w:rFonts w:hint="eastAsia"/>
                <w:color w:val="000000" w:themeColor="text1"/>
                <w:kern w:val="0"/>
                <w:sz w:val="18"/>
                <w:szCs w:val="18"/>
              </w:rPr>
              <w:t>4</w:t>
            </w:r>
          </w:p>
          <w:p>
            <w:pPr>
              <w:widowControl/>
              <w:snapToGrid w:val="0"/>
              <w:spacing w:line="240" w:lineRule="auto"/>
              <w:ind w:firstLine="0" w:firstLineChars="0"/>
              <w:jc w:val="center"/>
              <w:rPr>
                <w:color w:val="000000" w:themeColor="text1"/>
                <w:kern w:val="0"/>
                <w:sz w:val="18"/>
                <w:szCs w:val="18"/>
              </w:rPr>
            </w:pPr>
            <w:r>
              <w:rPr>
                <w:rFonts w:hint="eastAsia"/>
                <w:color w:val="000000" w:themeColor="text1"/>
                <w:kern w:val="0"/>
                <w:sz w:val="18"/>
                <w:szCs w:val="18"/>
              </w:rPr>
              <w:t>6</w:t>
            </w:r>
          </w:p>
          <w:p>
            <w:pPr>
              <w:widowControl/>
              <w:snapToGrid w:val="0"/>
              <w:spacing w:line="240" w:lineRule="auto"/>
              <w:ind w:firstLine="0" w:firstLineChars="0"/>
              <w:jc w:val="center"/>
              <w:rPr>
                <w:color w:val="000000" w:themeColor="text1"/>
                <w:kern w:val="0"/>
                <w:sz w:val="18"/>
                <w:szCs w:val="18"/>
              </w:rPr>
            </w:pPr>
            <w:r>
              <w:rPr>
                <w:rFonts w:hint="eastAsia"/>
                <w:color w:val="000000" w:themeColor="text1"/>
                <w:kern w:val="0"/>
                <w:sz w:val="18"/>
                <w:szCs w:val="18"/>
              </w:rPr>
              <w:t>10</w:t>
            </w:r>
          </w:p>
        </w:tc>
        <w:tc>
          <w:tcPr>
            <w:tcW w:w="1040" w:type="dxa"/>
            <w:tcBorders>
              <w:tl2br w:val="nil"/>
              <w:tr2bl w:val="nil"/>
            </w:tcBorders>
            <w:vAlign w:val="center"/>
          </w:tcPr>
          <w:p>
            <w:pPr>
              <w:widowControl/>
              <w:snapToGrid w:val="0"/>
              <w:spacing w:line="240" w:lineRule="auto"/>
              <w:ind w:firstLine="0" w:firstLineChars="0"/>
              <w:jc w:val="center"/>
              <w:rPr>
                <w:b/>
                <w:color w:val="000000" w:themeColor="text1"/>
                <w:kern w:val="0"/>
                <w:sz w:val="18"/>
                <w:szCs w:val="18"/>
              </w:rPr>
            </w:pPr>
            <w:r>
              <w:rPr>
                <w:rFonts w:hint="eastAsia"/>
                <w:b/>
                <w:color w:val="000000" w:themeColor="text1"/>
                <w:kern w:val="0"/>
                <w:sz w:val="18"/>
                <w:szCs w:val="18"/>
              </w:rPr>
              <w:t>无油品储罐</w:t>
            </w:r>
          </w:p>
        </w:tc>
        <w:tc>
          <w:tcPr>
            <w:tcW w:w="888" w:type="dxa"/>
            <w:tcBorders>
              <w:tl2br w:val="nil"/>
              <w:tr2bl w:val="nil"/>
            </w:tcBorders>
            <w:vAlign w:val="center"/>
          </w:tcPr>
          <w:p>
            <w:pPr>
              <w:widowControl/>
              <w:snapToGrid w:val="0"/>
              <w:spacing w:line="240" w:lineRule="auto"/>
              <w:ind w:firstLine="0" w:firstLineChars="0"/>
              <w:jc w:val="center"/>
              <w:rPr>
                <w:b/>
                <w:color w:val="000000" w:themeColor="text1"/>
                <w:kern w:val="0"/>
                <w:sz w:val="18"/>
                <w:szCs w:val="18"/>
              </w:rPr>
            </w:pPr>
            <w:r>
              <w:rPr>
                <w:rFonts w:hint="eastAsia"/>
                <w:b/>
                <w:color w:val="000000" w:themeColor="text1"/>
                <w:kern w:val="0"/>
                <w:sz w:val="18"/>
                <w:szCs w:val="18"/>
              </w:rPr>
              <w:t>0</w:t>
            </w:r>
          </w:p>
        </w:tc>
        <w:tc>
          <w:tcPr>
            <w:tcW w:w="1464" w:type="dxa"/>
            <w:tcBorders>
              <w:tl2br w:val="nil"/>
              <w:tr2bl w:val="nil"/>
            </w:tcBorders>
          </w:tcPr>
          <w:p>
            <w:pPr>
              <w:widowControl/>
              <w:snapToGrid w:val="0"/>
              <w:spacing w:line="240" w:lineRule="auto"/>
              <w:ind w:firstLine="0" w:firstLineChars="0"/>
              <w:jc w:val="center"/>
              <w:rPr>
                <w:color w:val="000000" w:themeColor="text1"/>
                <w:kern w:val="0"/>
                <w:sz w:val="18"/>
                <w:szCs w:val="18"/>
              </w:rPr>
            </w:pPr>
            <w:r>
              <w:rPr>
                <w:rFonts w:hint="eastAsia"/>
                <w:color w:val="000000" w:themeColor="text1"/>
                <w:kern w:val="0"/>
                <w:sz w:val="18"/>
                <w:szCs w:val="18"/>
              </w:rPr>
              <w:t>无</w:t>
            </w:r>
          </w:p>
          <w:p>
            <w:pPr>
              <w:widowControl/>
              <w:snapToGrid w:val="0"/>
              <w:spacing w:line="240" w:lineRule="auto"/>
              <w:ind w:firstLine="0" w:firstLineChars="0"/>
              <w:jc w:val="center"/>
              <w:rPr>
                <w:color w:val="000000" w:themeColor="text1"/>
                <w:kern w:val="0"/>
                <w:sz w:val="18"/>
                <w:szCs w:val="18"/>
              </w:rPr>
            </w:pPr>
            <w:r>
              <w:rPr>
                <w:rFonts w:hint="eastAsia"/>
                <w:color w:val="000000" w:themeColor="text1"/>
                <w:kern w:val="0"/>
                <w:sz w:val="18"/>
                <w:szCs w:val="18"/>
              </w:rPr>
              <w:t>1</w:t>
            </w:r>
          </w:p>
          <w:p>
            <w:pPr>
              <w:widowControl/>
              <w:snapToGrid w:val="0"/>
              <w:spacing w:line="240" w:lineRule="auto"/>
              <w:ind w:firstLine="0" w:firstLineChars="0"/>
              <w:jc w:val="center"/>
              <w:rPr>
                <w:color w:val="000000" w:themeColor="text1"/>
                <w:kern w:val="0"/>
                <w:sz w:val="18"/>
                <w:szCs w:val="18"/>
              </w:rPr>
            </w:pPr>
            <w:r>
              <w:rPr>
                <w:rFonts w:hint="eastAsia"/>
                <w:color w:val="000000" w:themeColor="text1"/>
                <w:kern w:val="0"/>
                <w:sz w:val="18"/>
                <w:szCs w:val="18"/>
              </w:rPr>
              <w:t>2~3</w:t>
            </w:r>
          </w:p>
          <w:p>
            <w:pPr>
              <w:widowControl/>
              <w:snapToGrid w:val="0"/>
              <w:spacing w:line="240" w:lineRule="auto"/>
              <w:ind w:firstLine="0" w:firstLineChars="0"/>
              <w:jc w:val="center"/>
              <w:rPr>
                <w:color w:val="000000" w:themeColor="text1"/>
                <w:kern w:val="0"/>
                <w:sz w:val="18"/>
                <w:szCs w:val="18"/>
              </w:rPr>
            </w:pPr>
            <w:r>
              <w:rPr>
                <w:rFonts w:hint="eastAsia"/>
                <w:color w:val="000000" w:themeColor="text1"/>
                <w:kern w:val="0"/>
                <w:sz w:val="18"/>
                <w:szCs w:val="18"/>
              </w:rPr>
              <w:t>4~5</w:t>
            </w:r>
          </w:p>
          <w:p>
            <w:pPr>
              <w:widowControl/>
              <w:snapToGrid w:val="0"/>
              <w:spacing w:line="240" w:lineRule="auto"/>
              <w:ind w:firstLine="0" w:firstLineChars="0"/>
              <w:jc w:val="center"/>
              <w:rPr>
                <w:color w:val="000000" w:themeColor="text1"/>
                <w:kern w:val="0"/>
                <w:sz w:val="18"/>
                <w:szCs w:val="18"/>
              </w:rPr>
            </w:pPr>
            <w:r>
              <w:rPr>
                <w:rFonts w:hint="eastAsia"/>
                <w:color w:val="000000" w:themeColor="text1"/>
                <w:kern w:val="0"/>
                <w:sz w:val="18"/>
                <w:szCs w:val="18"/>
              </w:rPr>
              <w:t>6~7</w:t>
            </w:r>
          </w:p>
          <w:p>
            <w:pPr>
              <w:widowControl/>
              <w:snapToGrid w:val="0"/>
              <w:spacing w:line="240" w:lineRule="auto"/>
              <w:ind w:firstLine="0" w:firstLineChars="0"/>
              <w:jc w:val="center"/>
              <w:rPr>
                <w:color w:val="000000" w:themeColor="text1"/>
                <w:kern w:val="0"/>
                <w:sz w:val="18"/>
                <w:szCs w:val="18"/>
              </w:rPr>
            </w:pPr>
            <w:r>
              <w:rPr>
                <w:rFonts w:hint="eastAsia"/>
                <w:color w:val="000000" w:themeColor="text1"/>
                <w:kern w:val="0"/>
                <w:sz w:val="18"/>
                <w:szCs w:val="18"/>
              </w:rPr>
              <w:t>＞8</w:t>
            </w:r>
          </w:p>
        </w:tc>
        <w:tc>
          <w:tcPr>
            <w:tcW w:w="1493" w:type="dxa"/>
            <w:tcBorders>
              <w:tl2br w:val="nil"/>
              <w:tr2bl w:val="nil"/>
            </w:tcBorders>
          </w:tcPr>
          <w:p>
            <w:pPr>
              <w:widowControl/>
              <w:snapToGrid w:val="0"/>
              <w:spacing w:line="240" w:lineRule="auto"/>
              <w:ind w:firstLine="0" w:firstLineChars="0"/>
              <w:jc w:val="center"/>
              <w:rPr>
                <w:color w:val="000000" w:themeColor="text1"/>
                <w:kern w:val="0"/>
                <w:sz w:val="18"/>
                <w:szCs w:val="18"/>
              </w:rPr>
            </w:pPr>
            <w:r>
              <w:rPr>
                <w:rFonts w:hint="eastAsia"/>
                <w:color w:val="000000" w:themeColor="text1"/>
                <w:kern w:val="0"/>
                <w:sz w:val="18"/>
                <w:szCs w:val="18"/>
              </w:rPr>
              <w:t>0</w:t>
            </w:r>
          </w:p>
          <w:p>
            <w:pPr>
              <w:widowControl/>
              <w:snapToGrid w:val="0"/>
              <w:spacing w:line="240" w:lineRule="auto"/>
              <w:ind w:firstLine="0" w:firstLineChars="0"/>
              <w:jc w:val="center"/>
              <w:rPr>
                <w:color w:val="000000" w:themeColor="text1"/>
                <w:kern w:val="0"/>
                <w:sz w:val="18"/>
                <w:szCs w:val="18"/>
              </w:rPr>
            </w:pPr>
            <w:r>
              <w:rPr>
                <w:rFonts w:hint="eastAsia"/>
                <w:color w:val="000000" w:themeColor="text1"/>
                <w:kern w:val="0"/>
                <w:sz w:val="18"/>
                <w:szCs w:val="18"/>
              </w:rPr>
              <w:t>2</w:t>
            </w:r>
          </w:p>
          <w:p>
            <w:pPr>
              <w:widowControl/>
              <w:snapToGrid w:val="0"/>
              <w:spacing w:line="240" w:lineRule="auto"/>
              <w:ind w:firstLine="0" w:firstLineChars="0"/>
              <w:jc w:val="center"/>
              <w:rPr>
                <w:color w:val="000000" w:themeColor="text1"/>
                <w:kern w:val="0"/>
                <w:sz w:val="18"/>
                <w:szCs w:val="18"/>
              </w:rPr>
            </w:pPr>
            <w:r>
              <w:rPr>
                <w:rFonts w:hint="eastAsia"/>
                <w:color w:val="000000" w:themeColor="text1"/>
                <w:kern w:val="0"/>
                <w:sz w:val="18"/>
                <w:szCs w:val="18"/>
              </w:rPr>
              <w:t>3</w:t>
            </w:r>
          </w:p>
          <w:p>
            <w:pPr>
              <w:widowControl/>
              <w:snapToGrid w:val="0"/>
              <w:spacing w:line="240" w:lineRule="auto"/>
              <w:ind w:firstLine="0" w:firstLineChars="0"/>
              <w:jc w:val="center"/>
              <w:rPr>
                <w:color w:val="000000" w:themeColor="text1"/>
                <w:kern w:val="0"/>
                <w:sz w:val="18"/>
                <w:szCs w:val="18"/>
              </w:rPr>
            </w:pPr>
            <w:r>
              <w:rPr>
                <w:rFonts w:hint="eastAsia"/>
                <w:color w:val="000000" w:themeColor="text1"/>
                <w:kern w:val="0"/>
                <w:sz w:val="18"/>
                <w:szCs w:val="18"/>
              </w:rPr>
              <w:t>5</w:t>
            </w:r>
          </w:p>
          <w:p>
            <w:pPr>
              <w:widowControl/>
              <w:snapToGrid w:val="0"/>
              <w:spacing w:line="240" w:lineRule="auto"/>
              <w:ind w:firstLine="0" w:firstLineChars="0"/>
              <w:jc w:val="center"/>
              <w:rPr>
                <w:color w:val="000000" w:themeColor="text1"/>
                <w:kern w:val="0"/>
                <w:sz w:val="18"/>
                <w:szCs w:val="18"/>
              </w:rPr>
            </w:pPr>
            <w:r>
              <w:rPr>
                <w:rFonts w:hint="eastAsia"/>
                <w:color w:val="000000" w:themeColor="text1"/>
                <w:kern w:val="0"/>
                <w:sz w:val="18"/>
                <w:szCs w:val="18"/>
              </w:rPr>
              <w:t>8</w:t>
            </w:r>
          </w:p>
          <w:p>
            <w:pPr>
              <w:widowControl/>
              <w:snapToGrid w:val="0"/>
              <w:spacing w:line="240" w:lineRule="auto"/>
              <w:ind w:firstLine="0" w:firstLineChars="0"/>
              <w:jc w:val="center"/>
              <w:rPr>
                <w:color w:val="000000" w:themeColor="text1"/>
                <w:kern w:val="0"/>
                <w:sz w:val="18"/>
                <w:szCs w:val="18"/>
              </w:rPr>
            </w:pPr>
            <w:r>
              <w:rPr>
                <w:rFonts w:hint="eastAsia"/>
                <w:color w:val="000000" w:themeColor="text1"/>
                <w:kern w:val="0"/>
                <w:sz w:val="18"/>
                <w:szCs w:val="18"/>
              </w:rPr>
              <w:t>10</w:t>
            </w:r>
          </w:p>
        </w:tc>
        <w:tc>
          <w:tcPr>
            <w:tcW w:w="867" w:type="dxa"/>
            <w:tcBorders>
              <w:tl2br w:val="nil"/>
              <w:tr2bl w:val="nil"/>
            </w:tcBorders>
            <w:vAlign w:val="center"/>
          </w:tcPr>
          <w:p>
            <w:pPr>
              <w:widowControl/>
              <w:snapToGrid w:val="0"/>
              <w:spacing w:line="240" w:lineRule="auto"/>
              <w:ind w:firstLine="0" w:firstLineChars="0"/>
              <w:jc w:val="center"/>
              <w:rPr>
                <w:color w:val="000000" w:themeColor="text1"/>
                <w:sz w:val="18"/>
                <w:szCs w:val="18"/>
              </w:rPr>
            </w:pPr>
            <w:r>
              <w:rPr>
                <w:rFonts w:hint="eastAsia"/>
                <w:b/>
                <w:color w:val="000000" w:themeColor="text1"/>
                <w:kern w:val="0"/>
                <w:sz w:val="18"/>
                <w:szCs w:val="18"/>
              </w:rPr>
              <w:t>无油品储罐</w:t>
            </w:r>
          </w:p>
        </w:tc>
        <w:tc>
          <w:tcPr>
            <w:tcW w:w="841" w:type="dxa"/>
            <w:tcBorders>
              <w:tl2br w:val="nil"/>
              <w:tr2bl w:val="nil"/>
            </w:tcBorders>
            <w:vAlign w:val="center"/>
          </w:tcPr>
          <w:p>
            <w:pPr>
              <w:widowControl/>
              <w:snapToGrid w:val="0"/>
              <w:spacing w:line="240" w:lineRule="auto"/>
              <w:ind w:firstLine="0" w:firstLineChars="0"/>
              <w:jc w:val="center"/>
              <w:rPr>
                <w:color w:val="000000" w:themeColor="text1"/>
                <w:sz w:val="18"/>
                <w:szCs w:val="18"/>
              </w:rPr>
            </w:pPr>
            <w:r>
              <w:rPr>
                <w:rFonts w:hint="eastAsia"/>
                <w:b/>
                <w:color w:val="000000" w:themeColor="text1"/>
                <w:kern w:val="0"/>
                <w:sz w:val="18"/>
                <w:szCs w:val="18"/>
              </w:rPr>
              <w:t>0</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trPr>
        <w:tc>
          <w:tcPr>
            <w:tcW w:w="900" w:type="dxa"/>
            <w:tcBorders>
              <w:tl2br w:val="nil"/>
              <w:tr2bl w:val="nil"/>
            </w:tcBorders>
            <w:vAlign w:val="center"/>
          </w:tcPr>
          <w:p>
            <w:pPr>
              <w:widowControl/>
              <w:snapToGrid w:val="0"/>
              <w:spacing w:line="240" w:lineRule="auto"/>
              <w:ind w:firstLine="0" w:firstLineChars="0"/>
              <w:jc w:val="center"/>
              <w:rPr>
                <w:color w:val="000000" w:themeColor="text1"/>
                <w:kern w:val="0"/>
                <w:sz w:val="18"/>
                <w:szCs w:val="18"/>
              </w:rPr>
            </w:pPr>
            <w:r>
              <w:rPr>
                <w:rFonts w:hint="eastAsia"/>
                <w:color w:val="000000" w:themeColor="text1"/>
                <w:kern w:val="0"/>
                <w:sz w:val="18"/>
                <w:szCs w:val="18"/>
              </w:rPr>
              <w:t>码头吞吐量（万吨</w:t>
            </w:r>
          </w:p>
          <w:p>
            <w:pPr>
              <w:widowControl/>
              <w:snapToGrid w:val="0"/>
              <w:spacing w:line="240" w:lineRule="auto"/>
              <w:ind w:firstLine="0" w:firstLineChars="0"/>
              <w:jc w:val="center"/>
              <w:rPr>
                <w:color w:val="000000" w:themeColor="text1"/>
                <w:kern w:val="0"/>
                <w:sz w:val="18"/>
                <w:szCs w:val="18"/>
              </w:rPr>
            </w:pPr>
            <w:r>
              <w:rPr>
                <w:rFonts w:hint="eastAsia"/>
                <w:color w:val="000000" w:themeColor="text1"/>
                <w:kern w:val="0"/>
                <w:sz w:val="18"/>
                <w:szCs w:val="18"/>
              </w:rPr>
              <w:t>/年）</w:t>
            </w:r>
          </w:p>
        </w:tc>
        <w:tc>
          <w:tcPr>
            <w:tcW w:w="931" w:type="dxa"/>
            <w:tcBorders>
              <w:tl2br w:val="nil"/>
              <w:tr2bl w:val="nil"/>
            </w:tcBorders>
          </w:tcPr>
          <w:p>
            <w:pPr>
              <w:widowControl/>
              <w:snapToGrid w:val="0"/>
              <w:spacing w:line="240" w:lineRule="auto"/>
              <w:ind w:firstLine="0" w:firstLineChars="0"/>
              <w:jc w:val="center"/>
              <w:rPr>
                <w:color w:val="000000" w:themeColor="text1"/>
                <w:kern w:val="0"/>
                <w:sz w:val="18"/>
                <w:szCs w:val="18"/>
              </w:rPr>
            </w:pPr>
            <w:r>
              <w:rPr>
                <w:rFonts w:hint="eastAsia"/>
                <w:color w:val="000000" w:themeColor="text1"/>
                <w:kern w:val="0"/>
                <w:sz w:val="18"/>
                <w:szCs w:val="18"/>
              </w:rPr>
              <w:t>无</w:t>
            </w:r>
          </w:p>
          <w:p>
            <w:pPr>
              <w:widowControl/>
              <w:snapToGrid w:val="0"/>
              <w:spacing w:line="240" w:lineRule="auto"/>
              <w:ind w:firstLine="0" w:firstLineChars="0"/>
              <w:jc w:val="center"/>
              <w:rPr>
                <w:color w:val="000000" w:themeColor="text1"/>
                <w:kern w:val="0"/>
                <w:sz w:val="18"/>
                <w:szCs w:val="18"/>
              </w:rPr>
            </w:pPr>
            <w:r>
              <w:rPr>
                <w:rFonts w:hint="eastAsia"/>
                <w:color w:val="000000" w:themeColor="text1"/>
                <w:kern w:val="0"/>
                <w:sz w:val="18"/>
                <w:szCs w:val="18"/>
              </w:rPr>
              <w:t>存在</w:t>
            </w:r>
          </w:p>
        </w:tc>
        <w:tc>
          <w:tcPr>
            <w:tcW w:w="957" w:type="dxa"/>
            <w:tcBorders>
              <w:tl2br w:val="nil"/>
              <w:tr2bl w:val="nil"/>
            </w:tcBorders>
          </w:tcPr>
          <w:p>
            <w:pPr>
              <w:widowControl/>
              <w:snapToGrid w:val="0"/>
              <w:spacing w:line="240" w:lineRule="auto"/>
              <w:ind w:firstLine="0" w:firstLineChars="0"/>
              <w:jc w:val="center"/>
              <w:rPr>
                <w:color w:val="000000" w:themeColor="text1"/>
                <w:kern w:val="0"/>
                <w:sz w:val="18"/>
                <w:szCs w:val="18"/>
              </w:rPr>
            </w:pPr>
            <w:r>
              <w:rPr>
                <w:rFonts w:hint="eastAsia"/>
                <w:color w:val="000000" w:themeColor="text1"/>
                <w:kern w:val="0"/>
                <w:sz w:val="18"/>
                <w:szCs w:val="18"/>
              </w:rPr>
              <w:t>0</w:t>
            </w:r>
          </w:p>
          <w:p>
            <w:pPr>
              <w:widowControl/>
              <w:snapToGrid w:val="0"/>
              <w:spacing w:line="240" w:lineRule="auto"/>
              <w:ind w:firstLine="0" w:firstLineChars="0"/>
              <w:jc w:val="center"/>
              <w:rPr>
                <w:color w:val="000000" w:themeColor="text1"/>
                <w:kern w:val="0"/>
                <w:sz w:val="18"/>
                <w:szCs w:val="18"/>
              </w:rPr>
            </w:pPr>
            <w:r>
              <w:rPr>
                <w:rFonts w:hint="eastAsia"/>
                <w:color w:val="000000" w:themeColor="text1"/>
                <w:kern w:val="0"/>
                <w:sz w:val="18"/>
                <w:szCs w:val="18"/>
              </w:rPr>
              <w:t>10</w:t>
            </w:r>
          </w:p>
        </w:tc>
        <w:tc>
          <w:tcPr>
            <w:tcW w:w="873" w:type="dxa"/>
            <w:tcBorders>
              <w:tl2br w:val="nil"/>
              <w:tr2bl w:val="nil"/>
            </w:tcBorders>
            <w:vAlign w:val="center"/>
          </w:tcPr>
          <w:p>
            <w:pPr>
              <w:widowControl/>
              <w:snapToGrid w:val="0"/>
              <w:spacing w:line="240" w:lineRule="auto"/>
              <w:ind w:firstLine="0" w:firstLineChars="0"/>
              <w:jc w:val="center"/>
              <w:rPr>
                <w:b/>
                <w:color w:val="000000" w:themeColor="text1"/>
                <w:kern w:val="0"/>
                <w:sz w:val="18"/>
                <w:szCs w:val="18"/>
              </w:rPr>
            </w:pPr>
            <w:r>
              <w:rPr>
                <w:rFonts w:hint="eastAsia"/>
                <w:b/>
                <w:color w:val="000000" w:themeColor="text1"/>
                <w:kern w:val="0"/>
                <w:sz w:val="18"/>
                <w:szCs w:val="18"/>
              </w:rPr>
              <w:t>无码头</w:t>
            </w:r>
          </w:p>
        </w:tc>
        <w:tc>
          <w:tcPr>
            <w:tcW w:w="1069" w:type="dxa"/>
            <w:tcBorders>
              <w:tl2br w:val="nil"/>
              <w:tr2bl w:val="nil"/>
            </w:tcBorders>
            <w:vAlign w:val="center"/>
          </w:tcPr>
          <w:p>
            <w:pPr>
              <w:widowControl/>
              <w:snapToGrid w:val="0"/>
              <w:spacing w:line="240" w:lineRule="auto"/>
              <w:ind w:firstLine="0" w:firstLineChars="0"/>
              <w:jc w:val="center"/>
              <w:rPr>
                <w:b/>
                <w:color w:val="000000" w:themeColor="text1"/>
                <w:kern w:val="0"/>
                <w:sz w:val="18"/>
                <w:szCs w:val="18"/>
              </w:rPr>
            </w:pPr>
            <w:r>
              <w:rPr>
                <w:rFonts w:hint="eastAsia"/>
                <w:b/>
                <w:color w:val="000000" w:themeColor="text1"/>
                <w:kern w:val="0"/>
                <w:sz w:val="18"/>
                <w:szCs w:val="18"/>
              </w:rPr>
              <w:t>0</w:t>
            </w:r>
          </w:p>
        </w:tc>
        <w:tc>
          <w:tcPr>
            <w:tcW w:w="1340" w:type="dxa"/>
            <w:tcBorders>
              <w:tl2br w:val="nil"/>
              <w:tr2bl w:val="nil"/>
            </w:tcBorders>
          </w:tcPr>
          <w:p>
            <w:pPr>
              <w:widowControl/>
              <w:snapToGrid w:val="0"/>
              <w:spacing w:line="240" w:lineRule="auto"/>
              <w:ind w:firstLine="0" w:firstLineChars="0"/>
              <w:jc w:val="center"/>
              <w:rPr>
                <w:color w:val="000000" w:themeColor="text1"/>
                <w:kern w:val="0"/>
                <w:sz w:val="18"/>
                <w:szCs w:val="18"/>
              </w:rPr>
            </w:pPr>
            <w:r>
              <w:rPr>
                <w:rFonts w:hint="eastAsia"/>
                <w:color w:val="000000" w:themeColor="text1"/>
                <w:kern w:val="0"/>
                <w:sz w:val="18"/>
                <w:szCs w:val="18"/>
              </w:rPr>
              <w:t>无</w:t>
            </w:r>
          </w:p>
          <w:p>
            <w:pPr>
              <w:widowControl/>
              <w:snapToGrid w:val="0"/>
              <w:spacing w:line="240" w:lineRule="auto"/>
              <w:ind w:firstLine="0" w:firstLineChars="0"/>
              <w:jc w:val="center"/>
              <w:rPr>
                <w:color w:val="000000" w:themeColor="text1"/>
                <w:kern w:val="0"/>
                <w:sz w:val="18"/>
                <w:szCs w:val="18"/>
              </w:rPr>
            </w:pPr>
            <w:r>
              <w:rPr>
                <w:rFonts w:hint="eastAsia"/>
                <w:color w:val="000000" w:themeColor="text1"/>
                <w:kern w:val="0"/>
                <w:sz w:val="18"/>
                <w:szCs w:val="18"/>
              </w:rPr>
              <w:t>＜0.1</w:t>
            </w:r>
          </w:p>
          <w:p>
            <w:pPr>
              <w:widowControl/>
              <w:snapToGrid w:val="0"/>
              <w:spacing w:line="240" w:lineRule="auto"/>
              <w:ind w:firstLine="0" w:firstLineChars="0"/>
              <w:jc w:val="center"/>
              <w:rPr>
                <w:color w:val="000000" w:themeColor="text1"/>
                <w:kern w:val="0"/>
                <w:sz w:val="18"/>
                <w:szCs w:val="18"/>
              </w:rPr>
            </w:pPr>
            <w:r>
              <w:rPr>
                <w:rFonts w:hint="eastAsia"/>
                <w:color w:val="000000" w:themeColor="text1"/>
                <w:kern w:val="0"/>
                <w:sz w:val="18"/>
                <w:szCs w:val="18"/>
              </w:rPr>
              <w:t>＞0.1，＜1</w:t>
            </w:r>
          </w:p>
          <w:p>
            <w:pPr>
              <w:widowControl/>
              <w:snapToGrid w:val="0"/>
              <w:spacing w:line="240" w:lineRule="auto"/>
              <w:ind w:firstLine="0" w:firstLineChars="0"/>
              <w:jc w:val="center"/>
              <w:rPr>
                <w:color w:val="000000" w:themeColor="text1"/>
                <w:kern w:val="0"/>
                <w:sz w:val="18"/>
                <w:szCs w:val="18"/>
              </w:rPr>
            </w:pPr>
            <w:r>
              <w:rPr>
                <w:rFonts w:hint="eastAsia"/>
                <w:color w:val="000000" w:themeColor="text1"/>
                <w:kern w:val="0"/>
                <w:sz w:val="18"/>
                <w:szCs w:val="18"/>
              </w:rPr>
              <w:t>1~5</w:t>
            </w:r>
          </w:p>
          <w:p>
            <w:pPr>
              <w:widowControl/>
              <w:snapToGrid w:val="0"/>
              <w:spacing w:line="240" w:lineRule="auto"/>
              <w:ind w:firstLine="0" w:firstLineChars="0"/>
              <w:jc w:val="center"/>
              <w:rPr>
                <w:color w:val="000000" w:themeColor="text1"/>
                <w:kern w:val="0"/>
                <w:sz w:val="18"/>
                <w:szCs w:val="18"/>
              </w:rPr>
            </w:pPr>
            <w:r>
              <w:rPr>
                <w:rFonts w:hint="eastAsia"/>
                <w:color w:val="000000" w:themeColor="text1"/>
                <w:kern w:val="0"/>
                <w:sz w:val="18"/>
                <w:szCs w:val="18"/>
              </w:rPr>
              <w:t>5~10</w:t>
            </w:r>
          </w:p>
          <w:p>
            <w:pPr>
              <w:widowControl/>
              <w:snapToGrid w:val="0"/>
              <w:spacing w:line="240" w:lineRule="auto"/>
              <w:ind w:firstLine="0" w:firstLineChars="0"/>
              <w:jc w:val="center"/>
              <w:rPr>
                <w:color w:val="000000" w:themeColor="text1"/>
                <w:kern w:val="0"/>
                <w:sz w:val="18"/>
                <w:szCs w:val="18"/>
              </w:rPr>
            </w:pPr>
            <w:r>
              <w:rPr>
                <w:rFonts w:hint="eastAsia"/>
                <w:color w:val="000000" w:themeColor="text1"/>
                <w:kern w:val="0"/>
                <w:sz w:val="18"/>
                <w:szCs w:val="18"/>
              </w:rPr>
              <w:t>10~50</w:t>
            </w:r>
          </w:p>
          <w:p>
            <w:pPr>
              <w:widowControl/>
              <w:snapToGrid w:val="0"/>
              <w:spacing w:line="240" w:lineRule="auto"/>
              <w:ind w:firstLine="0" w:firstLineChars="0"/>
              <w:jc w:val="center"/>
              <w:rPr>
                <w:color w:val="000000" w:themeColor="text1"/>
                <w:kern w:val="0"/>
                <w:sz w:val="18"/>
                <w:szCs w:val="18"/>
              </w:rPr>
            </w:pPr>
            <w:r>
              <w:rPr>
                <w:rFonts w:hint="eastAsia"/>
                <w:color w:val="000000" w:themeColor="text1"/>
                <w:kern w:val="0"/>
                <w:sz w:val="18"/>
                <w:szCs w:val="18"/>
              </w:rPr>
              <w:t>＞50</w:t>
            </w:r>
          </w:p>
        </w:tc>
        <w:tc>
          <w:tcPr>
            <w:tcW w:w="1746" w:type="dxa"/>
            <w:tcBorders>
              <w:tl2br w:val="nil"/>
              <w:tr2bl w:val="nil"/>
            </w:tcBorders>
          </w:tcPr>
          <w:p>
            <w:pPr>
              <w:widowControl/>
              <w:snapToGrid w:val="0"/>
              <w:spacing w:line="240" w:lineRule="auto"/>
              <w:ind w:firstLine="0" w:firstLineChars="0"/>
              <w:jc w:val="center"/>
              <w:rPr>
                <w:color w:val="000000" w:themeColor="text1"/>
                <w:kern w:val="0"/>
                <w:sz w:val="18"/>
                <w:szCs w:val="18"/>
              </w:rPr>
            </w:pPr>
            <w:r>
              <w:rPr>
                <w:rFonts w:hint="eastAsia"/>
                <w:color w:val="000000" w:themeColor="text1"/>
                <w:kern w:val="0"/>
                <w:sz w:val="18"/>
                <w:szCs w:val="18"/>
              </w:rPr>
              <w:t>0</w:t>
            </w:r>
          </w:p>
          <w:p>
            <w:pPr>
              <w:widowControl/>
              <w:snapToGrid w:val="0"/>
              <w:spacing w:line="240" w:lineRule="auto"/>
              <w:ind w:firstLine="0" w:firstLineChars="0"/>
              <w:jc w:val="center"/>
              <w:rPr>
                <w:color w:val="000000" w:themeColor="text1"/>
                <w:kern w:val="0"/>
                <w:sz w:val="18"/>
                <w:szCs w:val="18"/>
              </w:rPr>
            </w:pPr>
            <w:r>
              <w:rPr>
                <w:rFonts w:hint="eastAsia"/>
                <w:color w:val="000000" w:themeColor="text1"/>
                <w:kern w:val="0"/>
                <w:sz w:val="18"/>
                <w:szCs w:val="18"/>
              </w:rPr>
              <w:t>1</w:t>
            </w:r>
          </w:p>
          <w:p>
            <w:pPr>
              <w:widowControl/>
              <w:snapToGrid w:val="0"/>
              <w:spacing w:line="240" w:lineRule="auto"/>
              <w:ind w:firstLine="0" w:firstLineChars="0"/>
              <w:jc w:val="center"/>
              <w:rPr>
                <w:color w:val="000000" w:themeColor="text1"/>
                <w:kern w:val="0"/>
                <w:sz w:val="18"/>
                <w:szCs w:val="18"/>
              </w:rPr>
            </w:pPr>
            <w:r>
              <w:rPr>
                <w:rFonts w:hint="eastAsia"/>
                <w:color w:val="000000" w:themeColor="text1"/>
                <w:kern w:val="0"/>
                <w:sz w:val="18"/>
                <w:szCs w:val="18"/>
              </w:rPr>
              <w:t>2</w:t>
            </w:r>
          </w:p>
          <w:p>
            <w:pPr>
              <w:widowControl/>
              <w:snapToGrid w:val="0"/>
              <w:spacing w:line="240" w:lineRule="auto"/>
              <w:ind w:firstLine="0" w:firstLineChars="0"/>
              <w:jc w:val="center"/>
              <w:rPr>
                <w:color w:val="000000" w:themeColor="text1"/>
                <w:kern w:val="0"/>
                <w:sz w:val="18"/>
                <w:szCs w:val="18"/>
              </w:rPr>
            </w:pPr>
            <w:r>
              <w:rPr>
                <w:rFonts w:hint="eastAsia"/>
                <w:color w:val="000000" w:themeColor="text1"/>
                <w:kern w:val="0"/>
                <w:sz w:val="18"/>
                <w:szCs w:val="18"/>
              </w:rPr>
              <w:t>4</w:t>
            </w:r>
          </w:p>
          <w:p>
            <w:pPr>
              <w:widowControl/>
              <w:snapToGrid w:val="0"/>
              <w:spacing w:line="240" w:lineRule="auto"/>
              <w:ind w:firstLine="0" w:firstLineChars="0"/>
              <w:jc w:val="center"/>
              <w:rPr>
                <w:color w:val="000000" w:themeColor="text1"/>
                <w:kern w:val="0"/>
                <w:sz w:val="18"/>
                <w:szCs w:val="18"/>
              </w:rPr>
            </w:pPr>
            <w:r>
              <w:rPr>
                <w:rFonts w:hint="eastAsia"/>
                <w:color w:val="000000" w:themeColor="text1"/>
                <w:kern w:val="0"/>
                <w:sz w:val="18"/>
                <w:szCs w:val="18"/>
              </w:rPr>
              <w:t>6</w:t>
            </w:r>
          </w:p>
          <w:p>
            <w:pPr>
              <w:widowControl/>
              <w:snapToGrid w:val="0"/>
              <w:spacing w:line="240" w:lineRule="auto"/>
              <w:ind w:firstLine="0" w:firstLineChars="0"/>
              <w:jc w:val="center"/>
              <w:rPr>
                <w:color w:val="000000" w:themeColor="text1"/>
                <w:kern w:val="0"/>
                <w:sz w:val="18"/>
                <w:szCs w:val="18"/>
              </w:rPr>
            </w:pPr>
            <w:r>
              <w:rPr>
                <w:rFonts w:hint="eastAsia"/>
                <w:color w:val="000000" w:themeColor="text1"/>
                <w:kern w:val="0"/>
                <w:sz w:val="18"/>
                <w:szCs w:val="18"/>
              </w:rPr>
              <w:t>8</w:t>
            </w:r>
          </w:p>
          <w:p>
            <w:pPr>
              <w:snapToGrid w:val="0"/>
              <w:spacing w:line="240" w:lineRule="auto"/>
              <w:ind w:firstLine="0" w:firstLineChars="0"/>
              <w:jc w:val="center"/>
              <w:rPr>
                <w:color w:val="000000" w:themeColor="text1"/>
                <w:kern w:val="0"/>
                <w:sz w:val="18"/>
                <w:szCs w:val="18"/>
              </w:rPr>
            </w:pPr>
            <w:r>
              <w:rPr>
                <w:rFonts w:hint="eastAsia"/>
                <w:color w:val="000000" w:themeColor="text1"/>
                <w:kern w:val="0"/>
                <w:sz w:val="18"/>
                <w:szCs w:val="18"/>
              </w:rPr>
              <w:t>10</w:t>
            </w:r>
          </w:p>
        </w:tc>
        <w:tc>
          <w:tcPr>
            <w:tcW w:w="1040" w:type="dxa"/>
            <w:tcBorders>
              <w:tl2br w:val="nil"/>
              <w:tr2bl w:val="nil"/>
            </w:tcBorders>
            <w:vAlign w:val="center"/>
          </w:tcPr>
          <w:p>
            <w:pPr>
              <w:widowControl/>
              <w:snapToGrid w:val="0"/>
              <w:spacing w:line="240" w:lineRule="auto"/>
              <w:ind w:firstLine="0" w:firstLineChars="0"/>
              <w:jc w:val="center"/>
              <w:rPr>
                <w:b/>
                <w:color w:val="000000" w:themeColor="text1"/>
                <w:kern w:val="0"/>
                <w:sz w:val="18"/>
                <w:szCs w:val="18"/>
              </w:rPr>
            </w:pPr>
            <w:r>
              <w:rPr>
                <w:rFonts w:hint="eastAsia"/>
                <w:b/>
                <w:color w:val="000000" w:themeColor="text1"/>
                <w:kern w:val="0"/>
                <w:sz w:val="18"/>
                <w:szCs w:val="18"/>
              </w:rPr>
              <w:t>无码头</w:t>
            </w:r>
          </w:p>
        </w:tc>
        <w:tc>
          <w:tcPr>
            <w:tcW w:w="888" w:type="dxa"/>
            <w:tcBorders>
              <w:tl2br w:val="nil"/>
              <w:tr2bl w:val="nil"/>
            </w:tcBorders>
            <w:vAlign w:val="center"/>
          </w:tcPr>
          <w:p>
            <w:pPr>
              <w:widowControl/>
              <w:snapToGrid w:val="0"/>
              <w:spacing w:line="240" w:lineRule="auto"/>
              <w:ind w:firstLine="0" w:firstLineChars="0"/>
              <w:jc w:val="center"/>
              <w:rPr>
                <w:b/>
                <w:color w:val="000000" w:themeColor="text1"/>
                <w:kern w:val="0"/>
                <w:sz w:val="18"/>
                <w:szCs w:val="18"/>
              </w:rPr>
            </w:pPr>
            <w:r>
              <w:rPr>
                <w:rFonts w:hint="eastAsia"/>
                <w:b/>
                <w:color w:val="000000" w:themeColor="text1"/>
                <w:kern w:val="0"/>
                <w:sz w:val="18"/>
                <w:szCs w:val="18"/>
              </w:rPr>
              <w:t>0</w:t>
            </w:r>
          </w:p>
        </w:tc>
        <w:tc>
          <w:tcPr>
            <w:tcW w:w="1464" w:type="dxa"/>
            <w:tcBorders>
              <w:tl2br w:val="nil"/>
              <w:tr2bl w:val="nil"/>
            </w:tcBorders>
          </w:tcPr>
          <w:p>
            <w:pPr>
              <w:widowControl/>
              <w:snapToGrid w:val="0"/>
              <w:spacing w:line="240" w:lineRule="auto"/>
              <w:ind w:firstLine="0" w:firstLineChars="0"/>
              <w:jc w:val="center"/>
              <w:rPr>
                <w:color w:val="000000" w:themeColor="text1"/>
                <w:kern w:val="0"/>
                <w:sz w:val="18"/>
                <w:szCs w:val="18"/>
              </w:rPr>
            </w:pPr>
            <w:r>
              <w:rPr>
                <w:rFonts w:hint="eastAsia"/>
                <w:color w:val="000000" w:themeColor="text1"/>
                <w:kern w:val="0"/>
                <w:sz w:val="18"/>
                <w:szCs w:val="18"/>
              </w:rPr>
              <w:t>无</w:t>
            </w:r>
          </w:p>
          <w:p>
            <w:pPr>
              <w:widowControl/>
              <w:snapToGrid w:val="0"/>
              <w:spacing w:line="240" w:lineRule="auto"/>
              <w:ind w:firstLine="0" w:firstLineChars="0"/>
              <w:jc w:val="center"/>
              <w:rPr>
                <w:color w:val="000000" w:themeColor="text1"/>
                <w:kern w:val="0"/>
                <w:sz w:val="18"/>
                <w:szCs w:val="18"/>
              </w:rPr>
            </w:pPr>
            <w:r>
              <w:rPr>
                <w:rFonts w:hint="eastAsia"/>
                <w:color w:val="000000" w:themeColor="text1"/>
                <w:kern w:val="0"/>
                <w:sz w:val="18"/>
                <w:szCs w:val="18"/>
              </w:rPr>
              <w:t>＜0.1</w:t>
            </w:r>
          </w:p>
          <w:p>
            <w:pPr>
              <w:widowControl/>
              <w:snapToGrid w:val="0"/>
              <w:spacing w:line="240" w:lineRule="auto"/>
              <w:ind w:firstLine="0" w:firstLineChars="0"/>
              <w:jc w:val="center"/>
              <w:rPr>
                <w:color w:val="000000" w:themeColor="text1"/>
                <w:kern w:val="0"/>
                <w:sz w:val="18"/>
                <w:szCs w:val="18"/>
              </w:rPr>
            </w:pPr>
            <w:r>
              <w:rPr>
                <w:rFonts w:hint="eastAsia"/>
                <w:color w:val="000000" w:themeColor="text1"/>
                <w:kern w:val="0"/>
                <w:sz w:val="18"/>
                <w:szCs w:val="18"/>
              </w:rPr>
              <w:t>＞0.1，＜1</w:t>
            </w:r>
          </w:p>
          <w:p>
            <w:pPr>
              <w:widowControl/>
              <w:snapToGrid w:val="0"/>
              <w:spacing w:line="240" w:lineRule="auto"/>
              <w:ind w:firstLine="0" w:firstLineChars="0"/>
              <w:jc w:val="center"/>
              <w:rPr>
                <w:color w:val="000000" w:themeColor="text1"/>
                <w:kern w:val="0"/>
                <w:sz w:val="18"/>
                <w:szCs w:val="18"/>
              </w:rPr>
            </w:pPr>
            <w:r>
              <w:rPr>
                <w:rFonts w:hint="eastAsia"/>
                <w:color w:val="000000" w:themeColor="text1"/>
                <w:kern w:val="0"/>
                <w:sz w:val="18"/>
                <w:szCs w:val="18"/>
              </w:rPr>
              <w:t>1~5</w:t>
            </w:r>
          </w:p>
          <w:p>
            <w:pPr>
              <w:widowControl/>
              <w:snapToGrid w:val="0"/>
              <w:spacing w:line="240" w:lineRule="auto"/>
              <w:ind w:firstLine="0" w:firstLineChars="0"/>
              <w:jc w:val="center"/>
              <w:rPr>
                <w:color w:val="000000" w:themeColor="text1"/>
                <w:kern w:val="0"/>
                <w:sz w:val="18"/>
                <w:szCs w:val="18"/>
              </w:rPr>
            </w:pPr>
            <w:r>
              <w:rPr>
                <w:rFonts w:hint="eastAsia"/>
                <w:color w:val="000000" w:themeColor="text1"/>
                <w:kern w:val="0"/>
                <w:sz w:val="18"/>
                <w:szCs w:val="18"/>
              </w:rPr>
              <w:t>5~10</w:t>
            </w:r>
          </w:p>
          <w:p>
            <w:pPr>
              <w:widowControl/>
              <w:snapToGrid w:val="0"/>
              <w:spacing w:line="240" w:lineRule="auto"/>
              <w:ind w:firstLine="0" w:firstLineChars="0"/>
              <w:jc w:val="center"/>
              <w:rPr>
                <w:color w:val="000000" w:themeColor="text1"/>
                <w:kern w:val="0"/>
                <w:sz w:val="18"/>
                <w:szCs w:val="18"/>
              </w:rPr>
            </w:pPr>
            <w:r>
              <w:rPr>
                <w:rFonts w:hint="eastAsia"/>
                <w:color w:val="000000" w:themeColor="text1"/>
                <w:kern w:val="0"/>
                <w:sz w:val="18"/>
                <w:szCs w:val="18"/>
              </w:rPr>
              <w:t>10~50</w:t>
            </w:r>
          </w:p>
          <w:p>
            <w:pPr>
              <w:widowControl/>
              <w:snapToGrid w:val="0"/>
              <w:spacing w:line="240" w:lineRule="auto"/>
              <w:ind w:firstLine="0" w:firstLineChars="0"/>
              <w:jc w:val="center"/>
              <w:rPr>
                <w:color w:val="000000" w:themeColor="text1"/>
                <w:kern w:val="0"/>
                <w:sz w:val="18"/>
                <w:szCs w:val="18"/>
              </w:rPr>
            </w:pPr>
            <w:r>
              <w:rPr>
                <w:rFonts w:hint="eastAsia"/>
                <w:color w:val="000000" w:themeColor="text1"/>
                <w:kern w:val="0"/>
                <w:sz w:val="18"/>
                <w:szCs w:val="18"/>
              </w:rPr>
              <w:t>＞50</w:t>
            </w:r>
          </w:p>
        </w:tc>
        <w:tc>
          <w:tcPr>
            <w:tcW w:w="1493" w:type="dxa"/>
            <w:tcBorders>
              <w:tl2br w:val="nil"/>
              <w:tr2bl w:val="nil"/>
            </w:tcBorders>
          </w:tcPr>
          <w:p>
            <w:pPr>
              <w:widowControl/>
              <w:snapToGrid w:val="0"/>
              <w:spacing w:line="240" w:lineRule="auto"/>
              <w:ind w:firstLine="0" w:firstLineChars="0"/>
              <w:jc w:val="center"/>
              <w:rPr>
                <w:color w:val="000000" w:themeColor="text1"/>
                <w:kern w:val="0"/>
                <w:sz w:val="18"/>
                <w:szCs w:val="18"/>
              </w:rPr>
            </w:pPr>
            <w:r>
              <w:rPr>
                <w:rFonts w:hint="eastAsia"/>
                <w:color w:val="000000" w:themeColor="text1"/>
                <w:kern w:val="0"/>
                <w:sz w:val="18"/>
                <w:szCs w:val="18"/>
              </w:rPr>
              <w:t>0</w:t>
            </w:r>
          </w:p>
          <w:p>
            <w:pPr>
              <w:widowControl/>
              <w:snapToGrid w:val="0"/>
              <w:spacing w:line="240" w:lineRule="auto"/>
              <w:ind w:firstLine="0" w:firstLineChars="0"/>
              <w:jc w:val="center"/>
              <w:rPr>
                <w:color w:val="000000" w:themeColor="text1"/>
                <w:kern w:val="0"/>
                <w:sz w:val="18"/>
                <w:szCs w:val="18"/>
              </w:rPr>
            </w:pPr>
            <w:r>
              <w:rPr>
                <w:rFonts w:hint="eastAsia"/>
                <w:color w:val="000000" w:themeColor="text1"/>
                <w:kern w:val="0"/>
                <w:sz w:val="18"/>
                <w:szCs w:val="18"/>
              </w:rPr>
              <w:t>1</w:t>
            </w:r>
          </w:p>
          <w:p>
            <w:pPr>
              <w:widowControl/>
              <w:snapToGrid w:val="0"/>
              <w:spacing w:line="240" w:lineRule="auto"/>
              <w:ind w:firstLine="0" w:firstLineChars="0"/>
              <w:jc w:val="center"/>
              <w:rPr>
                <w:color w:val="000000" w:themeColor="text1"/>
                <w:kern w:val="0"/>
                <w:sz w:val="18"/>
                <w:szCs w:val="18"/>
              </w:rPr>
            </w:pPr>
            <w:r>
              <w:rPr>
                <w:rFonts w:hint="eastAsia"/>
                <w:color w:val="000000" w:themeColor="text1"/>
                <w:kern w:val="0"/>
                <w:sz w:val="18"/>
                <w:szCs w:val="18"/>
              </w:rPr>
              <w:t>2</w:t>
            </w:r>
          </w:p>
          <w:p>
            <w:pPr>
              <w:widowControl/>
              <w:snapToGrid w:val="0"/>
              <w:spacing w:line="240" w:lineRule="auto"/>
              <w:ind w:firstLine="0" w:firstLineChars="0"/>
              <w:jc w:val="center"/>
              <w:rPr>
                <w:color w:val="000000" w:themeColor="text1"/>
                <w:kern w:val="0"/>
                <w:sz w:val="18"/>
                <w:szCs w:val="18"/>
              </w:rPr>
            </w:pPr>
            <w:r>
              <w:rPr>
                <w:rFonts w:hint="eastAsia"/>
                <w:color w:val="000000" w:themeColor="text1"/>
                <w:kern w:val="0"/>
                <w:sz w:val="18"/>
                <w:szCs w:val="18"/>
              </w:rPr>
              <w:t>3</w:t>
            </w:r>
          </w:p>
          <w:p>
            <w:pPr>
              <w:widowControl/>
              <w:snapToGrid w:val="0"/>
              <w:spacing w:line="240" w:lineRule="auto"/>
              <w:ind w:firstLine="0" w:firstLineChars="0"/>
              <w:jc w:val="center"/>
              <w:rPr>
                <w:color w:val="000000" w:themeColor="text1"/>
                <w:kern w:val="0"/>
                <w:sz w:val="18"/>
                <w:szCs w:val="18"/>
              </w:rPr>
            </w:pPr>
            <w:r>
              <w:rPr>
                <w:rFonts w:hint="eastAsia"/>
                <w:color w:val="000000" w:themeColor="text1"/>
                <w:kern w:val="0"/>
                <w:sz w:val="18"/>
                <w:szCs w:val="18"/>
              </w:rPr>
              <w:t>5</w:t>
            </w:r>
          </w:p>
          <w:p>
            <w:pPr>
              <w:widowControl/>
              <w:snapToGrid w:val="0"/>
              <w:spacing w:line="240" w:lineRule="auto"/>
              <w:ind w:firstLine="0" w:firstLineChars="0"/>
              <w:jc w:val="center"/>
              <w:rPr>
                <w:color w:val="000000" w:themeColor="text1"/>
                <w:kern w:val="0"/>
                <w:sz w:val="18"/>
                <w:szCs w:val="18"/>
              </w:rPr>
            </w:pPr>
            <w:r>
              <w:rPr>
                <w:rFonts w:hint="eastAsia"/>
                <w:color w:val="000000" w:themeColor="text1"/>
                <w:kern w:val="0"/>
                <w:sz w:val="18"/>
                <w:szCs w:val="18"/>
              </w:rPr>
              <w:t>7</w:t>
            </w:r>
          </w:p>
          <w:p>
            <w:pPr>
              <w:snapToGrid w:val="0"/>
              <w:spacing w:line="240" w:lineRule="auto"/>
              <w:ind w:firstLine="0" w:firstLineChars="0"/>
              <w:jc w:val="center"/>
              <w:rPr>
                <w:color w:val="000000" w:themeColor="text1"/>
                <w:kern w:val="0"/>
                <w:sz w:val="18"/>
                <w:szCs w:val="18"/>
              </w:rPr>
            </w:pPr>
            <w:r>
              <w:rPr>
                <w:rFonts w:hint="eastAsia"/>
                <w:color w:val="000000" w:themeColor="text1"/>
                <w:kern w:val="0"/>
                <w:sz w:val="18"/>
                <w:szCs w:val="18"/>
              </w:rPr>
              <w:t>8</w:t>
            </w:r>
          </w:p>
        </w:tc>
        <w:tc>
          <w:tcPr>
            <w:tcW w:w="867" w:type="dxa"/>
            <w:tcBorders>
              <w:tl2br w:val="nil"/>
              <w:tr2bl w:val="nil"/>
            </w:tcBorders>
            <w:vAlign w:val="center"/>
          </w:tcPr>
          <w:p>
            <w:pPr>
              <w:widowControl/>
              <w:snapToGrid w:val="0"/>
              <w:spacing w:line="240" w:lineRule="auto"/>
              <w:ind w:firstLine="0" w:firstLineChars="0"/>
              <w:jc w:val="center"/>
              <w:rPr>
                <w:color w:val="000000" w:themeColor="text1"/>
                <w:kern w:val="0"/>
                <w:sz w:val="18"/>
                <w:szCs w:val="18"/>
              </w:rPr>
            </w:pPr>
            <w:r>
              <w:rPr>
                <w:rFonts w:hint="eastAsia"/>
                <w:b/>
                <w:color w:val="000000" w:themeColor="text1"/>
                <w:kern w:val="0"/>
                <w:sz w:val="18"/>
                <w:szCs w:val="18"/>
              </w:rPr>
              <w:t>无码头</w:t>
            </w:r>
          </w:p>
        </w:tc>
        <w:tc>
          <w:tcPr>
            <w:tcW w:w="841" w:type="dxa"/>
            <w:tcBorders>
              <w:tl2br w:val="nil"/>
              <w:tr2bl w:val="nil"/>
            </w:tcBorders>
            <w:vAlign w:val="center"/>
          </w:tcPr>
          <w:p>
            <w:pPr>
              <w:widowControl/>
              <w:snapToGrid w:val="0"/>
              <w:spacing w:line="240" w:lineRule="auto"/>
              <w:ind w:firstLine="0" w:firstLineChars="0"/>
              <w:jc w:val="center"/>
              <w:rPr>
                <w:color w:val="000000" w:themeColor="text1"/>
                <w:kern w:val="0"/>
                <w:sz w:val="18"/>
                <w:szCs w:val="18"/>
              </w:rPr>
            </w:pPr>
            <w:r>
              <w:rPr>
                <w:rFonts w:hint="eastAsia"/>
                <w:b/>
                <w:color w:val="000000" w:themeColor="text1"/>
                <w:kern w:val="0"/>
                <w:sz w:val="18"/>
                <w:szCs w:val="18"/>
              </w:rPr>
              <w:t>0</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trPr>
        <w:tc>
          <w:tcPr>
            <w:tcW w:w="900" w:type="dxa"/>
            <w:tcBorders>
              <w:tl2br w:val="nil"/>
              <w:tr2bl w:val="nil"/>
            </w:tcBorders>
            <w:vAlign w:val="center"/>
          </w:tcPr>
          <w:p>
            <w:pPr>
              <w:widowControl/>
              <w:snapToGrid w:val="0"/>
              <w:spacing w:line="240" w:lineRule="auto"/>
              <w:ind w:firstLine="0" w:firstLineChars="0"/>
              <w:jc w:val="center"/>
              <w:rPr>
                <w:color w:val="000000" w:themeColor="text1"/>
                <w:kern w:val="0"/>
                <w:sz w:val="18"/>
                <w:szCs w:val="18"/>
              </w:rPr>
            </w:pPr>
            <w:r>
              <w:rPr>
                <w:rFonts w:hint="eastAsia"/>
                <w:color w:val="000000" w:themeColor="text1"/>
                <w:kern w:val="0"/>
                <w:sz w:val="18"/>
                <w:szCs w:val="18"/>
              </w:rPr>
              <w:t>污/废水处理设施</w:t>
            </w:r>
          </w:p>
          <w:p>
            <w:pPr>
              <w:widowControl/>
              <w:snapToGrid w:val="0"/>
              <w:spacing w:line="240" w:lineRule="auto"/>
              <w:ind w:firstLine="0" w:firstLineChars="0"/>
              <w:jc w:val="center"/>
              <w:rPr>
                <w:color w:val="000000" w:themeColor="text1"/>
                <w:kern w:val="0"/>
                <w:sz w:val="18"/>
                <w:szCs w:val="18"/>
              </w:rPr>
            </w:pPr>
            <w:r>
              <w:rPr>
                <w:rFonts w:hint="eastAsia"/>
                <w:color w:val="000000" w:themeColor="text1"/>
                <w:kern w:val="0"/>
                <w:sz w:val="18"/>
                <w:szCs w:val="18"/>
              </w:rPr>
              <w:t>（万吨/日）</w:t>
            </w:r>
          </w:p>
        </w:tc>
        <w:tc>
          <w:tcPr>
            <w:tcW w:w="931" w:type="dxa"/>
            <w:tcBorders>
              <w:tl2br w:val="nil"/>
              <w:tr2bl w:val="nil"/>
            </w:tcBorders>
          </w:tcPr>
          <w:p>
            <w:pPr>
              <w:widowControl/>
              <w:snapToGrid w:val="0"/>
              <w:spacing w:line="240" w:lineRule="auto"/>
              <w:ind w:firstLine="0" w:firstLineChars="0"/>
              <w:jc w:val="center"/>
              <w:rPr>
                <w:color w:val="000000" w:themeColor="text1"/>
                <w:kern w:val="0"/>
                <w:sz w:val="18"/>
                <w:szCs w:val="18"/>
              </w:rPr>
            </w:pPr>
            <w:r>
              <w:rPr>
                <w:rFonts w:hint="eastAsia"/>
                <w:color w:val="000000" w:themeColor="text1"/>
                <w:kern w:val="0"/>
                <w:sz w:val="18"/>
                <w:szCs w:val="18"/>
              </w:rPr>
              <w:t>无</w:t>
            </w:r>
          </w:p>
          <w:p>
            <w:pPr>
              <w:widowControl/>
              <w:snapToGrid w:val="0"/>
              <w:spacing w:line="240" w:lineRule="auto"/>
              <w:ind w:firstLine="0" w:firstLineChars="0"/>
              <w:jc w:val="center"/>
              <w:rPr>
                <w:color w:val="000000" w:themeColor="text1"/>
                <w:kern w:val="0"/>
                <w:sz w:val="18"/>
                <w:szCs w:val="18"/>
              </w:rPr>
            </w:pPr>
            <w:r>
              <w:rPr>
                <w:rFonts w:hint="eastAsia"/>
                <w:color w:val="000000" w:themeColor="text1"/>
                <w:kern w:val="0"/>
                <w:sz w:val="18"/>
                <w:szCs w:val="18"/>
              </w:rPr>
              <w:t>存在</w:t>
            </w:r>
          </w:p>
        </w:tc>
        <w:tc>
          <w:tcPr>
            <w:tcW w:w="957" w:type="dxa"/>
            <w:tcBorders>
              <w:tl2br w:val="nil"/>
              <w:tr2bl w:val="nil"/>
            </w:tcBorders>
          </w:tcPr>
          <w:p>
            <w:pPr>
              <w:widowControl/>
              <w:snapToGrid w:val="0"/>
              <w:spacing w:line="240" w:lineRule="auto"/>
              <w:ind w:firstLine="0" w:firstLineChars="0"/>
              <w:jc w:val="center"/>
              <w:rPr>
                <w:color w:val="000000" w:themeColor="text1"/>
                <w:kern w:val="0"/>
                <w:sz w:val="18"/>
                <w:szCs w:val="18"/>
              </w:rPr>
            </w:pPr>
            <w:r>
              <w:rPr>
                <w:rFonts w:hint="eastAsia"/>
                <w:color w:val="000000" w:themeColor="text1"/>
                <w:kern w:val="0"/>
                <w:sz w:val="18"/>
                <w:szCs w:val="18"/>
              </w:rPr>
              <w:t>0</w:t>
            </w:r>
          </w:p>
          <w:p>
            <w:pPr>
              <w:snapToGrid w:val="0"/>
              <w:spacing w:line="240" w:lineRule="auto"/>
              <w:ind w:firstLine="0" w:firstLineChars="0"/>
              <w:jc w:val="center"/>
              <w:rPr>
                <w:color w:val="000000" w:themeColor="text1"/>
                <w:kern w:val="0"/>
                <w:sz w:val="18"/>
                <w:szCs w:val="18"/>
              </w:rPr>
            </w:pPr>
            <w:r>
              <w:rPr>
                <w:rFonts w:hint="eastAsia"/>
                <w:color w:val="000000" w:themeColor="text1"/>
                <w:kern w:val="0"/>
                <w:sz w:val="18"/>
                <w:szCs w:val="18"/>
              </w:rPr>
              <w:t>10</w:t>
            </w:r>
          </w:p>
        </w:tc>
        <w:tc>
          <w:tcPr>
            <w:tcW w:w="873" w:type="dxa"/>
            <w:tcBorders>
              <w:tl2br w:val="nil"/>
              <w:tr2bl w:val="nil"/>
            </w:tcBorders>
            <w:vAlign w:val="center"/>
          </w:tcPr>
          <w:p>
            <w:pPr>
              <w:widowControl/>
              <w:snapToGrid w:val="0"/>
              <w:spacing w:line="240" w:lineRule="auto"/>
              <w:ind w:firstLine="0" w:firstLineChars="0"/>
              <w:jc w:val="center"/>
              <w:rPr>
                <w:b/>
                <w:color w:val="000000" w:themeColor="text1"/>
                <w:kern w:val="0"/>
                <w:sz w:val="18"/>
                <w:szCs w:val="18"/>
              </w:rPr>
            </w:pPr>
            <w:r>
              <w:rPr>
                <w:rFonts w:hint="eastAsia"/>
                <w:b/>
                <w:color w:val="000000" w:themeColor="text1"/>
                <w:kern w:val="0"/>
                <w:sz w:val="18"/>
                <w:szCs w:val="18"/>
              </w:rPr>
              <w:t>无污水处理设施</w:t>
            </w:r>
          </w:p>
        </w:tc>
        <w:tc>
          <w:tcPr>
            <w:tcW w:w="1069" w:type="dxa"/>
            <w:tcBorders>
              <w:tl2br w:val="nil"/>
              <w:tr2bl w:val="nil"/>
            </w:tcBorders>
            <w:vAlign w:val="center"/>
          </w:tcPr>
          <w:p>
            <w:pPr>
              <w:widowControl/>
              <w:snapToGrid w:val="0"/>
              <w:spacing w:line="240" w:lineRule="auto"/>
              <w:ind w:firstLine="0" w:firstLineChars="0"/>
              <w:jc w:val="center"/>
              <w:rPr>
                <w:b/>
                <w:color w:val="000000" w:themeColor="text1"/>
                <w:kern w:val="0"/>
                <w:sz w:val="18"/>
                <w:szCs w:val="18"/>
              </w:rPr>
            </w:pPr>
            <w:r>
              <w:rPr>
                <w:rFonts w:hint="eastAsia"/>
                <w:b/>
                <w:color w:val="000000" w:themeColor="text1"/>
                <w:kern w:val="0"/>
                <w:sz w:val="18"/>
                <w:szCs w:val="18"/>
              </w:rPr>
              <w:t>0</w:t>
            </w:r>
          </w:p>
        </w:tc>
        <w:tc>
          <w:tcPr>
            <w:tcW w:w="1340" w:type="dxa"/>
            <w:tcBorders>
              <w:tl2br w:val="nil"/>
              <w:tr2bl w:val="nil"/>
            </w:tcBorders>
          </w:tcPr>
          <w:p>
            <w:pPr>
              <w:widowControl/>
              <w:snapToGrid w:val="0"/>
              <w:spacing w:line="240" w:lineRule="auto"/>
              <w:ind w:firstLine="0" w:firstLineChars="0"/>
              <w:jc w:val="center"/>
              <w:rPr>
                <w:color w:val="000000" w:themeColor="text1"/>
                <w:kern w:val="0"/>
                <w:sz w:val="18"/>
                <w:szCs w:val="18"/>
              </w:rPr>
            </w:pPr>
            <w:r>
              <w:rPr>
                <w:rFonts w:hint="eastAsia"/>
                <w:color w:val="000000" w:themeColor="text1"/>
                <w:kern w:val="0"/>
                <w:sz w:val="18"/>
                <w:szCs w:val="18"/>
              </w:rPr>
              <w:t>无</w:t>
            </w:r>
          </w:p>
          <w:p>
            <w:pPr>
              <w:widowControl/>
              <w:snapToGrid w:val="0"/>
              <w:spacing w:line="240" w:lineRule="auto"/>
              <w:ind w:firstLine="0" w:firstLineChars="0"/>
              <w:jc w:val="center"/>
              <w:rPr>
                <w:color w:val="000000" w:themeColor="text1"/>
                <w:kern w:val="0"/>
                <w:sz w:val="18"/>
                <w:szCs w:val="18"/>
              </w:rPr>
            </w:pPr>
            <w:r>
              <w:rPr>
                <w:rFonts w:hint="eastAsia"/>
                <w:color w:val="000000" w:themeColor="text1"/>
                <w:kern w:val="0"/>
                <w:sz w:val="18"/>
                <w:szCs w:val="18"/>
              </w:rPr>
              <w:t>＜1</w:t>
            </w:r>
          </w:p>
          <w:p>
            <w:pPr>
              <w:widowControl/>
              <w:snapToGrid w:val="0"/>
              <w:spacing w:line="240" w:lineRule="auto"/>
              <w:ind w:firstLine="0" w:firstLineChars="0"/>
              <w:jc w:val="center"/>
              <w:rPr>
                <w:color w:val="000000" w:themeColor="text1"/>
                <w:kern w:val="0"/>
                <w:sz w:val="18"/>
                <w:szCs w:val="18"/>
              </w:rPr>
            </w:pPr>
            <w:r>
              <w:rPr>
                <w:rFonts w:hint="eastAsia"/>
                <w:color w:val="000000" w:themeColor="text1"/>
                <w:kern w:val="0"/>
                <w:sz w:val="18"/>
                <w:szCs w:val="18"/>
              </w:rPr>
              <w:t>1~2</w:t>
            </w:r>
          </w:p>
          <w:p>
            <w:pPr>
              <w:widowControl/>
              <w:snapToGrid w:val="0"/>
              <w:spacing w:line="240" w:lineRule="auto"/>
              <w:ind w:firstLine="0" w:firstLineChars="0"/>
              <w:jc w:val="center"/>
              <w:rPr>
                <w:color w:val="000000" w:themeColor="text1"/>
                <w:kern w:val="0"/>
                <w:sz w:val="18"/>
                <w:szCs w:val="18"/>
              </w:rPr>
            </w:pPr>
            <w:r>
              <w:rPr>
                <w:rFonts w:hint="eastAsia"/>
                <w:color w:val="000000" w:themeColor="text1"/>
                <w:kern w:val="0"/>
                <w:sz w:val="18"/>
                <w:szCs w:val="18"/>
              </w:rPr>
              <w:t>3~5</w:t>
            </w:r>
          </w:p>
          <w:p>
            <w:pPr>
              <w:widowControl/>
              <w:snapToGrid w:val="0"/>
              <w:spacing w:line="240" w:lineRule="auto"/>
              <w:ind w:firstLine="0" w:firstLineChars="0"/>
              <w:jc w:val="center"/>
              <w:rPr>
                <w:color w:val="000000" w:themeColor="text1"/>
                <w:kern w:val="0"/>
                <w:sz w:val="18"/>
                <w:szCs w:val="18"/>
              </w:rPr>
            </w:pPr>
            <w:r>
              <w:rPr>
                <w:rFonts w:hint="eastAsia"/>
                <w:color w:val="000000" w:themeColor="text1"/>
                <w:kern w:val="0"/>
                <w:sz w:val="18"/>
                <w:szCs w:val="18"/>
              </w:rPr>
              <w:t>6~8</w:t>
            </w:r>
          </w:p>
          <w:p>
            <w:pPr>
              <w:widowControl/>
              <w:snapToGrid w:val="0"/>
              <w:spacing w:line="240" w:lineRule="auto"/>
              <w:ind w:firstLine="0" w:firstLineChars="0"/>
              <w:jc w:val="center"/>
              <w:rPr>
                <w:color w:val="000000" w:themeColor="text1"/>
                <w:kern w:val="0"/>
                <w:sz w:val="18"/>
                <w:szCs w:val="18"/>
              </w:rPr>
            </w:pPr>
            <w:r>
              <w:rPr>
                <w:rFonts w:hint="eastAsia"/>
                <w:color w:val="000000" w:themeColor="text1"/>
                <w:kern w:val="0"/>
                <w:sz w:val="18"/>
                <w:szCs w:val="18"/>
              </w:rPr>
              <w:t>9~10</w:t>
            </w:r>
          </w:p>
          <w:p>
            <w:pPr>
              <w:widowControl/>
              <w:snapToGrid w:val="0"/>
              <w:spacing w:line="240" w:lineRule="auto"/>
              <w:ind w:firstLine="0" w:firstLineChars="0"/>
              <w:jc w:val="center"/>
              <w:rPr>
                <w:color w:val="000000" w:themeColor="text1"/>
                <w:kern w:val="0"/>
                <w:sz w:val="18"/>
                <w:szCs w:val="18"/>
              </w:rPr>
            </w:pPr>
            <w:r>
              <w:rPr>
                <w:rFonts w:hint="eastAsia"/>
                <w:color w:val="000000" w:themeColor="text1"/>
                <w:kern w:val="0"/>
                <w:sz w:val="18"/>
                <w:szCs w:val="18"/>
              </w:rPr>
              <w:t>＞10</w:t>
            </w:r>
          </w:p>
        </w:tc>
        <w:tc>
          <w:tcPr>
            <w:tcW w:w="1746" w:type="dxa"/>
            <w:tcBorders>
              <w:tl2br w:val="nil"/>
              <w:tr2bl w:val="nil"/>
            </w:tcBorders>
          </w:tcPr>
          <w:p>
            <w:pPr>
              <w:widowControl/>
              <w:snapToGrid w:val="0"/>
              <w:spacing w:line="240" w:lineRule="auto"/>
              <w:ind w:firstLine="0" w:firstLineChars="0"/>
              <w:jc w:val="center"/>
              <w:rPr>
                <w:color w:val="000000" w:themeColor="text1"/>
                <w:kern w:val="0"/>
                <w:sz w:val="18"/>
                <w:szCs w:val="18"/>
              </w:rPr>
            </w:pPr>
            <w:r>
              <w:rPr>
                <w:rFonts w:hint="eastAsia"/>
                <w:color w:val="000000" w:themeColor="text1"/>
                <w:kern w:val="0"/>
                <w:sz w:val="18"/>
                <w:szCs w:val="18"/>
              </w:rPr>
              <w:t>0</w:t>
            </w:r>
          </w:p>
          <w:p>
            <w:pPr>
              <w:widowControl/>
              <w:snapToGrid w:val="0"/>
              <w:spacing w:line="240" w:lineRule="auto"/>
              <w:ind w:firstLine="0" w:firstLineChars="0"/>
              <w:jc w:val="center"/>
              <w:rPr>
                <w:color w:val="000000" w:themeColor="text1"/>
                <w:kern w:val="0"/>
                <w:sz w:val="18"/>
                <w:szCs w:val="18"/>
              </w:rPr>
            </w:pPr>
            <w:r>
              <w:rPr>
                <w:rFonts w:hint="eastAsia"/>
                <w:color w:val="000000" w:themeColor="text1"/>
                <w:kern w:val="0"/>
                <w:sz w:val="18"/>
                <w:szCs w:val="18"/>
              </w:rPr>
              <w:t>1</w:t>
            </w:r>
          </w:p>
          <w:p>
            <w:pPr>
              <w:widowControl/>
              <w:snapToGrid w:val="0"/>
              <w:spacing w:line="240" w:lineRule="auto"/>
              <w:ind w:firstLine="0" w:firstLineChars="0"/>
              <w:jc w:val="center"/>
              <w:rPr>
                <w:color w:val="000000" w:themeColor="text1"/>
                <w:kern w:val="0"/>
                <w:sz w:val="18"/>
                <w:szCs w:val="18"/>
              </w:rPr>
            </w:pPr>
            <w:r>
              <w:rPr>
                <w:rFonts w:hint="eastAsia"/>
                <w:color w:val="000000" w:themeColor="text1"/>
                <w:kern w:val="0"/>
                <w:sz w:val="18"/>
                <w:szCs w:val="18"/>
              </w:rPr>
              <w:t>3</w:t>
            </w:r>
          </w:p>
          <w:p>
            <w:pPr>
              <w:widowControl/>
              <w:snapToGrid w:val="0"/>
              <w:spacing w:line="240" w:lineRule="auto"/>
              <w:ind w:firstLine="0" w:firstLineChars="0"/>
              <w:jc w:val="center"/>
              <w:rPr>
                <w:color w:val="000000" w:themeColor="text1"/>
                <w:kern w:val="0"/>
                <w:sz w:val="18"/>
                <w:szCs w:val="18"/>
              </w:rPr>
            </w:pPr>
            <w:r>
              <w:rPr>
                <w:rFonts w:hint="eastAsia"/>
                <w:color w:val="000000" w:themeColor="text1"/>
                <w:kern w:val="0"/>
                <w:sz w:val="18"/>
                <w:szCs w:val="18"/>
              </w:rPr>
              <w:t>4</w:t>
            </w:r>
          </w:p>
          <w:p>
            <w:pPr>
              <w:widowControl/>
              <w:snapToGrid w:val="0"/>
              <w:spacing w:line="240" w:lineRule="auto"/>
              <w:ind w:firstLine="0" w:firstLineChars="0"/>
              <w:jc w:val="center"/>
              <w:rPr>
                <w:color w:val="000000" w:themeColor="text1"/>
                <w:kern w:val="0"/>
                <w:sz w:val="18"/>
                <w:szCs w:val="18"/>
              </w:rPr>
            </w:pPr>
            <w:r>
              <w:rPr>
                <w:rFonts w:hint="eastAsia"/>
                <w:color w:val="000000" w:themeColor="text1"/>
                <w:kern w:val="0"/>
                <w:sz w:val="18"/>
                <w:szCs w:val="18"/>
              </w:rPr>
              <w:t>6</w:t>
            </w:r>
          </w:p>
          <w:p>
            <w:pPr>
              <w:widowControl/>
              <w:snapToGrid w:val="0"/>
              <w:spacing w:line="240" w:lineRule="auto"/>
              <w:ind w:firstLine="0" w:firstLineChars="0"/>
              <w:jc w:val="center"/>
              <w:rPr>
                <w:color w:val="000000" w:themeColor="text1"/>
                <w:kern w:val="0"/>
                <w:sz w:val="18"/>
                <w:szCs w:val="18"/>
              </w:rPr>
            </w:pPr>
            <w:r>
              <w:rPr>
                <w:rFonts w:hint="eastAsia"/>
                <w:color w:val="000000" w:themeColor="text1"/>
                <w:kern w:val="0"/>
                <w:sz w:val="18"/>
                <w:szCs w:val="18"/>
              </w:rPr>
              <w:t>8</w:t>
            </w:r>
          </w:p>
          <w:p>
            <w:pPr>
              <w:snapToGrid w:val="0"/>
              <w:spacing w:line="240" w:lineRule="auto"/>
              <w:ind w:firstLine="0" w:firstLineChars="0"/>
              <w:jc w:val="center"/>
              <w:rPr>
                <w:color w:val="000000" w:themeColor="text1"/>
                <w:kern w:val="0"/>
                <w:sz w:val="18"/>
                <w:szCs w:val="18"/>
              </w:rPr>
            </w:pPr>
            <w:r>
              <w:rPr>
                <w:rFonts w:hint="eastAsia"/>
                <w:color w:val="000000" w:themeColor="text1"/>
                <w:kern w:val="0"/>
                <w:sz w:val="18"/>
                <w:szCs w:val="18"/>
              </w:rPr>
              <w:t>10</w:t>
            </w:r>
          </w:p>
        </w:tc>
        <w:tc>
          <w:tcPr>
            <w:tcW w:w="1040" w:type="dxa"/>
            <w:tcBorders>
              <w:tl2br w:val="nil"/>
              <w:tr2bl w:val="nil"/>
            </w:tcBorders>
            <w:vAlign w:val="center"/>
          </w:tcPr>
          <w:p>
            <w:pPr>
              <w:widowControl/>
              <w:snapToGrid w:val="0"/>
              <w:spacing w:line="240" w:lineRule="auto"/>
              <w:ind w:firstLine="0" w:firstLineChars="0"/>
              <w:jc w:val="center"/>
              <w:rPr>
                <w:b/>
                <w:color w:val="000000" w:themeColor="text1"/>
                <w:kern w:val="0"/>
                <w:sz w:val="18"/>
                <w:szCs w:val="18"/>
              </w:rPr>
            </w:pPr>
            <w:r>
              <w:rPr>
                <w:rFonts w:hint="eastAsia"/>
                <w:b/>
                <w:color w:val="000000" w:themeColor="text1"/>
                <w:kern w:val="0"/>
                <w:sz w:val="18"/>
                <w:szCs w:val="18"/>
              </w:rPr>
              <w:t>无污水处理设施</w:t>
            </w:r>
          </w:p>
        </w:tc>
        <w:tc>
          <w:tcPr>
            <w:tcW w:w="888" w:type="dxa"/>
            <w:tcBorders>
              <w:tl2br w:val="nil"/>
              <w:tr2bl w:val="nil"/>
            </w:tcBorders>
            <w:vAlign w:val="center"/>
          </w:tcPr>
          <w:p>
            <w:pPr>
              <w:widowControl/>
              <w:snapToGrid w:val="0"/>
              <w:spacing w:line="240" w:lineRule="auto"/>
              <w:ind w:firstLine="0" w:firstLineChars="0"/>
              <w:jc w:val="center"/>
              <w:rPr>
                <w:b/>
                <w:color w:val="000000" w:themeColor="text1"/>
                <w:kern w:val="0"/>
                <w:sz w:val="18"/>
                <w:szCs w:val="18"/>
              </w:rPr>
            </w:pPr>
            <w:r>
              <w:rPr>
                <w:rFonts w:hint="eastAsia"/>
                <w:b/>
                <w:color w:val="000000" w:themeColor="text1"/>
                <w:kern w:val="0"/>
                <w:sz w:val="18"/>
                <w:szCs w:val="18"/>
              </w:rPr>
              <w:t>0</w:t>
            </w:r>
          </w:p>
        </w:tc>
        <w:tc>
          <w:tcPr>
            <w:tcW w:w="1464" w:type="dxa"/>
            <w:tcBorders>
              <w:tl2br w:val="nil"/>
              <w:tr2bl w:val="nil"/>
            </w:tcBorders>
          </w:tcPr>
          <w:p>
            <w:pPr>
              <w:widowControl/>
              <w:snapToGrid w:val="0"/>
              <w:spacing w:line="240" w:lineRule="auto"/>
              <w:ind w:firstLine="0" w:firstLineChars="0"/>
              <w:jc w:val="center"/>
              <w:rPr>
                <w:color w:val="000000" w:themeColor="text1"/>
                <w:kern w:val="0"/>
                <w:sz w:val="18"/>
                <w:szCs w:val="18"/>
              </w:rPr>
            </w:pPr>
            <w:r>
              <w:rPr>
                <w:rFonts w:hint="eastAsia"/>
                <w:color w:val="000000" w:themeColor="text1"/>
                <w:kern w:val="0"/>
                <w:sz w:val="18"/>
                <w:szCs w:val="18"/>
              </w:rPr>
              <w:t>无</w:t>
            </w:r>
          </w:p>
          <w:p>
            <w:pPr>
              <w:widowControl/>
              <w:snapToGrid w:val="0"/>
              <w:spacing w:line="240" w:lineRule="auto"/>
              <w:ind w:firstLine="0" w:firstLineChars="0"/>
              <w:jc w:val="center"/>
              <w:rPr>
                <w:color w:val="000000" w:themeColor="text1"/>
                <w:kern w:val="0"/>
                <w:sz w:val="18"/>
                <w:szCs w:val="18"/>
              </w:rPr>
            </w:pPr>
            <w:r>
              <w:rPr>
                <w:rFonts w:hint="eastAsia"/>
                <w:color w:val="000000" w:themeColor="text1"/>
                <w:kern w:val="0"/>
                <w:sz w:val="18"/>
                <w:szCs w:val="18"/>
              </w:rPr>
              <w:t>＜1</w:t>
            </w:r>
          </w:p>
          <w:p>
            <w:pPr>
              <w:widowControl/>
              <w:snapToGrid w:val="0"/>
              <w:spacing w:line="240" w:lineRule="auto"/>
              <w:ind w:firstLine="0" w:firstLineChars="0"/>
              <w:jc w:val="center"/>
              <w:rPr>
                <w:color w:val="000000" w:themeColor="text1"/>
                <w:kern w:val="0"/>
                <w:sz w:val="18"/>
                <w:szCs w:val="18"/>
              </w:rPr>
            </w:pPr>
            <w:r>
              <w:rPr>
                <w:rFonts w:hint="eastAsia"/>
                <w:color w:val="000000" w:themeColor="text1"/>
                <w:kern w:val="0"/>
                <w:sz w:val="18"/>
                <w:szCs w:val="18"/>
              </w:rPr>
              <w:t>1~2</w:t>
            </w:r>
          </w:p>
          <w:p>
            <w:pPr>
              <w:widowControl/>
              <w:snapToGrid w:val="0"/>
              <w:spacing w:line="240" w:lineRule="auto"/>
              <w:ind w:firstLine="0" w:firstLineChars="0"/>
              <w:jc w:val="center"/>
              <w:rPr>
                <w:color w:val="000000" w:themeColor="text1"/>
                <w:kern w:val="0"/>
                <w:sz w:val="18"/>
                <w:szCs w:val="18"/>
              </w:rPr>
            </w:pPr>
            <w:r>
              <w:rPr>
                <w:rFonts w:hint="eastAsia"/>
                <w:color w:val="000000" w:themeColor="text1"/>
                <w:kern w:val="0"/>
                <w:sz w:val="18"/>
                <w:szCs w:val="18"/>
              </w:rPr>
              <w:t>3~5</w:t>
            </w:r>
          </w:p>
          <w:p>
            <w:pPr>
              <w:widowControl/>
              <w:snapToGrid w:val="0"/>
              <w:spacing w:line="240" w:lineRule="auto"/>
              <w:ind w:firstLine="0" w:firstLineChars="0"/>
              <w:jc w:val="center"/>
              <w:rPr>
                <w:color w:val="000000" w:themeColor="text1"/>
                <w:kern w:val="0"/>
                <w:sz w:val="18"/>
                <w:szCs w:val="18"/>
              </w:rPr>
            </w:pPr>
            <w:r>
              <w:rPr>
                <w:rFonts w:hint="eastAsia"/>
                <w:color w:val="000000" w:themeColor="text1"/>
                <w:kern w:val="0"/>
                <w:sz w:val="18"/>
                <w:szCs w:val="18"/>
              </w:rPr>
              <w:t>6~10</w:t>
            </w:r>
          </w:p>
          <w:p>
            <w:pPr>
              <w:widowControl/>
              <w:snapToGrid w:val="0"/>
              <w:spacing w:line="240" w:lineRule="auto"/>
              <w:ind w:firstLine="0" w:firstLineChars="0"/>
              <w:jc w:val="center"/>
              <w:rPr>
                <w:color w:val="000000" w:themeColor="text1"/>
                <w:kern w:val="0"/>
                <w:sz w:val="18"/>
                <w:szCs w:val="18"/>
              </w:rPr>
            </w:pPr>
            <w:r>
              <w:rPr>
                <w:rFonts w:hint="eastAsia"/>
                <w:color w:val="000000" w:themeColor="text1"/>
                <w:kern w:val="0"/>
                <w:sz w:val="18"/>
                <w:szCs w:val="18"/>
              </w:rPr>
              <w:t>10~20</w:t>
            </w:r>
          </w:p>
          <w:p>
            <w:pPr>
              <w:widowControl/>
              <w:snapToGrid w:val="0"/>
              <w:spacing w:line="240" w:lineRule="auto"/>
              <w:ind w:firstLine="0" w:firstLineChars="0"/>
              <w:jc w:val="center"/>
              <w:rPr>
                <w:color w:val="000000" w:themeColor="text1"/>
                <w:kern w:val="0"/>
                <w:sz w:val="18"/>
                <w:szCs w:val="18"/>
              </w:rPr>
            </w:pPr>
            <w:r>
              <w:rPr>
                <w:rFonts w:hint="eastAsia"/>
                <w:color w:val="000000" w:themeColor="text1"/>
                <w:kern w:val="0"/>
                <w:sz w:val="18"/>
                <w:szCs w:val="18"/>
              </w:rPr>
              <w:t>20~30</w:t>
            </w:r>
          </w:p>
          <w:p>
            <w:pPr>
              <w:widowControl/>
              <w:snapToGrid w:val="0"/>
              <w:spacing w:line="240" w:lineRule="auto"/>
              <w:ind w:firstLine="0" w:firstLineChars="0"/>
              <w:jc w:val="center"/>
              <w:rPr>
                <w:color w:val="000000" w:themeColor="text1"/>
                <w:kern w:val="0"/>
                <w:sz w:val="18"/>
                <w:szCs w:val="18"/>
              </w:rPr>
            </w:pPr>
            <w:r>
              <w:rPr>
                <w:rFonts w:hint="eastAsia"/>
                <w:color w:val="000000" w:themeColor="text1"/>
                <w:kern w:val="0"/>
                <w:sz w:val="18"/>
                <w:szCs w:val="18"/>
              </w:rPr>
              <w:t>＞30</w:t>
            </w:r>
          </w:p>
        </w:tc>
        <w:tc>
          <w:tcPr>
            <w:tcW w:w="1493" w:type="dxa"/>
            <w:tcBorders>
              <w:tl2br w:val="nil"/>
              <w:tr2bl w:val="nil"/>
            </w:tcBorders>
          </w:tcPr>
          <w:p>
            <w:pPr>
              <w:widowControl/>
              <w:snapToGrid w:val="0"/>
              <w:spacing w:line="240" w:lineRule="auto"/>
              <w:ind w:firstLine="0" w:firstLineChars="0"/>
              <w:jc w:val="center"/>
              <w:rPr>
                <w:color w:val="000000" w:themeColor="text1"/>
                <w:kern w:val="0"/>
                <w:sz w:val="18"/>
                <w:szCs w:val="18"/>
              </w:rPr>
            </w:pPr>
            <w:r>
              <w:rPr>
                <w:rFonts w:hint="eastAsia"/>
                <w:color w:val="000000" w:themeColor="text1"/>
                <w:kern w:val="0"/>
                <w:sz w:val="18"/>
                <w:szCs w:val="18"/>
              </w:rPr>
              <w:t>0</w:t>
            </w:r>
          </w:p>
          <w:p>
            <w:pPr>
              <w:widowControl/>
              <w:snapToGrid w:val="0"/>
              <w:spacing w:line="240" w:lineRule="auto"/>
              <w:ind w:firstLine="0" w:firstLineChars="0"/>
              <w:jc w:val="center"/>
              <w:rPr>
                <w:color w:val="000000" w:themeColor="text1"/>
                <w:kern w:val="0"/>
                <w:sz w:val="18"/>
                <w:szCs w:val="18"/>
              </w:rPr>
            </w:pPr>
            <w:r>
              <w:rPr>
                <w:rFonts w:hint="eastAsia"/>
                <w:color w:val="000000" w:themeColor="text1"/>
                <w:kern w:val="0"/>
                <w:sz w:val="18"/>
                <w:szCs w:val="18"/>
              </w:rPr>
              <w:t>1</w:t>
            </w:r>
          </w:p>
          <w:p>
            <w:pPr>
              <w:widowControl/>
              <w:snapToGrid w:val="0"/>
              <w:spacing w:line="240" w:lineRule="auto"/>
              <w:ind w:firstLine="0" w:firstLineChars="0"/>
              <w:jc w:val="center"/>
              <w:rPr>
                <w:color w:val="000000" w:themeColor="text1"/>
                <w:kern w:val="0"/>
                <w:sz w:val="18"/>
                <w:szCs w:val="18"/>
              </w:rPr>
            </w:pPr>
            <w:r>
              <w:rPr>
                <w:rFonts w:hint="eastAsia"/>
                <w:color w:val="000000" w:themeColor="text1"/>
                <w:kern w:val="0"/>
                <w:sz w:val="18"/>
                <w:szCs w:val="18"/>
              </w:rPr>
              <w:t>2</w:t>
            </w:r>
          </w:p>
          <w:p>
            <w:pPr>
              <w:widowControl/>
              <w:snapToGrid w:val="0"/>
              <w:spacing w:line="240" w:lineRule="auto"/>
              <w:ind w:firstLine="0" w:firstLineChars="0"/>
              <w:jc w:val="center"/>
              <w:rPr>
                <w:color w:val="000000" w:themeColor="text1"/>
                <w:kern w:val="0"/>
                <w:sz w:val="18"/>
                <w:szCs w:val="18"/>
              </w:rPr>
            </w:pPr>
            <w:r>
              <w:rPr>
                <w:rFonts w:hint="eastAsia"/>
                <w:color w:val="000000" w:themeColor="text1"/>
                <w:kern w:val="0"/>
                <w:sz w:val="18"/>
                <w:szCs w:val="18"/>
              </w:rPr>
              <w:t>3</w:t>
            </w:r>
          </w:p>
          <w:p>
            <w:pPr>
              <w:widowControl/>
              <w:snapToGrid w:val="0"/>
              <w:spacing w:line="240" w:lineRule="auto"/>
              <w:ind w:firstLine="0" w:firstLineChars="0"/>
              <w:jc w:val="center"/>
              <w:rPr>
                <w:color w:val="000000" w:themeColor="text1"/>
                <w:kern w:val="0"/>
                <w:sz w:val="18"/>
                <w:szCs w:val="18"/>
              </w:rPr>
            </w:pPr>
            <w:r>
              <w:rPr>
                <w:rFonts w:hint="eastAsia"/>
                <w:color w:val="000000" w:themeColor="text1"/>
                <w:kern w:val="0"/>
                <w:sz w:val="18"/>
                <w:szCs w:val="18"/>
              </w:rPr>
              <w:t>5</w:t>
            </w:r>
          </w:p>
          <w:p>
            <w:pPr>
              <w:widowControl/>
              <w:snapToGrid w:val="0"/>
              <w:spacing w:line="240" w:lineRule="auto"/>
              <w:ind w:firstLine="0" w:firstLineChars="0"/>
              <w:jc w:val="center"/>
              <w:rPr>
                <w:color w:val="000000" w:themeColor="text1"/>
                <w:kern w:val="0"/>
                <w:sz w:val="18"/>
                <w:szCs w:val="18"/>
              </w:rPr>
            </w:pPr>
            <w:r>
              <w:rPr>
                <w:rFonts w:hint="eastAsia"/>
                <w:color w:val="000000" w:themeColor="text1"/>
                <w:kern w:val="0"/>
                <w:sz w:val="18"/>
                <w:szCs w:val="18"/>
              </w:rPr>
              <w:t>7</w:t>
            </w:r>
          </w:p>
          <w:p>
            <w:pPr>
              <w:widowControl/>
              <w:snapToGrid w:val="0"/>
              <w:spacing w:line="240" w:lineRule="auto"/>
              <w:ind w:firstLine="0" w:firstLineChars="0"/>
              <w:jc w:val="center"/>
              <w:rPr>
                <w:color w:val="000000" w:themeColor="text1"/>
                <w:kern w:val="0"/>
                <w:sz w:val="18"/>
                <w:szCs w:val="18"/>
              </w:rPr>
            </w:pPr>
            <w:r>
              <w:rPr>
                <w:rFonts w:hint="eastAsia"/>
                <w:color w:val="000000" w:themeColor="text1"/>
                <w:kern w:val="0"/>
                <w:sz w:val="18"/>
                <w:szCs w:val="18"/>
              </w:rPr>
              <w:t>9</w:t>
            </w:r>
          </w:p>
          <w:p>
            <w:pPr>
              <w:snapToGrid w:val="0"/>
              <w:spacing w:line="240" w:lineRule="auto"/>
              <w:ind w:firstLine="0" w:firstLineChars="0"/>
              <w:jc w:val="center"/>
              <w:rPr>
                <w:color w:val="000000" w:themeColor="text1"/>
                <w:kern w:val="0"/>
                <w:sz w:val="18"/>
                <w:szCs w:val="18"/>
              </w:rPr>
            </w:pPr>
            <w:r>
              <w:rPr>
                <w:rFonts w:hint="eastAsia"/>
                <w:color w:val="000000" w:themeColor="text1"/>
                <w:kern w:val="0"/>
                <w:sz w:val="18"/>
                <w:szCs w:val="18"/>
              </w:rPr>
              <w:t>10</w:t>
            </w:r>
          </w:p>
        </w:tc>
        <w:tc>
          <w:tcPr>
            <w:tcW w:w="867" w:type="dxa"/>
            <w:tcBorders>
              <w:tl2br w:val="nil"/>
              <w:tr2bl w:val="nil"/>
            </w:tcBorders>
            <w:vAlign w:val="center"/>
          </w:tcPr>
          <w:p>
            <w:pPr>
              <w:widowControl/>
              <w:snapToGrid w:val="0"/>
              <w:spacing w:line="240" w:lineRule="auto"/>
              <w:ind w:firstLine="0" w:firstLineChars="0"/>
              <w:jc w:val="center"/>
              <w:rPr>
                <w:b/>
                <w:color w:val="000000" w:themeColor="text1"/>
                <w:kern w:val="0"/>
                <w:sz w:val="18"/>
                <w:szCs w:val="18"/>
              </w:rPr>
            </w:pPr>
            <w:r>
              <w:rPr>
                <w:rFonts w:hint="eastAsia"/>
                <w:b/>
                <w:color w:val="000000" w:themeColor="text1"/>
                <w:kern w:val="0"/>
                <w:sz w:val="18"/>
                <w:szCs w:val="18"/>
              </w:rPr>
              <w:t>月田镇污水处理厂（0.12万吨/日）</w:t>
            </w:r>
          </w:p>
          <w:p>
            <w:pPr>
              <w:widowControl/>
              <w:snapToGrid w:val="0"/>
              <w:spacing w:line="240" w:lineRule="auto"/>
              <w:ind w:firstLine="0" w:firstLineChars="0"/>
              <w:jc w:val="center"/>
              <w:rPr>
                <w:color w:val="000000" w:themeColor="text1"/>
                <w:kern w:val="0"/>
                <w:sz w:val="18"/>
                <w:szCs w:val="18"/>
              </w:rPr>
            </w:pPr>
            <w:r>
              <w:rPr>
                <w:rFonts w:hint="eastAsia"/>
                <w:b/>
                <w:color w:val="000000" w:themeColor="text1"/>
                <w:kern w:val="0"/>
                <w:sz w:val="18"/>
                <w:szCs w:val="18"/>
              </w:rPr>
              <w:t>毛田镇污水处理厂（0.075万吨/日）</w:t>
            </w:r>
          </w:p>
        </w:tc>
        <w:tc>
          <w:tcPr>
            <w:tcW w:w="841" w:type="dxa"/>
            <w:tcBorders>
              <w:tl2br w:val="nil"/>
              <w:tr2bl w:val="nil"/>
            </w:tcBorders>
            <w:vAlign w:val="center"/>
          </w:tcPr>
          <w:p>
            <w:pPr>
              <w:widowControl/>
              <w:snapToGrid w:val="0"/>
              <w:spacing w:line="240" w:lineRule="auto"/>
              <w:ind w:firstLine="0" w:firstLineChars="0"/>
              <w:jc w:val="center"/>
              <w:rPr>
                <w:color w:val="000000" w:themeColor="text1"/>
                <w:kern w:val="0"/>
                <w:sz w:val="18"/>
                <w:szCs w:val="18"/>
              </w:rPr>
            </w:pPr>
            <w:r>
              <w:rPr>
                <w:rFonts w:hint="eastAsia"/>
                <w:b/>
                <w:color w:val="000000" w:themeColor="text1"/>
                <w:kern w:val="0"/>
                <w:sz w:val="18"/>
                <w:szCs w:val="18"/>
              </w:rPr>
              <w:t>1</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trPr>
        <w:tc>
          <w:tcPr>
            <w:tcW w:w="900" w:type="dxa"/>
            <w:tcBorders>
              <w:tl2br w:val="nil"/>
              <w:tr2bl w:val="nil"/>
            </w:tcBorders>
            <w:vAlign w:val="center"/>
          </w:tcPr>
          <w:p>
            <w:pPr>
              <w:widowControl/>
              <w:snapToGrid w:val="0"/>
              <w:spacing w:line="240" w:lineRule="auto"/>
              <w:ind w:firstLine="0" w:firstLineChars="0"/>
              <w:jc w:val="center"/>
              <w:rPr>
                <w:color w:val="000000" w:themeColor="text1"/>
                <w:kern w:val="0"/>
                <w:sz w:val="18"/>
                <w:szCs w:val="18"/>
              </w:rPr>
            </w:pPr>
            <w:r>
              <w:rPr>
                <w:rFonts w:hint="eastAsia"/>
                <w:color w:val="000000" w:themeColor="text1"/>
                <w:kern w:val="0"/>
                <w:sz w:val="18"/>
                <w:szCs w:val="18"/>
              </w:rPr>
              <w:t>小计</w:t>
            </w:r>
          </w:p>
        </w:tc>
        <w:tc>
          <w:tcPr>
            <w:tcW w:w="931" w:type="dxa"/>
            <w:tcBorders>
              <w:tl2br w:val="nil"/>
              <w:tr2bl w:val="nil"/>
            </w:tcBorders>
            <w:vAlign w:val="center"/>
          </w:tcPr>
          <w:p>
            <w:pPr>
              <w:widowControl/>
              <w:snapToGrid w:val="0"/>
              <w:spacing w:line="240" w:lineRule="auto"/>
              <w:ind w:firstLine="0" w:firstLineChars="0"/>
              <w:jc w:val="center"/>
              <w:rPr>
                <w:color w:val="000000" w:themeColor="text1"/>
                <w:kern w:val="0"/>
                <w:sz w:val="18"/>
                <w:szCs w:val="18"/>
              </w:rPr>
            </w:pPr>
          </w:p>
        </w:tc>
        <w:tc>
          <w:tcPr>
            <w:tcW w:w="957" w:type="dxa"/>
            <w:tcBorders>
              <w:tl2br w:val="nil"/>
              <w:tr2bl w:val="nil"/>
            </w:tcBorders>
            <w:vAlign w:val="center"/>
          </w:tcPr>
          <w:p>
            <w:pPr>
              <w:widowControl/>
              <w:snapToGrid w:val="0"/>
              <w:spacing w:line="240" w:lineRule="auto"/>
              <w:ind w:firstLine="0" w:firstLineChars="0"/>
              <w:jc w:val="center"/>
              <w:rPr>
                <w:color w:val="000000" w:themeColor="text1"/>
                <w:kern w:val="0"/>
                <w:sz w:val="18"/>
                <w:szCs w:val="18"/>
              </w:rPr>
            </w:pPr>
          </w:p>
        </w:tc>
        <w:tc>
          <w:tcPr>
            <w:tcW w:w="873" w:type="dxa"/>
            <w:tcBorders>
              <w:tl2br w:val="nil"/>
              <w:tr2bl w:val="nil"/>
            </w:tcBorders>
            <w:vAlign w:val="center"/>
          </w:tcPr>
          <w:p>
            <w:pPr>
              <w:widowControl/>
              <w:snapToGrid w:val="0"/>
              <w:spacing w:line="240" w:lineRule="auto"/>
              <w:ind w:firstLine="0" w:firstLineChars="0"/>
              <w:jc w:val="center"/>
              <w:rPr>
                <w:b/>
                <w:color w:val="000000" w:themeColor="text1"/>
                <w:kern w:val="0"/>
                <w:sz w:val="18"/>
                <w:szCs w:val="18"/>
              </w:rPr>
            </w:pPr>
          </w:p>
        </w:tc>
        <w:tc>
          <w:tcPr>
            <w:tcW w:w="1069" w:type="dxa"/>
            <w:tcBorders>
              <w:tl2br w:val="nil"/>
              <w:tr2bl w:val="nil"/>
            </w:tcBorders>
            <w:vAlign w:val="center"/>
          </w:tcPr>
          <w:p>
            <w:pPr>
              <w:widowControl/>
              <w:snapToGrid w:val="0"/>
              <w:spacing w:line="240" w:lineRule="auto"/>
              <w:ind w:firstLine="0" w:firstLineChars="0"/>
              <w:jc w:val="center"/>
              <w:rPr>
                <w:b/>
                <w:color w:val="000000" w:themeColor="text1"/>
                <w:kern w:val="0"/>
                <w:sz w:val="18"/>
                <w:szCs w:val="18"/>
              </w:rPr>
            </w:pPr>
            <w:r>
              <w:rPr>
                <w:rFonts w:hint="eastAsia"/>
                <w:b/>
                <w:color w:val="000000" w:themeColor="text1"/>
                <w:kern w:val="0"/>
                <w:sz w:val="18"/>
                <w:szCs w:val="18"/>
              </w:rPr>
              <w:t>0</w:t>
            </w:r>
          </w:p>
        </w:tc>
        <w:tc>
          <w:tcPr>
            <w:tcW w:w="1340" w:type="dxa"/>
            <w:tcBorders>
              <w:tl2br w:val="nil"/>
              <w:tr2bl w:val="nil"/>
            </w:tcBorders>
            <w:vAlign w:val="center"/>
          </w:tcPr>
          <w:p>
            <w:pPr>
              <w:widowControl/>
              <w:snapToGrid w:val="0"/>
              <w:spacing w:line="240" w:lineRule="auto"/>
              <w:ind w:firstLine="0" w:firstLineChars="0"/>
              <w:jc w:val="center"/>
              <w:rPr>
                <w:color w:val="000000" w:themeColor="text1"/>
                <w:kern w:val="0"/>
                <w:sz w:val="18"/>
                <w:szCs w:val="18"/>
              </w:rPr>
            </w:pPr>
          </w:p>
        </w:tc>
        <w:tc>
          <w:tcPr>
            <w:tcW w:w="1746" w:type="dxa"/>
            <w:tcBorders>
              <w:tl2br w:val="nil"/>
              <w:tr2bl w:val="nil"/>
            </w:tcBorders>
            <w:vAlign w:val="center"/>
          </w:tcPr>
          <w:p>
            <w:pPr>
              <w:widowControl/>
              <w:snapToGrid w:val="0"/>
              <w:spacing w:line="240" w:lineRule="auto"/>
              <w:ind w:firstLine="0" w:firstLineChars="0"/>
              <w:jc w:val="center"/>
              <w:rPr>
                <w:color w:val="000000" w:themeColor="text1"/>
                <w:kern w:val="0"/>
                <w:sz w:val="18"/>
                <w:szCs w:val="18"/>
              </w:rPr>
            </w:pPr>
          </w:p>
        </w:tc>
        <w:tc>
          <w:tcPr>
            <w:tcW w:w="1040" w:type="dxa"/>
            <w:tcBorders>
              <w:tl2br w:val="nil"/>
              <w:tr2bl w:val="nil"/>
            </w:tcBorders>
            <w:vAlign w:val="center"/>
          </w:tcPr>
          <w:p>
            <w:pPr>
              <w:widowControl/>
              <w:snapToGrid w:val="0"/>
              <w:spacing w:line="240" w:lineRule="auto"/>
              <w:ind w:firstLine="0" w:firstLineChars="0"/>
              <w:jc w:val="center"/>
              <w:rPr>
                <w:b/>
                <w:color w:val="000000" w:themeColor="text1"/>
                <w:kern w:val="0"/>
                <w:sz w:val="18"/>
                <w:szCs w:val="18"/>
              </w:rPr>
            </w:pPr>
          </w:p>
        </w:tc>
        <w:tc>
          <w:tcPr>
            <w:tcW w:w="888" w:type="dxa"/>
            <w:tcBorders>
              <w:tl2br w:val="nil"/>
              <w:tr2bl w:val="nil"/>
            </w:tcBorders>
            <w:vAlign w:val="center"/>
          </w:tcPr>
          <w:p>
            <w:pPr>
              <w:widowControl/>
              <w:snapToGrid w:val="0"/>
              <w:spacing w:line="240" w:lineRule="auto"/>
              <w:ind w:firstLine="0" w:firstLineChars="0"/>
              <w:jc w:val="center"/>
              <w:rPr>
                <w:b/>
                <w:color w:val="000000" w:themeColor="text1"/>
                <w:kern w:val="0"/>
                <w:sz w:val="18"/>
                <w:szCs w:val="18"/>
              </w:rPr>
            </w:pPr>
            <w:r>
              <w:rPr>
                <w:rFonts w:hint="eastAsia"/>
                <w:b/>
                <w:color w:val="000000" w:themeColor="text1"/>
                <w:kern w:val="0"/>
                <w:sz w:val="18"/>
                <w:szCs w:val="18"/>
              </w:rPr>
              <w:t>0</w:t>
            </w:r>
          </w:p>
        </w:tc>
        <w:tc>
          <w:tcPr>
            <w:tcW w:w="1464" w:type="dxa"/>
            <w:tcBorders>
              <w:tl2br w:val="nil"/>
              <w:tr2bl w:val="nil"/>
            </w:tcBorders>
            <w:vAlign w:val="center"/>
          </w:tcPr>
          <w:p>
            <w:pPr>
              <w:widowControl/>
              <w:snapToGrid w:val="0"/>
              <w:spacing w:line="240" w:lineRule="auto"/>
              <w:ind w:firstLine="0" w:firstLineChars="0"/>
              <w:jc w:val="center"/>
              <w:rPr>
                <w:color w:val="000000" w:themeColor="text1"/>
                <w:kern w:val="0"/>
                <w:sz w:val="18"/>
                <w:szCs w:val="18"/>
              </w:rPr>
            </w:pPr>
          </w:p>
        </w:tc>
        <w:tc>
          <w:tcPr>
            <w:tcW w:w="1493" w:type="dxa"/>
            <w:tcBorders>
              <w:tl2br w:val="nil"/>
              <w:tr2bl w:val="nil"/>
            </w:tcBorders>
            <w:vAlign w:val="center"/>
          </w:tcPr>
          <w:p>
            <w:pPr>
              <w:widowControl/>
              <w:snapToGrid w:val="0"/>
              <w:spacing w:line="240" w:lineRule="auto"/>
              <w:ind w:firstLine="0" w:firstLineChars="0"/>
              <w:jc w:val="center"/>
              <w:rPr>
                <w:color w:val="000000" w:themeColor="text1"/>
                <w:kern w:val="0"/>
                <w:sz w:val="18"/>
                <w:szCs w:val="18"/>
              </w:rPr>
            </w:pPr>
          </w:p>
        </w:tc>
        <w:tc>
          <w:tcPr>
            <w:tcW w:w="867" w:type="dxa"/>
            <w:tcBorders>
              <w:tl2br w:val="nil"/>
              <w:tr2bl w:val="nil"/>
            </w:tcBorders>
            <w:vAlign w:val="center"/>
          </w:tcPr>
          <w:p>
            <w:pPr>
              <w:snapToGrid w:val="0"/>
              <w:spacing w:line="240" w:lineRule="auto"/>
              <w:ind w:firstLine="0" w:firstLineChars="0"/>
              <w:jc w:val="center"/>
              <w:rPr>
                <w:color w:val="000000" w:themeColor="text1"/>
                <w:kern w:val="0"/>
                <w:sz w:val="18"/>
                <w:szCs w:val="18"/>
              </w:rPr>
            </w:pPr>
          </w:p>
        </w:tc>
        <w:tc>
          <w:tcPr>
            <w:tcW w:w="841" w:type="dxa"/>
            <w:tcBorders>
              <w:tl2br w:val="nil"/>
              <w:tr2bl w:val="nil"/>
            </w:tcBorders>
            <w:vAlign w:val="center"/>
          </w:tcPr>
          <w:p>
            <w:pPr>
              <w:widowControl/>
              <w:snapToGrid w:val="0"/>
              <w:spacing w:line="240" w:lineRule="auto"/>
              <w:ind w:firstLine="0" w:firstLineChars="0"/>
              <w:jc w:val="center"/>
              <w:rPr>
                <w:b/>
                <w:color w:val="000000" w:themeColor="text1"/>
                <w:kern w:val="0"/>
                <w:sz w:val="18"/>
                <w:szCs w:val="18"/>
              </w:rPr>
            </w:pPr>
            <w:r>
              <w:rPr>
                <w:rFonts w:hint="eastAsia"/>
                <w:b/>
                <w:color w:val="000000" w:themeColor="text1"/>
                <w:kern w:val="0"/>
                <w:sz w:val="18"/>
                <w:szCs w:val="18"/>
              </w:rPr>
              <w:t>5</w:t>
            </w:r>
          </w:p>
        </w:tc>
      </w:tr>
    </w:tbl>
    <w:p>
      <w:pPr>
        <w:widowControl/>
        <w:ind w:firstLine="482"/>
        <w:rPr>
          <w:b/>
          <w:color w:val="000000" w:themeColor="text1"/>
          <w:kern w:val="0"/>
          <w:szCs w:val="24"/>
        </w:rPr>
      </w:pPr>
    </w:p>
    <w:p>
      <w:pPr>
        <w:widowControl/>
        <w:rPr>
          <w:bCs/>
          <w:color w:val="000000" w:themeColor="text1"/>
          <w:kern w:val="0"/>
          <w:szCs w:val="24"/>
        </w:rPr>
      </w:pPr>
      <w:r>
        <w:rPr>
          <w:bCs/>
          <w:color w:val="000000" w:themeColor="text1"/>
          <w:kern w:val="0"/>
          <w:szCs w:val="24"/>
        </w:rPr>
        <w:t>通过计算，</w:t>
      </w:r>
      <w:r>
        <w:rPr>
          <w:rFonts w:hint="eastAsia"/>
          <w:bCs/>
          <w:color w:val="000000" w:themeColor="text1"/>
          <w:szCs w:val="24"/>
        </w:rPr>
        <w:t>岳阳市饮用水源保护区（铁山水库-北干渠-金凤水库）</w:t>
      </w:r>
      <w:r>
        <w:rPr>
          <w:bCs/>
          <w:color w:val="000000" w:themeColor="text1"/>
          <w:kern w:val="0"/>
          <w:szCs w:val="24"/>
        </w:rPr>
        <w:t>固定源评价指标为：Rp= P1+P2+P3=</w:t>
      </w:r>
      <w:r>
        <w:rPr>
          <w:rFonts w:hint="eastAsia"/>
          <w:bCs/>
          <w:color w:val="000000" w:themeColor="text1"/>
          <w:kern w:val="0"/>
          <w:szCs w:val="24"/>
        </w:rPr>
        <w:t>5。</w:t>
      </w:r>
    </w:p>
    <w:p>
      <w:pPr>
        <w:pStyle w:val="5"/>
        <w:spacing w:before="60" w:after="60"/>
        <w:rPr>
          <w:b w:val="0"/>
          <w:color w:val="000000" w:themeColor="text1"/>
          <w:u w:val="single"/>
        </w:rPr>
        <w:sectPr>
          <w:pgSz w:w="16838" w:h="11906" w:orient="landscape"/>
          <w:pgMar w:top="1797" w:right="1440" w:bottom="1797" w:left="1440" w:header="851" w:footer="992" w:gutter="0"/>
          <w:cols w:space="720" w:num="1"/>
          <w:docGrid w:type="linesAndChars" w:linePitch="312" w:charSpace="0"/>
        </w:sectPr>
      </w:pPr>
    </w:p>
    <w:p>
      <w:pPr>
        <w:pStyle w:val="5"/>
        <w:rPr>
          <w:color w:val="000000" w:themeColor="text1"/>
        </w:rPr>
      </w:pPr>
      <w:r>
        <w:rPr>
          <w:rFonts w:hint="eastAsia"/>
          <w:color w:val="000000" w:themeColor="text1"/>
        </w:rPr>
        <w:t>4</w:t>
      </w:r>
      <w:r>
        <w:rPr>
          <w:color w:val="000000" w:themeColor="text1"/>
        </w:rPr>
        <w:t>.</w:t>
      </w:r>
      <w:r>
        <w:rPr>
          <w:rFonts w:hint="eastAsia"/>
          <w:color w:val="000000" w:themeColor="text1"/>
        </w:rPr>
        <w:t>2</w:t>
      </w:r>
      <w:r>
        <w:rPr>
          <w:color w:val="000000" w:themeColor="text1"/>
        </w:rPr>
        <w:t>.</w:t>
      </w:r>
      <w:r>
        <w:rPr>
          <w:rFonts w:hint="eastAsia"/>
          <w:color w:val="000000" w:themeColor="text1"/>
        </w:rPr>
        <w:t>2流动风险源识别</w:t>
      </w:r>
    </w:p>
    <w:p>
      <w:pPr>
        <w:rPr>
          <w:rFonts w:ascii="宋体" w:hAnsi="宋体"/>
          <w:szCs w:val="24"/>
        </w:rPr>
      </w:pPr>
      <w:r>
        <w:rPr>
          <w:rFonts w:hint="eastAsia" w:ascii="宋体" w:hAnsi="宋体"/>
          <w:szCs w:val="24"/>
        </w:rPr>
        <w:t>岳阳市饮用水源保护区（铁山水库-北干渠-金凤水库）范围内无危险化学品运输船舶，无河沙运输船舶（库区原有</w:t>
      </w:r>
      <w:r>
        <w:rPr>
          <w:szCs w:val="24"/>
        </w:rPr>
        <w:t>28</w:t>
      </w:r>
      <w:r>
        <w:rPr>
          <w:rFonts w:hint="eastAsia" w:ascii="宋体" w:hAnsi="宋体"/>
          <w:szCs w:val="24"/>
        </w:rPr>
        <w:t>条采砂船全部解体或拖离上岸），但是铁山水库二级保护区内有八个渡口（一级保护区渡口已关停）。</w:t>
      </w:r>
    </w:p>
    <w:p>
      <w:pPr>
        <w:rPr>
          <w:color w:val="000000" w:themeColor="text1"/>
        </w:rPr>
      </w:pPr>
      <w:r>
        <w:rPr>
          <w:rFonts w:hint="eastAsia" w:ascii="宋体" w:hAnsi="宋体"/>
          <w:szCs w:val="24"/>
          <w:u w:val="single"/>
        </w:rPr>
        <w:t>岳阳市饮用水源保护区（铁山水库-北干渠-金凤水库）北干渠有</w:t>
      </w:r>
      <w:r>
        <w:rPr>
          <w:szCs w:val="24"/>
          <w:u w:val="single"/>
        </w:rPr>
        <w:t>S61</w:t>
      </w:r>
      <w:r>
        <w:rPr>
          <w:rFonts w:hint="eastAsia" w:ascii="宋体" w:hAnsi="宋体"/>
          <w:szCs w:val="24"/>
          <w:u w:val="single"/>
        </w:rPr>
        <w:t>、</w:t>
      </w:r>
      <w:r>
        <w:rPr>
          <w:szCs w:val="24"/>
          <w:u w:val="single"/>
        </w:rPr>
        <w:t>X026</w:t>
      </w:r>
      <w:r>
        <w:rPr>
          <w:rFonts w:hint="eastAsia" w:ascii="宋体" w:hAnsi="宋体"/>
          <w:szCs w:val="24"/>
          <w:u w:val="single"/>
        </w:rPr>
        <w:t>、</w:t>
      </w:r>
      <w:r>
        <w:rPr>
          <w:szCs w:val="24"/>
          <w:u w:val="single"/>
        </w:rPr>
        <w:t>G4</w:t>
      </w:r>
      <w:r>
        <w:rPr>
          <w:rFonts w:hint="eastAsia" w:ascii="宋体" w:hAnsi="宋体"/>
          <w:szCs w:val="24"/>
          <w:u w:val="single"/>
        </w:rPr>
        <w:t>、</w:t>
      </w:r>
      <w:r>
        <w:rPr>
          <w:szCs w:val="24"/>
          <w:u w:val="single"/>
        </w:rPr>
        <w:t>X031</w:t>
      </w:r>
      <w:r>
        <w:rPr>
          <w:rFonts w:hint="eastAsia" w:ascii="宋体" w:hAnsi="宋体"/>
          <w:szCs w:val="24"/>
          <w:u w:val="single"/>
        </w:rPr>
        <w:t>、</w:t>
      </w:r>
      <w:r>
        <w:rPr>
          <w:szCs w:val="24"/>
          <w:u w:val="single"/>
        </w:rPr>
        <w:t>X0105</w:t>
      </w:r>
      <w:r>
        <w:rPr>
          <w:rFonts w:hint="eastAsia" w:ascii="宋体" w:hAnsi="宋体"/>
          <w:szCs w:val="24"/>
          <w:u w:val="single"/>
        </w:rPr>
        <w:t>（白羊田）、</w:t>
      </w:r>
      <w:r>
        <w:rPr>
          <w:szCs w:val="24"/>
          <w:u w:val="single"/>
        </w:rPr>
        <w:t>X0105</w:t>
      </w:r>
      <w:r>
        <w:rPr>
          <w:rFonts w:hint="eastAsia" w:ascii="宋体" w:hAnsi="宋体"/>
          <w:szCs w:val="24"/>
          <w:u w:val="single"/>
        </w:rPr>
        <w:t>（甘田）、</w:t>
      </w:r>
      <w:r>
        <w:rPr>
          <w:szCs w:val="24"/>
          <w:u w:val="single"/>
        </w:rPr>
        <w:t>X034</w:t>
      </w:r>
      <w:r>
        <w:rPr>
          <w:rFonts w:hint="eastAsia" w:ascii="宋体" w:hAnsi="宋体"/>
          <w:szCs w:val="24"/>
          <w:u w:val="single"/>
        </w:rPr>
        <w:t>与之相交，其中</w:t>
      </w:r>
      <w:r>
        <w:rPr>
          <w:szCs w:val="24"/>
          <w:u w:val="single"/>
        </w:rPr>
        <w:t>X026</w:t>
      </w:r>
      <w:r>
        <w:rPr>
          <w:rFonts w:hint="eastAsia" w:ascii="宋体" w:hAnsi="宋体"/>
          <w:szCs w:val="24"/>
          <w:u w:val="single"/>
        </w:rPr>
        <w:t>以隧道下穿北干渠，北干渠以渡槽上穿</w:t>
      </w:r>
      <w:r>
        <w:rPr>
          <w:szCs w:val="24"/>
          <w:u w:val="single"/>
        </w:rPr>
        <w:t>G4</w:t>
      </w:r>
      <w:r>
        <w:rPr>
          <w:rFonts w:hint="eastAsia" w:ascii="宋体" w:hAnsi="宋体"/>
          <w:szCs w:val="24"/>
          <w:u w:val="single"/>
        </w:rPr>
        <w:t>、</w:t>
      </w:r>
      <w:r>
        <w:rPr>
          <w:szCs w:val="24"/>
          <w:u w:val="single"/>
        </w:rPr>
        <w:t>X031</w:t>
      </w:r>
      <w:r>
        <w:rPr>
          <w:rFonts w:hint="eastAsia" w:ascii="宋体" w:hAnsi="宋体"/>
          <w:szCs w:val="24"/>
          <w:u w:val="single"/>
        </w:rPr>
        <w:t>、</w:t>
      </w:r>
      <w:r>
        <w:rPr>
          <w:szCs w:val="24"/>
          <w:u w:val="single"/>
        </w:rPr>
        <w:t>X0105</w:t>
      </w:r>
      <w:r>
        <w:rPr>
          <w:rFonts w:hint="eastAsia" w:ascii="宋体" w:hAnsi="宋体"/>
          <w:szCs w:val="24"/>
          <w:u w:val="single"/>
        </w:rPr>
        <w:t>（白羊田）、</w:t>
      </w:r>
      <w:r>
        <w:rPr>
          <w:szCs w:val="24"/>
          <w:u w:val="single"/>
        </w:rPr>
        <w:t>X0105</w:t>
      </w:r>
      <w:r>
        <w:rPr>
          <w:rFonts w:hint="eastAsia" w:ascii="宋体" w:hAnsi="宋体"/>
          <w:szCs w:val="24"/>
          <w:u w:val="single"/>
        </w:rPr>
        <w:t>（甘田），</w:t>
      </w:r>
      <w:r>
        <w:rPr>
          <w:szCs w:val="24"/>
          <w:u w:val="single"/>
        </w:rPr>
        <w:t>X034</w:t>
      </w:r>
      <w:r>
        <w:rPr>
          <w:rFonts w:hint="eastAsia" w:ascii="宋体" w:hAnsi="宋体"/>
          <w:szCs w:val="24"/>
          <w:u w:val="single"/>
        </w:rPr>
        <w:t>以桥梁上跨北干渠，桥梁两边设有防撞护栏及桥面径流导流措施，</w:t>
      </w:r>
      <w:r>
        <w:rPr>
          <w:szCs w:val="24"/>
          <w:u w:val="single"/>
        </w:rPr>
        <w:t>S61</w:t>
      </w:r>
      <w:r>
        <w:rPr>
          <w:rFonts w:hint="eastAsia" w:ascii="宋体" w:hAnsi="宋体"/>
          <w:szCs w:val="24"/>
          <w:u w:val="single"/>
        </w:rPr>
        <w:t>以桥梁上跨北干渠，桥梁两边设有防撞护栏，但是未设置桥面径流导流措施，岳阳市饮用水源保护区（铁山水库-北干渠-金凤水库）铁山水库北两岸有</w:t>
      </w:r>
      <w:r>
        <w:rPr>
          <w:szCs w:val="24"/>
          <w:u w:val="single"/>
        </w:rPr>
        <w:t>X034</w:t>
      </w:r>
      <w:r>
        <w:rPr>
          <w:rFonts w:hint="eastAsia"/>
          <w:szCs w:val="24"/>
          <w:u w:val="single"/>
        </w:rPr>
        <w:t>紧临一级保护区并</w:t>
      </w:r>
      <w:r>
        <w:rPr>
          <w:rFonts w:hint="eastAsia" w:ascii="宋体" w:hAnsi="宋体"/>
          <w:szCs w:val="24"/>
          <w:u w:val="single"/>
        </w:rPr>
        <w:t>穿过二级保护区（紧临一级保护区长度约</w:t>
      </w:r>
      <w:r>
        <w:rPr>
          <w:szCs w:val="24"/>
          <w:u w:val="single"/>
        </w:rPr>
        <w:t>2700米，穿过二级保护区长度约为4000米）</w:t>
      </w:r>
      <w:r>
        <w:rPr>
          <w:rFonts w:hint="eastAsia" w:ascii="宋体" w:hAnsi="宋体"/>
          <w:szCs w:val="24"/>
        </w:rPr>
        <w:t>，其环境风险主要来源于运输危险品的车辆发生交通事故造成危险品泄漏产生的水污染事故等。</w:t>
      </w:r>
    </w:p>
    <w:p>
      <w:pPr>
        <w:rPr>
          <w:color w:val="000000" w:themeColor="text1"/>
          <w:kern w:val="0"/>
        </w:rPr>
      </w:pPr>
      <w:r>
        <w:rPr>
          <w:color w:val="000000" w:themeColor="text1"/>
        </w:rPr>
        <w:t>参照《集中式饮用水水源环境保护指南（试行）》中附件三，分析潜在事件，筛选风险源。</w:t>
      </w:r>
      <w:r>
        <w:rPr>
          <w:rFonts w:hint="eastAsia"/>
          <w:color w:val="000000" w:themeColor="text1"/>
          <w:kern w:val="0"/>
        </w:rPr>
        <w:t>关于</w:t>
      </w:r>
      <w:r>
        <w:rPr>
          <w:color w:val="000000" w:themeColor="text1"/>
          <w:kern w:val="0"/>
        </w:rPr>
        <w:t>流动</w:t>
      </w:r>
      <w:r>
        <w:rPr>
          <w:rFonts w:hint="eastAsia"/>
        </w:rPr>
        <w:t>环境风险源分布情况见表4-6，</w:t>
      </w:r>
      <w:r>
        <w:rPr>
          <w:color w:val="000000" w:themeColor="text1"/>
          <w:kern w:val="0"/>
        </w:rPr>
        <w:t>流动源评价指标及评分值见表4-</w:t>
      </w:r>
      <w:r>
        <w:rPr>
          <w:rFonts w:hint="eastAsia"/>
          <w:color w:val="000000" w:themeColor="text1"/>
          <w:kern w:val="0"/>
        </w:rPr>
        <w:t>7</w:t>
      </w:r>
      <w:r>
        <w:rPr>
          <w:color w:val="000000" w:themeColor="text1"/>
          <w:kern w:val="0"/>
        </w:rPr>
        <w:t>。</w:t>
      </w:r>
    </w:p>
    <w:p>
      <w:pPr>
        <w:widowControl/>
        <w:ind w:firstLine="0" w:firstLineChars="0"/>
        <w:jc w:val="center"/>
        <w:rPr>
          <w:b/>
          <w:color w:val="000000" w:themeColor="text1"/>
          <w:kern w:val="0"/>
          <w:sz w:val="21"/>
          <w:szCs w:val="21"/>
        </w:rPr>
      </w:pPr>
      <w:r>
        <w:rPr>
          <w:rFonts w:hint="eastAsia"/>
          <w:b/>
          <w:color w:val="000000" w:themeColor="text1"/>
          <w:kern w:val="0"/>
          <w:sz w:val="21"/>
          <w:szCs w:val="21"/>
        </w:rPr>
        <w:t>表4-6 饮用水水源地调查区流动环境风险源分布情况一览表</w:t>
      </w:r>
    </w:p>
    <w:tbl>
      <w:tblPr>
        <w:tblStyle w:val="47"/>
        <w:tblW w:w="8522"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79"/>
        <w:gridCol w:w="1846"/>
        <w:gridCol w:w="2715"/>
        <w:gridCol w:w="1260"/>
        <w:gridCol w:w="182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tblHeader/>
        </w:trPr>
        <w:tc>
          <w:tcPr>
            <w:tcW w:w="879" w:type="dxa"/>
            <w:shd w:val="clear" w:color="auto" w:fill="auto"/>
            <w:vAlign w:val="center"/>
          </w:tcPr>
          <w:p>
            <w:pPr>
              <w:pStyle w:val="80"/>
              <w:rPr>
                <w:rFonts w:ascii="Times New Roman" w:hAnsi="Times New Roman" w:cs="Times New Roman"/>
                <w:b/>
                <w:sz w:val="21"/>
                <w:szCs w:val="21"/>
              </w:rPr>
            </w:pPr>
            <w:r>
              <w:rPr>
                <w:rFonts w:hint="eastAsia" w:ascii="Times New Roman" w:hAnsi="Times New Roman" w:cs="Times New Roman"/>
                <w:b/>
                <w:sz w:val="21"/>
                <w:szCs w:val="21"/>
              </w:rPr>
              <w:t>移动源</w:t>
            </w:r>
          </w:p>
        </w:tc>
        <w:tc>
          <w:tcPr>
            <w:tcW w:w="1846" w:type="dxa"/>
            <w:shd w:val="clear" w:color="auto" w:fill="auto"/>
            <w:vAlign w:val="center"/>
          </w:tcPr>
          <w:p>
            <w:pPr>
              <w:pStyle w:val="80"/>
              <w:rPr>
                <w:rFonts w:ascii="Times New Roman" w:hAnsi="Times New Roman" w:cs="Times New Roman"/>
                <w:b/>
                <w:sz w:val="21"/>
                <w:szCs w:val="21"/>
              </w:rPr>
            </w:pPr>
            <w:r>
              <w:rPr>
                <w:rFonts w:hint="eastAsia" w:ascii="Times New Roman" w:hAnsi="Times New Roman" w:cs="Times New Roman"/>
                <w:b/>
                <w:sz w:val="21"/>
                <w:szCs w:val="21"/>
              </w:rPr>
              <w:t>一级保护区</w:t>
            </w:r>
          </w:p>
        </w:tc>
        <w:tc>
          <w:tcPr>
            <w:tcW w:w="2715" w:type="dxa"/>
            <w:shd w:val="clear" w:color="auto" w:fill="auto"/>
            <w:vAlign w:val="center"/>
          </w:tcPr>
          <w:p>
            <w:pPr>
              <w:pStyle w:val="80"/>
              <w:rPr>
                <w:rFonts w:ascii="Times New Roman" w:hAnsi="Times New Roman" w:cs="Times New Roman"/>
                <w:b/>
                <w:sz w:val="21"/>
                <w:szCs w:val="21"/>
              </w:rPr>
            </w:pPr>
            <w:r>
              <w:rPr>
                <w:rFonts w:hint="eastAsia" w:ascii="Times New Roman" w:hAnsi="Times New Roman" w:cs="Times New Roman"/>
                <w:b/>
                <w:sz w:val="21"/>
                <w:szCs w:val="21"/>
              </w:rPr>
              <w:t>二级保护区</w:t>
            </w:r>
          </w:p>
        </w:tc>
        <w:tc>
          <w:tcPr>
            <w:tcW w:w="1260" w:type="dxa"/>
            <w:shd w:val="clear" w:color="auto" w:fill="auto"/>
            <w:vAlign w:val="center"/>
          </w:tcPr>
          <w:p>
            <w:pPr>
              <w:pStyle w:val="80"/>
              <w:rPr>
                <w:rFonts w:ascii="Times New Roman" w:hAnsi="Times New Roman" w:cs="Times New Roman"/>
                <w:b/>
                <w:sz w:val="21"/>
                <w:szCs w:val="21"/>
              </w:rPr>
            </w:pPr>
            <w:r>
              <w:rPr>
                <w:rFonts w:hint="eastAsia" w:ascii="Times New Roman" w:hAnsi="Times New Roman" w:cs="Times New Roman"/>
                <w:b/>
                <w:sz w:val="21"/>
                <w:szCs w:val="21"/>
              </w:rPr>
              <w:t>准保护区</w:t>
            </w:r>
          </w:p>
        </w:tc>
        <w:tc>
          <w:tcPr>
            <w:tcW w:w="1822" w:type="dxa"/>
            <w:shd w:val="clear" w:color="auto" w:fill="auto"/>
            <w:vAlign w:val="center"/>
          </w:tcPr>
          <w:p>
            <w:pPr>
              <w:pStyle w:val="80"/>
              <w:rPr>
                <w:rFonts w:ascii="Times New Roman" w:hAnsi="Times New Roman" w:cs="Times New Roman"/>
                <w:b/>
                <w:sz w:val="21"/>
                <w:szCs w:val="21"/>
              </w:rPr>
            </w:pPr>
            <w:r>
              <w:rPr>
                <w:rFonts w:hint="eastAsia" w:ascii="Times New Roman" w:hAnsi="Times New Roman" w:cs="Times New Roman"/>
                <w:b/>
                <w:sz w:val="21"/>
                <w:szCs w:val="21"/>
              </w:rPr>
              <w:t>除保护区以外的调查范围区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trPr>
        <w:tc>
          <w:tcPr>
            <w:tcW w:w="879" w:type="dxa"/>
            <w:shd w:val="clear" w:color="auto" w:fill="auto"/>
            <w:vAlign w:val="center"/>
          </w:tcPr>
          <w:p>
            <w:pPr>
              <w:pStyle w:val="80"/>
              <w:rPr>
                <w:rFonts w:ascii="Times New Roman" w:hAnsi="Times New Roman" w:cs="Times New Roman"/>
                <w:sz w:val="21"/>
                <w:szCs w:val="21"/>
              </w:rPr>
            </w:pPr>
            <w:r>
              <w:rPr>
                <w:rFonts w:hint="eastAsia" w:ascii="Times New Roman" w:hAnsi="Times New Roman" w:cs="Times New Roman"/>
                <w:sz w:val="21"/>
                <w:szCs w:val="21"/>
              </w:rPr>
              <w:t>陆运</w:t>
            </w:r>
          </w:p>
        </w:tc>
        <w:tc>
          <w:tcPr>
            <w:tcW w:w="1846" w:type="dxa"/>
            <w:shd w:val="clear" w:color="auto" w:fill="auto"/>
            <w:vAlign w:val="center"/>
          </w:tcPr>
          <w:p>
            <w:pPr>
              <w:pStyle w:val="80"/>
              <w:rPr>
                <w:rFonts w:ascii="Times New Roman" w:hAnsi="Times New Roman" w:cs="Times New Roman"/>
                <w:sz w:val="21"/>
                <w:szCs w:val="21"/>
              </w:rPr>
            </w:pPr>
            <w:r>
              <w:rPr>
                <w:rFonts w:hint="eastAsia" w:ascii="Times New Roman" w:hAnsi="Times New Roman" w:cs="Times New Roman"/>
                <w:sz w:val="21"/>
                <w:szCs w:val="21"/>
              </w:rPr>
              <w:t>S61上跨北干渠</w:t>
            </w:r>
          </w:p>
          <w:p>
            <w:pPr>
              <w:pStyle w:val="80"/>
              <w:rPr>
                <w:rFonts w:ascii="Times New Roman" w:hAnsi="Times New Roman" w:cs="Times New Roman"/>
                <w:sz w:val="21"/>
                <w:szCs w:val="21"/>
              </w:rPr>
            </w:pPr>
            <w:r>
              <w:rPr>
                <w:rFonts w:hint="eastAsia" w:ascii="Times New Roman" w:hAnsi="Times New Roman" w:cs="Times New Roman"/>
                <w:sz w:val="21"/>
                <w:szCs w:val="21"/>
              </w:rPr>
              <w:t>X034上跨北干渠</w:t>
            </w:r>
          </w:p>
        </w:tc>
        <w:tc>
          <w:tcPr>
            <w:tcW w:w="2715" w:type="dxa"/>
            <w:shd w:val="clear" w:color="auto" w:fill="auto"/>
            <w:vAlign w:val="center"/>
          </w:tcPr>
          <w:p>
            <w:pPr>
              <w:widowControl/>
              <w:snapToGrid w:val="0"/>
              <w:spacing w:line="240" w:lineRule="auto"/>
              <w:ind w:firstLine="0" w:firstLineChars="0"/>
              <w:jc w:val="center"/>
              <w:rPr>
                <w:kern w:val="0"/>
                <w:sz w:val="21"/>
                <w:szCs w:val="21"/>
              </w:rPr>
            </w:pPr>
            <w:r>
              <w:rPr>
                <w:rFonts w:hint="eastAsia"/>
                <w:kern w:val="0"/>
                <w:sz w:val="21"/>
                <w:szCs w:val="21"/>
              </w:rPr>
              <w:t>X034穿过铁山水库二级保护区</w:t>
            </w:r>
          </w:p>
        </w:tc>
        <w:tc>
          <w:tcPr>
            <w:tcW w:w="1260" w:type="dxa"/>
            <w:shd w:val="clear" w:color="auto" w:fill="auto"/>
            <w:vAlign w:val="center"/>
          </w:tcPr>
          <w:p>
            <w:pPr>
              <w:pStyle w:val="80"/>
              <w:rPr>
                <w:rFonts w:ascii="Times New Roman" w:hAnsi="Times New Roman" w:cs="Times New Roman"/>
                <w:sz w:val="21"/>
                <w:szCs w:val="21"/>
              </w:rPr>
            </w:pPr>
            <w:r>
              <w:rPr>
                <w:rFonts w:hint="eastAsia" w:ascii="Times New Roman" w:hAnsi="Times New Roman" w:cs="Times New Roman"/>
                <w:sz w:val="21"/>
                <w:szCs w:val="21"/>
              </w:rPr>
              <w:t>无</w:t>
            </w:r>
          </w:p>
        </w:tc>
        <w:tc>
          <w:tcPr>
            <w:tcW w:w="1822" w:type="dxa"/>
            <w:shd w:val="clear" w:color="auto" w:fill="auto"/>
            <w:vAlign w:val="center"/>
          </w:tcPr>
          <w:p>
            <w:pPr>
              <w:pStyle w:val="80"/>
              <w:rPr>
                <w:rFonts w:ascii="Times New Roman" w:hAnsi="Times New Roman" w:cs="Times New Roman"/>
                <w:sz w:val="21"/>
                <w:szCs w:val="21"/>
              </w:rPr>
            </w:pPr>
            <w:r>
              <w:rPr>
                <w:rFonts w:hint="eastAsia" w:ascii="Times New Roman" w:hAnsi="Times New Roman" w:cs="Times New Roman"/>
                <w:sz w:val="21"/>
                <w:szCs w:val="21"/>
              </w:rPr>
              <w:t>无</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trPr>
        <w:tc>
          <w:tcPr>
            <w:tcW w:w="879" w:type="dxa"/>
            <w:shd w:val="clear" w:color="auto" w:fill="auto"/>
            <w:vAlign w:val="center"/>
          </w:tcPr>
          <w:p>
            <w:pPr>
              <w:pStyle w:val="80"/>
              <w:rPr>
                <w:rFonts w:ascii="Times New Roman" w:hAnsi="Times New Roman" w:cs="Times New Roman"/>
                <w:sz w:val="21"/>
                <w:szCs w:val="21"/>
              </w:rPr>
            </w:pPr>
            <w:r>
              <w:rPr>
                <w:rFonts w:hint="eastAsia" w:ascii="Times New Roman" w:hAnsi="Times New Roman" w:cs="Times New Roman"/>
                <w:sz w:val="21"/>
                <w:szCs w:val="21"/>
              </w:rPr>
              <w:t>船舶</w:t>
            </w:r>
          </w:p>
        </w:tc>
        <w:tc>
          <w:tcPr>
            <w:tcW w:w="1846" w:type="dxa"/>
            <w:shd w:val="clear" w:color="auto" w:fill="auto"/>
            <w:vAlign w:val="center"/>
          </w:tcPr>
          <w:p>
            <w:pPr>
              <w:pStyle w:val="80"/>
              <w:rPr>
                <w:rFonts w:ascii="Times New Roman" w:hAnsi="Times New Roman" w:cs="Times New Roman"/>
                <w:sz w:val="21"/>
                <w:szCs w:val="21"/>
              </w:rPr>
            </w:pPr>
            <w:r>
              <w:rPr>
                <w:rFonts w:hint="eastAsia" w:ascii="Times New Roman" w:hAnsi="Times New Roman" w:cs="Times New Roman"/>
                <w:sz w:val="21"/>
                <w:szCs w:val="21"/>
              </w:rPr>
              <w:t>无</w:t>
            </w:r>
          </w:p>
        </w:tc>
        <w:tc>
          <w:tcPr>
            <w:tcW w:w="2715" w:type="dxa"/>
            <w:shd w:val="clear" w:color="auto" w:fill="auto"/>
            <w:vAlign w:val="center"/>
          </w:tcPr>
          <w:p>
            <w:pPr>
              <w:pStyle w:val="80"/>
              <w:rPr>
                <w:rFonts w:ascii="Times New Roman" w:hAnsi="Times New Roman" w:cs="Times New Roman"/>
                <w:sz w:val="21"/>
                <w:szCs w:val="21"/>
              </w:rPr>
            </w:pPr>
            <w:r>
              <w:rPr>
                <w:rFonts w:hint="eastAsia" w:ascii="Times New Roman" w:hAnsi="Times New Roman" w:cs="Times New Roman"/>
                <w:sz w:val="21"/>
                <w:szCs w:val="21"/>
              </w:rPr>
              <w:t>无</w:t>
            </w:r>
          </w:p>
        </w:tc>
        <w:tc>
          <w:tcPr>
            <w:tcW w:w="1260" w:type="dxa"/>
            <w:shd w:val="clear" w:color="auto" w:fill="auto"/>
            <w:vAlign w:val="center"/>
          </w:tcPr>
          <w:p>
            <w:pPr>
              <w:pStyle w:val="80"/>
              <w:rPr>
                <w:rFonts w:ascii="Times New Roman" w:hAnsi="Times New Roman" w:cs="Times New Roman"/>
                <w:sz w:val="21"/>
                <w:szCs w:val="21"/>
              </w:rPr>
            </w:pPr>
            <w:r>
              <w:rPr>
                <w:rFonts w:hint="eastAsia" w:ascii="Times New Roman" w:hAnsi="Times New Roman" w:cs="Times New Roman"/>
                <w:sz w:val="21"/>
                <w:szCs w:val="21"/>
              </w:rPr>
              <w:t>无</w:t>
            </w:r>
          </w:p>
        </w:tc>
        <w:tc>
          <w:tcPr>
            <w:tcW w:w="1822" w:type="dxa"/>
            <w:shd w:val="clear" w:color="auto" w:fill="auto"/>
            <w:vAlign w:val="center"/>
          </w:tcPr>
          <w:p>
            <w:pPr>
              <w:pStyle w:val="80"/>
              <w:rPr>
                <w:rFonts w:ascii="Times New Roman" w:hAnsi="Times New Roman" w:cs="Times New Roman"/>
                <w:sz w:val="21"/>
                <w:szCs w:val="21"/>
              </w:rPr>
            </w:pPr>
            <w:r>
              <w:rPr>
                <w:rFonts w:hint="eastAsia" w:ascii="Times New Roman" w:hAnsi="Times New Roman" w:cs="Times New Roman"/>
                <w:sz w:val="21"/>
                <w:szCs w:val="21"/>
              </w:rPr>
              <w:t>无</w:t>
            </w:r>
          </w:p>
        </w:tc>
      </w:tr>
    </w:tbl>
    <w:p>
      <w:pPr>
        <w:widowControl/>
        <w:ind w:firstLine="482"/>
        <w:jc w:val="center"/>
        <w:rPr>
          <w:b/>
          <w:color w:val="000000" w:themeColor="text1"/>
          <w:kern w:val="0"/>
        </w:rPr>
        <w:sectPr>
          <w:pgSz w:w="11906" w:h="16838"/>
          <w:pgMar w:top="1440" w:right="1800" w:bottom="1440" w:left="1800" w:header="851" w:footer="992" w:gutter="0"/>
          <w:cols w:space="720" w:num="1"/>
          <w:docGrid w:type="lines" w:linePitch="312" w:charSpace="0"/>
        </w:sectPr>
      </w:pPr>
    </w:p>
    <w:p>
      <w:pPr>
        <w:widowControl/>
        <w:ind w:firstLine="422"/>
        <w:jc w:val="center"/>
        <w:rPr>
          <w:b/>
          <w:color w:val="000000" w:themeColor="text1"/>
          <w:kern w:val="0"/>
          <w:sz w:val="21"/>
          <w:szCs w:val="21"/>
        </w:rPr>
      </w:pPr>
      <w:r>
        <w:rPr>
          <w:b/>
          <w:color w:val="000000" w:themeColor="text1"/>
          <w:kern w:val="0"/>
          <w:sz w:val="21"/>
          <w:szCs w:val="21"/>
        </w:rPr>
        <w:t>表4-</w:t>
      </w:r>
      <w:r>
        <w:rPr>
          <w:rFonts w:hint="eastAsia"/>
          <w:b/>
          <w:color w:val="000000" w:themeColor="text1"/>
          <w:kern w:val="0"/>
          <w:sz w:val="21"/>
          <w:szCs w:val="21"/>
        </w:rPr>
        <w:t>7</w:t>
      </w:r>
      <w:r>
        <w:rPr>
          <w:b/>
          <w:color w:val="000000" w:themeColor="text1"/>
          <w:kern w:val="0"/>
          <w:sz w:val="21"/>
          <w:szCs w:val="21"/>
        </w:rPr>
        <w:t xml:space="preserve">  流动源评价指标及评分值（F</w:t>
      </w:r>
      <w:r>
        <w:rPr>
          <w:b/>
          <w:color w:val="000000" w:themeColor="text1"/>
          <w:kern w:val="0"/>
          <w:sz w:val="21"/>
          <w:szCs w:val="21"/>
          <w:vertAlign w:val="subscript"/>
        </w:rPr>
        <w:t>f</w:t>
      </w:r>
      <w:r>
        <w:rPr>
          <w:b/>
          <w:color w:val="000000" w:themeColor="text1"/>
          <w:kern w:val="0"/>
          <w:sz w:val="21"/>
          <w:szCs w:val="21"/>
        </w:rPr>
        <w:t>）</w:t>
      </w:r>
    </w:p>
    <w:tbl>
      <w:tblPr>
        <w:tblStyle w:val="47"/>
        <w:tblW w:w="14174" w:type="dxa"/>
        <w:jc w:val="center"/>
        <w:tblInd w:w="0" w:type="dxa"/>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
      <w:tblGrid>
        <w:gridCol w:w="786"/>
        <w:gridCol w:w="1233"/>
        <w:gridCol w:w="779"/>
        <w:gridCol w:w="1129"/>
        <w:gridCol w:w="660"/>
        <w:gridCol w:w="14"/>
        <w:gridCol w:w="1701"/>
        <w:gridCol w:w="14"/>
        <w:gridCol w:w="727"/>
        <w:gridCol w:w="1639"/>
        <w:gridCol w:w="712"/>
        <w:gridCol w:w="2132"/>
        <w:gridCol w:w="737"/>
        <w:gridCol w:w="1290"/>
        <w:gridCol w:w="621"/>
      </w:tblGrid>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jc w:val="center"/>
        </w:trPr>
        <w:tc>
          <w:tcPr>
            <w:tcW w:w="786" w:type="dxa"/>
            <w:vMerge w:val="restart"/>
            <w:tcBorders>
              <w:tl2br w:val="nil"/>
              <w:tr2bl w:val="nil"/>
            </w:tcBorders>
            <w:vAlign w:val="center"/>
          </w:tcPr>
          <w:p>
            <w:pPr>
              <w:widowControl/>
              <w:snapToGrid w:val="0"/>
              <w:spacing w:line="240" w:lineRule="auto"/>
              <w:ind w:firstLine="0" w:firstLineChars="0"/>
              <w:jc w:val="center"/>
              <w:rPr>
                <w:color w:val="000000" w:themeColor="text1"/>
                <w:kern w:val="0"/>
                <w:sz w:val="18"/>
                <w:szCs w:val="18"/>
              </w:rPr>
            </w:pPr>
            <w:r>
              <w:rPr>
                <w:rFonts w:hint="eastAsia"/>
                <w:color w:val="000000" w:themeColor="text1"/>
                <w:kern w:val="0"/>
                <w:sz w:val="18"/>
                <w:szCs w:val="18"/>
              </w:rPr>
              <w:t>风险源</w:t>
            </w:r>
          </w:p>
        </w:tc>
        <w:tc>
          <w:tcPr>
            <w:tcW w:w="3801" w:type="dxa"/>
            <w:gridSpan w:val="4"/>
            <w:tcBorders>
              <w:tl2br w:val="nil"/>
              <w:tr2bl w:val="nil"/>
            </w:tcBorders>
            <w:vAlign w:val="center"/>
          </w:tcPr>
          <w:p>
            <w:pPr>
              <w:widowControl/>
              <w:snapToGrid w:val="0"/>
              <w:spacing w:line="240" w:lineRule="auto"/>
              <w:ind w:firstLine="0" w:firstLineChars="0"/>
              <w:jc w:val="center"/>
              <w:rPr>
                <w:color w:val="000000" w:themeColor="text1"/>
                <w:kern w:val="0"/>
                <w:sz w:val="18"/>
                <w:szCs w:val="18"/>
              </w:rPr>
            </w:pPr>
            <w:r>
              <w:rPr>
                <w:rFonts w:hint="eastAsia"/>
                <w:color w:val="000000" w:themeColor="text1"/>
                <w:kern w:val="0"/>
                <w:sz w:val="18"/>
                <w:szCs w:val="18"/>
              </w:rPr>
              <w:t>一级保护区</w:t>
            </w:r>
          </w:p>
        </w:tc>
        <w:tc>
          <w:tcPr>
            <w:tcW w:w="4807" w:type="dxa"/>
            <w:gridSpan w:val="6"/>
            <w:tcBorders>
              <w:tl2br w:val="nil"/>
              <w:tr2bl w:val="nil"/>
            </w:tcBorders>
            <w:vAlign w:val="center"/>
          </w:tcPr>
          <w:p>
            <w:pPr>
              <w:widowControl/>
              <w:snapToGrid w:val="0"/>
              <w:spacing w:line="240" w:lineRule="auto"/>
              <w:ind w:firstLine="0" w:firstLineChars="0"/>
              <w:jc w:val="center"/>
              <w:rPr>
                <w:color w:val="000000" w:themeColor="text1"/>
                <w:kern w:val="0"/>
                <w:sz w:val="18"/>
                <w:szCs w:val="18"/>
              </w:rPr>
            </w:pPr>
            <w:r>
              <w:rPr>
                <w:rFonts w:hint="eastAsia"/>
                <w:color w:val="000000" w:themeColor="text1"/>
                <w:kern w:val="0"/>
                <w:sz w:val="18"/>
                <w:szCs w:val="18"/>
              </w:rPr>
              <w:t>二级保护区</w:t>
            </w:r>
          </w:p>
        </w:tc>
        <w:tc>
          <w:tcPr>
            <w:tcW w:w="4780" w:type="dxa"/>
            <w:gridSpan w:val="4"/>
            <w:tcBorders>
              <w:tl2br w:val="nil"/>
              <w:tr2bl w:val="nil"/>
            </w:tcBorders>
            <w:vAlign w:val="center"/>
          </w:tcPr>
          <w:p>
            <w:pPr>
              <w:widowControl/>
              <w:snapToGrid w:val="0"/>
              <w:spacing w:line="240" w:lineRule="auto"/>
              <w:ind w:firstLine="0" w:firstLineChars="0"/>
              <w:jc w:val="center"/>
              <w:rPr>
                <w:color w:val="000000" w:themeColor="text1"/>
                <w:kern w:val="0"/>
                <w:sz w:val="18"/>
                <w:szCs w:val="18"/>
              </w:rPr>
            </w:pPr>
            <w:r>
              <w:rPr>
                <w:rFonts w:hint="eastAsia"/>
                <w:color w:val="000000" w:themeColor="text1"/>
                <w:kern w:val="0"/>
                <w:sz w:val="18"/>
                <w:szCs w:val="18"/>
              </w:rPr>
              <w:t>准保护区</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jc w:val="center"/>
        </w:trPr>
        <w:tc>
          <w:tcPr>
            <w:tcW w:w="786" w:type="dxa"/>
            <w:vMerge w:val="continue"/>
            <w:tcBorders>
              <w:tl2br w:val="nil"/>
              <w:tr2bl w:val="nil"/>
            </w:tcBorders>
            <w:vAlign w:val="center"/>
          </w:tcPr>
          <w:p>
            <w:pPr>
              <w:widowControl/>
              <w:snapToGrid w:val="0"/>
              <w:spacing w:line="240" w:lineRule="auto"/>
              <w:ind w:firstLine="0" w:firstLineChars="0"/>
              <w:jc w:val="center"/>
              <w:rPr>
                <w:color w:val="000000" w:themeColor="text1"/>
                <w:kern w:val="0"/>
                <w:sz w:val="18"/>
                <w:szCs w:val="18"/>
              </w:rPr>
            </w:pPr>
          </w:p>
        </w:tc>
        <w:tc>
          <w:tcPr>
            <w:tcW w:w="1233" w:type="dxa"/>
            <w:tcBorders>
              <w:tl2br w:val="nil"/>
              <w:tr2bl w:val="nil"/>
            </w:tcBorders>
            <w:vAlign w:val="center"/>
          </w:tcPr>
          <w:p>
            <w:pPr>
              <w:widowControl/>
              <w:snapToGrid w:val="0"/>
              <w:spacing w:line="240" w:lineRule="auto"/>
              <w:ind w:firstLine="0" w:firstLineChars="0"/>
              <w:jc w:val="center"/>
              <w:rPr>
                <w:color w:val="000000" w:themeColor="text1"/>
                <w:kern w:val="0"/>
                <w:sz w:val="18"/>
                <w:szCs w:val="18"/>
              </w:rPr>
            </w:pPr>
            <w:r>
              <w:rPr>
                <w:rFonts w:hint="eastAsia"/>
                <w:color w:val="000000" w:themeColor="text1"/>
                <w:kern w:val="0"/>
                <w:sz w:val="18"/>
                <w:szCs w:val="18"/>
              </w:rPr>
              <w:t>指标值</w:t>
            </w:r>
          </w:p>
        </w:tc>
        <w:tc>
          <w:tcPr>
            <w:tcW w:w="779" w:type="dxa"/>
            <w:tcBorders>
              <w:tl2br w:val="nil"/>
              <w:tr2bl w:val="nil"/>
            </w:tcBorders>
            <w:vAlign w:val="center"/>
          </w:tcPr>
          <w:p>
            <w:pPr>
              <w:widowControl/>
              <w:snapToGrid w:val="0"/>
              <w:spacing w:line="240" w:lineRule="auto"/>
              <w:ind w:firstLine="0" w:firstLineChars="0"/>
              <w:jc w:val="center"/>
              <w:rPr>
                <w:color w:val="000000" w:themeColor="text1"/>
                <w:kern w:val="0"/>
                <w:sz w:val="18"/>
                <w:szCs w:val="18"/>
              </w:rPr>
            </w:pPr>
            <w:r>
              <w:rPr>
                <w:rFonts w:hint="eastAsia"/>
                <w:color w:val="000000" w:themeColor="text1"/>
                <w:kern w:val="0"/>
                <w:sz w:val="18"/>
                <w:szCs w:val="18"/>
              </w:rPr>
              <w:t>评分值（F</w:t>
            </w:r>
            <w:r>
              <w:rPr>
                <w:rFonts w:hint="eastAsia"/>
                <w:color w:val="000000" w:themeColor="text1"/>
                <w:kern w:val="0"/>
                <w:sz w:val="18"/>
                <w:szCs w:val="18"/>
                <w:vertAlign w:val="subscript"/>
              </w:rPr>
              <w:t>1</w:t>
            </w:r>
            <w:r>
              <w:rPr>
                <w:rFonts w:hint="eastAsia"/>
                <w:color w:val="000000" w:themeColor="text1"/>
                <w:kern w:val="0"/>
                <w:sz w:val="18"/>
                <w:szCs w:val="18"/>
              </w:rPr>
              <w:t>）</w:t>
            </w:r>
          </w:p>
        </w:tc>
        <w:tc>
          <w:tcPr>
            <w:tcW w:w="1129" w:type="dxa"/>
            <w:tcBorders>
              <w:tl2br w:val="nil"/>
              <w:tr2bl w:val="nil"/>
            </w:tcBorders>
            <w:vAlign w:val="center"/>
          </w:tcPr>
          <w:p>
            <w:pPr>
              <w:adjustRightInd w:val="0"/>
              <w:snapToGrid w:val="0"/>
              <w:spacing w:line="240" w:lineRule="auto"/>
              <w:ind w:firstLine="0" w:firstLineChars="0"/>
              <w:jc w:val="center"/>
              <w:rPr>
                <w:b/>
                <w:color w:val="000000" w:themeColor="text1"/>
                <w:sz w:val="18"/>
                <w:szCs w:val="18"/>
              </w:rPr>
            </w:pPr>
            <w:r>
              <w:rPr>
                <w:rFonts w:hint="eastAsia"/>
                <w:b/>
                <w:color w:val="000000" w:themeColor="text1"/>
                <w:sz w:val="18"/>
                <w:szCs w:val="18"/>
              </w:rPr>
              <w:t>现状描述</w:t>
            </w:r>
          </w:p>
        </w:tc>
        <w:tc>
          <w:tcPr>
            <w:tcW w:w="660" w:type="dxa"/>
            <w:tcBorders>
              <w:tl2br w:val="nil"/>
              <w:tr2bl w:val="nil"/>
            </w:tcBorders>
            <w:vAlign w:val="center"/>
          </w:tcPr>
          <w:p>
            <w:pPr>
              <w:adjustRightInd w:val="0"/>
              <w:snapToGrid w:val="0"/>
              <w:spacing w:line="240" w:lineRule="auto"/>
              <w:ind w:firstLine="0" w:firstLineChars="0"/>
              <w:jc w:val="center"/>
              <w:rPr>
                <w:b/>
                <w:color w:val="000000" w:themeColor="text1"/>
                <w:sz w:val="18"/>
                <w:szCs w:val="18"/>
              </w:rPr>
            </w:pPr>
            <w:r>
              <w:rPr>
                <w:rFonts w:hint="eastAsia"/>
                <w:b/>
                <w:color w:val="000000" w:themeColor="text1"/>
                <w:sz w:val="18"/>
                <w:szCs w:val="18"/>
              </w:rPr>
              <w:t>评分</w:t>
            </w:r>
          </w:p>
        </w:tc>
        <w:tc>
          <w:tcPr>
            <w:tcW w:w="1715" w:type="dxa"/>
            <w:gridSpan w:val="2"/>
            <w:tcBorders>
              <w:tl2br w:val="nil"/>
              <w:tr2bl w:val="nil"/>
            </w:tcBorders>
            <w:vAlign w:val="center"/>
          </w:tcPr>
          <w:p>
            <w:pPr>
              <w:widowControl/>
              <w:snapToGrid w:val="0"/>
              <w:spacing w:line="240" w:lineRule="auto"/>
              <w:ind w:firstLine="0" w:firstLineChars="0"/>
              <w:jc w:val="center"/>
              <w:rPr>
                <w:color w:val="000000" w:themeColor="text1"/>
                <w:kern w:val="0"/>
                <w:sz w:val="18"/>
                <w:szCs w:val="18"/>
              </w:rPr>
            </w:pPr>
            <w:r>
              <w:rPr>
                <w:rFonts w:hint="eastAsia"/>
                <w:color w:val="000000" w:themeColor="text1"/>
                <w:kern w:val="0"/>
                <w:sz w:val="18"/>
                <w:szCs w:val="18"/>
              </w:rPr>
              <w:t>指标值</w:t>
            </w:r>
          </w:p>
        </w:tc>
        <w:tc>
          <w:tcPr>
            <w:tcW w:w="741" w:type="dxa"/>
            <w:gridSpan w:val="2"/>
            <w:tcBorders>
              <w:tl2br w:val="nil"/>
              <w:tr2bl w:val="nil"/>
            </w:tcBorders>
            <w:vAlign w:val="center"/>
          </w:tcPr>
          <w:p>
            <w:pPr>
              <w:widowControl/>
              <w:snapToGrid w:val="0"/>
              <w:spacing w:line="240" w:lineRule="auto"/>
              <w:ind w:firstLine="0" w:firstLineChars="0"/>
              <w:jc w:val="center"/>
              <w:rPr>
                <w:color w:val="000000" w:themeColor="text1"/>
                <w:kern w:val="0"/>
                <w:sz w:val="18"/>
                <w:szCs w:val="18"/>
              </w:rPr>
            </w:pPr>
            <w:r>
              <w:rPr>
                <w:rFonts w:hint="eastAsia"/>
                <w:color w:val="000000" w:themeColor="text1"/>
                <w:kern w:val="0"/>
                <w:sz w:val="18"/>
                <w:szCs w:val="18"/>
              </w:rPr>
              <w:t>评分值（F</w:t>
            </w:r>
            <w:r>
              <w:rPr>
                <w:rFonts w:hint="eastAsia"/>
                <w:color w:val="000000" w:themeColor="text1"/>
                <w:kern w:val="0"/>
                <w:sz w:val="18"/>
                <w:szCs w:val="18"/>
                <w:vertAlign w:val="subscript"/>
              </w:rPr>
              <w:t>2</w:t>
            </w:r>
            <w:r>
              <w:rPr>
                <w:rFonts w:hint="eastAsia"/>
                <w:color w:val="000000" w:themeColor="text1"/>
                <w:kern w:val="0"/>
                <w:sz w:val="18"/>
                <w:szCs w:val="18"/>
              </w:rPr>
              <w:t>）</w:t>
            </w:r>
          </w:p>
        </w:tc>
        <w:tc>
          <w:tcPr>
            <w:tcW w:w="1639" w:type="dxa"/>
            <w:tcBorders>
              <w:tl2br w:val="nil"/>
              <w:tr2bl w:val="nil"/>
            </w:tcBorders>
            <w:vAlign w:val="center"/>
          </w:tcPr>
          <w:p>
            <w:pPr>
              <w:adjustRightInd w:val="0"/>
              <w:snapToGrid w:val="0"/>
              <w:spacing w:line="240" w:lineRule="auto"/>
              <w:ind w:firstLine="0" w:firstLineChars="0"/>
              <w:jc w:val="center"/>
              <w:rPr>
                <w:b/>
                <w:color w:val="000000" w:themeColor="text1"/>
                <w:sz w:val="18"/>
                <w:szCs w:val="18"/>
              </w:rPr>
            </w:pPr>
            <w:r>
              <w:rPr>
                <w:rFonts w:hint="eastAsia"/>
                <w:b/>
                <w:color w:val="000000" w:themeColor="text1"/>
                <w:sz w:val="18"/>
                <w:szCs w:val="18"/>
              </w:rPr>
              <w:t>现状描述</w:t>
            </w:r>
          </w:p>
        </w:tc>
        <w:tc>
          <w:tcPr>
            <w:tcW w:w="712" w:type="dxa"/>
            <w:tcBorders>
              <w:tl2br w:val="nil"/>
              <w:tr2bl w:val="nil"/>
            </w:tcBorders>
            <w:vAlign w:val="center"/>
          </w:tcPr>
          <w:p>
            <w:pPr>
              <w:adjustRightInd w:val="0"/>
              <w:snapToGrid w:val="0"/>
              <w:spacing w:line="240" w:lineRule="auto"/>
              <w:ind w:firstLine="0" w:firstLineChars="0"/>
              <w:jc w:val="center"/>
              <w:rPr>
                <w:b/>
                <w:color w:val="000000" w:themeColor="text1"/>
                <w:sz w:val="18"/>
                <w:szCs w:val="18"/>
              </w:rPr>
            </w:pPr>
            <w:r>
              <w:rPr>
                <w:rFonts w:hint="eastAsia"/>
                <w:b/>
                <w:color w:val="000000" w:themeColor="text1"/>
                <w:sz w:val="18"/>
                <w:szCs w:val="18"/>
              </w:rPr>
              <w:t>评分</w:t>
            </w:r>
          </w:p>
        </w:tc>
        <w:tc>
          <w:tcPr>
            <w:tcW w:w="2132" w:type="dxa"/>
            <w:tcBorders>
              <w:tl2br w:val="nil"/>
              <w:tr2bl w:val="nil"/>
            </w:tcBorders>
            <w:vAlign w:val="center"/>
          </w:tcPr>
          <w:p>
            <w:pPr>
              <w:widowControl/>
              <w:snapToGrid w:val="0"/>
              <w:spacing w:line="240" w:lineRule="auto"/>
              <w:ind w:firstLine="0" w:firstLineChars="0"/>
              <w:jc w:val="center"/>
              <w:rPr>
                <w:color w:val="000000" w:themeColor="text1"/>
                <w:kern w:val="0"/>
                <w:sz w:val="18"/>
                <w:szCs w:val="18"/>
              </w:rPr>
            </w:pPr>
            <w:r>
              <w:rPr>
                <w:rFonts w:hint="eastAsia"/>
                <w:color w:val="000000" w:themeColor="text1"/>
                <w:kern w:val="0"/>
                <w:sz w:val="18"/>
                <w:szCs w:val="18"/>
              </w:rPr>
              <w:t>指标值</w:t>
            </w:r>
          </w:p>
        </w:tc>
        <w:tc>
          <w:tcPr>
            <w:tcW w:w="737" w:type="dxa"/>
            <w:tcBorders>
              <w:tl2br w:val="nil"/>
              <w:tr2bl w:val="nil"/>
            </w:tcBorders>
            <w:vAlign w:val="center"/>
          </w:tcPr>
          <w:p>
            <w:pPr>
              <w:widowControl/>
              <w:snapToGrid w:val="0"/>
              <w:spacing w:line="240" w:lineRule="auto"/>
              <w:ind w:firstLine="0" w:firstLineChars="0"/>
              <w:jc w:val="center"/>
              <w:rPr>
                <w:color w:val="000000" w:themeColor="text1"/>
                <w:kern w:val="0"/>
                <w:sz w:val="18"/>
                <w:szCs w:val="18"/>
              </w:rPr>
            </w:pPr>
            <w:r>
              <w:rPr>
                <w:rFonts w:hint="eastAsia"/>
                <w:color w:val="000000" w:themeColor="text1"/>
                <w:kern w:val="0"/>
                <w:sz w:val="18"/>
                <w:szCs w:val="18"/>
              </w:rPr>
              <w:t>评分值（F</w:t>
            </w:r>
            <w:r>
              <w:rPr>
                <w:rFonts w:hint="eastAsia"/>
                <w:color w:val="000000" w:themeColor="text1"/>
                <w:kern w:val="0"/>
                <w:sz w:val="18"/>
                <w:szCs w:val="18"/>
                <w:vertAlign w:val="subscript"/>
              </w:rPr>
              <w:t>3</w:t>
            </w:r>
            <w:r>
              <w:rPr>
                <w:rFonts w:hint="eastAsia"/>
                <w:color w:val="000000" w:themeColor="text1"/>
                <w:kern w:val="0"/>
                <w:sz w:val="18"/>
                <w:szCs w:val="18"/>
              </w:rPr>
              <w:t>）</w:t>
            </w:r>
          </w:p>
        </w:tc>
        <w:tc>
          <w:tcPr>
            <w:tcW w:w="1290" w:type="dxa"/>
            <w:tcBorders>
              <w:tl2br w:val="nil"/>
              <w:tr2bl w:val="nil"/>
            </w:tcBorders>
            <w:vAlign w:val="center"/>
          </w:tcPr>
          <w:p>
            <w:pPr>
              <w:adjustRightInd w:val="0"/>
              <w:snapToGrid w:val="0"/>
              <w:spacing w:line="240" w:lineRule="auto"/>
              <w:ind w:firstLine="0" w:firstLineChars="0"/>
              <w:jc w:val="center"/>
              <w:rPr>
                <w:b/>
                <w:color w:val="000000" w:themeColor="text1"/>
                <w:sz w:val="18"/>
                <w:szCs w:val="18"/>
              </w:rPr>
            </w:pPr>
            <w:r>
              <w:rPr>
                <w:rFonts w:hint="eastAsia"/>
                <w:b/>
                <w:color w:val="000000" w:themeColor="text1"/>
                <w:sz w:val="18"/>
                <w:szCs w:val="18"/>
              </w:rPr>
              <w:t>现状描述</w:t>
            </w:r>
          </w:p>
        </w:tc>
        <w:tc>
          <w:tcPr>
            <w:tcW w:w="621" w:type="dxa"/>
            <w:tcBorders>
              <w:tl2br w:val="nil"/>
              <w:tr2bl w:val="nil"/>
            </w:tcBorders>
            <w:vAlign w:val="center"/>
          </w:tcPr>
          <w:p>
            <w:pPr>
              <w:adjustRightInd w:val="0"/>
              <w:snapToGrid w:val="0"/>
              <w:spacing w:line="240" w:lineRule="auto"/>
              <w:ind w:firstLine="0" w:firstLineChars="0"/>
              <w:rPr>
                <w:b/>
                <w:color w:val="000000" w:themeColor="text1"/>
                <w:sz w:val="18"/>
                <w:szCs w:val="18"/>
              </w:rPr>
            </w:pPr>
            <w:r>
              <w:rPr>
                <w:rFonts w:hint="eastAsia"/>
                <w:b/>
                <w:color w:val="000000" w:themeColor="text1"/>
                <w:sz w:val="18"/>
                <w:szCs w:val="18"/>
              </w:rPr>
              <w:t>评分</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jc w:val="center"/>
        </w:trPr>
        <w:tc>
          <w:tcPr>
            <w:tcW w:w="786" w:type="dxa"/>
            <w:tcBorders>
              <w:tl2br w:val="nil"/>
              <w:tr2bl w:val="nil"/>
            </w:tcBorders>
            <w:vAlign w:val="center"/>
          </w:tcPr>
          <w:p>
            <w:pPr>
              <w:widowControl/>
              <w:snapToGrid w:val="0"/>
              <w:spacing w:line="240" w:lineRule="auto"/>
              <w:ind w:firstLine="0" w:firstLineChars="0"/>
              <w:jc w:val="center"/>
              <w:rPr>
                <w:color w:val="000000" w:themeColor="text1"/>
                <w:kern w:val="0"/>
                <w:sz w:val="18"/>
                <w:szCs w:val="18"/>
              </w:rPr>
            </w:pPr>
            <w:r>
              <w:rPr>
                <w:rFonts w:hint="eastAsia"/>
                <w:color w:val="000000" w:themeColor="text1"/>
                <w:kern w:val="0"/>
                <w:sz w:val="18"/>
                <w:szCs w:val="18"/>
              </w:rPr>
              <w:t>陆运</w:t>
            </w:r>
          </w:p>
        </w:tc>
        <w:tc>
          <w:tcPr>
            <w:tcW w:w="1233" w:type="dxa"/>
            <w:tcBorders>
              <w:tl2br w:val="nil"/>
              <w:tr2bl w:val="nil"/>
            </w:tcBorders>
            <w:vAlign w:val="center"/>
          </w:tcPr>
          <w:p>
            <w:pPr>
              <w:widowControl/>
              <w:snapToGrid w:val="0"/>
              <w:spacing w:line="240" w:lineRule="auto"/>
              <w:ind w:firstLine="0" w:firstLineChars="0"/>
              <w:jc w:val="center"/>
              <w:rPr>
                <w:color w:val="000000" w:themeColor="text1"/>
                <w:kern w:val="0"/>
                <w:sz w:val="18"/>
                <w:szCs w:val="18"/>
              </w:rPr>
            </w:pPr>
          </w:p>
          <w:p>
            <w:pPr>
              <w:widowControl/>
              <w:snapToGrid w:val="0"/>
              <w:spacing w:line="240" w:lineRule="auto"/>
              <w:ind w:firstLine="0" w:firstLineChars="0"/>
              <w:jc w:val="center"/>
              <w:rPr>
                <w:color w:val="000000" w:themeColor="text1"/>
                <w:kern w:val="0"/>
                <w:sz w:val="18"/>
                <w:szCs w:val="18"/>
              </w:rPr>
            </w:pPr>
            <w:r>
              <w:rPr>
                <w:rFonts w:hint="eastAsia"/>
                <w:color w:val="000000" w:themeColor="text1"/>
                <w:kern w:val="0"/>
                <w:sz w:val="18"/>
                <w:szCs w:val="18"/>
              </w:rPr>
              <w:t>无</w:t>
            </w:r>
          </w:p>
          <w:p>
            <w:pPr>
              <w:widowControl/>
              <w:snapToGrid w:val="0"/>
              <w:spacing w:line="240" w:lineRule="auto"/>
              <w:ind w:firstLine="0" w:firstLineChars="0"/>
              <w:jc w:val="center"/>
              <w:rPr>
                <w:color w:val="000000" w:themeColor="text1"/>
                <w:kern w:val="0"/>
                <w:sz w:val="18"/>
                <w:szCs w:val="18"/>
              </w:rPr>
            </w:pPr>
            <w:r>
              <w:rPr>
                <w:rFonts w:hint="eastAsia"/>
                <w:color w:val="000000" w:themeColor="text1"/>
                <w:kern w:val="0"/>
                <w:sz w:val="18"/>
                <w:szCs w:val="18"/>
              </w:rPr>
              <w:t>危险品运输或L＞2rd</w:t>
            </w:r>
          </w:p>
          <w:p>
            <w:pPr>
              <w:widowControl/>
              <w:snapToGrid w:val="0"/>
              <w:spacing w:line="240" w:lineRule="auto"/>
              <w:ind w:firstLine="0" w:firstLineChars="0"/>
              <w:jc w:val="center"/>
              <w:rPr>
                <w:color w:val="000000" w:themeColor="text1"/>
                <w:kern w:val="0"/>
                <w:sz w:val="18"/>
                <w:szCs w:val="18"/>
              </w:rPr>
            </w:pPr>
            <w:r>
              <w:rPr>
                <w:rFonts w:hint="eastAsia"/>
                <w:color w:val="000000" w:themeColor="text1"/>
                <w:kern w:val="0"/>
                <w:sz w:val="18"/>
                <w:szCs w:val="18"/>
              </w:rPr>
              <w:t>L＜2rd</w:t>
            </w:r>
          </w:p>
          <w:p>
            <w:pPr>
              <w:widowControl/>
              <w:snapToGrid w:val="0"/>
              <w:spacing w:line="240" w:lineRule="auto"/>
              <w:ind w:firstLine="0" w:firstLineChars="0"/>
              <w:jc w:val="center"/>
              <w:rPr>
                <w:color w:val="000000" w:themeColor="text1"/>
                <w:kern w:val="0"/>
                <w:sz w:val="18"/>
                <w:szCs w:val="18"/>
              </w:rPr>
            </w:pPr>
          </w:p>
        </w:tc>
        <w:tc>
          <w:tcPr>
            <w:tcW w:w="779" w:type="dxa"/>
            <w:tcBorders>
              <w:tl2br w:val="nil"/>
              <w:tr2bl w:val="nil"/>
            </w:tcBorders>
            <w:vAlign w:val="center"/>
          </w:tcPr>
          <w:p>
            <w:pPr>
              <w:widowControl/>
              <w:snapToGrid w:val="0"/>
              <w:spacing w:line="240" w:lineRule="auto"/>
              <w:ind w:firstLine="0" w:firstLineChars="0"/>
              <w:jc w:val="center"/>
              <w:rPr>
                <w:color w:val="000000" w:themeColor="text1"/>
                <w:kern w:val="0"/>
                <w:sz w:val="18"/>
                <w:szCs w:val="18"/>
              </w:rPr>
            </w:pPr>
          </w:p>
          <w:p>
            <w:pPr>
              <w:widowControl/>
              <w:snapToGrid w:val="0"/>
              <w:spacing w:line="240" w:lineRule="auto"/>
              <w:ind w:firstLine="0" w:firstLineChars="0"/>
              <w:jc w:val="center"/>
              <w:rPr>
                <w:color w:val="000000" w:themeColor="text1"/>
                <w:kern w:val="0"/>
                <w:sz w:val="18"/>
                <w:szCs w:val="18"/>
              </w:rPr>
            </w:pPr>
          </w:p>
          <w:p>
            <w:pPr>
              <w:widowControl/>
              <w:snapToGrid w:val="0"/>
              <w:spacing w:line="240" w:lineRule="auto"/>
              <w:ind w:firstLine="0" w:firstLineChars="0"/>
              <w:jc w:val="center"/>
              <w:rPr>
                <w:color w:val="000000" w:themeColor="text1"/>
                <w:kern w:val="0"/>
                <w:sz w:val="18"/>
                <w:szCs w:val="18"/>
              </w:rPr>
            </w:pPr>
            <w:r>
              <w:rPr>
                <w:rFonts w:hint="eastAsia"/>
                <w:color w:val="000000" w:themeColor="text1"/>
                <w:kern w:val="0"/>
                <w:sz w:val="18"/>
                <w:szCs w:val="18"/>
              </w:rPr>
              <w:t>0</w:t>
            </w:r>
          </w:p>
          <w:p>
            <w:pPr>
              <w:widowControl/>
              <w:snapToGrid w:val="0"/>
              <w:spacing w:line="240" w:lineRule="auto"/>
              <w:ind w:firstLine="0" w:firstLineChars="0"/>
              <w:jc w:val="center"/>
              <w:rPr>
                <w:color w:val="000000" w:themeColor="text1"/>
                <w:kern w:val="0"/>
                <w:sz w:val="18"/>
                <w:szCs w:val="18"/>
              </w:rPr>
            </w:pPr>
          </w:p>
          <w:p>
            <w:pPr>
              <w:widowControl/>
              <w:snapToGrid w:val="0"/>
              <w:spacing w:line="240" w:lineRule="auto"/>
              <w:ind w:firstLine="0" w:firstLineChars="0"/>
              <w:jc w:val="center"/>
              <w:rPr>
                <w:color w:val="000000" w:themeColor="text1"/>
                <w:kern w:val="0"/>
                <w:sz w:val="18"/>
                <w:szCs w:val="18"/>
              </w:rPr>
            </w:pPr>
            <w:r>
              <w:rPr>
                <w:rFonts w:hint="eastAsia"/>
                <w:color w:val="000000" w:themeColor="text1"/>
                <w:kern w:val="0"/>
                <w:sz w:val="18"/>
                <w:szCs w:val="18"/>
              </w:rPr>
              <w:t>10</w:t>
            </w:r>
          </w:p>
          <w:p>
            <w:pPr>
              <w:widowControl/>
              <w:snapToGrid w:val="0"/>
              <w:spacing w:line="240" w:lineRule="auto"/>
              <w:ind w:firstLine="0" w:firstLineChars="0"/>
              <w:jc w:val="center"/>
              <w:rPr>
                <w:color w:val="000000" w:themeColor="text1"/>
                <w:kern w:val="0"/>
                <w:sz w:val="18"/>
                <w:szCs w:val="18"/>
              </w:rPr>
            </w:pPr>
            <w:r>
              <w:rPr>
                <w:rFonts w:hint="eastAsia"/>
                <w:color w:val="000000" w:themeColor="text1"/>
                <w:kern w:val="0"/>
                <w:sz w:val="18"/>
                <w:szCs w:val="18"/>
              </w:rPr>
              <w:t>9</w:t>
            </w:r>
          </w:p>
          <w:p>
            <w:pPr>
              <w:widowControl/>
              <w:snapToGrid w:val="0"/>
              <w:spacing w:line="240" w:lineRule="auto"/>
              <w:ind w:firstLine="0" w:firstLineChars="0"/>
              <w:jc w:val="center"/>
              <w:rPr>
                <w:color w:val="000000" w:themeColor="text1"/>
                <w:kern w:val="0"/>
                <w:sz w:val="18"/>
                <w:szCs w:val="18"/>
              </w:rPr>
            </w:pPr>
          </w:p>
        </w:tc>
        <w:tc>
          <w:tcPr>
            <w:tcW w:w="1129" w:type="dxa"/>
            <w:tcBorders>
              <w:tl2br w:val="nil"/>
              <w:tr2bl w:val="nil"/>
            </w:tcBorders>
            <w:vAlign w:val="center"/>
          </w:tcPr>
          <w:p>
            <w:pPr>
              <w:widowControl/>
              <w:snapToGrid w:val="0"/>
              <w:spacing w:line="240" w:lineRule="auto"/>
              <w:ind w:firstLine="0" w:firstLineChars="0"/>
              <w:jc w:val="center"/>
              <w:rPr>
                <w:b/>
                <w:color w:val="000000" w:themeColor="text1"/>
                <w:kern w:val="0"/>
                <w:sz w:val="18"/>
                <w:szCs w:val="18"/>
              </w:rPr>
            </w:pPr>
            <w:r>
              <w:rPr>
                <w:rFonts w:hint="eastAsia"/>
                <w:b/>
                <w:bCs/>
                <w:color w:val="000000" w:themeColor="text1"/>
                <w:kern w:val="0"/>
                <w:sz w:val="18"/>
                <w:szCs w:val="18"/>
              </w:rPr>
              <w:t>L＜2rd</w:t>
            </w:r>
          </w:p>
        </w:tc>
        <w:tc>
          <w:tcPr>
            <w:tcW w:w="660" w:type="dxa"/>
            <w:tcBorders>
              <w:tl2br w:val="nil"/>
              <w:tr2bl w:val="nil"/>
            </w:tcBorders>
            <w:vAlign w:val="center"/>
          </w:tcPr>
          <w:p>
            <w:pPr>
              <w:widowControl/>
              <w:snapToGrid w:val="0"/>
              <w:spacing w:line="240" w:lineRule="auto"/>
              <w:ind w:firstLine="0" w:firstLineChars="0"/>
              <w:jc w:val="center"/>
              <w:rPr>
                <w:b/>
                <w:color w:val="000000" w:themeColor="text1"/>
                <w:kern w:val="0"/>
                <w:sz w:val="18"/>
                <w:szCs w:val="18"/>
              </w:rPr>
            </w:pPr>
            <w:r>
              <w:rPr>
                <w:rFonts w:hint="eastAsia"/>
                <w:b/>
                <w:color w:val="000000" w:themeColor="text1"/>
                <w:kern w:val="0"/>
                <w:sz w:val="18"/>
                <w:szCs w:val="18"/>
              </w:rPr>
              <w:t>9</w:t>
            </w:r>
          </w:p>
        </w:tc>
        <w:tc>
          <w:tcPr>
            <w:tcW w:w="1715" w:type="dxa"/>
            <w:gridSpan w:val="2"/>
            <w:tcBorders>
              <w:tl2br w:val="nil"/>
              <w:tr2bl w:val="nil"/>
            </w:tcBorders>
            <w:vAlign w:val="center"/>
          </w:tcPr>
          <w:p>
            <w:pPr>
              <w:widowControl/>
              <w:snapToGrid w:val="0"/>
              <w:spacing w:line="240" w:lineRule="auto"/>
              <w:ind w:firstLine="0" w:firstLineChars="0"/>
              <w:jc w:val="center"/>
              <w:rPr>
                <w:color w:val="000000" w:themeColor="text1"/>
                <w:kern w:val="0"/>
                <w:sz w:val="18"/>
                <w:szCs w:val="18"/>
              </w:rPr>
            </w:pPr>
            <w:r>
              <w:rPr>
                <w:rFonts w:hint="eastAsia"/>
                <w:color w:val="000000" w:themeColor="text1"/>
                <w:kern w:val="0"/>
                <w:sz w:val="18"/>
                <w:szCs w:val="18"/>
              </w:rPr>
              <w:t>无</w:t>
            </w:r>
          </w:p>
          <w:p>
            <w:pPr>
              <w:widowControl/>
              <w:snapToGrid w:val="0"/>
              <w:spacing w:line="240" w:lineRule="auto"/>
              <w:ind w:firstLine="0" w:firstLineChars="0"/>
              <w:jc w:val="center"/>
              <w:rPr>
                <w:color w:val="000000" w:themeColor="text1"/>
                <w:kern w:val="0"/>
                <w:sz w:val="18"/>
                <w:szCs w:val="18"/>
              </w:rPr>
            </w:pPr>
            <w:r>
              <w:rPr>
                <w:rFonts w:hint="eastAsia"/>
                <w:color w:val="000000" w:themeColor="text1"/>
                <w:kern w:val="0"/>
                <w:sz w:val="18"/>
                <w:szCs w:val="18"/>
              </w:rPr>
              <w:t>有路仅可行走</w:t>
            </w:r>
          </w:p>
          <w:p>
            <w:pPr>
              <w:widowControl/>
              <w:snapToGrid w:val="0"/>
              <w:spacing w:line="240" w:lineRule="auto"/>
              <w:ind w:firstLine="0" w:firstLineChars="0"/>
              <w:jc w:val="center"/>
              <w:rPr>
                <w:color w:val="000000" w:themeColor="text1"/>
                <w:kern w:val="0"/>
                <w:sz w:val="18"/>
                <w:szCs w:val="18"/>
              </w:rPr>
            </w:pPr>
            <w:r>
              <w:rPr>
                <w:rFonts w:hint="eastAsia"/>
                <w:color w:val="000000" w:themeColor="text1"/>
                <w:kern w:val="0"/>
                <w:sz w:val="18"/>
                <w:szCs w:val="18"/>
              </w:rPr>
              <w:t>有路但不能通行机动车</w:t>
            </w:r>
          </w:p>
          <w:p>
            <w:pPr>
              <w:widowControl/>
              <w:snapToGrid w:val="0"/>
              <w:spacing w:line="240" w:lineRule="auto"/>
              <w:ind w:firstLine="0" w:firstLineChars="0"/>
              <w:jc w:val="center"/>
              <w:rPr>
                <w:color w:val="000000" w:themeColor="text1"/>
                <w:kern w:val="0"/>
                <w:sz w:val="18"/>
                <w:szCs w:val="18"/>
              </w:rPr>
            </w:pPr>
            <w:r>
              <w:rPr>
                <w:rFonts w:hint="eastAsia"/>
                <w:color w:val="000000" w:themeColor="text1"/>
                <w:kern w:val="0"/>
                <w:sz w:val="18"/>
                <w:szCs w:val="18"/>
              </w:rPr>
              <w:t>有机动车通行</w:t>
            </w:r>
          </w:p>
          <w:p>
            <w:pPr>
              <w:widowControl/>
              <w:snapToGrid w:val="0"/>
              <w:spacing w:line="240" w:lineRule="auto"/>
              <w:ind w:firstLine="0" w:firstLineChars="0"/>
              <w:jc w:val="center"/>
              <w:rPr>
                <w:color w:val="000000" w:themeColor="text1"/>
                <w:kern w:val="0"/>
                <w:sz w:val="18"/>
                <w:szCs w:val="18"/>
              </w:rPr>
            </w:pPr>
            <w:r>
              <w:rPr>
                <w:rFonts w:hint="eastAsia"/>
                <w:color w:val="000000" w:themeColor="text1"/>
                <w:kern w:val="0"/>
                <w:sz w:val="18"/>
                <w:szCs w:val="18"/>
              </w:rPr>
              <w:t>有运输路线且长度较短</w:t>
            </w:r>
          </w:p>
          <w:p>
            <w:pPr>
              <w:widowControl/>
              <w:snapToGrid w:val="0"/>
              <w:spacing w:line="240" w:lineRule="auto"/>
              <w:ind w:firstLine="0" w:firstLineChars="0"/>
              <w:jc w:val="center"/>
              <w:rPr>
                <w:color w:val="000000" w:themeColor="text1"/>
                <w:kern w:val="0"/>
                <w:sz w:val="18"/>
                <w:szCs w:val="18"/>
              </w:rPr>
            </w:pPr>
            <w:r>
              <w:rPr>
                <w:rFonts w:hint="eastAsia"/>
                <w:color w:val="000000" w:themeColor="text1"/>
                <w:kern w:val="0"/>
                <w:sz w:val="18"/>
                <w:szCs w:val="18"/>
              </w:rPr>
              <w:t>L＜rd</w:t>
            </w:r>
          </w:p>
          <w:p>
            <w:pPr>
              <w:widowControl/>
              <w:snapToGrid w:val="0"/>
              <w:spacing w:line="240" w:lineRule="auto"/>
              <w:ind w:firstLine="0" w:firstLineChars="0"/>
              <w:jc w:val="center"/>
              <w:rPr>
                <w:color w:val="000000" w:themeColor="text1"/>
                <w:kern w:val="0"/>
                <w:sz w:val="18"/>
                <w:szCs w:val="18"/>
              </w:rPr>
            </w:pPr>
            <w:r>
              <w:rPr>
                <w:rFonts w:hint="eastAsia"/>
                <w:color w:val="000000" w:themeColor="text1"/>
                <w:kern w:val="0"/>
                <w:sz w:val="18"/>
                <w:szCs w:val="18"/>
              </w:rPr>
              <w:t>rd＜L＜2rd；或有小型桥梁</w:t>
            </w:r>
          </w:p>
          <w:p>
            <w:pPr>
              <w:widowControl/>
              <w:snapToGrid w:val="0"/>
              <w:spacing w:line="240" w:lineRule="auto"/>
              <w:ind w:firstLine="0" w:firstLineChars="0"/>
              <w:jc w:val="center"/>
              <w:rPr>
                <w:color w:val="000000" w:themeColor="text1"/>
                <w:kern w:val="0"/>
                <w:sz w:val="18"/>
                <w:szCs w:val="18"/>
              </w:rPr>
            </w:pPr>
            <w:r>
              <w:rPr>
                <w:rFonts w:hint="eastAsia"/>
                <w:color w:val="000000" w:themeColor="text1"/>
                <w:kern w:val="0"/>
                <w:sz w:val="18"/>
                <w:szCs w:val="18"/>
              </w:rPr>
              <w:t>L＞2rd</w:t>
            </w:r>
          </w:p>
          <w:p>
            <w:pPr>
              <w:widowControl/>
              <w:snapToGrid w:val="0"/>
              <w:spacing w:line="240" w:lineRule="auto"/>
              <w:ind w:firstLine="0" w:firstLineChars="0"/>
              <w:jc w:val="center"/>
              <w:rPr>
                <w:color w:val="000000" w:themeColor="text1"/>
                <w:kern w:val="0"/>
                <w:sz w:val="18"/>
                <w:szCs w:val="18"/>
              </w:rPr>
            </w:pPr>
            <w:r>
              <w:rPr>
                <w:rFonts w:hint="eastAsia"/>
                <w:color w:val="000000" w:themeColor="text1"/>
                <w:kern w:val="0"/>
                <w:sz w:val="18"/>
                <w:szCs w:val="18"/>
              </w:rPr>
              <w:t>有危险品运输；或有单车道跨线桥有危险品运输且</w:t>
            </w:r>
          </w:p>
          <w:p>
            <w:pPr>
              <w:widowControl/>
              <w:snapToGrid w:val="0"/>
              <w:spacing w:line="240" w:lineRule="auto"/>
              <w:ind w:firstLine="0" w:firstLineChars="0"/>
              <w:jc w:val="center"/>
              <w:rPr>
                <w:color w:val="000000" w:themeColor="text1"/>
                <w:kern w:val="0"/>
                <w:sz w:val="18"/>
                <w:szCs w:val="18"/>
              </w:rPr>
            </w:pPr>
            <w:r>
              <w:rPr>
                <w:rFonts w:hint="eastAsia"/>
                <w:color w:val="000000" w:themeColor="text1"/>
                <w:kern w:val="0"/>
                <w:sz w:val="18"/>
                <w:szCs w:val="18"/>
              </w:rPr>
              <w:t>rd＜L＜2rd</w:t>
            </w:r>
          </w:p>
          <w:p>
            <w:pPr>
              <w:widowControl/>
              <w:snapToGrid w:val="0"/>
              <w:spacing w:line="240" w:lineRule="auto"/>
              <w:ind w:firstLine="0" w:firstLineChars="0"/>
              <w:jc w:val="center"/>
              <w:rPr>
                <w:color w:val="000000" w:themeColor="text1"/>
                <w:kern w:val="0"/>
                <w:sz w:val="18"/>
                <w:szCs w:val="18"/>
              </w:rPr>
            </w:pPr>
            <w:r>
              <w:rPr>
                <w:rFonts w:hint="eastAsia"/>
                <w:color w:val="000000" w:themeColor="text1"/>
                <w:kern w:val="0"/>
                <w:sz w:val="18"/>
                <w:szCs w:val="18"/>
              </w:rPr>
              <w:t>有危险品运输且</w:t>
            </w:r>
          </w:p>
          <w:p>
            <w:pPr>
              <w:widowControl/>
              <w:snapToGrid w:val="0"/>
              <w:spacing w:line="240" w:lineRule="auto"/>
              <w:ind w:firstLine="0" w:firstLineChars="0"/>
              <w:jc w:val="center"/>
              <w:rPr>
                <w:color w:val="000000" w:themeColor="text1"/>
                <w:kern w:val="0"/>
                <w:sz w:val="18"/>
                <w:szCs w:val="18"/>
              </w:rPr>
            </w:pPr>
            <w:r>
              <w:rPr>
                <w:rFonts w:hint="eastAsia"/>
                <w:color w:val="000000" w:themeColor="text1"/>
                <w:kern w:val="0"/>
                <w:sz w:val="18"/>
                <w:szCs w:val="18"/>
              </w:rPr>
              <w:t>L＞2rd</w:t>
            </w:r>
          </w:p>
        </w:tc>
        <w:tc>
          <w:tcPr>
            <w:tcW w:w="741" w:type="dxa"/>
            <w:gridSpan w:val="2"/>
            <w:tcBorders>
              <w:tl2br w:val="nil"/>
              <w:tr2bl w:val="nil"/>
            </w:tcBorders>
            <w:vAlign w:val="center"/>
          </w:tcPr>
          <w:p>
            <w:pPr>
              <w:widowControl/>
              <w:snapToGrid w:val="0"/>
              <w:spacing w:line="240" w:lineRule="auto"/>
              <w:ind w:firstLine="0" w:firstLineChars="0"/>
              <w:jc w:val="center"/>
              <w:rPr>
                <w:color w:val="000000" w:themeColor="text1"/>
                <w:kern w:val="0"/>
                <w:sz w:val="18"/>
                <w:szCs w:val="18"/>
              </w:rPr>
            </w:pPr>
            <w:r>
              <w:rPr>
                <w:rFonts w:hint="eastAsia"/>
                <w:color w:val="000000" w:themeColor="text1"/>
                <w:kern w:val="0"/>
                <w:sz w:val="18"/>
                <w:szCs w:val="18"/>
              </w:rPr>
              <w:t>0</w:t>
            </w:r>
          </w:p>
          <w:p>
            <w:pPr>
              <w:widowControl/>
              <w:snapToGrid w:val="0"/>
              <w:spacing w:line="240" w:lineRule="auto"/>
              <w:ind w:firstLine="0" w:firstLineChars="0"/>
              <w:jc w:val="center"/>
              <w:rPr>
                <w:color w:val="000000" w:themeColor="text1"/>
                <w:kern w:val="0"/>
                <w:sz w:val="18"/>
                <w:szCs w:val="18"/>
              </w:rPr>
            </w:pPr>
            <w:r>
              <w:rPr>
                <w:rFonts w:hint="eastAsia"/>
                <w:color w:val="000000" w:themeColor="text1"/>
                <w:kern w:val="0"/>
                <w:sz w:val="18"/>
                <w:szCs w:val="18"/>
              </w:rPr>
              <w:t>1</w:t>
            </w:r>
          </w:p>
          <w:p>
            <w:pPr>
              <w:widowControl/>
              <w:snapToGrid w:val="0"/>
              <w:spacing w:line="240" w:lineRule="auto"/>
              <w:ind w:firstLine="0" w:firstLineChars="0"/>
              <w:jc w:val="center"/>
              <w:rPr>
                <w:color w:val="000000" w:themeColor="text1"/>
                <w:kern w:val="0"/>
                <w:sz w:val="18"/>
                <w:szCs w:val="18"/>
              </w:rPr>
            </w:pPr>
            <w:r>
              <w:rPr>
                <w:rFonts w:hint="eastAsia"/>
                <w:color w:val="000000" w:themeColor="text1"/>
                <w:kern w:val="0"/>
                <w:sz w:val="18"/>
                <w:szCs w:val="18"/>
              </w:rPr>
              <w:t>2</w:t>
            </w:r>
          </w:p>
          <w:p>
            <w:pPr>
              <w:widowControl/>
              <w:snapToGrid w:val="0"/>
              <w:spacing w:line="240" w:lineRule="auto"/>
              <w:ind w:firstLine="0" w:firstLineChars="0"/>
              <w:jc w:val="center"/>
              <w:rPr>
                <w:color w:val="000000" w:themeColor="text1"/>
                <w:kern w:val="0"/>
                <w:sz w:val="18"/>
                <w:szCs w:val="18"/>
              </w:rPr>
            </w:pPr>
          </w:p>
          <w:p>
            <w:pPr>
              <w:widowControl/>
              <w:snapToGrid w:val="0"/>
              <w:spacing w:line="240" w:lineRule="auto"/>
              <w:ind w:firstLine="0" w:firstLineChars="0"/>
              <w:jc w:val="center"/>
              <w:rPr>
                <w:color w:val="000000" w:themeColor="text1"/>
                <w:kern w:val="0"/>
                <w:sz w:val="18"/>
                <w:szCs w:val="18"/>
              </w:rPr>
            </w:pPr>
            <w:r>
              <w:rPr>
                <w:rFonts w:hint="eastAsia"/>
                <w:color w:val="000000" w:themeColor="text1"/>
                <w:kern w:val="0"/>
                <w:sz w:val="18"/>
                <w:szCs w:val="18"/>
              </w:rPr>
              <w:t>3</w:t>
            </w:r>
          </w:p>
          <w:p>
            <w:pPr>
              <w:widowControl/>
              <w:snapToGrid w:val="0"/>
              <w:spacing w:line="240" w:lineRule="auto"/>
              <w:ind w:firstLine="0" w:firstLineChars="0"/>
              <w:jc w:val="center"/>
              <w:rPr>
                <w:color w:val="000000" w:themeColor="text1"/>
                <w:kern w:val="0"/>
                <w:sz w:val="18"/>
                <w:szCs w:val="18"/>
              </w:rPr>
            </w:pPr>
          </w:p>
          <w:p>
            <w:pPr>
              <w:widowControl/>
              <w:snapToGrid w:val="0"/>
              <w:spacing w:line="240" w:lineRule="auto"/>
              <w:ind w:firstLine="0" w:firstLineChars="0"/>
              <w:jc w:val="center"/>
              <w:rPr>
                <w:color w:val="000000" w:themeColor="text1"/>
                <w:kern w:val="0"/>
                <w:sz w:val="18"/>
                <w:szCs w:val="18"/>
              </w:rPr>
            </w:pPr>
            <w:r>
              <w:rPr>
                <w:rFonts w:hint="eastAsia"/>
                <w:color w:val="000000" w:themeColor="text1"/>
                <w:kern w:val="0"/>
                <w:sz w:val="18"/>
                <w:szCs w:val="18"/>
              </w:rPr>
              <w:t>4</w:t>
            </w:r>
          </w:p>
          <w:p>
            <w:pPr>
              <w:widowControl/>
              <w:snapToGrid w:val="0"/>
              <w:spacing w:line="240" w:lineRule="auto"/>
              <w:ind w:firstLine="0" w:firstLineChars="0"/>
              <w:jc w:val="center"/>
              <w:rPr>
                <w:color w:val="000000" w:themeColor="text1"/>
                <w:kern w:val="0"/>
                <w:sz w:val="18"/>
                <w:szCs w:val="18"/>
              </w:rPr>
            </w:pPr>
          </w:p>
          <w:p>
            <w:pPr>
              <w:widowControl/>
              <w:snapToGrid w:val="0"/>
              <w:spacing w:line="240" w:lineRule="auto"/>
              <w:ind w:firstLine="0" w:firstLineChars="0"/>
              <w:jc w:val="center"/>
              <w:rPr>
                <w:color w:val="000000" w:themeColor="text1"/>
                <w:kern w:val="0"/>
                <w:sz w:val="18"/>
                <w:szCs w:val="18"/>
              </w:rPr>
            </w:pPr>
            <w:r>
              <w:rPr>
                <w:rFonts w:hint="eastAsia"/>
                <w:color w:val="000000" w:themeColor="text1"/>
                <w:kern w:val="0"/>
                <w:sz w:val="18"/>
                <w:szCs w:val="18"/>
              </w:rPr>
              <w:t>5</w:t>
            </w:r>
          </w:p>
          <w:p>
            <w:pPr>
              <w:widowControl/>
              <w:snapToGrid w:val="0"/>
              <w:spacing w:line="240" w:lineRule="auto"/>
              <w:ind w:firstLine="0" w:firstLineChars="0"/>
              <w:jc w:val="center"/>
              <w:rPr>
                <w:color w:val="000000" w:themeColor="text1"/>
                <w:kern w:val="0"/>
                <w:sz w:val="18"/>
                <w:szCs w:val="18"/>
              </w:rPr>
            </w:pPr>
            <w:r>
              <w:rPr>
                <w:rFonts w:hint="eastAsia"/>
                <w:color w:val="000000" w:themeColor="text1"/>
                <w:kern w:val="0"/>
                <w:sz w:val="18"/>
                <w:szCs w:val="18"/>
              </w:rPr>
              <w:t>6</w:t>
            </w:r>
          </w:p>
          <w:p>
            <w:pPr>
              <w:widowControl/>
              <w:snapToGrid w:val="0"/>
              <w:spacing w:line="240" w:lineRule="auto"/>
              <w:ind w:firstLine="0" w:firstLineChars="0"/>
              <w:jc w:val="center"/>
              <w:rPr>
                <w:color w:val="000000" w:themeColor="text1"/>
                <w:kern w:val="0"/>
                <w:sz w:val="18"/>
                <w:szCs w:val="18"/>
              </w:rPr>
            </w:pPr>
          </w:p>
          <w:p>
            <w:pPr>
              <w:widowControl/>
              <w:snapToGrid w:val="0"/>
              <w:spacing w:line="240" w:lineRule="auto"/>
              <w:ind w:firstLine="0" w:firstLineChars="0"/>
              <w:jc w:val="center"/>
              <w:rPr>
                <w:color w:val="000000" w:themeColor="text1"/>
                <w:kern w:val="0"/>
                <w:sz w:val="18"/>
                <w:szCs w:val="18"/>
              </w:rPr>
            </w:pPr>
            <w:r>
              <w:rPr>
                <w:rFonts w:hint="eastAsia"/>
                <w:color w:val="000000" w:themeColor="text1"/>
                <w:kern w:val="0"/>
                <w:sz w:val="18"/>
                <w:szCs w:val="18"/>
              </w:rPr>
              <w:t>7</w:t>
            </w:r>
          </w:p>
          <w:p>
            <w:pPr>
              <w:widowControl/>
              <w:snapToGrid w:val="0"/>
              <w:spacing w:line="240" w:lineRule="auto"/>
              <w:ind w:firstLine="0" w:firstLineChars="0"/>
              <w:jc w:val="center"/>
              <w:rPr>
                <w:color w:val="000000" w:themeColor="text1"/>
                <w:kern w:val="0"/>
                <w:sz w:val="18"/>
                <w:szCs w:val="18"/>
              </w:rPr>
            </w:pPr>
          </w:p>
          <w:p>
            <w:pPr>
              <w:widowControl/>
              <w:snapToGrid w:val="0"/>
              <w:spacing w:line="240" w:lineRule="auto"/>
              <w:ind w:firstLine="0" w:firstLineChars="0"/>
              <w:jc w:val="center"/>
              <w:rPr>
                <w:color w:val="000000" w:themeColor="text1"/>
                <w:kern w:val="0"/>
                <w:sz w:val="18"/>
                <w:szCs w:val="18"/>
              </w:rPr>
            </w:pPr>
            <w:r>
              <w:rPr>
                <w:rFonts w:hint="eastAsia"/>
                <w:color w:val="000000" w:themeColor="text1"/>
                <w:kern w:val="0"/>
                <w:sz w:val="18"/>
                <w:szCs w:val="18"/>
              </w:rPr>
              <w:t>8</w:t>
            </w:r>
          </w:p>
          <w:p>
            <w:pPr>
              <w:widowControl/>
              <w:snapToGrid w:val="0"/>
              <w:spacing w:line="240" w:lineRule="auto"/>
              <w:ind w:firstLine="0" w:firstLineChars="0"/>
              <w:jc w:val="center"/>
              <w:rPr>
                <w:color w:val="000000" w:themeColor="text1"/>
                <w:kern w:val="0"/>
                <w:sz w:val="18"/>
                <w:szCs w:val="18"/>
              </w:rPr>
            </w:pPr>
          </w:p>
          <w:p>
            <w:pPr>
              <w:widowControl/>
              <w:snapToGrid w:val="0"/>
              <w:spacing w:line="240" w:lineRule="auto"/>
              <w:ind w:firstLine="0" w:firstLineChars="0"/>
              <w:jc w:val="center"/>
              <w:rPr>
                <w:color w:val="000000" w:themeColor="text1"/>
                <w:kern w:val="0"/>
                <w:sz w:val="18"/>
                <w:szCs w:val="18"/>
              </w:rPr>
            </w:pPr>
            <w:r>
              <w:rPr>
                <w:rFonts w:hint="eastAsia"/>
                <w:color w:val="000000" w:themeColor="text1"/>
                <w:kern w:val="0"/>
                <w:sz w:val="18"/>
                <w:szCs w:val="18"/>
              </w:rPr>
              <w:t>9</w:t>
            </w:r>
          </w:p>
          <w:p>
            <w:pPr>
              <w:widowControl/>
              <w:snapToGrid w:val="0"/>
              <w:spacing w:line="240" w:lineRule="auto"/>
              <w:ind w:firstLine="0" w:firstLineChars="0"/>
              <w:jc w:val="center"/>
              <w:rPr>
                <w:color w:val="000000" w:themeColor="text1"/>
                <w:kern w:val="0"/>
                <w:sz w:val="18"/>
                <w:szCs w:val="18"/>
              </w:rPr>
            </w:pPr>
          </w:p>
          <w:p>
            <w:pPr>
              <w:widowControl/>
              <w:snapToGrid w:val="0"/>
              <w:spacing w:line="240" w:lineRule="auto"/>
              <w:ind w:firstLine="0" w:firstLineChars="0"/>
              <w:jc w:val="center"/>
              <w:rPr>
                <w:color w:val="000000" w:themeColor="text1"/>
                <w:kern w:val="0"/>
                <w:sz w:val="18"/>
                <w:szCs w:val="18"/>
              </w:rPr>
            </w:pPr>
            <w:r>
              <w:rPr>
                <w:rFonts w:hint="eastAsia"/>
                <w:color w:val="000000" w:themeColor="text1"/>
                <w:kern w:val="0"/>
                <w:sz w:val="18"/>
                <w:szCs w:val="18"/>
              </w:rPr>
              <w:t>10</w:t>
            </w:r>
          </w:p>
          <w:p>
            <w:pPr>
              <w:widowControl/>
              <w:snapToGrid w:val="0"/>
              <w:spacing w:line="240" w:lineRule="auto"/>
              <w:ind w:firstLine="0" w:firstLineChars="0"/>
              <w:jc w:val="center"/>
              <w:rPr>
                <w:color w:val="000000" w:themeColor="text1"/>
                <w:kern w:val="0"/>
                <w:sz w:val="18"/>
                <w:szCs w:val="18"/>
              </w:rPr>
            </w:pPr>
          </w:p>
        </w:tc>
        <w:tc>
          <w:tcPr>
            <w:tcW w:w="1639" w:type="dxa"/>
            <w:tcBorders>
              <w:tl2br w:val="nil"/>
              <w:tr2bl w:val="nil"/>
            </w:tcBorders>
            <w:vAlign w:val="center"/>
          </w:tcPr>
          <w:p>
            <w:pPr>
              <w:widowControl/>
              <w:snapToGrid w:val="0"/>
              <w:spacing w:line="240" w:lineRule="auto"/>
              <w:ind w:firstLine="0" w:firstLineChars="0"/>
              <w:jc w:val="center"/>
              <w:rPr>
                <w:b/>
                <w:color w:val="000000" w:themeColor="text1"/>
                <w:kern w:val="0"/>
                <w:sz w:val="18"/>
                <w:szCs w:val="18"/>
              </w:rPr>
            </w:pPr>
            <w:r>
              <w:rPr>
                <w:rFonts w:hint="eastAsia"/>
                <w:b/>
                <w:color w:val="000000" w:themeColor="text1"/>
                <w:kern w:val="0"/>
                <w:sz w:val="18"/>
                <w:szCs w:val="18"/>
              </w:rPr>
              <w:t>有危险品运输且</w:t>
            </w:r>
            <w:r>
              <w:rPr>
                <w:rFonts w:hint="eastAsia"/>
                <w:b/>
                <w:bCs/>
                <w:color w:val="000000" w:themeColor="text1"/>
                <w:kern w:val="0"/>
                <w:sz w:val="18"/>
                <w:szCs w:val="18"/>
              </w:rPr>
              <w:t>L＞2rd</w:t>
            </w:r>
          </w:p>
        </w:tc>
        <w:tc>
          <w:tcPr>
            <w:tcW w:w="712" w:type="dxa"/>
            <w:tcBorders>
              <w:tl2br w:val="nil"/>
              <w:tr2bl w:val="nil"/>
            </w:tcBorders>
            <w:vAlign w:val="center"/>
          </w:tcPr>
          <w:p>
            <w:pPr>
              <w:widowControl/>
              <w:snapToGrid w:val="0"/>
              <w:spacing w:line="240" w:lineRule="auto"/>
              <w:ind w:firstLine="0" w:firstLineChars="0"/>
              <w:jc w:val="center"/>
              <w:rPr>
                <w:b/>
                <w:color w:val="000000" w:themeColor="text1"/>
                <w:kern w:val="0"/>
                <w:sz w:val="18"/>
                <w:szCs w:val="18"/>
              </w:rPr>
            </w:pPr>
            <w:r>
              <w:rPr>
                <w:rFonts w:hint="eastAsia"/>
                <w:b/>
                <w:color w:val="000000" w:themeColor="text1"/>
                <w:kern w:val="0"/>
                <w:sz w:val="18"/>
                <w:szCs w:val="18"/>
              </w:rPr>
              <w:t>10</w:t>
            </w:r>
          </w:p>
        </w:tc>
        <w:tc>
          <w:tcPr>
            <w:tcW w:w="2132" w:type="dxa"/>
            <w:tcBorders>
              <w:tl2br w:val="nil"/>
              <w:tr2bl w:val="nil"/>
            </w:tcBorders>
            <w:vAlign w:val="center"/>
          </w:tcPr>
          <w:p>
            <w:pPr>
              <w:widowControl/>
              <w:snapToGrid w:val="0"/>
              <w:spacing w:line="240" w:lineRule="auto"/>
              <w:ind w:firstLine="0" w:firstLineChars="0"/>
              <w:jc w:val="center"/>
              <w:rPr>
                <w:color w:val="000000" w:themeColor="text1"/>
                <w:kern w:val="0"/>
                <w:sz w:val="18"/>
                <w:szCs w:val="18"/>
              </w:rPr>
            </w:pPr>
            <w:r>
              <w:rPr>
                <w:rFonts w:hint="eastAsia"/>
                <w:color w:val="000000" w:themeColor="text1"/>
                <w:kern w:val="0"/>
                <w:sz w:val="18"/>
                <w:szCs w:val="18"/>
              </w:rPr>
              <w:t>无</w:t>
            </w:r>
          </w:p>
          <w:p>
            <w:pPr>
              <w:widowControl/>
              <w:snapToGrid w:val="0"/>
              <w:spacing w:line="240" w:lineRule="auto"/>
              <w:ind w:firstLine="0" w:firstLineChars="0"/>
              <w:jc w:val="center"/>
              <w:rPr>
                <w:color w:val="000000" w:themeColor="text1"/>
                <w:kern w:val="0"/>
                <w:sz w:val="18"/>
                <w:szCs w:val="18"/>
              </w:rPr>
            </w:pPr>
          </w:p>
          <w:p>
            <w:pPr>
              <w:widowControl/>
              <w:snapToGrid w:val="0"/>
              <w:spacing w:line="240" w:lineRule="auto"/>
              <w:ind w:firstLine="0" w:firstLineChars="0"/>
              <w:jc w:val="center"/>
              <w:rPr>
                <w:color w:val="000000" w:themeColor="text1"/>
                <w:kern w:val="0"/>
                <w:sz w:val="18"/>
                <w:szCs w:val="18"/>
              </w:rPr>
            </w:pPr>
            <w:r>
              <w:rPr>
                <w:rFonts w:hint="eastAsia"/>
                <w:color w:val="000000" w:themeColor="text1"/>
                <w:kern w:val="0"/>
                <w:sz w:val="18"/>
                <w:szCs w:val="18"/>
              </w:rPr>
              <w:t>L＜2rd</w:t>
            </w:r>
          </w:p>
          <w:p>
            <w:pPr>
              <w:widowControl/>
              <w:snapToGrid w:val="0"/>
              <w:spacing w:line="240" w:lineRule="auto"/>
              <w:ind w:firstLine="0" w:firstLineChars="0"/>
              <w:jc w:val="center"/>
              <w:rPr>
                <w:color w:val="000000" w:themeColor="text1"/>
                <w:kern w:val="0"/>
                <w:sz w:val="18"/>
                <w:szCs w:val="18"/>
              </w:rPr>
            </w:pPr>
          </w:p>
          <w:p>
            <w:pPr>
              <w:widowControl/>
              <w:snapToGrid w:val="0"/>
              <w:spacing w:line="240" w:lineRule="auto"/>
              <w:ind w:firstLine="0" w:firstLineChars="0"/>
              <w:jc w:val="center"/>
              <w:rPr>
                <w:color w:val="000000" w:themeColor="text1"/>
                <w:kern w:val="0"/>
                <w:sz w:val="18"/>
                <w:szCs w:val="18"/>
              </w:rPr>
            </w:pPr>
            <w:r>
              <w:rPr>
                <w:rFonts w:hint="eastAsia"/>
                <w:color w:val="000000" w:themeColor="text1"/>
                <w:kern w:val="0"/>
                <w:sz w:val="18"/>
                <w:szCs w:val="18"/>
              </w:rPr>
              <w:t>有危险品运输且</w:t>
            </w:r>
          </w:p>
          <w:p>
            <w:pPr>
              <w:widowControl/>
              <w:snapToGrid w:val="0"/>
              <w:spacing w:line="240" w:lineRule="auto"/>
              <w:ind w:firstLine="0" w:firstLineChars="0"/>
              <w:jc w:val="center"/>
              <w:rPr>
                <w:color w:val="000000" w:themeColor="text1"/>
                <w:kern w:val="0"/>
                <w:sz w:val="18"/>
                <w:szCs w:val="18"/>
              </w:rPr>
            </w:pPr>
            <w:r>
              <w:rPr>
                <w:rFonts w:hint="eastAsia"/>
                <w:color w:val="000000" w:themeColor="text1"/>
                <w:kern w:val="0"/>
                <w:sz w:val="18"/>
                <w:szCs w:val="18"/>
              </w:rPr>
              <w:t>rd＜L＜2rd</w:t>
            </w:r>
          </w:p>
          <w:p>
            <w:pPr>
              <w:widowControl/>
              <w:snapToGrid w:val="0"/>
              <w:spacing w:line="240" w:lineRule="auto"/>
              <w:ind w:firstLine="0" w:firstLineChars="0"/>
              <w:jc w:val="center"/>
              <w:rPr>
                <w:color w:val="000000" w:themeColor="text1"/>
                <w:kern w:val="0"/>
                <w:sz w:val="18"/>
                <w:szCs w:val="18"/>
              </w:rPr>
            </w:pPr>
          </w:p>
          <w:p>
            <w:pPr>
              <w:widowControl/>
              <w:snapToGrid w:val="0"/>
              <w:spacing w:line="240" w:lineRule="auto"/>
              <w:ind w:firstLine="0" w:firstLineChars="0"/>
              <w:jc w:val="center"/>
              <w:rPr>
                <w:color w:val="000000" w:themeColor="text1"/>
                <w:kern w:val="0"/>
                <w:sz w:val="18"/>
                <w:szCs w:val="18"/>
              </w:rPr>
            </w:pPr>
            <w:r>
              <w:rPr>
                <w:rFonts w:hint="eastAsia"/>
                <w:color w:val="000000" w:themeColor="text1"/>
                <w:kern w:val="0"/>
                <w:sz w:val="18"/>
                <w:szCs w:val="18"/>
              </w:rPr>
              <w:t>有危险品运输且L＞2rd</w:t>
            </w:r>
          </w:p>
        </w:tc>
        <w:tc>
          <w:tcPr>
            <w:tcW w:w="737" w:type="dxa"/>
            <w:tcBorders>
              <w:tl2br w:val="nil"/>
              <w:tr2bl w:val="nil"/>
            </w:tcBorders>
            <w:vAlign w:val="center"/>
          </w:tcPr>
          <w:p>
            <w:pPr>
              <w:widowControl/>
              <w:snapToGrid w:val="0"/>
              <w:spacing w:line="240" w:lineRule="auto"/>
              <w:ind w:firstLine="0" w:firstLineChars="0"/>
              <w:jc w:val="center"/>
              <w:rPr>
                <w:color w:val="000000" w:themeColor="text1"/>
                <w:kern w:val="0"/>
                <w:sz w:val="18"/>
                <w:szCs w:val="18"/>
              </w:rPr>
            </w:pPr>
            <w:r>
              <w:rPr>
                <w:rFonts w:hint="eastAsia"/>
                <w:color w:val="000000" w:themeColor="text1"/>
                <w:kern w:val="0"/>
                <w:sz w:val="18"/>
                <w:szCs w:val="18"/>
              </w:rPr>
              <w:t>0</w:t>
            </w:r>
          </w:p>
          <w:p>
            <w:pPr>
              <w:widowControl/>
              <w:snapToGrid w:val="0"/>
              <w:spacing w:line="240" w:lineRule="auto"/>
              <w:ind w:firstLine="0" w:firstLineChars="0"/>
              <w:jc w:val="center"/>
              <w:rPr>
                <w:color w:val="000000" w:themeColor="text1"/>
                <w:kern w:val="0"/>
                <w:sz w:val="18"/>
                <w:szCs w:val="18"/>
              </w:rPr>
            </w:pPr>
          </w:p>
          <w:p>
            <w:pPr>
              <w:widowControl/>
              <w:snapToGrid w:val="0"/>
              <w:spacing w:line="240" w:lineRule="auto"/>
              <w:ind w:firstLine="0" w:firstLineChars="0"/>
              <w:jc w:val="center"/>
              <w:rPr>
                <w:color w:val="000000" w:themeColor="text1"/>
                <w:kern w:val="0"/>
                <w:sz w:val="18"/>
                <w:szCs w:val="18"/>
              </w:rPr>
            </w:pPr>
            <w:r>
              <w:rPr>
                <w:rFonts w:hint="eastAsia"/>
                <w:color w:val="000000" w:themeColor="text1"/>
                <w:kern w:val="0"/>
                <w:sz w:val="18"/>
                <w:szCs w:val="18"/>
              </w:rPr>
              <w:t>3</w:t>
            </w:r>
          </w:p>
          <w:p>
            <w:pPr>
              <w:widowControl/>
              <w:snapToGrid w:val="0"/>
              <w:spacing w:line="240" w:lineRule="auto"/>
              <w:ind w:firstLine="0" w:firstLineChars="0"/>
              <w:jc w:val="center"/>
              <w:rPr>
                <w:color w:val="000000" w:themeColor="text1"/>
                <w:kern w:val="0"/>
                <w:sz w:val="18"/>
                <w:szCs w:val="18"/>
              </w:rPr>
            </w:pPr>
          </w:p>
          <w:p>
            <w:pPr>
              <w:widowControl/>
              <w:snapToGrid w:val="0"/>
              <w:spacing w:line="240" w:lineRule="auto"/>
              <w:ind w:firstLine="0" w:firstLineChars="0"/>
              <w:jc w:val="center"/>
              <w:rPr>
                <w:color w:val="000000" w:themeColor="text1"/>
                <w:kern w:val="0"/>
                <w:sz w:val="18"/>
                <w:szCs w:val="18"/>
              </w:rPr>
            </w:pPr>
            <w:r>
              <w:rPr>
                <w:rFonts w:hint="eastAsia"/>
                <w:color w:val="000000" w:themeColor="text1"/>
                <w:kern w:val="0"/>
                <w:sz w:val="18"/>
                <w:szCs w:val="18"/>
              </w:rPr>
              <w:t>6</w:t>
            </w:r>
          </w:p>
          <w:p>
            <w:pPr>
              <w:widowControl/>
              <w:snapToGrid w:val="0"/>
              <w:spacing w:line="240" w:lineRule="auto"/>
              <w:ind w:firstLine="0" w:firstLineChars="0"/>
              <w:jc w:val="center"/>
              <w:rPr>
                <w:color w:val="000000" w:themeColor="text1"/>
                <w:kern w:val="0"/>
                <w:sz w:val="18"/>
                <w:szCs w:val="18"/>
              </w:rPr>
            </w:pPr>
          </w:p>
          <w:p>
            <w:pPr>
              <w:widowControl/>
              <w:snapToGrid w:val="0"/>
              <w:spacing w:line="240" w:lineRule="auto"/>
              <w:ind w:firstLine="0" w:firstLineChars="0"/>
              <w:jc w:val="center"/>
              <w:rPr>
                <w:color w:val="000000" w:themeColor="text1"/>
                <w:kern w:val="0"/>
                <w:sz w:val="18"/>
                <w:szCs w:val="18"/>
              </w:rPr>
            </w:pPr>
          </w:p>
          <w:p>
            <w:pPr>
              <w:widowControl/>
              <w:snapToGrid w:val="0"/>
              <w:spacing w:line="240" w:lineRule="auto"/>
              <w:ind w:firstLine="0" w:firstLineChars="0"/>
              <w:jc w:val="center"/>
              <w:rPr>
                <w:color w:val="000000" w:themeColor="text1"/>
                <w:kern w:val="0"/>
                <w:sz w:val="18"/>
                <w:szCs w:val="18"/>
              </w:rPr>
            </w:pPr>
            <w:r>
              <w:rPr>
                <w:rFonts w:hint="eastAsia"/>
                <w:color w:val="000000" w:themeColor="text1"/>
                <w:kern w:val="0"/>
                <w:sz w:val="18"/>
                <w:szCs w:val="18"/>
              </w:rPr>
              <w:t>8</w:t>
            </w:r>
          </w:p>
          <w:p>
            <w:pPr>
              <w:widowControl/>
              <w:snapToGrid w:val="0"/>
              <w:spacing w:line="240" w:lineRule="auto"/>
              <w:ind w:firstLine="0" w:firstLineChars="0"/>
              <w:jc w:val="center"/>
              <w:rPr>
                <w:color w:val="000000" w:themeColor="text1"/>
                <w:kern w:val="0"/>
                <w:sz w:val="18"/>
                <w:szCs w:val="18"/>
              </w:rPr>
            </w:pPr>
          </w:p>
          <w:p>
            <w:pPr>
              <w:widowControl/>
              <w:snapToGrid w:val="0"/>
              <w:spacing w:line="240" w:lineRule="auto"/>
              <w:ind w:firstLine="0" w:firstLineChars="0"/>
              <w:jc w:val="center"/>
              <w:rPr>
                <w:color w:val="000000" w:themeColor="text1"/>
                <w:kern w:val="0"/>
                <w:sz w:val="18"/>
                <w:szCs w:val="18"/>
              </w:rPr>
            </w:pPr>
          </w:p>
        </w:tc>
        <w:tc>
          <w:tcPr>
            <w:tcW w:w="1290" w:type="dxa"/>
            <w:tcBorders>
              <w:tl2br w:val="nil"/>
              <w:tr2bl w:val="nil"/>
            </w:tcBorders>
            <w:vAlign w:val="center"/>
          </w:tcPr>
          <w:p>
            <w:pPr>
              <w:spacing w:line="240" w:lineRule="auto"/>
              <w:ind w:firstLine="0" w:firstLineChars="0"/>
              <w:jc w:val="center"/>
              <w:rPr>
                <w:b/>
                <w:bCs/>
                <w:color w:val="000000" w:themeColor="text1"/>
                <w:sz w:val="18"/>
                <w:szCs w:val="18"/>
              </w:rPr>
            </w:pPr>
            <w:r>
              <w:rPr>
                <w:rFonts w:hint="eastAsia"/>
                <w:b/>
                <w:bCs/>
                <w:color w:val="000000" w:themeColor="text1"/>
                <w:sz w:val="18"/>
                <w:szCs w:val="18"/>
              </w:rPr>
              <w:t>无</w:t>
            </w:r>
          </w:p>
        </w:tc>
        <w:tc>
          <w:tcPr>
            <w:tcW w:w="621" w:type="dxa"/>
            <w:tcBorders>
              <w:tl2br w:val="nil"/>
              <w:tr2bl w:val="nil"/>
            </w:tcBorders>
            <w:vAlign w:val="center"/>
          </w:tcPr>
          <w:p>
            <w:pPr>
              <w:spacing w:line="240" w:lineRule="auto"/>
              <w:ind w:firstLine="0" w:firstLineChars="0"/>
              <w:jc w:val="center"/>
              <w:rPr>
                <w:b/>
                <w:bCs/>
                <w:color w:val="000000" w:themeColor="text1"/>
                <w:sz w:val="18"/>
                <w:szCs w:val="18"/>
              </w:rPr>
            </w:pPr>
            <w:r>
              <w:rPr>
                <w:rFonts w:hint="eastAsia"/>
                <w:b/>
                <w:bCs/>
                <w:color w:val="000000" w:themeColor="text1"/>
                <w:sz w:val="18"/>
                <w:szCs w:val="18"/>
              </w:rPr>
              <w:t>0</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jc w:val="center"/>
        </w:trPr>
        <w:tc>
          <w:tcPr>
            <w:tcW w:w="786" w:type="dxa"/>
            <w:tcBorders>
              <w:tl2br w:val="nil"/>
              <w:tr2bl w:val="nil"/>
            </w:tcBorders>
            <w:vAlign w:val="center"/>
          </w:tcPr>
          <w:p>
            <w:pPr>
              <w:widowControl/>
              <w:snapToGrid w:val="0"/>
              <w:spacing w:line="240" w:lineRule="auto"/>
              <w:ind w:firstLine="0" w:firstLineChars="0"/>
              <w:jc w:val="center"/>
              <w:rPr>
                <w:color w:val="000000" w:themeColor="text1"/>
                <w:kern w:val="0"/>
                <w:sz w:val="18"/>
                <w:szCs w:val="18"/>
              </w:rPr>
            </w:pPr>
            <w:r>
              <w:rPr>
                <w:rFonts w:hint="eastAsia"/>
                <w:color w:val="000000" w:themeColor="text1"/>
                <w:kern w:val="0"/>
                <w:sz w:val="18"/>
                <w:szCs w:val="18"/>
              </w:rPr>
              <w:t>船舶</w:t>
            </w:r>
          </w:p>
        </w:tc>
        <w:tc>
          <w:tcPr>
            <w:tcW w:w="1233" w:type="dxa"/>
            <w:tcBorders>
              <w:tl2br w:val="nil"/>
              <w:tr2bl w:val="nil"/>
            </w:tcBorders>
            <w:vAlign w:val="center"/>
          </w:tcPr>
          <w:p>
            <w:pPr>
              <w:widowControl/>
              <w:snapToGrid w:val="0"/>
              <w:spacing w:line="240" w:lineRule="auto"/>
              <w:ind w:firstLine="0" w:firstLineChars="0"/>
              <w:jc w:val="center"/>
              <w:rPr>
                <w:color w:val="000000" w:themeColor="text1"/>
                <w:kern w:val="0"/>
                <w:sz w:val="18"/>
                <w:szCs w:val="18"/>
              </w:rPr>
            </w:pPr>
            <w:r>
              <w:rPr>
                <w:rFonts w:hint="eastAsia"/>
                <w:color w:val="000000" w:themeColor="text1"/>
                <w:kern w:val="0"/>
                <w:sz w:val="18"/>
                <w:szCs w:val="18"/>
              </w:rPr>
              <w:t>无</w:t>
            </w:r>
          </w:p>
          <w:p>
            <w:pPr>
              <w:widowControl/>
              <w:snapToGrid w:val="0"/>
              <w:spacing w:line="240" w:lineRule="auto"/>
              <w:ind w:firstLine="0" w:firstLineChars="0"/>
              <w:jc w:val="center"/>
              <w:rPr>
                <w:color w:val="000000" w:themeColor="text1"/>
                <w:kern w:val="0"/>
                <w:sz w:val="18"/>
                <w:szCs w:val="18"/>
              </w:rPr>
            </w:pPr>
            <w:r>
              <w:rPr>
                <w:rFonts w:hint="eastAsia"/>
                <w:color w:val="000000" w:themeColor="text1"/>
                <w:kern w:val="0"/>
                <w:sz w:val="18"/>
                <w:szCs w:val="18"/>
              </w:rPr>
              <w:t>存在</w:t>
            </w:r>
          </w:p>
        </w:tc>
        <w:tc>
          <w:tcPr>
            <w:tcW w:w="779" w:type="dxa"/>
            <w:tcBorders>
              <w:tl2br w:val="nil"/>
              <w:tr2bl w:val="nil"/>
            </w:tcBorders>
            <w:vAlign w:val="center"/>
          </w:tcPr>
          <w:p>
            <w:pPr>
              <w:widowControl/>
              <w:snapToGrid w:val="0"/>
              <w:spacing w:line="240" w:lineRule="auto"/>
              <w:ind w:firstLine="0" w:firstLineChars="0"/>
              <w:jc w:val="center"/>
              <w:rPr>
                <w:color w:val="000000" w:themeColor="text1"/>
                <w:kern w:val="0"/>
                <w:sz w:val="18"/>
                <w:szCs w:val="18"/>
              </w:rPr>
            </w:pPr>
            <w:r>
              <w:rPr>
                <w:rFonts w:hint="eastAsia"/>
                <w:color w:val="000000" w:themeColor="text1"/>
                <w:kern w:val="0"/>
                <w:sz w:val="18"/>
                <w:szCs w:val="18"/>
              </w:rPr>
              <w:t>0</w:t>
            </w:r>
          </w:p>
          <w:p>
            <w:pPr>
              <w:widowControl/>
              <w:snapToGrid w:val="0"/>
              <w:spacing w:line="240" w:lineRule="auto"/>
              <w:ind w:firstLine="0" w:firstLineChars="0"/>
              <w:jc w:val="center"/>
              <w:rPr>
                <w:color w:val="000000" w:themeColor="text1"/>
                <w:kern w:val="0"/>
                <w:sz w:val="18"/>
                <w:szCs w:val="18"/>
              </w:rPr>
            </w:pPr>
            <w:r>
              <w:rPr>
                <w:rFonts w:hint="eastAsia"/>
                <w:color w:val="000000" w:themeColor="text1"/>
                <w:kern w:val="0"/>
                <w:sz w:val="18"/>
                <w:szCs w:val="18"/>
              </w:rPr>
              <w:t>10</w:t>
            </w:r>
          </w:p>
        </w:tc>
        <w:tc>
          <w:tcPr>
            <w:tcW w:w="1129" w:type="dxa"/>
            <w:tcBorders>
              <w:tl2br w:val="nil"/>
              <w:tr2bl w:val="nil"/>
            </w:tcBorders>
            <w:vAlign w:val="center"/>
          </w:tcPr>
          <w:p>
            <w:pPr>
              <w:widowControl/>
              <w:snapToGrid w:val="0"/>
              <w:spacing w:line="240" w:lineRule="auto"/>
              <w:ind w:firstLine="0" w:firstLineChars="0"/>
              <w:jc w:val="center"/>
              <w:rPr>
                <w:color w:val="000000" w:themeColor="text1"/>
                <w:kern w:val="0"/>
                <w:sz w:val="18"/>
                <w:szCs w:val="18"/>
              </w:rPr>
            </w:pPr>
            <w:r>
              <w:rPr>
                <w:rFonts w:hint="eastAsia"/>
                <w:b/>
                <w:color w:val="000000" w:themeColor="text1"/>
                <w:kern w:val="0"/>
                <w:sz w:val="18"/>
                <w:szCs w:val="18"/>
              </w:rPr>
              <w:t>无</w:t>
            </w:r>
          </w:p>
        </w:tc>
        <w:tc>
          <w:tcPr>
            <w:tcW w:w="674" w:type="dxa"/>
            <w:gridSpan w:val="2"/>
            <w:tcBorders>
              <w:tl2br w:val="nil"/>
              <w:tr2bl w:val="nil"/>
            </w:tcBorders>
            <w:vAlign w:val="center"/>
          </w:tcPr>
          <w:p>
            <w:pPr>
              <w:widowControl/>
              <w:snapToGrid w:val="0"/>
              <w:spacing w:line="240" w:lineRule="auto"/>
              <w:ind w:firstLine="0" w:firstLineChars="0"/>
              <w:jc w:val="center"/>
              <w:rPr>
                <w:b/>
                <w:color w:val="000000" w:themeColor="text1"/>
                <w:kern w:val="0"/>
                <w:sz w:val="18"/>
                <w:szCs w:val="18"/>
              </w:rPr>
            </w:pPr>
            <w:r>
              <w:rPr>
                <w:rFonts w:hint="eastAsia"/>
                <w:b/>
                <w:color w:val="000000" w:themeColor="text1"/>
                <w:kern w:val="0"/>
                <w:sz w:val="18"/>
                <w:szCs w:val="18"/>
              </w:rPr>
              <w:t>0</w:t>
            </w:r>
          </w:p>
        </w:tc>
        <w:tc>
          <w:tcPr>
            <w:tcW w:w="1715" w:type="dxa"/>
            <w:gridSpan w:val="2"/>
            <w:tcBorders>
              <w:tl2br w:val="nil"/>
              <w:tr2bl w:val="nil"/>
            </w:tcBorders>
            <w:vAlign w:val="center"/>
          </w:tcPr>
          <w:p>
            <w:pPr>
              <w:widowControl/>
              <w:snapToGrid w:val="0"/>
              <w:spacing w:line="240" w:lineRule="auto"/>
              <w:ind w:firstLine="0" w:firstLineChars="0"/>
              <w:jc w:val="center"/>
              <w:rPr>
                <w:color w:val="000000" w:themeColor="text1"/>
                <w:kern w:val="0"/>
                <w:sz w:val="18"/>
                <w:szCs w:val="18"/>
              </w:rPr>
            </w:pPr>
            <w:r>
              <w:rPr>
                <w:rFonts w:hint="eastAsia"/>
                <w:color w:val="000000" w:themeColor="text1"/>
                <w:kern w:val="0"/>
                <w:sz w:val="18"/>
                <w:szCs w:val="18"/>
              </w:rPr>
              <w:t>无</w:t>
            </w:r>
          </w:p>
          <w:p>
            <w:pPr>
              <w:widowControl/>
              <w:snapToGrid w:val="0"/>
              <w:spacing w:line="240" w:lineRule="auto"/>
              <w:ind w:firstLine="0" w:firstLineChars="0"/>
              <w:jc w:val="center"/>
              <w:rPr>
                <w:color w:val="000000" w:themeColor="text1"/>
                <w:kern w:val="0"/>
                <w:sz w:val="18"/>
                <w:szCs w:val="18"/>
              </w:rPr>
            </w:pPr>
            <w:r>
              <w:rPr>
                <w:rFonts w:hint="eastAsia"/>
                <w:color w:val="000000" w:themeColor="text1"/>
                <w:kern w:val="0"/>
                <w:sz w:val="18"/>
                <w:szCs w:val="18"/>
              </w:rPr>
              <w:t>航线L＜rd</w:t>
            </w:r>
          </w:p>
          <w:p>
            <w:pPr>
              <w:widowControl/>
              <w:snapToGrid w:val="0"/>
              <w:spacing w:line="240" w:lineRule="auto"/>
              <w:ind w:firstLine="0" w:firstLineChars="0"/>
              <w:jc w:val="center"/>
              <w:rPr>
                <w:color w:val="000000" w:themeColor="text1"/>
                <w:kern w:val="0"/>
                <w:sz w:val="18"/>
                <w:szCs w:val="18"/>
              </w:rPr>
            </w:pPr>
            <w:r>
              <w:rPr>
                <w:rFonts w:hint="eastAsia"/>
                <w:color w:val="000000" w:themeColor="text1"/>
                <w:kern w:val="0"/>
                <w:sz w:val="18"/>
                <w:szCs w:val="18"/>
              </w:rPr>
              <w:t>航线rd＜L＜2rd</w:t>
            </w:r>
          </w:p>
          <w:p>
            <w:pPr>
              <w:widowControl/>
              <w:snapToGrid w:val="0"/>
              <w:spacing w:line="240" w:lineRule="auto"/>
              <w:ind w:firstLine="0" w:firstLineChars="0"/>
              <w:jc w:val="center"/>
              <w:rPr>
                <w:color w:val="000000" w:themeColor="text1"/>
                <w:kern w:val="0"/>
                <w:sz w:val="18"/>
                <w:szCs w:val="18"/>
              </w:rPr>
            </w:pPr>
            <w:r>
              <w:rPr>
                <w:rFonts w:hint="eastAsia"/>
                <w:color w:val="000000" w:themeColor="text1"/>
                <w:kern w:val="0"/>
                <w:sz w:val="18"/>
                <w:szCs w:val="18"/>
              </w:rPr>
              <w:t>航线L＞2rd</w:t>
            </w:r>
          </w:p>
        </w:tc>
        <w:tc>
          <w:tcPr>
            <w:tcW w:w="727" w:type="dxa"/>
            <w:tcBorders>
              <w:tl2br w:val="nil"/>
              <w:tr2bl w:val="nil"/>
            </w:tcBorders>
            <w:vAlign w:val="center"/>
          </w:tcPr>
          <w:p>
            <w:pPr>
              <w:widowControl/>
              <w:snapToGrid w:val="0"/>
              <w:spacing w:line="240" w:lineRule="auto"/>
              <w:ind w:firstLine="0" w:firstLineChars="0"/>
              <w:jc w:val="center"/>
              <w:rPr>
                <w:color w:val="000000" w:themeColor="text1"/>
                <w:kern w:val="0"/>
                <w:sz w:val="18"/>
                <w:szCs w:val="18"/>
              </w:rPr>
            </w:pPr>
            <w:r>
              <w:rPr>
                <w:rFonts w:hint="eastAsia"/>
                <w:color w:val="000000" w:themeColor="text1"/>
                <w:kern w:val="0"/>
                <w:sz w:val="18"/>
                <w:szCs w:val="18"/>
              </w:rPr>
              <w:t>0</w:t>
            </w:r>
          </w:p>
          <w:p>
            <w:pPr>
              <w:widowControl/>
              <w:snapToGrid w:val="0"/>
              <w:spacing w:line="240" w:lineRule="auto"/>
              <w:ind w:firstLine="0" w:firstLineChars="0"/>
              <w:jc w:val="center"/>
              <w:rPr>
                <w:color w:val="000000" w:themeColor="text1"/>
                <w:kern w:val="0"/>
                <w:sz w:val="18"/>
                <w:szCs w:val="18"/>
              </w:rPr>
            </w:pPr>
            <w:r>
              <w:rPr>
                <w:rFonts w:hint="eastAsia"/>
                <w:color w:val="000000" w:themeColor="text1"/>
                <w:kern w:val="0"/>
                <w:sz w:val="18"/>
                <w:szCs w:val="18"/>
              </w:rPr>
              <w:t>6</w:t>
            </w:r>
          </w:p>
          <w:p>
            <w:pPr>
              <w:widowControl/>
              <w:snapToGrid w:val="0"/>
              <w:spacing w:line="240" w:lineRule="auto"/>
              <w:ind w:firstLine="0" w:firstLineChars="0"/>
              <w:jc w:val="center"/>
              <w:rPr>
                <w:color w:val="000000" w:themeColor="text1"/>
                <w:kern w:val="0"/>
                <w:sz w:val="18"/>
                <w:szCs w:val="18"/>
              </w:rPr>
            </w:pPr>
            <w:r>
              <w:rPr>
                <w:rFonts w:hint="eastAsia"/>
                <w:color w:val="000000" w:themeColor="text1"/>
                <w:kern w:val="0"/>
                <w:sz w:val="18"/>
                <w:szCs w:val="18"/>
              </w:rPr>
              <w:t>8</w:t>
            </w:r>
          </w:p>
          <w:p>
            <w:pPr>
              <w:widowControl/>
              <w:snapToGrid w:val="0"/>
              <w:spacing w:line="240" w:lineRule="auto"/>
              <w:ind w:firstLine="0" w:firstLineChars="0"/>
              <w:jc w:val="center"/>
              <w:rPr>
                <w:color w:val="000000" w:themeColor="text1"/>
                <w:kern w:val="0"/>
                <w:sz w:val="18"/>
                <w:szCs w:val="18"/>
              </w:rPr>
            </w:pPr>
            <w:r>
              <w:rPr>
                <w:rFonts w:hint="eastAsia"/>
                <w:color w:val="000000" w:themeColor="text1"/>
                <w:kern w:val="0"/>
                <w:sz w:val="18"/>
                <w:szCs w:val="18"/>
              </w:rPr>
              <w:t>10</w:t>
            </w:r>
          </w:p>
        </w:tc>
        <w:tc>
          <w:tcPr>
            <w:tcW w:w="1639" w:type="dxa"/>
            <w:tcBorders>
              <w:tl2br w:val="nil"/>
              <w:tr2bl w:val="nil"/>
            </w:tcBorders>
            <w:vAlign w:val="center"/>
          </w:tcPr>
          <w:p>
            <w:pPr>
              <w:widowControl/>
              <w:snapToGrid w:val="0"/>
              <w:spacing w:line="240" w:lineRule="auto"/>
              <w:ind w:firstLine="0" w:firstLineChars="0"/>
              <w:jc w:val="center"/>
              <w:rPr>
                <w:b/>
                <w:color w:val="000000" w:themeColor="text1"/>
                <w:kern w:val="0"/>
                <w:sz w:val="18"/>
                <w:szCs w:val="18"/>
              </w:rPr>
            </w:pPr>
            <w:r>
              <w:rPr>
                <w:rFonts w:hint="eastAsia"/>
                <w:b/>
                <w:color w:val="000000" w:themeColor="text1"/>
                <w:kern w:val="0"/>
                <w:sz w:val="18"/>
                <w:szCs w:val="18"/>
              </w:rPr>
              <w:t>无</w:t>
            </w:r>
          </w:p>
        </w:tc>
        <w:tc>
          <w:tcPr>
            <w:tcW w:w="712" w:type="dxa"/>
            <w:tcBorders>
              <w:tl2br w:val="nil"/>
              <w:tr2bl w:val="nil"/>
            </w:tcBorders>
            <w:vAlign w:val="center"/>
          </w:tcPr>
          <w:p>
            <w:pPr>
              <w:widowControl/>
              <w:snapToGrid w:val="0"/>
              <w:spacing w:line="240" w:lineRule="auto"/>
              <w:ind w:firstLine="0" w:firstLineChars="0"/>
              <w:jc w:val="center"/>
              <w:rPr>
                <w:b/>
                <w:color w:val="000000" w:themeColor="text1"/>
                <w:kern w:val="0"/>
                <w:sz w:val="18"/>
                <w:szCs w:val="18"/>
              </w:rPr>
            </w:pPr>
            <w:r>
              <w:rPr>
                <w:rFonts w:hint="eastAsia"/>
                <w:b/>
                <w:color w:val="000000" w:themeColor="text1"/>
                <w:kern w:val="0"/>
                <w:sz w:val="18"/>
                <w:szCs w:val="18"/>
              </w:rPr>
              <w:t>0</w:t>
            </w:r>
          </w:p>
        </w:tc>
        <w:tc>
          <w:tcPr>
            <w:tcW w:w="2132" w:type="dxa"/>
            <w:tcBorders>
              <w:tl2br w:val="nil"/>
              <w:tr2bl w:val="nil"/>
            </w:tcBorders>
            <w:vAlign w:val="center"/>
          </w:tcPr>
          <w:p>
            <w:pPr>
              <w:widowControl/>
              <w:snapToGrid w:val="0"/>
              <w:spacing w:line="240" w:lineRule="auto"/>
              <w:ind w:firstLine="0" w:firstLineChars="0"/>
              <w:jc w:val="center"/>
              <w:rPr>
                <w:color w:val="000000" w:themeColor="text1"/>
                <w:kern w:val="0"/>
                <w:sz w:val="18"/>
                <w:szCs w:val="18"/>
              </w:rPr>
            </w:pPr>
            <w:r>
              <w:rPr>
                <w:rFonts w:hint="eastAsia"/>
                <w:color w:val="000000" w:themeColor="text1"/>
                <w:kern w:val="0"/>
                <w:sz w:val="18"/>
                <w:szCs w:val="18"/>
              </w:rPr>
              <w:t>无</w:t>
            </w:r>
          </w:p>
          <w:p>
            <w:pPr>
              <w:widowControl/>
              <w:snapToGrid w:val="0"/>
              <w:spacing w:line="240" w:lineRule="auto"/>
              <w:ind w:firstLine="0" w:firstLineChars="0"/>
              <w:jc w:val="center"/>
              <w:rPr>
                <w:color w:val="000000" w:themeColor="text1"/>
                <w:kern w:val="0"/>
                <w:sz w:val="18"/>
                <w:szCs w:val="18"/>
              </w:rPr>
            </w:pPr>
            <w:r>
              <w:rPr>
                <w:rFonts w:hint="eastAsia"/>
                <w:color w:val="000000" w:themeColor="text1"/>
                <w:kern w:val="0"/>
                <w:sz w:val="18"/>
                <w:szCs w:val="18"/>
              </w:rPr>
              <w:t>航线L＜rd</w:t>
            </w:r>
          </w:p>
          <w:p>
            <w:pPr>
              <w:widowControl/>
              <w:snapToGrid w:val="0"/>
              <w:spacing w:line="240" w:lineRule="auto"/>
              <w:ind w:firstLine="0" w:firstLineChars="0"/>
              <w:jc w:val="center"/>
              <w:rPr>
                <w:color w:val="000000" w:themeColor="text1"/>
                <w:kern w:val="0"/>
                <w:sz w:val="18"/>
                <w:szCs w:val="18"/>
              </w:rPr>
            </w:pPr>
            <w:r>
              <w:rPr>
                <w:rFonts w:hint="eastAsia"/>
                <w:color w:val="000000" w:themeColor="text1"/>
                <w:kern w:val="0"/>
                <w:sz w:val="18"/>
                <w:szCs w:val="18"/>
              </w:rPr>
              <w:t>航线rd＜L＜2rd</w:t>
            </w:r>
          </w:p>
          <w:p>
            <w:pPr>
              <w:widowControl/>
              <w:snapToGrid w:val="0"/>
              <w:spacing w:line="240" w:lineRule="auto"/>
              <w:ind w:firstLine="0" w:firstLineChars="0"/>
              <w:jc w:val="center"/>
              <w:rPr>
                <w:color w:val="000000" w:themeColor="text1"/>
                <w:kern w:val="0"/>
                <w:sz w:val="18"/>
                <w:szCs w:val="18"/>
              </w:rPr>
            </w:pPr>
            <w:r>
              <w:rPr>
                <w:rFonts w:hint="eastAsia"/>
                <w:color w:val="000000" w:themeColor="text1"/>
                <w:kern w:val="0"/>
                <w:sz w:val="18"/>
                <w:szCs w:val="18"/>
              </w:rPr>
              <w:t>航线L＞2rd</w:t>
            </w:r>
          </w:p>
        </w:tc>
        <w:tc>
          <w:tcPr>
            <w:tcW w:w="737" w:type="dxa"/>
            <w:tcBorders>
              <w:tl2br w:val="nil"/>
              <w:tr2bl w:val="nil"/>
            </w:tcBorders>
            <w:vAlign w:val="center"/>
          </w:tcPr>
          <w:p>
            <w:pPr>
              <w:widowControl/>
              <w:snapToGrid w:val="0"/>
              <w:spacing w:line="240" w:lineRule="auto"/>
              <w:ind w:firstLine="0" w:firstLineChars="0"/>
              <w:jc w:val="center"/>
              <w:rPr>
                <w:color w:val="000000" w:themeColor="text1"/>
                <w:kern w:val="0"/>
                <w:sz w:val="18"/>
                <w:szCs w:val="18"/>
              </w:rPr>
            </w:pPr>
            <w:r>
              <w:rPr>
                <w:rFonts w:hint="eastAsia"/>
                <w:color w:val="000000" w:themeColor="text1"/>
                <w:kern w:val="0"/>
                <w:sz w:val="18"/>
                <w:szCs w:val="18"/>
              </w:rPr>
              <w:t>0</w:t>
            </w:r>
          </w:p>
          <w:p>
            <w:pPr>
              <w:widowControl/>
              <w:snapToGrid w:val="0"/>
              <w:spacing w:line="240" w:lineRule="auto"/>
              <w:ind w:firstLine="0" w:firstLineChars="0"/>
              <w:jc w:val="center"/>
              <w:rPr>
                <w:color w:val="000000" w:themeColor="text1"/>
                <w:kern w:val="0"/>
                <w:sz w:val="18"/>
                <w:szCs w:val="18"/>
              </w:rPr>
            </w:pPr>
            <w:r>
              <w:rPr>
                <w:rFonts w:hint="eastAsia"/>
                <w:color w:val="000000" w:themeColor="text1"/>
                <w:kern w:val="0"/>
                <w:sz w:val="18"/>
                <w:szCs w:val="18"/>
              </w:rPr>
              <w:t>3</w:t>
            </w:r>
          </w:p>
          <w:p>
            <w:pPr>
              <w:widowControl/>
              <w:snapToGrid w:val="0"/>
              <w:spacing w:line="240" w:lineRule="auto"/>
              <w:ind w:firstLine="0" w:firstLineChars="0"/>
              <w:jc w:val="center"/>
              <w:rPr>
                <w:color w:val="000000" w:themeColor="text1"/>
                <w:kern w:val="0"/>
                <w:sz w:val="18"/>
                <w:szCs w:val="18"/>
              </w:rPr>
            </w:pPr>
            <w:r>
              <w:rPr>
                <w:rFonts w:hint="eastAsia"/>
                <w:color w:val="000000" w:themeColor="text1"/>
                <w:kern w:val="0"/>
                <w:sz w:val="18"/>
                <w:szCs w:val="18"/>
              </w:rPr>
              <w:t>5</w:t>
            </w:r>
          </w:p>
          <w:p>
            <w:pPr>
              <w:widowControl/>
              <w:snapToGrid w:val="0"/>
              <w:spacing w:line="240" w:lineRule="auto"/>
              <w:ind w:firstLine="0" w:firstLineChars="0"/>
              <w:jc w:val="center"/>
              <w:rPr>
                <w:color w:val="000000" w:themeColor="text1"/>
                <w:kern w:val="0"/>
                <w:sz w:val="18"/>
                <w:szCs w:val="18"/>
              </w:rPr>
            </w:pPr>
            <w:r>
              <w:rPr>
                <w:rFonts w:hint="eastAsia"/>
                <w:color w:val="000000" w:themeColor="text1"/>
                <w:kern w:val="0"/>
                <w:sz w:val="18"/>
                <w:szCs w:val="18"/>
              </w:rPr>
              <w:t>7</w:t>
            </w:r>
          </w:p>
        </w:tc>
        <w:tc>
          <w:tcPr>
            <w:tcW w:w="1290" w:type="dxa"/>
            <w:tcBorders>
              <w:tl2br w:val="nil"/>
              <w:tr2bl w:val="nil"/>
            </w:tcBorders>
            <w:vAlign w:val="center"/>
          </w:tcPr>
          <w:p>
            <w:pPr>
              <w:spacing w:line="240" w:lineRule="auto"/>
              <w:ind w:firstLine="0" w:firstLineChars="0"/>
              <w:jc w:val="center"/>
              <w:rPr>
                <w:b/>
                <w:bCs/>
                <w:color w:val="000000" w:themeColor="text1"/>
                <w:kern w:val="0"/>
                <w:sz w:val="18"/>
                <w:szCs w:val="18"/>
              </w:rPr>
            </w:pPr>
            <w:r>
              <w:rPr>
                <w:rFonts w:hint="eastAsia"/>
                <w:b/>
                <w:bCs/>
                <w:color w:val="000000" w:themeColor="text1"/>
                <w:kern w:val="0"/>
                <w:sz w:val="18"/>
                <w:szCs w:val="18"/>
              </w:rPr>
              <w:t>无</w:t>
            </w:r>
          </w:p>
        </w:tc>
        <w:tc>
          <w:tcPr>
            <w:tcW w:w="621" w:type="dxa"/>
            <w:tcBorders>
              <w:tl2br w:val="nil"/>
              <w:tr2bl w:val="nil"/>
            </w:tcBorders>
            <w:vAlign w:val="center"/>
          </w:tcPr>
          <w:p>
            <w:pPr>
              <w:spacing w:line="240" w:lineRule="auto"/>
              <w:ind w:firstLine="0" w:firstLineChars="0"/>
              <w:jc w:val="center"/>
              <w:rPr>
                <w:b/>
                <w:bCs/>
                <w:color w:val="000000" w:themeColor="text1"/>
                <w:kern w:val="0"/>
                <w:sz w:val="18"/>
                <w:szCs w:val="18"/>
              </w:rPr>
            </w:pPr>
            <w:r>
              <w:rPr>
                <w:rFonts w:hint="eastAsia"/>
                <w:b/>
                <w:bCs/>
                <w:color w:val="000000" w:themeColor="text1"/>
                <w:kern w:val="0"/>
                <w:sz w:val="18"/>
                <w:szCs w:val="18"/>
              </w:rPr>
              <w:t>0</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jc w:val="center"/>
        </w:trPr>
        <w:tc>
          <w:tcPr>
            <w:tcW w:w="786" w:type="dxa"/>
            <w:tcBorders>
              <w:tl2br w:val="nil"/>
              <w:tr2bl w:val="nil"/>
            </w:tcBorders>
            <w:vAlign w:val="center"/>
          </w:tcPr>
          <w:p>
            <w:pPr>
              <w:widowControl/>
              <w:snapToGrid w:val="0"/>
              <w:spacing w:line="240" w:lineRule="auto"/>
              <w:ind w:firstLine="0" w:firstLineChars="0"/>
              <w:jc w:val="center"/>
              <w:rPr>
                <w:color w:val="000000" w:themeColor="text1"/>
                <w:kern w:val="0"/>
                <w:sz w:val="18"/>
                <w:szCs w:val="18"/>
              </w:rPr>
            </w:pPr>
            <w:r>
              <w:rPr>
                <w:rFonts w:hint="eastAsia"/>
                <w:color w:val="000000" w:themeColor="text1"/>
                <w:kern w:val="0"/>
                <w:sz w:val="18"/>
                <w:szCs w:val="18"/>
              </w:rPr>
              <w:t>小计</w:t>
            </w:r>
          </w:p>
        </w:tc>
        <w:tc>
          <w:tcPr>
            <w:tcW w:w="3141" w:type="dxa"/>
            <w:gridSpan w:val="3"/>
            <w:tcBorders>
              <w:tl2br w:val="nil"/>
              <w:tr2bl w:val="nil"/>
            </w:tcBorders>
            <w:vAlign w:val="center"/>
          </w:tcPr>
          <w:p>
            <w:pPr>
              <w:widowControl/>
              <w:snapToGrid w:val="0"/>
              <w:spacing w:line="240" w:lineRule="auto"/>
              <w:ind w:firstLine="0" w:firstLineChars="0"/>
              <w:jc w:val="center"/>
              <w:rPr>
                <w:b/>
                <w:color w:val="000000" w:themeColor="text1"/>
                <w:kern w:val="0"/>
                <w:sz w:val="18"/>
                <w:szCs w:val="18"/>
              </w:rPr>
            </w:pPr>
          </w:p>
        </w:tc>
        <w:tc>
          <w:tcPr>
            <w:tcW w:w="674" w:type="dxa"/>
            <w:gridSpan w:val="2"/>
            <w:tcBorders>
              <w:tl2br w:val="nil"/>
              <w:tr2bl w:val="nil"/>
            </w:tcBorders>
            <w:vAlign w:val="center"/>
          </w:tcPr>
          <w:p>
            <w:pPr>
              <w:widowControl/>
              <w:snapToGrid w:val="0"/>
              <w:spacing w:line="240" w:lineRule="auto"/>
              <w:ind w:firstLine="0" w:firstLineChars="0"/>
              <w:jc w:val="center"/>
              <w:rPr>
                <w:b/>
                <w:color w:val="000000" w:themeColor="text1"/>
                <w:kern w:val="0"/>
                <w:sz w:val="18"/>
                <w:szCs w:val="18"/>
              </w:rPr>
            </w:pPr>
            <w:r>
              <w:rPr>
                <w:rFonts w:hint="eastAsia"/>
                <w:b/>
                <w:color w:val="000000" w:themeColor="text1"/>
                <w:kern w:val="0"/>
                <w:sz w:val="18"/>
                <w:szCs w:val="18"/>
              </w:rPr>
              <w:t>9</w:t>
            </w:r>
          </w:p>
        </w:tc>
        <w:tc>
          <w:tcPr>
            <w:tcW w:w="1715" w:type="dxa"/>
            <w:gridSpan w:val="2"/>
            <w:tcBorders>
              <w:tl2br w:val="nil"/>
              <w:tr2bl w:val="nil"/>
            </w:tcBorders>
            <w:vAlign w:val="center"/>
          </w:tcPr>
          <w:p>
            <w:pPr>
              <w:widowControl/>
              <w:snapToGrid w:val="0"/>
              <w:spacing w:line="240" w:lineRule="auto"/>
              <w:ind w:firstLine="0" w:firstLineChars="0"/>
              <w:jc w:val="center"/>
              <w:rPr>
                <w:color w:val="000000" w:themeColor="text1"/>
                <w:kern w:val="0"/>
                <w:sz w:val="18"/>
                <w:szCs w:val="18"/>
              </w:rPr>
            </w:pPr>
          </w:p>
        </w:tc>
        <w:tc>
          <w:tcPr>
            <w:tcW w:w="727" w:type="dxa"/>
            <w:tcBorders>
              <w:tl2br w:val="nil"/>
              <w:tr2bl w:val="nil"/>
            </w:tcBorders>
            <w:vAlign w:val="center"/>
          </w:tcPr>
          <w:p>
            <w:pPr>
              <w:widowControl/>
              <w:snapToGrid w:val="0"/>
              <w:spacing w:line="240" w:lineRule="auto"/>
              <w:ind w:firstLine="0" w:firstLineChars="0"/>
              <w:jc w:val="center"/>
              <w:rPr>
                <w:color w:val="000000" w:themeColor="text1"/>
                <w:kern w:val="0"/>
                <w:sz w:val="18"/>
                <w:szCs w:val="18"/>
              </w:rPr>
            </w:pPr>
          </w:p>
        </w:tc>
        <w:tc>
          <w:tcPr>
            <w:tcW w:w="1639" w:type="dxa"/>
            <w:tcBorders>
              <w:tl2br w:val="nil"/>
              <w:tr2bl w:val="nil"/>
            </w:tcBorders>
            <w:vAlign w:val="center"/>
          </w:tcPr>
          <w:p>
            <w:pPr>
              <w:widowControl/>
              <w:snapToGrid w:val="0"/>
              <w:spacing w:line="240" w:lineRule="auto"/>
              <w:ind w:firstLine="0" w:firstLineChars="0"/>
              <w:jc w:val="center"/>
              <w:rPr>
                <w:b/>
                <w:color w:val="000000" w:themeColor="text1"/>
                <w:kern w:val="0"/>
                <w:sz w:val="18"/>
                <w:szCs w:val="18"/>
              </w:rPr>
            </w:pPr>
          </w:p>
        </w:tc>
        <w:tc>
          <w:tcPr>
            <w:tcW w:w="712" w:type="dxa"/>
            <w:tcBorders>
              <w:tl2br w:val="nil"/>
              <w:tr2bl w:val="nil"/>
            </w:tcBorders>
            <w:vAlign w:val="center"/>
          </w:tcPr>
          <w:p>
            <w:pPr>
              <w:widowControl/>
              <w:snapToGrid w:val="0"/>
              <w:spacing w:line="240" w:lineRule="auto"/>
              <w:ind w:firstLine="0" w:firstLineChars="0"/>
              <w:jc w:val="center"/>
              <w:rPr>
                <w:b/>
                <w:color w:val="000000" w:themeColor="text1"/>
                <w:kern w:val="0"/>
                <w:sz w:val="18"/>
                <w:szCs w:val="18"/>
              </w:rPr>
            </w:pPr>
            <w:r>
              <w:rPr>
                <w:rFonts w:hint="eastAsia"/>
                <w:b/>
                <w:color w:val="000000" w:themeColor="text1"/>
                <w:kern w:val="0"/>
                <w:sz w:val="18"/>
                <w:szCs w:val="18"/>
              </w:rPr>
              <w:t>10</w:t>
            </w:r>
          </w:p>
        </w:tc>
        <w:tc>
          <w:tcPr>
            <w:tcW w:w="2132" w:type="dxa"/>
            <w:tcBorders>
              <w:tl2br w:val="nil"/>
              <w:tr2bl w:val="nil"/>
            </w:tcBorders>
            <w:vAlign w:val="center"/>
          </w:tcPr>
          <w:p>
            <w:pPr>
              <w:widowControl/>
              <w:snapToGrid w:val="0"/>
              <w:spacing w:line="240" w:lineRule="auto"/>
              <w:ind w:firstLine="0" w:firstLineChars="0"/>
              <w:jc w:val="center"/>
              <w:rPr>
                <w:color w:val="000000" w:themeColor="text1"/>
                <w:kern w:val="0"/>
                <w:sz w:val="18"/>
                <w:szCs w:val="18"/>
              </w:rPr>
            </w:pPr>
          </w:p>
        </w:tc>
        <w:tc>
          <w:tcPr>
            <w:tcW w:w="737" w:type="dxa"/>
            <w:tcBorders>
              <w:tl2br w:val="nil"/>
              <w:tr2bl w:val="nil"/>
            </w:tcBorders>
            <w:vAlign w:val="center"/>
          </w:tcPr>
          <w:p>
            <w:pPr>
              <w:widowControl/>
              <w:snapToGrid w:val="0"/>
              <w:spacing w:line="240" w:lineRule="auto"/>
              <w:ind w:firstLine="0" w:firstLineChars="0"/>
              <w:jc w:val="center"/>
              <w:rPr>
                <w:color w:val="000000" w:themeColor="text1"/>
                <w:kern w:val="0"/>
                <w:sz w:val="18"/>
                <w:szCs w:val="18"/>
              </w:rPr>
            </w:pPr>
          </w:p>
        </w:tc>
        <w:tc>
          <w:tcPr>
            <w:tcW w:w="1290" w:type="dxa"/>
            <w:tcBorders>
              <w:tl2br w:val="nil"/>
              <w:tr2bl w:val="nil"/>
            </w:tcBorders>
            <w:vAlign w:val="center"/>
          </w:tcPr>
          <w:p>
            <w:pPr>
              <w:spacing w:line="240" w:lineRule="auto"/>
              <w:ind w:firstLine="0" w:firstLineChars="0"/>
              <w:jc w:val="center"/>
              <w:rPr>
                <w:color w:val="000000" w:themeColor="text1"/>
                <w:kern w:val="0"/>
                <w:sz w:val="18"/>
                <w:szCs w:val="18"/>
              </w:rPr>
            </w:pPr>
          </w:p>
        </w:tc>
        <w:tc>
          <w:tcPr>
            <w:tcW w:w="621" w:type="dxa"/>
            <w:tcBorders>
              <w:tl2br w:val="nil"/>
              <w:tr2bl w:val="nil"/>
            </w:tcBorders>
            <w:vAlign w:val="center"/>
          </w:tcPr>
          <w:p>
            <w:pPr>
              <w:widowControl/>
              <w:snapToGrid w:val="0"/>
              <w:spacing w:line="240" w:lineRule="auto"/>
              <w:ind w:firstLine="0" w:firstLineChars="0"/>
              <w:jc w:val="center"/>
              <w:rPr>
                <w:b/>
                <w:color w:val="000000" w:themeColor="text1"/>
                <w:kern w:val="0"/>
                <w:sz w:val="18"/>
                <w:szCs w:val="18"/>
              </w:rPr>
            </w:pPr>
            <w:r>
              <w:rPr>
                <w:rFonts w:hint="eastAsia"/>
                <w:b/>
                <w:color w:val="000000" w:themeColor="text1"/>
                <w:kern w:val="0"/>
                <w:sz w:val="18"/>
                <w:szCs w:val="18"/>
              </w:rPr>
              <w:t>0</w:t>
            </w:r>
          </w:p>
        </w:tc>
      </w:tr>
    </w:tbl>
    <w:p>
      <w:pPr>
        <w:widowControl/>
        <w:snapToGrid w:val="0"/>
        <w:ind w:firstLine="360"/>
        <w:rPr>
          <w:bCs/>
          <w:color w:val="000000" w:themeColor="text1"/>
          <w:kern w:val="0"/>
          <w:sz w:val="18"/>
          <w:szCs w:val="18"/>
        </w:rPr>
      </w:pPr>
      <w:r>
        <w:rPr>
          <w:bCs/>
          <w:color w:val="000000" w:themeColor="text1"/>
          <w:kern w:val="0"/>
          <w:sz w:val="18"/>
          <w:szCs w:val="18"/>
        </w:rPr>
        <w:t>注：L为公路或铁路的路线长度； r</w:t>
      </w:r>
      <w:r>
        <w:rPr>
          <w:bCs/>
          <w:color w:val="000000" w:themeColor="text1"/>
          <w:kern w:val="0"/>
          <w:sz w:val="18"/>
          <w:szCs w:val="18"/>
          <w:vertAlign w:val="subscript"/>
        </w:rPr>
        <w:t>d</w:t>
      </w:r>
      <w:r>
        <w:rPr>
          <w:bCs/>
          <w:color w:val="000000" w:themeColor="text1"/>
          <w:kern w:val="0"/>
          <w:sz w:val="18"/>
          <w:szCs w:val="18"/>
        </w:rPr>
        <w:t>为风险源所在保护区范围的当量半径。</w:t>
      </w:r>
    </w:p>
    <w:p>
      <w:pPr>
        <w:widowControl/>
        <w:rPr>
          <w:bCs/>
          <w:color w:val="000000" w:themeColor="text1"/>
        </w:rPr>
      </w:pPr>
      <w:r>
        <w:rPr>
          <w:bCs/>
          <w:color w:val="000000" w:themeColor="text1"/>
          <w:kern w:val="0"/>
        </w:rPr>
        <w:t>通过计算，</w:t>
      </w:r>
      <w:r>
        <w:rPr>
          <w:rFonts w:hint="eastAsia"/>
          <w:color w:val="000000" w:themeColor="text1"/>
        </w:rPr>
        <w:t>岳阳市饮用水源保护区（铁山水库-北干渠-金凤水库）</w:t>
      </w:r>
      <w:r>
        <w:rPr>
          <w:rFonts w:hint="eastAsia"/>
          <w:color w:val="000000" w:themeColor="text1"/>
          <w:kern w:val="0"/>
        </w:rPr>
        <w:t>流动</w:t>
      </w:r>
      <w:r>
        <w:rPr>
          <w:color w:val="000000" w:themeColor="text1"/>
          <w:kern w:val="0"/>
        </w:rPr>
        <w:t>环境风险值为</w:t>
      </w:r>
      <w:r>
        <w:rPr>
          <w:bCs/>
          <w:color w:val="000000" w:themeColor="text1"/>
          <w:kern w:val="0"/>
        </w:rPr>
        <w:t>：Rf=F1+F2+F3=</w:t>
      </w:r>
      <w:r>
        <w:rPr>
          <w:rFonts w:hint="eastAsia"/>
          <w:bCs/>
          <w:color w:val="000000" w:themeColor="text1"/>
          <w:kern w:val="0"/>
        </w:rPr>
        <w:t>19</w:t>
      </w:r>
    </w:p>
    <w:p>
      <w:pPr>
        <w:widowControl/>
        <w:rPr>
          <w:bCs/>
          <w:color w:val="000000" w:themeColor="text1"/>
          <w:kern w:val="0"/>
        </w:rPr>
        <w:sectPr>
          <w:pgSz w:w="16838" w:h="11906" w:orient="landscape"/>
          <w:pgMar w:top="1797" w:right="1440" w:bottom="1797" w:left="1440" w:header="851" w:footer="992" w:gutter="0"/>
          <w:cols w:space="720" w:num="1"/>
          <w:docGrid w:type="linesAndChars" w:linePitch="312" w:charSpace="0"/>
        </w:sectPr>
      </w:pPr>
    </w:p>
    <w:p>
      <w:pPr>
        <w:pStyle w:val="5"/>
        <w:rPr>
          <w:color w:val="000000" w:themeColor="text1"/>
        </w:rPr>
      </w:pPr>
      <w:r>
        <w:rPr>
          <w:rFonts w:hint="eastAsia"/>
          <w:color w:val="000000" w:themeColor="text1"/>
        </w:rPr>
        <w:t>4</w:t>
      </w:r>
      <w:r>
        <w:rPr>
          <w:color w:val="000000" w:themeColor="text1"/>
        </w:rPr>
        <w:t>.</w:t>
      </w:r>
      <w:r>
        <w:rPr>
          <w:rFonts w:hint="eastAsia"/>
          <w:color w:val="000000" w:themeColor="text1"/>
        </w:rPr>
        <w:t>2</w:t>
      </w:r>
      <w:r>
        <w:rPr>
          <w:color w:val="000000" w:themeColor="text1"/>
        </w:rPr>
        <w:t>.</w:t>
      </w:r>
      <w:r>
        <w:rPr>
          <w:rFonts w:hint="eastAsia"/>
          <w:color w:val="000000" w:themeColor="text1"/>
        </w:rPr>
        <w:t>3非点源风险源识别</w:t>
      </w:r>
    </w:p>
    <w:p>
      <w:pPr>
        <w:spacing w:line="460" w:lineRule="exact"/>
        <w:rPr>
          <w:color w:val="000000" w:themeColor="text1"/>
          <w:kern w:val="0"/>
        </w:rPr>
      </w:pPr>
      <w:r>
        <w:rPr>
          <w:rFonts w:hint="eastAsia"/>
          <w:color w:val="000000" w:themeColor="text1"/>
          <w:kern w:val="0"/>
        </w:rPr>
        <w:t>4.2.3.1水土流失状况</w:t>
      </w:r>
    </w:p>
    <w:p>
      <w:pPr>
        <w:spacing w:line="460" w:lineRule="exact"/>
        <w:rPr>
          <w:color w:val="000000" w:themeColor="text1"/>
          <w:kern w:val="0"/>
        </w:rPr>
      </w:pPr>
      <w:r>
        <w:rPr>
          <w:rFonts w:hint="eastAsia"/>
          <w:color w:val="000000" w:themeColor="text1"/>
          <w:kern w:val="0"/>
        </w:rPr>
        <w:t>流域水土流失较为严重，周边的毛田镇、月田镇和公田镇</w:t>
      </w:r>
      <w:r>
        <w:rPr>
          <w:color w:val="000000" w:themeColor="text1"/>
          <w:kern w:val="0"/>
        </w:rPr>
        <w:t>3</w:t>
      </w:r>
      <w:r>
        <w:rPr>
          <w:rFonts w:hint="eastAsia"/>
          <w:color w:val="000000" w:themeColor="text1"/>
          <w:kern w:val="0"/>
        </w:rPr>
        <w:t>个乡镇的平均水土流失面积比例为</w:t>
      </w:r>
      <w:r>
        <w:rPr>
          <w:color w:val="000000" w:themeColor="text1"/>
          <w:kern w:val="0"/>
        </w:rPr>
        <w:t>16.6%</w:t>
      </w:r>
      <w:r>
        <w:rPr>
          <w:rFonts w:hint="eastAsia"/>
          <w:color w:val="000000" w:themeColor="text1"/>
          <w:kern w:val="0"/>
        </w:rPr>
        <w:t>。以毛田镇镇最重，水土流失面积比例占</w:t>
      </w:r>
      <w:r>
        <w:rPr>
          <w:color w:val="000000" w:themeColor="text1"/>
          <w:kern w:val="0"/>
        </w:rPr>
        <w:t>32.22%</w:t>
      </w:r>
      <w:r>
        <w:rPr>
          <w:rFonts w:hint="eastAsia"/>
          <w:color w:val="000000" w:themeColor="text1"/>
          <w:kern w:val="0"/>
        </w:rPr>
        <w:t>，其次是月田镇，水土流失面积比例为</w:t>
      </w:r>
      <w:r>
        <w:rPr>
          <w:color w:val="000000" w:themeColor="text1"/>
          <w:kern w:val="0"/>
        </w:rPr>
        <w:t>17.72%</w:t>
      </w:r>
      <w:r>
        <w:rPr>
          <w:rFonts w:hint="eastAsia"/>
          <w:color w:val="000000" w:themeColor="text1"/>
          <w:kern w:val="0"/>
        </w:rPr>
        <w:t>，公田镇水土流失面积比例为</w:t>
      </w:r>
      <w:r>
        <w:rPr>
          <w:color w:val="000000" w:themeColor="text1"/>
          <w:kern w:val="0"/>
        </w:rPr>
        <w:t>10.41%</w:t>
      </w:r>
      <w:r>
        <w:rPr>
          <w:rFonts w:hint="eastAsia"/>
          <w:color w:val="000000" w:themeColor="text1"/>
          <w:kern w:val="0"/>
        </w:rPr>
        <w:t>。水土流失主要分布在铁山水库的周边岸带区域。</w:t>
      </w:r>
    </w:p>
    <w:p>
      <w:pPr>
        <w:spacing w:line="460" w:lineRule="exact"/>
        <w:rPr>
          <w:color w:val="000000" w:themeColor="text1"/>
          <w:kern w:val="0"/>
        </w:rPr>
      </w:pPr>
      <w:r>
        <w:rPr>
          <w:rFonts w:hint="eastAsia"/>
          <w:color w:val="000000" w:themeColor="text1"/>
          <w:kern w:val="0"/>
        </w:rPr>
        <w:t>4.2.3.2土地利用状况</w:t>
      </w:r>
    </w:p>
    <w:p>
      <w:pPr>
        <w:spacing w:line="460" w:lineRule="exact"/>
        <w:rPr>
          <w:color w:val="000000" w:themeColor="text1"/>
          <w:kern w:val="0"/>
        </w:rPr>
      </w:pPr>
      <w:r>
        <w:rPr>
          <w:rFonts w:hint="eastAsia"/>
          <w:color w:val="000000" w:themeColor="text1"/>
          <w:kern w:val="0"/>
        </w:rPr>
        <w:t>铁山水库周边陆域土地利用以林地和耕地为主，林地和耕地面积分别占</w:t>
      </w:r>
      <w:r>
        <w:rPr>
          <w:color w:val="000000" w:themeColor="text1"/>
          <w:kern w:val="0"/>
        </w:rPr>
        <w:t>58.4%</w:t>
      </w:r>
      <w:r>
        <w:rPr>
          <w:rFonts w:hint="eastAsia"/>
          <w:color w:val="000000" w:themeColor="text1"/>
          <w:kern w:val="0"/>
        </w:rPr>
        <w:t>和</w:t>
      </w:r>
      <w:r>
        <w:rPr>
          <w:color w:val="000000" w:themeColor="text1"/>
          <w:kern w:val="0"/>
        </w:rPr>
        <w:t>14.9%</w:t>
      </w:r>
      <w:r>
        <w:rPr>
          <w:rFonts w:hint="eastAsia"/>
          <w:color w:val="000000" w:themeColor="text1"/>
          <w:kern w:val="0"/>
        </w:rPr>
        <w:t>。水域面积为</w:t>
      </w:r>
      <w:r>
        <w:rPr>
          <w:color w:val="000000" w:themeColor="text1"/>
          <w:kern w:val="0"/>
        </w:rPr>
        <w:t>54.39 km</w:t>
      </w:r>
      <w:r>
        <w:rPr>
          <w:color w:val="000000" w:themeColor="text1"/>
          <w:kern w:val="0"/>
          <w:vertAlign w:val="superscript"/>
        </w:rPr>
        <w:t>2</w:t>
      </w:r>
      <w:r>
        <w:rPr>
          <w:rFonts w:hint="eastAsia"/>
          <w:color w:val="000000" w:themeColor="text1"/>
          <w:kern w:val="0"/>
        </w:rPr>
        <w:t>，占总面积比例为</w:t>
      </w:r>
      <w:r>
        <w:rPr>
          <w:color w:val="000000" w:themeColor="text1"/>
          <w:kern w:val="0"/>
        </w:rPr>
        <w:t>13.9%</w:t>
      </w:r>
      <w:r>
        <w:rPr>
          <w:rFonts w:hint="eastAsia"/>
          <w:color w:val="000000" w:themeColor="text1"/>
          <w:kern w:val="0"/>
        </w:rPr>
        <w:t>，滩涂湿地面积为</w:t>
      </w:r>
      <w:r>
        <w:rPr>
          <w:color w:val="000000" w:themeColor="text1"/>
          <w:kern w:val="0"/>
        </w:rPr>
        <w:t>6.55 km</w:t>
      </w:r>
      <w:r>
        <w:rPr>
          <w:color w:val="000000" w:themeColor="text1"/>
          <w:kern w:val="0"/>
          <w:vertAlign w:val="superscript"/>
        </w:rPr>
        <w:t>2</w:t>
      </w:r>
      <w:r>
        <w:rPr>
          <w:rFonts w:hint="eastAsia"/>
          <w:color w:val="000000" w:themeColor="text1"/>
          <w:kern w:val="0"/>
        </w:rPr>
        <w:t>，占总面积比例为</w:t>
      </w:r>
      <w:r>
        <w:rPr>
          <w:color w:val="000000" w:themeColor="text1"/>
          <w:kern w:val="0"/>
        </w:rPr>
        <w:t>1.7%</w:t>
      </w:r>
      <w:r>
        <w:rPr>
          <w:rFonts w:hint="eastAsia"/>
          <w:color w:val="000000" w:themeColor="text1"/>
          <w:kern w:val="0"/>
        </w:rPr>
        <w:t>。</w:t>
      </w:r>
    </w:p>
    <w:p>
      <w:pPr>
        <w:spacing w:line="460" w:lineRule="exact"/>
        <w:rPr>
          <w:color w:val="000000" w:themeColor="text1"/>
          <w:kern w:val="0"/>
        </w:rPr>
      </w:pPr>
      <w:r>
        <w:rPr>
          <w:rFonts w:hint="eastAsia"/>
          <w:color w:val="000000" w:themeColor="text1"/>
          <w:kern w:val="0"/>
        </w:rPr>
        <w:t>4.2.3.3农田径流污染状况</w:t>
      </w:r>
    </w:p>
    <w:p>
      <w:pPr>
        <w:spacing w:line="460" w:lineRule="exact"/>
        <w:rPr>
          <w:color w:val="000000" w:themeColor="text1"/>
          <w:kern w:val="0"/>
        </w:rPr>
      </w:pPr>
      <w:r>
        <w:rPr>
          <w:rFonts w:hint="eastAsia"/>
          <w:szCs w:val="24"/>
        </w:rPr>
        <w:t>农业污染主要是通过降雨形成的径流将地表污染物质带入水体造成的污染。如化肥、农药等随地表径流进入水体，从而引起污染。根据实地调查，</w:t>
      </w:r>
      <w:r>
        <w:rPr>
          <w:color w:val="000000" w:themeColor="text1"/>
          <w:kern w:val="0"/>
        </w:rPr>
        <w:t>在</w:t>
      </w:r>
      <w:r>
        <w:rPr>
          <w:rFonts w:hint="eastAsia"/>
          <w:color w:val="000000" w:themeColor="text1"/>
        </w:rPr>
        <w:t>岳阳市饮用水源保护区（铁山水库-北干渠-金凤水库）</w:t>
      </w:r>
      <w:r>
        <w:rPr>
          <w:rFonts w:hint="eastAsia"/>
          <w:color w:val="000000" w:themeColor="text1"/>
          <w:kern w:val="0"/>
        </w:rPr>
        <w:t>内</w:t>
      </w:r>
      <w:r>
        <w:rPr>
          <w:color w:val="000000" w:themeColor="text1"/>
          <w:kern w:val="0"/>
        </w:rPr>
        <w:t>存在一定的农业种植污染</w:t>
      </w:r>
      <w:r>
        <w:rPr>
          <w:rFonts w:hint="eastAsia"/>
          <w:color w:val="000000" w:themeColor="text1"/>
          <w:kern w:val="0"/>
        </w:rPr>
        <w:t>，</w:t>
      </w:r>
      <w:r>
        <w:rPr>
          <w:color w:val="000000" w:themeColor="text1"/>
          <w:kern w:val="0"/>
        </w:rPr>
        <w:t>其主要来源于农业种植过程中化肥、农药的施用。</w:t>
      </w:r>
    </w:p>
    <w:p>
      <w:pPr>
        <w:spacing w:line="460" w:lineRule="exact"/>
      </w:pPr>
      <w:r>
        <w:rPr>
          <w:rFonts w:hint="eastAsia" w:ascii="宋体" w:hAnsi="宋体" w:cs="宋体"/>
          <w:szCs w:val="24"/>
        </w:rPr>
        <w:t>岳阳市饮用水源保护区（铁山水库-北干渠-金凤水库）调查范围内有约</w:t>
      </w:r>
      <w:r>
        <w:rPr>
          <w:szCs w:val="24"/>
        </w:rPr>
        <w:t>63000</w:t>
      </w:r>
      <w:r>
        <w:rPr>
          <w:rFonts w:hint="eastAsia" w:ascii="宋体" w:hAnsi="宋体" w:cs="宋体"/>
          <w:szCs w:val="24"/>
        </w:rPr>
        <w:t>亩耕地。按照《全国饮用水水源地环境保护规划技术大纲》给出的标准：农田源强系数为</w:t>
      </w:r>
      <w:r>
        <w:rPr>
          <w:szCs w:val="24"/>
        </w:rPr>
        <w:t>COD10kg/</w:t>
      </w:r>
      <w:r>
        <w:rPr>
          <w:rFonts w:hint="eastAsia" w:ascii="宋体" w:hAnsi="宋体" w:cs="宋体"/>
          <w:szCs w:val="24"/>
        </w:rPr>
        <w:t>亩·年，氨氮</w:t>
      </w:r>
      <w:r>
        <w:rPr>
          <w:szCs w:val="24"/>
        </w:rPr>
        <w:t>2kg/</w:t>
      </w:r>
      <w:r>
        <w:rPr>
          <w:rFonts w:hint="eastAsia" w:ascii="宋体" w:hAnsi="宋体" w:cs="宋体"/>
          <w:szCs w:val="24"/>
        </w:rPr>
        <w:t>亩·年。则农田排水通过沟渠排入岳阳市饮用水源保护区（铁山水库-北干渠-金凤水库）的污染物排放量为</w:t>
      </w:r>
      <w:r>
        <w:rPr>
          <w:szCs w:val="24"/>
        </w:rPr>
        <w:t>COD 630t/a</w:t>
      </w:r>
      <w:r>
        <w:rPr>
          <w:rFonts w:hint="eastAsia" w:ascii="宋体" w:hAnsi="宋体" w:cs="宋体"/>
          <w:szCs w:val="24"/>
        </w:rPr>
        <w:t xml:space="preserve">，氨氮 </w:t>
      </w:r>
      <w:r>
        <w:rPr>
          <w:szCs w:val="24"/>
        </w:rPr>
        <w:t>126t/a</w:t>
      </w:r>
      <w:r>
        <w:rPr>
          <w:rFonts w:hint="eastAsia" w:ascii="宋体" w:hAnsi="宋体" w:cs="宋体"/>
          <w:szCs w:val="24"/>
        </w:rPr>
        <w:t>。</w:t>
      </w:r>
    </w:p>
    <w:p>
      <w:pPr>
        <w:spacing w:line="460" w:lineRule="exact"/>
        <w:rPr>
          <w:color w:val="000000" w:themeColor="text1"/>
          <w:kern w:val="0"/>
        </w:rPr>
      </w:pPr>
      <w:r>
        <w:rPr>
          <w:rFonts w:hint="eastAsia"/>
          <w:color w:val="000000" w:themeColor="text1"/>
          <w:kern w:val="0"/>
        </w:rPr>
        <w:t>4.2.3.4畜禽养殖污染状况</w:t>
      </w:r>
    </w:p>
    <w:p>
      <w:pPr>
        <w:spacing w:line="460" w:lineRule="exact"/>
        <w:jc w:val="left"/>
        <w:rPr>
          <w:color w:val="000000" w:themeColor="text1"/>
        </w:rPr>
      </w:pPr>
      <w:r>
        <w:rPr>
          <w:color w:val="000000" w:themeColor="text1"/>
        </w:rPr>
        <w:t>近年来</w:t>
      </w:r>
      <w:r>
        <w:rPr>
          <w:rFonts w:hint="eastAsia"/>
          <w:color w:val="000000" w:themeColor="text1"/>
        </w:rPr>
        <w:t>岳阳市</w:t>
      </w:r>
      <w:r>
        <w:rPr>
          <w:color w:val="000000" w:themeColor="text1"/>
        </w:rPr>
        <w:t>人民政府已积极开展农村环境综合整治工作，</w:t>
      </w:r>
      <w:r>
        <w:rPr>
          <w:rFonts w:hint="eastAsia"/>
          <w:color w:val="000000" w:themeColor="text1"/>
        </w:rPr>
        <w:t>截至2017年底已完成铁山库区集雨区范围内115家规模化养殖场的退养工作，已完成铁山库区所有规模养殖场（存栏20头以上）的退养工作，</w:t>
      </w:r>
      <w:r>
        <w:rPr>
          <w:color w:val="000000" w:themeColor="text1"/>
        </w:rPr>
        <w:t>在</w:t>
      </w:r>
      <w:r>
        <w:rPr>
          <w:rFonts w:hint="eastAsia"/>
          <w:color w:val="000000" w:themeColor="text1"/>
        </w:rPr>
        <w:t>岳阳市饮用水源保护区（铁山水库-北干渠-金凤水库）</w:t>
      </w:r>
      <w:r>
        <w:rPr>
          <w:color w:val="000000" w:themeColor="text1"/>
        </w:rPr>
        <w:t>范围内无规模化养殖</w:t>
      </w:r>
      <w:r>
        <w:rPr>
          <w:rFonts w:hint="eastAsia"/>
          <w:color w:val="000000" w:themeColor="text1"/>
        </w:rPr>
        <w:t>，</w:t>
      </w:r>
      <w:r>
        <w:rPr>
          <w:color w:val="000000" w:themeColor="text1"/>
        </w:rPr>
        <w:t>根据现场调查可知</w:t>
      </w:r>
      <w:r>
        <w:rPr>
          <w:rFonts w:hint="eastAsia"/>
          <w:color w:val="000000" w:themeColor="text1"/>
        </w:rPr>
        <w:t>，</w:t>
      </w:r>
      <w:r>
        <w:rPr>
          <w:color w:val="000000" w:themeColor="text1"/>
        </w:rPr>
        <w:t>在</w:t>
      </w:r>
      <w:r>
        <w:rPr>
          <w:rFonts w:hint="eastAsia"/>
          <w:color w:val="000000" w:themeColor="text1"/>
        </w:rPr>
        <w:t>岳阳市饮用水源保护区（铁山水库-北干渠-金凤水库）</w:t>
      </w:r>
      <w:r>
        <w:rPr>
          <w:color w:val="000000" w:themeColor="text1"/>
        </w:rPr>
        <w:t>范围内</w:t>
      </w:r>
      <w:r>
        <w:rPr>
          <w:rFonts w:hint="eastAsia"/>
          <w:color w:val="000000" w:themeColor="text1"/>
        </w:rPr>
        <w:t>仅</w:t>
      </w:r>
      <w:r>
        <w:rPr>
          <w:color w:val="000000" w:themeColor="text1"/>
        </w:rPr>
        <w:t>存在村民零星的散养</w:t>
      </w:r>
      <w:r>
        <w:rPr>
          <w:rFonts w:hint="eastAsia"/>
          <w:color w:val="000000" w:themeColor="text1"/>
        </w:rPr>
        <w:t>，以圈养为主。养殖粪污用于农田和菜地施肥。</w:t>
      </w:r>
    </w:p>
    <w:p>
      <w:pPr>
        <w:spacing w:line="460" w:lineRule="exact"/>
        <w:rPr>
          <w:color w:val="000000" w:themeColor="text1"/>
          <w:kern w:val="0"/>
        </w:rPr>
      </w:pPr>
      <w:r>
        <w:rPr>
          <w:rFonts w:hint="eastAsia"/>
          <w:color w:val="000000" w:themeColor="text1"/>
          <w:kern w:val="0"/>
        </w:rPr>
        <w:t>4.2.3.5</w:t>
      </w:r>
      <w:r>
        <w:rPr>
          <w:color w:val="000000" w:themeColor="text1"/>
          <w:kern w:val="0"/>
        </w:rPr>
        <w:t>农村生活污</w:t>
      </w:r>
      <w:r>
        <w:rPr>
          <w:rFonts w:hint="eastAsia"/>
          <w:color w:val="000000" w:themeColor="text1"/>
          <w:kern w:val="0"/>
        </w:rPr>
        <w:t>状况</w:t>
      </w:r>
    </w:p>
    <w:p>
      <w:pPr>
        <w:spacing w:line="460" w:lineRule="exact"/>
        <w:rPr>
          <w:color w:val="000000" w:themeColor="text1"/>
          <w:kern w:val="0"/>
        </w:rPr>
      </w:pPr>
      <w:r>
        <w:rPr>
          <w:color w:val="000000" w:themeColor="text1"/>
          <w:kern w:val="0"/>
        </w:rPr>
        <w:t>通过对水源</w:t>
      </w:r>
      <w:r>
        <w:rPr>
          <w:rFonts w:hint="eastAsia"/>
          <w:color w:val="000000" w:themeColor="text1"/>
          <w:kern w:val="0"/>
        </w:rPr>
        <w:t>保护区</w:t>
      </w:r>
      <w:r>
        <w:rPr>
          <w:color w:val="000000" w:themeColor="text1"/>
          <w:kern w:val="0"/>
        </w:rPr>
        <w:t>区域现场</w:t>
      </w:r>
      <w:r>
        <w:rPr>
          <w:rFonts w:hint="eastAsia"/>
          <w:color w:val="000000" w:themeColor="text1"/>
          <w:kern w:val="0"/>
        </w:rPr>
        <w:t>调查</w:t>
      </w:r>
      <w:r>
        <w:rPr>
          <w:color w:val="000000" w:themeColor="text1"/>
          <w:kern w:val="0"/>
        </w:rPr>
        <w:t>，生活污染主要来源于</w:t>
      </w:r>
      <w:r>
        <w:rPr>
          <w:rFonts w:hint="eastAsia"/>
          <w:color w:val="000000" w:themeColor="text1"/>
          <w:kern w:val="0"/>
        </w:rPr>
        <w:t>铁山水库周边范围内</w:t>
      </w:r>
      <w:r>
        <w:rPr>
          <w:color w:val="000000" w:themeColor="text1"/>
          <w:kern w:val="0"/>
        </w:rPr>
        <w:t>居民</w:t>
      </w:r>
      <w:r>
        <w:rPr>
          <w:rFonts w:hint="eastAsia"/>
          <w:color w:val="000000" w:themeColor="text1"/>
          <w:kern w:val="0"/>
        </w:rPr>
        <w:t>（</w:t>
      </w:r>
      <w:r>
        <w:rPr>
          <w:color w:val="000000" w:themeColor="text1"/>
          <w:kern w:val="0"/>
        </w:rPr>
        <w:t>主要</w:t>
      </w:r>
      <w:r>
        <w:rPr>
          <w:rFonts w:hint="eastAsia"/>
          <w:color w:val="000000" w:themeColor="text1"/>
          <w:kern w:val="0"/>
        </w:rPr>
        <w:t>包括月田镇、毛田镇、公田镇居民）以及北干渠沿线居民。</w:t>
      </w:r>
    </w:p>
    <w:p>
      <w:pPr>
        <w:pStyle w:val="100"/>
        <w:ind w:left="480" w:firstLine="0" w:firstLineChars="0"/>
        <w:rPr>
          <w:color w:val="000000" w:themeColor="text1"/>
          <w:kern w:val="0"/>
        </w:rPr>
      </w:pPr>
      <w:r>
        <w:rPr>
          <w:rFonts w:hint="eastAsia"/>
          <w:color w:val="000000" w:themeColor="text1"/>
          <w:kern w:val="0"/>
        </w:rPr>
        <w:t>（1）</w:t>
      </w:r>
      <w:r>
        <w:rPr>
          <w:color w:val="000000" w:themeColor="text1"/>
          <w:kern w:val="0"/>
        </w:rPr>
        <w:t>居民生活污水污染</w:t>
      </w:r>
    </w:p>
    <w:p>
      <w:pPr>
        <w:jc w:val="left"/>
        <w:rPr>
          <w:color w:val="000000" w:themeColor="text1"/>
          <w:kern w:val="0"/>
        </w:rPr>
      </w:pPr>
      <w:r>
        <w:rPr>
          <w:color w:val="000000" w:themeColor="text1"/>
          <w:kern w:val="0"/>
        </w:rPr>
        <w:t>通过对水源</w:t>
      </w:r>
      <w:r>
        <w:rPr>
          <w:rFonts w:hint="eastAsia"/>
          <w:color w:val="000000" w:themeColor="text1"/>
          <w:kern w:val="0"/>
        </w:rPr>
        <w:t>保护区</w:t>
      </w:r>
      <w:r>
        <w:rPr>
          <w:color w:val="000000" w:themeColor="text1"/>
          <w:kern w:val="0"/>
        </w:rPr>
        <w:t>现场调查</w:t>
      </w:r>
      <w:r>
        <w:rPr>
          <w:rFonts w:hint="eastAsia"/>
          <w:color w:val="000000" w:themeColor="text1"/>
          <w:kern w:val="0"/>
        </w:rPr>
        <w:t>可知，</w:t>
      </w:r>
      <w:r>
        <w:rPr>
          <w:rFonts w:hint="eastAsia"/>
          <w:color w:val="000000" w:themeColor="text1"/>
        </w:rPr>
        <w:t>岳阳市饮用水源保护区（铁山水库-北干渠-金凤水库）</w:t>
      </w:r>
      <w:r>
        <w:rPr>
          <w:rFonts w:hint="eastAsia"/>
          <w:color w:val="000000" w:themeColor="text1"/>
          <w:kern w:val="0"/>
        </w:rPr>
        <w:t>的</w:t>
      </w:r>
      <w:r>
        <w:rPr>
          <w:color w:val="000000" w:themeColor="text1"/>
          <w:kern w:val="0"/>
        </w:rPr>
        <w:t>生活污水主要包括厨房污水、洗衣污水、洗澡污水、厕所溢出污水等。农村生活污水水质比较稳定，主要含纤维素、淀粉、糖类、脂肪、蛋白质等有机类物质，还含有氮、磷等无机盐类，一般不含有毒物质，污水中常含有合成洗涤剂以及细菌、病毒、寄生虫卵。</w:t>
      </w:r>
    </w:p>
    <w:p>
      <w:pPr>
        <w:jc w:val="left"/>
        <w:rPr>
          <w:color w:val="000000" w:themeColor="text1"/>
          <w:kern w:val="0"/>
        </w:rPr>
      </w:pPr>
      <w:r>
        <w:rPr>
          <w:rFonts w:hint="eastAsia"/>
          <w:color w:val="000000" w:themeColor="text1"/>
          <w:kern w:val="0"/>
        </w:rPr>
        <w:t>目前已对人口比较集中的月田镇和毛田镇生活污水进行收集后经污水处理厂处理达标后排放，其他居民生活污水通过四格化粪池处理后用于农田和菜地浇施肥。</w:t>
      </w:r>
    </w:p>
    <w:p>
      <w:pPr>
        <w:rPr>
          <w:color w:val="000000" w:themeColor="text1"/>
          <w:kern w:val="0"/>
        </w:rPr>
      </w:pPr>
      <w:r>
        <w:rPr>
          <w:rFonts w:hint="eastAsia"/>
          <w:color w:val="000000" w:themeColor="text1"/>
          <w:kern w:val="0"/>
        </w:rPr>
        <w:t>（2）</w:t>
      </w:r>
      <w:r>
        <w:rPr>
          <w:color w:val="000000" w:themeColor="text1"/>
          <w:kern w:val="0"/>
        </w:rPr>
        <w:t>居民生活垃圾与固体废弃物污染</w:t>
      </w:r>
    </w:p>
    <w:p>
      <w:pPr>
        <w:rPr>
          <w:color w:val="000000" w:themeColor="text1"/>
          <w:lang w:bidi="th-TH"/>
        </w:rPr>
      </w:pPr>
      <w:r>
        <w:rPr>
          <w:color w:val="000000" w:themeColor="text1"/>
          <w:kern w:val="0"/>
        </w:rPr>
        <w:t>水源地区域</w:t>
      </w:r>
      <w:r>
        <w:rPr>
          <w:color w:val="000000" w:themeColor="text1"/>
          <w:lang w:bidi="th-TH"/>
        </w:rPr>
        <w:t>固体废弃物基本组成约为：易腐有机物占70%、无机物占20%、有机废品占9%、废电池、农药瓶等有害废物占1%。</w:t>
      </w:r>
    </w:p>
    <w:p>
      <w:pPr>
        <w:rPr>
          <w:color w:val="000000" w:themeColor="text1"/>
          <w:lang w:bidi="th-TH"/>
        </w:rPr>
      </w:pPr>
      <w:r>
        <w:rPr>
          <w:rFonts w:hint="eastAsia"/>
          <w:color w:val="000000" w:themeColor="text1"/>
          <w:lang w:bidi="th-TH"/>
        </w:rPr>
        <w:t>目前已对铁山水源保护区内5个中心集镇及6个小集镇配置垃圾桶及垃圾中转站，对收集的垃圾进行压缩减容后运至岳阳县垃圾填埋场填埋，但</w:t>
      </w:r>
      <w:r>
        <w:rPr>
          <w:color w:val="000000" w:themeColor="text1"/>
          <w:lang w:bidi="th-TH"/>
        </w:rPr>
        <w:t>随着生活水平的提高，生活垃圾产生量增长迅速，水源地区域部分村庄没有专门的垃圾收集、处理系统，许多难以回收利用的固体废物，如旧衣物、一次性塑料用品、废电池、灯管、灯泡、清扫房屋及院子垃圾等随意堆放，</w:t>
      </w:r>
      <w:r>
        <w:rPr>
          <w:rFonts w:hint="eastAsia"/>
          <w:color w:val="000000" w:themeColor="text1"/>
          <w:lang w:bidi="th-TH"/>
        </w:rPr>
        <w:t>对饮用水水源保护区</w:t>
      </w:r>
      <w:r>
        <w:rPr>
          <w:color w:val="000000" w:themeColor="text1"/>
          <w:lang w:bidi="th-TH"/>
        </w:rPr>
        <w:t>水质</w:t>
      </w:r>
      <w:r>
        <w:rPr>
          <w:rFonts w:hint="eastAsia"/>
          <w:color w:val="000000" w:themeColor="text1"/>
          <w:lang w:bidi="th-TH"/>
        </w:rPr>
        <w:t>会</w:t>
      </w:r>
      <w:r>
        <w:rPr>
          <w:color w:val="000000" w:themeColor="text1"/>
          <w:lang w:bidi="th-TH"/>
        </w:rPr>
        <w:t>产生一定的影响。</w:t>
      </w:r>
    </w:p>
    <w:p>
      <w:pPr>
        <w:pStyle w:val="32"/>
        <w:widowControl w:val="0"/>
        <w:kinsoku w:val="0"/>
        <w:overflowPunct w:val="0"/>
        <w:spacing w:before="0" w:beforeAutospacing="0" w:after="0" w:afterAutospacing="0" w:line="360" w:lineRule="auto"/>
        <w:jc w:val="center"/>
        <w:rPr>
          <w:rFonts w:eastAsia="黑体"/>
          <w:b/>
          <w:bCs/>
          <w:sz w:val="21"/>
          <w:szCs w:val="21"/>
        </w:rPr>
      </w:pPr>
      <w:r>
        <w:rPr>
          <w:rFonts w:hint="eastAsia" w:ascii="Times New Roman" w:eastAsia="黑体" w:cs="黑体"/>
          <w:b/>
          <w:bCs/>
          <w:sz w:val="21"/>
          <w:szCs w:val="21"/>
        </w:rPr>
        <w:t>表</w:t>
      </w:r>
      <w:r>
        <w:rPr>
          <w:rFonts w:hint="eastAsia" w:ascii="Times New Roman" w:hAnsi="Times New Roman" w:eastAsia="黑体" w:cs="Times New Roman"/>
          <w:b/>
          <w:bCs/>
          <w:sz w:val="21"/>
          <w:szCs w:val="21"/>
        </w:rPr>
        <w:t>4-8</w:t>
      </w:r>
      <w:r>
        <w:rPr>
          <w:rFonts w:ascii="Times New Roman" w:hAnsi="Times New Roman" w:eastAsia="黑体" w:cs="Times New Roman"/>
          <w:b/>
          <w:bCs/>
          <w:sz w:val="21"/>
          <w:szCs w:val="21"/>
        </w:rPr>
        <w:t xml:space="preserve"> </w:t>
      </w:r>
      <w:r>
        <w:rPr>
          <w:rFonts w:hint="eastAsia" w:ascii="Times New Roman" w:eastAsia="黑体" w:cs="黑体"/>
          <w:b/>
          <w:bCs/>
          <w:sz w:val="21"/>
          <w:szCs w:val="21"/>
        </w:rPr>
        <w:t>非点源风险源一览表</w:t>
      </w:r>
    </w:p>
    <w:tbl>
      <w:tblPr>
        <w:tblStyle w:val="47"/>
        <w:tblW w:w="8528" w:type="dxa"/>
        <w:jc w:val="center"/>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
      <w:tblGrid>
        <w:gridCol w:w="1547"/>
        <w:gridCol w:w="2150"/>
        <w:gridCol w:w="4831"/>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397" w:hRule="atLeast"/>
          <w:jc w:val="center"/>
        </w:trPr>
        <w:tc>
          <w:tcPr>
            <w:tcW w:w="1547" w:type="dxa"/>
            <w:tcBorders>
              <w:top w:val="single" w:color="000000" w:sz="4" w:space="0"/>
              <w:left w:val="single" w:color="000000" w:sz="4" w:space="0"/>
              <w:bottom w:val="single" w:color="000000" w:sz="4" w:space="0"/>
              <w:right w:val="single" w:color="000000" w:sz="4" w:space="0"/>
            </w:tcBorders>
            <w:shd w:val="clear" w:color="auto" w:fill="auto"/>
            <w:vAlign w:val="center"/>
          </w:tcPr>
          <w:p>
            <w:pPr>
              <w:pStyle w:val="32"/>
              <w:widowControl w:val="0"/>
              <w:kinsoku w:val="0"/>
              <w:overflowPunct w:val="0"/>
              <w:adjustRightInd w:val="0"/>
              <w:snapToGrid w:val="0"/>
              <w:spacing w:before="0" w:beforeAutospacing="0" w:after="0" w:afterAutospacing="0"/>
              <w:jc w:val="center"/>
              <w:rPr>
                <w:kern w:val="2"/>
                <w:sz w:val="21"/>
                <w:szCs w:val="21"/>
                <w:u w:val="single"/>
              </w:rPr>
            </w:pPr>
            <w:r>
              <w:rPr>
                <w:rFonts w:hint="eastAsia" w:ascii="Times New Roman" w:hAnsi="Times New Roman"/>
                <w:kern w:val="2"/>
                <w:sz w:val="21"/>
                <w:szCs w:val="21"/>
                <w:u w:val="single"/>
              </w:rPr>
              <w:t>调查类别类别</w:t>
            </w:r>
          </w:p>
        </w:tc>
        <w:tc>
          <w:tcPr>
            <w:tcW w:w="2150" w:type="dxa"/>
            <w:tcBorders>
              <w:top w:val="single" w:color="000000" w:sz="4" w:space="0"/>
              <w:left w:val="single" w:color="000000" w:sz="4" w:space="0"/>
              <w:bottom w:val="single" w:color="000000" w:sz="4" w:space="0"/>
              <w:right w:val="single" w:color="000000" w:sz="4" w:space="0"/>
            </w:tcBorders>
            <w:shd w:val="clear" w:color="auto" w:fill="auto"/>
            <w:vAlign w:val="center"/>
          </w:tcPr>
          <w:p>
            <w:pPr>
              <w:pStyle w:val="32"/>
              <w:widowControl w:val="0"/>
              <w:kinsoku w:val="0"/>
              <w:overflowPunct w:val="0"/>
              <w:adjustRightInd w:val="0"/>
              <w:snapToGrid w:val="0"/>
              <w:spacing w:before="0" w:beforeAutospacing="0" w:after="0" w:afterAutospacing="0"/>
              <w:jc w:val="center"/>
              <w:rPr>
                <w:kern w:val="2"/>
                <w:sz w:val="21"/>
                <w:szCs w:val="21"/>
                <w:u w:val="single"/>
              </w:rPr>
            </w:pPr>
            <w:r>
              <w:rPr>
                <w:rFonts w:hint="eastAsia" w:ascii="Times New Roman" w:hAnsi="Times New Roman"/>
                <w:kern w:val="2"/>
                <w:sz w:val="21"/>
                <w:szCs w:val="21"/>
                <w:u w:val="single"/>
              </w:rPr>
              <w:t>非点源类别</w:t>
            </w:r>
          </w:p>
        </w:tc>
        <w:tc>
          <w:tcPr>
            <w:tcW w:w="4831" w:type="dxa"/>
            <w:tcBorders>
              <w:top w:val="single" w:color="000000" w:sz="4" w:space="0"/>
              <w:left w:val="single" w:color="000000" w:sz="4" w:space="0"/>
              <w:bottom w:val="single" w:color="000000" w:sz="4" w:space="0"/>
              <w:right w:val="single" w:color="000000" w:sz="4" w:space="0"/>
            </w:tcBorders>
            <w:shd w:val="clear" w:color="auto" w:fill="auto"/>
            <w:vAlign w:val="center"/>
          </w:tcPr>
          <w:p>
            <w:pPr>
              <w:pStyle w:val="32"/>
              <w:widowControl w:val="0"/>
              <w:kinsoku w:val="0"/>
              <w:overflowPunct w:val="0"/>
              <w:adjustRightInd w:val="0"/>
              <w:snapToGrid w:val="0"/>
              <w:spacing w:before="0" w:beforeAutospacing="0" w:after="0" w:afterAutospacing="0"/>
              <w:jc w:val="center"/>
              <w:rPr>
                <w:kern w:val="2"/>
                <w:sz w:val="21"/>
                <w:szCs w:val="21"/>
                <w:u w:val="single"/>
              </w:rPr>
            </w:pPr>
            <w:r>
              <w:rPr>
                <w:rFonts w:hint="eastAsia" w:ascii="Times New Roman" w:hAnsi="Times New Roman"/>
                <w:kern w:val="2"/>
                <w:sz w:val="21"/>
                <w:szCs w:val="21"/>
                <w:u w:val="single"/>
              </w:rPr>
              <w:t>具体内容</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397" w:hRule="atLeast"/>
          <w:jc w:val="center"/>
        </w:trPr>
        <w:tc>
          <w:tcPr>
            <w:tcW w:w="1547"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pStyle w:val="32"/>
              <w:widowControl w:val="0"/>
              <w:kinsoku w:val="0"/>
              <w:overflowPunct w:val="0"/>
              <w:adjustRightInd w:val="0"/>
              <w:snapToGrid w:val="0"/>
              <w:spacing w:before="0" w:beforeAutospacing="0" w:after="0" w:afterAutospacing="0"/>
              <w:jc w:val="center"/>
              <w:rPr>
                <w:kern w:val="2"/>
                <w:sz w:val="21"/>
                <w:szCs w:val="21"/>
                <w:u w:val="single"/>
              </w:rPr>
            </w:pPr>
            <w:r>
              <w:rPr>
                <w:rFonts w:hint="eastAsia" w:ascii="Times New Roman" w:hAnsi="Times New Roman"/>
                <w:kern w:val="2"/>
                <w:sz w:val="21"/>
                <w:szCs w:val="21"/>
                <w:u w:val="single"/>
              </w:rPr>
              <w:t>非点源调查</w:t>
            </w:r>
          </w:p>
        </w:tc>
        <w:tc>
          <w:tcPr>
            <w:tcW w:w="2150" w:type="dxa"/>
            <w:tcBorders>
              <w:top w:val="single" w:color="000000" w:sz="4" w:space="0"/>
              <w:left w:val="single" w:color="000000" w:sz="4" w:space="0"/>
              <w:bottom w:val="single" w:color="000000" w:sz="4" w:space="0"/>
              <w:right w:val="single" w:color="000000" w:sz="4" w:space="0"/>
            </w:tcBorders>
            <w:shd w:val="clear" w:color="auto" w:fill="auto"/>
            <w:vAlign w:val="center"/>
          </w:tcPr>
          <w:p>
            <w:pPr>
              <w:pStyle w:val="32"/>
              <w:widowControl w:val="0"/>
              <w:kinsoku w:val="0"/>
              <w:overflowPunct w:val="0"/>
              <w:adjustRightInd w:val="0"/>
              <w:snapToGrid w:val="0"/>
              <w:spacing w:before="0" w:beforeAutospacing="0" w:after="0" w:afterAutospacing="0"/>
              <w:jc w:val="center"/>
              <w:rPr>
                <w:kern w:val="2"/>
                <w:sz w:val="21"/>
                <w:szCs w:val="21"/>
                <w:u w:val="single"/>
              </w:rPr>
            </w:pPr>
            <w:r>
              <w:rPr>
                <w:rFonts w:hint="eastAsia" w:ascii="Times New Roman" w:hAnsi="Times New Roman"/>
                <w:kern w:val="2"/>
                <w:sz w:val="21"/>
                <w:szCs w:val="21"/>
                <w:u w:val="single"/>
              </w:rPr>
              <w:t>水土流失状况</w:t>
            </w:r>
          </w:p>
        </w:tc>
        <w:tc>
          <w:tcPr>
            <w:tcW w:w="4831" w:type="dxa"/>
            <w:tcBorders>
              <w:top w:val="single" w:color="000000" w:sz="4" w:space="0"/>
              <w:left w:val="single" w:color="000000" w:sz="4" w:space="0"/>
              <w:bottom w:val="single" w:color="000000" w:sz="4" w:space="0"/>
              <w:right w:val="single" w:color="000000" w:sz="4" w:space="0"/>
            </w:tcBorders>
            <w:shd w:val="clear" w:color="auto" w:fill="auto"/>
            <w:vAlign w:val="center"/>
          </w:tcPr>
          <w:p>
            <w:pPr>
              <w:pStyle w:val="32"/>
              <w:widowControl w:val="0"/>
              <w:kinsoku w:val="0"/>
              <w:overflowPunct w:val="0"/>
              <w:adjustRightInd w:val="0"/>
              <w:snapToGrid w:val="0"/>
              <w:spacing w:before="0" w:beforeAutospacing="0" w:after="0" w:afterAutospacing="0"/>
              <w:jc w:val="center"/>
              <w:rPr>
                <w:kern w:val="2"/>
                <w:sz w:val="21"/>
                <w:szCs w:val="21"/>
                <w:u w:val="single"/>
              </w:rPr>
            </w:pPr>
            <w:r>
              <w:rPr>
                <w:rFonts w:ascii="Times New Roman" w:hAnsi="Times New Roman" w:cs="Times New Roman"/>
                <w:color w:val="000000" w:themeColor="text1"/>
                <w:sz w:val="21"/>
                <w:szCs w:val="21"/>
                <w:u w:val="single"/>
              </w:rPr>
              <w:t>流域水土流失较为严重，周边的毛田镇、月田镇和公田镇3个乡镇的平均水土流失面积比例为16.6%</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397" w:hRule="atLeast"/>
          <w:jc w:val="center"/>
        </w:trPr>
        <w:tc>
          <w:tcPr>
            <w:tcW w:w="154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ind w:firstLine="420"/>
              <w:rPr>
                <w:rFonts w:ascii="Calibri" w:hAnsi="Calibri"/>
                <w:sz w:val="21"/>
                <w:szCs w:val="21"/>
                <w:u w:val="single"/>
              </w:rPr>
            </w:pPr>
          </w:p>
        </w:tc>
        <w:tc>
          <w:tcPr>
            <w:tcW w:w="2150" w:type="dxa"/>
            <w:tcBorders>
              <w:top w:val="single" w:color="000000" w:sz="4" w:space="0"/>
              <w:left w:val="single" w:color="000000" w:sz="4" w:space="0"/>
              <w:bottom w:val="single" w:color="000000" w:sz="4" w:space="0"/>
              <w:right w:val="single" w:color="000000" w:sz="4" w:space="0"/>
            </w:tcBorders>
            <w:shd w:val="clear" w:color="auto" w:fill="auto"/>
            <w:vAlign w:val="center"/>
          </w:tcPr>
          <w:p>
            <w:pPr>
              <w:pStyle w:val="32"/>
              <w:widowControl w:val="0"/>
              <w:kinsoku w:val="0"/>
              <w:overflowPunct w:val="0"/>
              <w:adjustRightInd w:val="0"/>
              <w:snapToGrid w:val="0"/>
              <w:spacing w:before="0" w:beforeAutospacing="0" w:after="0" w:afterAutospacing="0"/>
              <w:jc w:val="center"/>
              <w:rPr>
                <w:kern w:val="2"/>
                <w:sz w:val="21"/>
                <w:szCs w:val="21"/>
                <w:u w:val="single"/>
              </w:rPr>
            </w:pPr>
            <w:r>
              <w:rPr>
                <w:rFonts w:hint="eastAsia" w:ascii="Times New Roman" w:hAnsi="Times New Roman"/>
                <w:kern w:val="2"/>
                <w:sz w:val="21"/>
                <w:szCs w:val="21"/>
                <w:u w:val="single"/>
              </w:rPr>
              <w:t>土地利用状况</w:t>
            </w:r>
          </w:p>
        </w:tc>
        <w:tc>
          <w:tcPr>
            <w:tcW w:w="4831" w:type="dxa"/>
            <w:tcBorders>
              <w:top w:val="single" w:color="000000" w:sz="4" w:space="0"/>
              <w:left w:val="single" w:color="000000" w:sz="4" w:space="0"/>
              <w:bottom w:val="single" w:color="000000" w:sz="4" w:space="0"/>
              <w:right w:val="single" w:color="000000" w:sz="4" w:space="0"/>
            </w:tcBorders>
            <w:shd w:val="clear" w:color="auto" w:fill="auto"/>
            <w:vAlign w:val="center"/>
          </w:tcPr>
          <w:p>
            <w:pPr>
              <w:pStyle w:val="32"/>
              <w:widowControl w:val="0"/>
              <w:kinsoku w:val="0"/>
              <w:overflowPunct w:val="0"/>
              <w:adjustRightInd w:val="0"/>
              <w:snapToGrid w:val="0"/>
              <w:spacing w:before="0" w:beforeAutospacing="0" w:after="0" w:afterAutospacing="0"/>
              <w:jc w:val="center"/>
              <w:rPr>
                <w:kern w:val="2"/>
                <w:sz w:val="21"/>
                <w:szCs w:val="21"/>
                <w:u w:val="single"/>
              </w:rPr>
            </w:pPr>
            <w:r>
              <w:rPr>
                <w:rFonts w:hint="eastAsia"/>
                <w:color w:val="000000" w:themeColor="text1"/>
                <w:sz w:val="21"/>
                <w:szCs w:val="21"/>
                <w:u w:val="single"/>
              </w:rPr>
              <w:t>铁山水库周边陆域土地利用以林地和耕地为主</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397" w:hRule="atLeast"/>
          <w:jc w:val="center"/>
        </w:trPr>
        <w:tc>
          <w:tcPr>
            <w:tcW w:w="154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ind w:firstLine="420"/>
              <w:rPr>
                <w:rFonts w:ascii="Calibri" w:hAnsi="Calibri"/>
                <w:sz w:val="21"/>
                <w:szCs w:val="21"/>
                <w:u w:val="single"/>
              </w:rPr>
            </w:pPr>
          </w:p>
        </w:tc>
        <w:tc>
          <w:tcPr>
            <w:tcW w:w="2150" w:type="dxa"/>
            <w:tcBorders>
              <w:top w:val="single" w:color="000000" w:sz="4" w:space="0"/>
              <w:left w:val="single" w:color="000000" w:sz="4" w:space="0"/>
              <w:bottom w:val="single" w:color="000000" w:sz="4" w:space="0"/>
              <w:right w:val="single" w:color="000000" w:sz="4" w:space="0"/>
            </w:tcBorders>
            <w:shd w:val="clear" w:color="auto" w:fill="auto"/>
            <w:vAlign w:val="center"/>
          </w:tcPr>
          <w:p>
            <w:pPr>
              <w:pStyle w:val="32"/>
              <w:widowControl w:val="0"/>
              <w:kinsoku w:val="0"/>
              <w:overflowPunct w:val="0"/>
              <w:adjustRightInd w:val="0"/>
              <w:snapToGrid w:val="0"/>
              <w:spacing w:before="0" w:beforeAutospacing="0" w:after="0" w:afterAutospacing="0"/>
              <w:jc w:val="center"/>
              <w:rPr>
                <w:kern w:val="2"/>
                <w:sz w:val="21"/>
                <w:szCs w:val="21"/>
                <w:u w:val="single"/>
              </w:rPr>
            </w:pPr>
            <w:r>
              <w:rPr>
                <w:rFonts w:hint="eastAsia" w:ascii="Times New Roman" w:hAnsi="Times New Roman"/>
                <w:kern w:val="2"/>
                <w:sz w:val="21"/>
                <w:szCs w:val="21"/>
                <w:u w:val="single"/>
              </w:rPr>
              <w:t>农田径流污染状况</w:t>
            </w:r>
          </w:p>
        </w:tc>
        <w:tc>
          <w:tcPr>
            <w:tcW w:w="4831" w:type="dxa"/>
            <w:tcBorders>
              <w:top w:val="single" w:color="000000" w:sz="4" w:space="0"/>
              <w:left w:val="single" w:color="000000" w:sz="4" w:space="0"/>
              <w:bottom w:val="single" w:color="000000" w:sz="4" w:space="0"/>
              <w:right w:val="single" w:color="000000" w:sz="4" w:space="0"/>
            </w:tcBorders>
            <w:shd w:val="clear" w:color="auto" w:fill="auto"/>
            <w:vAlign w:val="center"/>
          </w:tcPr>
          <w:p>
            <w:pPr>
              <w:pStyle w:val="32"/>
              <w:widowControl w:val="0"/>
              <w:kinsoku w:val="0"/>
              <w:overflowPunct w:val="0"/>
              <w:adjustRightInd w:val="0"/>
              <w:snapToGrid w:val="0"/>
              <w:spacing w:before="0" w:beforeAutospacing="0" w:after="0" w:afterAutospacing="0"/>
              <w:jc w:val="center"/>
              <w:rPr>
                <w:kern w:val="2"/>
                <w:sz w:val="21"/>
                <w:szCs w:val="21"/>
                <w:u w:val="single"/>
              </w:rPr>
            </w:pPr>
            <w:r>
              <w:rPr>
                <w:rFonts w:hint="eastAsia"/>
                <w:kern w:val="2"/>
                <w:sz w:val="21"/>
                <w:szCs w:val="21"/>
                <w:u w:val="single"/>
              </w:rPr>
              <w:t>调查范围内有约</w:t>
            </w:r>
            <w:r>
              <w:rPr>
                <w:rFonts w:ascii="Times New Roman" w:hAnsi="Times New Roman" w:cs="Times New Roman"/>
                <w:kern w:val="2"/>
                <w:sz w:val="21"/>
                <w:szCs w:val="21"/>
                <w:u w:val="single"/>
              </w:rPr>
              <w:t>63000</w:t>
            </w:r>
            <w:r>
              <w:rPr>
                <w:rFonts w:hint="eastAsia"/>
                <w:kern w:val="2"/>
                <w:sz w:val="21"/>
                <w:szCs w:val="21"/>
                <w:u w:val="single"/>
              </w:rPr>
              <w:t>亩耕地，农田退水直接排入入库河流。</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397" w:hRule="atLeast"/>
          <w:jc w:val="center"/>
        </w:trPr>
        <w:tc>
          <w:tcPr>
            <w:tcW w:w="154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ind w:firstLine="420"/>
              <w:rPr>
                <w:rFonts w:ascii="Calibri" w:hAnsi="Calibri"/>
                <w:sz w:val="21"/>
                <w:szCs w:val="21"/>
                <w:u w:val="single"/>
              </w:rPr>
            </w:pPr>
          </w:p>
        </w:tc>
        <w:tc>
          <w:tcPr>
            <w:tcW w:w="2150" w:type="dxa"/>
            <w:tcBorders>
              <w:top w:val="single" w:color="000000" w:sz="4" w:space="0"/>
              <w:left w:val="single" w:color="000000" w:sz="4" w:space="0"/>
              <w:bottom w:val="single" w:color="000000" w:sz="4" w:space="0"/>
              <w:right w:val="single" w:color="000000" w:sz="4" w:space="0"/>
            </w:tcBorders>
            <w:shd w:val="clear" w:color="auto" w:fill="auto"/>
            <w:vAlign w:val="center"/>
          </w:tcPr>
          <w:p>
            <w:pPr>
              <w:pStyle w:val="32"/>
              <w:widowControl w:val="0"/>
              <w:kinsoku w:val="0"/>
              <w:overflowPunct w:val="0"/>
              <w:adjustRightInd w:val="0"/>
              <w:snapToGrid w:val="0"/>
              <w:spacing w:before="0" w:beforeAutospacing="0" w:after="0" w:afterAutospacing="0"/>
              <w:jc w:val="center"/>
              <w:rPr>
                <w:kern w:val="2"/>
                <w:sz w:val="21"/>
                <w:szCs w:val="21"/>
                <w:u w:val="single"/>
              </w:rPr>
            </w:pPr>
            <w:r>
              <w:rPr>
                <w:rFonts w:hint="eastAsia" w:ascii="Times New Roman" w:hAnsi="Times New Roman"/>
                <w:kern w:val="2"/>
                <w:sz w:val="21"/>
                <w:szCs w:val="21"/>
                <w:u w:val="single"/>
              </w:rPr>
              <w:t>畜禽养殖污染状况</w:t>
            </w:r>
          </w:p>
        </w:tc>
        <w:tc>
          <w:tcPr>
            <w:tcW w:w="4831" w:type="dxa"/>
            <w:tcBorders>
              <w:top w:val="single" w:color="000000" w:sz="4" w:space="0"/>
              <w:left w:val="single" w:color="000000" w:sz="4" w:space="0"/>
              <w:bottom w:val="single" w:color="000000" w:sz="4" w:space="0"/>
              <w:right w:val="single" w:color="000000" w:sz="4" w:space="0"/>
            </w:tcBorders>
            <w:shd w:val="clear" w:color="auto" w:fill="auto"/>
            <w:vAlign w:val="center"/>
          </w:tcPr>
          <w:p>
            <w:pPr>
              <w:pStyle w:val="32"/>
              <w:widowControl w:val="0"/>
              <w:kinsoku w:val="0"/>
              <w:overflowPunct w:val="0"/>
              <w:adjustRightInd w:val="0"/>
              <w:snapToGrid w:val="0"/>
              <w:spacing w:before="0" w:beforeAutospacing="0" w:after="0" w:afterAutospacing="0"/>
              <w:jc w:val="center"/>
              <w:rPr>
                <w:kern w:val="2"/>
                <w:sz w:val="21"/>
                <w:szCs w:val="21"/>
                <w:u w:val="single"/>
              </w:rPr>
            </w:pPr>
            <w:r>
              <w:rPr>
                <w:rFonts w:hint="eastAsia" w:ascii="Times New Roman" w:hAnsi="Times New Roman"/>
                <w:kern w:val="2"/>
                <w:sz w:val="21"/>
                <w:szCs w:val="21"/>
                <w:u w:val="single"/>
              </w:rPr>
              <w:t>无规模化养殖企业，有零星散养，以圈养为主，养殖粪污用于农田和菜地施肥。</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397" w:hRule="atLeast"/>
          <w:jc w:val="center"/>
        </w:trPr>
        <w:tc>
          <w:tcPr>
            <w:tcW w:w="154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ind w:firstLine="420"/>
              <w:rPr>
                <w:rFonts w:ascii="Calibri" w:hAnsi="Calibri"/>
                <w:sz w:val="21"/>
                <w:szCs w:val="21"/>
                <w:u w:val="single"/>
              </w:rPr>
            </w:pPr>
          </w:p>
        </w:tc>
        <w:tc>
          <w:tcPr>
            <w:tcW w:w="2150" w:type="dxa"/>
            <w:tcBorders>
              <w:top w:val="single" w:color="000000" w:sz="4" w:space="0"/>
              <w:left w:val="single" w:color="000000" w:sz="4" w:space="0"/>
              <w:bottom w:val="single" w:color="000000" w:sz="4" w:space="0"/>
              <w:right w:val="single" w:color="000000" w:sz="4" w:space="0"/>
            </w:tcBorders>
            <w:shd w:val="clear" w:color="auto" w:fill="auto"/>
            <w:vAlign w:val="center"/>
          </w:tcPr>
          <w:p>
            <w:pPr>
              <w:pStyle w:val="32"/>
              <w:widowControl w:val="0"/>
              <w:kinsoku w:val="0"/>
              <w:overflowPunct w:val="0"/>
              <w:adjustRightInd w:val="0"/>
              <w:snapToGrid w:val="0"/>
              <w:spacing w:before="0" w:beforeAutospacing="0" w:after="0" w:afterAutospacing="0"/>
              <w:jc w:val="center"/>
              <w:rPr>
                <w:kern w:val="2"/>
                <w:sz w:val="21"/>
                <w:szCs w:val="21"/>
                <w:u w:val="single"/>
              </w:rPr>
            </w:pPr>
            <w:r>
              <w:rPr>
                <w:rFonts w:hint="eastAsia" w:ascii="Times New Roman" w:hAnsi="Times New Roman"/>
                <w:kern w:val="2"/>
                <w:sz w:val="21"/>
                <w:szCs w:val="21"/>
                <w:u w:val="single"/>
              </w:rPr>
              <w:t>农村生活污染状况</w:t>
            </w:r>
          </w:p>
        </w:tc>
        <w:tc>
          <w:tcPr>
            <w:tcW w:w="4831" w:type="dxa"/>
            <w:tcBorders>
              <w:top w:val="single" w:color="000000" w:sz="4" w:space="0"/>
              <w:left w:val="single" w:color="000000" w:sz="4" w:space="0"/>
              <w:bottom w:val="single" w:color="000000" w:sz="4" w:space="0"/>
              <w:right w:val="single" w:color="000000" w:sz="4" w:space="0"/>
            </w:tcBorders>
            <w:shd w:val="clear" w:color="auto" w:fill="auto"/>
            <w:vAlign w:val="center"/>
          </w:tcPr>
          <w:p>
            <w:pPr>
              <w:pStyle w:val="32"/>
              <w:widowControl w:val="0"/>
              <w:kinsoku w:val="0"/>
              <w:overflowPunct w:val="0"/>
              <w:adjustRightInd w:val="0"/>
              <w:snapToGrid w:val="0"/>
              <w:spacing w:before="0" w:beforeAutospacing="0" w:after="0" w:afterAutospacing="0"/>
              <w:jc w:val="center"/>
              <w:rPr>
                <w:kern w:val="2"/>
                <w:sz w:val="21"/>
                <w:szCs w:val="21"/>
                <w:u w:val="single"/>
              </w:rPr>
            </w:pPr>
            <w:r>
              <w:rPr>
                <w:rFonts w:hint="eastAsia"/>
                <w:color w:val="000000" w:themeColor="text1"/>
                <w:sz w:val="21"/>
                <w:szCs w:val="21"/>
                <w:u w:val="single"/>
              </w:rPr>
              <w:t>已对人口比较集中的月田镇和毛田镇生活污水进行收集后经污水处理站处理达标后分别排入沙河和月毛田河,其他居民生活污水通过四格化粪池处理后用于农田和菜地施肥。库区生活垃圾均通过收集后运至岳阳县垃圾填埋场填埋。</w:t>
            </w:r>
          </w:p>
        </w:tc>
      </w:tr>
    </w:tbl>
    <w:p>
      <w:pPr>
        <w:rPr>
          <w:color w:val="000000" w:themeColor="text1"/>
          <w:kern w:val="0"/>
        </w:rPr>
      </w:pPr>
      <w:r>
        <w:rPr>
          <w:color w:val="000000" w:themeColor="text1"/>
        </w:rPr>
        <w:t>参照《集中式饮用水水源环境保护指南（试行）》中附件三，分析潜在事件，筛选风险源。</w:t>
      </w:r>
      <w:r>
        <w:rPr>
          <w:rFonts w:hint="eastAsia"/>
          <w:color w:val="000000" w:themeColor="text1"/>
        </w:rPr>
        <w:t>关于</w:t>
      </w:r>
      <w:r>
        <w:rPr>
          <w:color w:val="000000" w:themeColor="text1"/>
          <w:kern w:val="0"/>
        </w:rPr>
        <w:t>非点源评价指标及评分值见表4-</w:t>
      </w:r>
      <w:r>
        <w:rPr>
          <w:rFonts w:hint="eastAsia"/>
          <w:color w:val="000000" w:themeColor="text1"/>
          <w:kern w:val="0"/>
        </w:rPr>
        <w:t>9</w:t>
      </w:r>
      <w:r>
        <w:rPr>
          <w:color w:val="000000" w:themeColor="text1"/>
          <w:kern w:val="0"/>
        </w:rPr>
        <w:t>。</w:t>
      </w:r>
    </w:p>
    <w:p>
      <w:pPr>
        <w:jc w:val="left"/>
        <w:rPr>
          <w:color w:val="000000" w:themeColor="text1"/>
        </w:rPr>
        <w:sectPr>
          <w:pgSz w:w="11906" w:h="16838"/>
          <w:pgMar w:top="1440" w:right="1797" w:bottom="1440" w:left="1797" w:header="851" w:footer="992" w:gutter="0"/>
          <w:cols w:space="720" w:num="1"/>
          <w:docGrid w:type="lines" w:linePitch="312" w:charSpace="0"/>
        </w:sectPr>
      </w:pPr>
    </w:p>
    <w:p>
      <w:pPr>
        <w:widowControl/>
        <w:ind w:firstLine="0" w:firstLineChars="0"/>
        <w:jc w:val="center"/>
        <w:rPr>
          <w:b/>
          <w:color w:val="000000" w:themeColor="text1"/>
          <w:kern w:val="0"/>
          <w:sz w:val="21"/>
          <w:szCs w:val="21"/>
        </w:rPr>
      </w:pPr>
      <w:r>
        <w:rPr>
          <w:b/>
          <w:color w:val="000000" w:themeColor="text1"/>
          <w:kern w:val="0"/>
          <w:sz w:val="21"/>
          <w:szCs w:val="21"/>
        </w:rPr>
        <w:t>表4-</w:t>
      </w:r>
      <w:r>
        <w:rPr>
          <w:rFonts w:hint="eastAsia"/>
          <w:b/>
          <w:color w:val="000000" w:themeColor="text1"/>
          <w:kern w:val="0"/>
          <w:sz w:val="21"/>
          <w:szCs w:val="21"/>
        </w:rPr>
        <w:t>9</w:t>
      </w:r>
      <w:r>
        <w:rPr>
          <w:b/>
          <w:color w:val="000000" w:themeColor="text1"/>
          <w:kern w:val="0"/>
          <w:sz w:val="21"/>
          <w:szCs w:val="21"/>
        </w:rPr>
        <w:t xml:space="preserve">  非点源评价指标及评分值（R</w:t>
      </w:r>
      <w:r>
        <w:rPr>
          <w:b/>
          <w:color w:val="000000" w:themeColor="text1"/>
          <w:kern w:val="0"/>
          <w:sz w:val="21"/>
          <w:szCs w:val="21"/>
          <w:vertAlign w:val="subscript"/>
        </w:rPr>
        <w:t>Y</w:t>
      </w:r>
      <w:r>
        <w:rPr>
          <w:b/>
          <w:color w:val="000000" w:themeColor="text1"/>
          <w:kern w:val="0"/>
          <w:sz w:val="21"/>
          <w:szCs w:val="21"/>
        </w:rPr>
        <w:t>）</w:t>
      </w:r>
    </w:p>
    <w:tbl>
      <w:tblPr>
        <w:tblStyle w:val="47"/>
        <w:tblW w:w="14174" w:type="dxa"/>
        <w:tblInd w:w="0" w:type="dxa"/>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
      <w:tblGrid>
        <w:gridCol w:w="818"/>
        <w:gridCol w:w="1080"/>
        <w:gridCol w:w="900"/>
        <w:gridCol w:w="1770"/>
        <w:gridCol w:w="705"/>
        <w:gridCol w:w="1185"/>
        <w:gridCol w:w="840"/>
        <w:gridCol w:w="1808"/>
        <w:gridCol w:w="637"/>
        <w:gridCol w:w="1200"/>
        <w:gridCol w:w="825"/>
        <w:gridCol w:w="1680"/>
        <w:gridCol w:w="726"/>
      </w:tblGrid>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trPr>
        <w:tc>
          <w:tcPr>
            <w:tcW w:w="818" w:type="dxa"/>
            <w:vMerge w:val="restart"/>
            <w:tcBorders>
              <w:tl2br w:val="nil"/>
              <w:tr2bl w:val="nil"/>
            </w:tcBorders>
            <w:vAlign w:val="center"/>
          </w:tcPr>
          <w:p>
            <w:pPr>
              <w:widowControl/>
              <w:snapToGrid w:val="0"/>
              <w:spacing w:line="240" w:lineRule="auto"/>
              <w:ind w:firstLine="0" w:firstLineChars="0"/>
              <w:jc w:val="center"/>
              <w:rPr>
                <w:color w:val="000000" w:themeColor="text1"/>
                <w:kern w:val="0"/>
                <w:sz w:val="18"/>
                <w:szCs w:val="18"/>
              </w:rPr>
            </w:pPr>
            <w:r>
              <w:rPr>
                <w:rFonts w:hint="eastAsia"/>
                <w:color w:val="000000" w:themeColor="text1"/>
                <w:kern w:val="0"/>
                <w:sz w:val="18"/>
                <w:szCs w:val="18"/>
              </w:rPr>
              <w:t>风险源</w:t>
            </w:r>
          </w:p>
        </w:tc>
        <w:tc>
          <w:tcPr>
            <w:tcW w:w="4455" w:type="dxa"/>
            <w:gridSpan w:val="4"/>
            <w:tcBorders>
              <w:tl2br w:val="nil"/>
              <w:tr2bl w:val="nil"/>
            </w:tcBorders>
            <w:vAlign w:val="center"/>
          </w:tcPr>
          <w:p>
            <w:pPr>
              <w:widowControl/>
              <w:snapToGrid w:val="0"/>
              <w:spacing w:line="240" w:lineRule="auto"/>
              <w:ind w:firstLine="0" w:firstLineChars="0"/>
              <w:jc w:val="center"/>
              <w:rPr>
                <w:color w:val="000000" w:themeColor="text1"/>
                <w:kern w:val="0"/>
                <w:sz w:val="18"/>
                <w:szCs w:val="18"/>
              </w:rPr>
            </w:pPr>
            <w:r>
              <w:rPr>
                <w:rFonts w:hint="eastAsia"/>
                <w:color w:val="000000" w:themeColor="text1"/>
                <w:kern w:val="0"/>
                <w:sz w:val="18"/>
                <w:szCs w:val="18"/>
              </w:rPr>
              <w:t>一级保护区</w:t>
            </w:r>
          </w:p>
        </w:tc>
        <w:tc>
          <w:tcPr>
            <w:tcW w:w="4470" w:type="dxa"/>
            <w:gridSpan w:val="4"/>
            <w:tcBorders>
              <w:tl2br w:val="nil"/>
              <w:tr2bl w:val="nil"/>
            </w:tcBorders>
            <w:vAlign w:val="center"/>
          </w:tcPr>
          <w:p>
            <w:pPr>
              <w:widowControl/>
              <w:snapToGrid w:val="0"/>
              <w:spacing w:line="240" w:lineRule="auto"/>
              <w:ind w:firstLine="0" w:firstLineChars="0"/>
              <w:jc w:val="center"/>
              <w:rPr>
                <w:color w:val="000000" w:themeColor="text1"/>
                <w:kern w:val="0"/>
                <w:sz w:val="18"/>
                <w:szCs w:val="18"/>
              </w:rPr>
            </w:pPr>
            <w:r>
              <w:rPr>
                <w:rFonts w:hint="eastAsia"/>
                <w:color w:val="000000" w:themeColor="text1"/>
                <w:kern w:val="0"/>
                <w:sz w:val="18"/>
                <w:szCs w:val="18"/>
              </w:rPr>
              <w:t>二级保护区</w:t>
            </w:r>
          </w:p>
        </w:tc>
        <w:tc>
          <w:tcPr>
            <w:tcW w:w="4431" w:type="dxa"/>
            <w:gridSpan w:val="4"/>
            <w:tcBorders>
              <w:tl2br w:val="nil"/>
              <w:tr2bl w:val="nil"/>
            </w:tcBorders>
            <w:vAlign w:val="center"/>
          </w:tcPr>
          <w:p>
            <w:pPr>
              <w:widowControl/>
              <w:snapToGrid w:val="0"/>
              <w:spacing w:line="240" w:lineRule="auto"/>
              <w:ind w:firstLine="0" w:firstLineChars="0"/>
              <w:jc w:val="center"/>
              <w:rPr>
                <w:color w:val="000000" w:themeColor="text1"/>
                <w:kern w:val="0"/>
                <w:sz w:val="18"/>
                <w:szCs w:val="18"/>
              </w:rPr>
            </w:pPr>
            <w:r>
              <w:rPr>
                <w:rFonts w:hint="eastAsia"/>
                <w:color w:val="000000" w:themeColor="text1"/>
                <w:kern w:val="0"/>
                <w:sz w:val="18"/>
                <w:szCs w:val="18"/>
              </w:rPr>
              <w:t>准保护区</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trPr>
        <w:tc>
          <w:tcPr>
            <w:tcW w:w="818" w:type="dxa"/>
            <w:vMerge w:val="continue"/>
            <w:tcBorders>
              <w:tl2br w:val="nil"/>
              <w:tr2bl w:val="nil"/>
            </w:tcBorders>
            <w:vAlign w:val="center"/>
          </w:tcPr>
          <w:p>
            <w:pPr>
              <w:widowControl/>
              <w:snapToGrid w:val="0"/>
              <w:spacing w:line="240" w:lineRule="auto"/>
              <w:ind w:firstLine="0" w:firstLineChars="0"/>
              <w:jc w:val="center"/>
              <w:rPr>
                <w:color w:val="000000" w:themeColor="text1"/>
                <w:kern w:val="0"/>
                <w:sz w:val="18"/>
                <w:szCs w:val="18"/>
              </w:rPr>
            </w:pPr>
          </w:p>
        </w:tc>
        <w:tc>
          <w:tcPr>
            <w:tcW w:w="1080" w:type="dxa"/>
            <w:tcBorders>
              <w:tl2br w:val="nil"/>
              <w:tr2bl w:val="nil"/>
            </w:tcBorders>
            <w:vAlign w:val="center"/>
          </w:tcPr>
          <w:p>
            <w:pPr>
              <w:widowControl/>
              <w:snapToGrid w:val="0"/>
              <w:spacing w:line="240" w:lineRule="auto"/>
              <w:ind w:firstLine="0" w:firstLineChars="0"/>
              <w:jc w:val="center"/>
              <w:rPr>
                <w:color w:val="000000" w:themeColor="text1"/>
                <w:kern w:val="0"/>
                <w:sz w:val="18"/>
                <w:szCs w:val="18"/>
              </w:rPr>
            </w:pPr>
            <w:r>
              <w:rPr>
                <w:rFonts w:hint="eastAsia"/>
                <w:color w:val="000000" w:themeColor="text1"/>
                <w:kern w:val="0"/>
                <w:sz w:val="18"/>
                <w:szCs w:val="18"/>
              </w:rPr>
              <w:t>指标值</w:t>
            </w:r>
          </w:p>
        </w:tc>
        <w:tc>
          <w:tcPr>
            <w:tcW w:w="900" w:type="dxa"/>
            <w:tcBorders>
              <w:tl2br w:val="nil"/>
              <w:tr2bl w:val="nil"/>
            </w:tcBorders>
            <w:vAlign w:val="center"/>
          </w:tcPr>
          <w:p>
            <w:pPr>
              <w:widowControl/>
              <w:snapToGrid w:val="0"/>
              <w:spacing w:line="240" w:lineRule="auto"/>
              <w:ind w:firstLine="0" w:firstLineChars="0"/>
              <w:jc w:val="center"/>
              <w:rPr>
                <w:color w:val="000000" w:themeColor="text1"/>
                <w:kern w:val="0"/>
                <w:sz w:val="18"/>
                <w:szCs w:val="18"/>
              </w:rPr>
            </w:pPr>
            <w:r>
              <w:rPr>
                <w:rFonts w:hint="eastAsia"/>
                <w:color w:val="000000" w:themeColor="text1"/>
                <w:kern w:val="0"/>
                <w:sz w:val="18"/>
                <w:szCs w:val="18"/>
              </w:rPr>
              <w:t>评分值（Y1）</w:t>
            </w:r>
          </w:p>
        </w:tc>
        <w:tc>
          <w:tcPr>
            <w:tcW w:w="1770" w:type="dxa"/>
            <w:tcBorders>
              <w:tl2br w:val="nil"/>
              <w:tr2bl w:val="nil"/>
            </w:tcBorders>
            <w:vAlign w:val="center"/>
          </w:tcPr>
          <w:p>
            <w:pPr>
              <w:adjustRightInd w:val="0"/>
              <w:snapToGrid w:val="0"/>
              <w:spacing w:line="240" w:lineRule="auto"/>
              <w:ind w:firstLine="0" w:firstLineChars="0"/>
              <w:jc w:val="center"/>
              <w:rPr>
                <w:b/>
                <w:color w:val="000000" w:themeColor="text1"/>
                <w:sz w:val="18"/>
                <w:szCs w:val="18"/>
              </w:rPr>
            </w:pPr>
            <w:r>
              <w:rPr>
                <w:rFonts w:hint="eastAsia"/>
                <w:b/>
                <w:color w:val="000000" w:themeColor="text1"/>
                <w:sz w:val="18"/>
                <w:szCs w:val="18"/>
              </w:rPr>
              <w:t>现状描述</w:t>
            </w:r>
          </w:p>
        </w:tc>
        <w:tc>
          <w:tcPr>
            <w:tcW w:w="705" w:type="dxa"/>
            <w:tcBorders>
              <w:tl2br w:val="nil"/>
              <w:tr2bl w:val="nil"/>
            </w:tcBorders>
            <w:vAlign w:val="center"/>
          </w:tcPr>
          <w:p>
            <w:pPr>
              <w:adjustRightInd w:val="0"/>
              <w:snapToGrid w:val="0"/>
              <w:spacing w:line="240" w:lineRule="auto"/>
              <w:ind w:firstLine="0" w:firstLineChars="0"/>
              <w:jc w:val="center"/>
              <w:rPr>
                <w:b/>
                <w:color w:val="000000" w:themeColor="text1"/>
                <w:sz w:val="18"/>
                <w:szCs w:val="18"/>
              </w:rPr>
            </w:pPr>
            <w:r>
              <w:rPr>
                <w:rFonts w:hint="eastAsia"/>
                <w:b/>
                <w:color w:val="000000" w:themeColor="text1"/>
                <w:sz w:val="18"/>
                <w:szCs w:val="18"/>
              </w:rPr>
              <w:t>评分</w:t>
            </w:r>
          </w:p>
        </w:tc>
        <w:tc>
          <w:tcPr>
            <w:tcW w:w="1185" w:type="dxa"/>
            <w:tcBorders>
              <w:tl2br w:val="nil"/>
              <w:tr2bl w:val="nil"/>
            </w:tcBorders>
            <w:vAlign w:val="center"/>
          </w:tcPr>
          <w:p>
            <w:pPr>
              <w:widowControl/>
              <w:snapToGrid w:val="0"/>
              <w:spacing w:line="240" w:lineRule="auto"/>
              <w:ind w:firstLine="0" w:firstLineChars="0"/>
              <w:jc w:val="center"/>
              <w:rPr>
                <w:color w:val="000000" w:themeColor="text1"/>
                <w:kern w:val="0"/>
                <w:sz w:val="18"/>
                <w:szCs w:val="18"/>
              </w:rPr>
            </w:pPr>
            <w:r>
              <w:rPr>
                <w:rFonts w:hint="eastAsia"/>
                <w:color w:val="000000" w:themeColor="text1"/>
                <w:kern w:val="0"/>
                <w:sz w:val="18"/>
                <w:szCs w:val="18"/>
              </w:rPr>
              <w:t>指标值</w:t>
            </w:r>
          </w:p>
        </w:tc>
        <w:tc>
          <w:tcPr>
            <w:tcW w:w="840" w:type="dxa"/>
            <w:tcBorders>
              <w:tl2br w:val="nil"/>
              <w:tr2bl w:val="nil"/>
            </w:tcBorders>
            <w:vAlign w:val="center"/>
          </w:tcPr>
          <w:p>
            <w:pPr>
              <w:widowControl/>
              <w:snapToGrid w:val="0"/>
              <w:spacing w:line="240" w:lineRule="auto"/>
              <w:ind w:firstLine="0" w:firstLineChars="0"/>
              <w:jc w:val="center"/>
              <w:rPr>
                <w:color w:val="000000" w:themeColor="text1"/>
                <w:kern w:val="0"/>
                <w:sz w:val="18"/>
                <w:szCs w:val="18"/>
              </w:rPr>
            </w:pPr>
            <w:r>
              <w:rPr>
                <w:rFonts w:hint="eastAsia"/>
                <w:color w:val="000000" w:themeColor="text1"/>
                <w:kern w:val="0"/>
                <w:sz w:val="18"/>
                <w:szCs w:val="18"/>
              </w:rPr>
              <w:t>评分值（Y</w:t>
            </w:r>
            <w:r>
              <w:rPr>
                <w:rFonts w:hint="eastAsia"/>
                <w:color w:val="000000" w:themeColor="text1"/>
                <w:kern w:val="0"/>
                <w:sz w:val="18"/>
                <w:szCs w:val="18"/>
                <w:vertAlign w:val="subscript"/>
              </w:rPr>
              <w:t>2</w:t>
            </w:r>
            <w:r>
              <w:rPr>
                <w:rFonts w:hint="eastAsia"/>
                <w:color w:val="000000" w:themeColor="text1"/>
                <w:kern w:val="0"/>
                <w:sz w:val="18"/>
                <w:szCs w:val="18"/>
              </w:rPr>
              <w:t>）</w:t>
            </w:r>
          </w:p>
        </w:tc>
        <w:tc>
          <w:tcPr>
            <w:tcW w:w="1808" w:type="dxa"/>
            <w:tcBorders>
              <w:tl2br w:val="nil"/>
              <w:tr2bl w:val="nil"/>
            </w:tcBorders>
            <w:vAlign w:val="center"/>
          </w:tcPr>
          <w:p>
            <w:pPr>
              <w:adjustRightInd w:val="0"/>
              <w:snapToGrid w:val="0"/>
              <w:spacing w:line="240" w:lineRule="auto"/>
              <w:ind w:firstLine="0" w:firstLineChars="0"/>
              <w:jc w:val="center"/>
              <w:rPr>
                <w:b/>
                <w:color w:val="000000" w:themeColor="text1"/>
                <w:sz w:val="18"/>
                <w:szCs w:val="18"/>
              </w:rPr>
            </w:pPr>
            <w:r>
              <w:rPr>
                <w:rFonts w:hint="eastAsia"/>
                <w:b/>
                <w:color w:val="000000" w:themeColor="text1"/>
                <w:sz w:val="18"/>
                <w:szCs w:val="18"/>
              </w:rPr>
              <w:t>现状描述</w:t>
            </w:r>
          </w:p>
        </w:tc>
        <w:tc>
          <w:tcPr>
            <w:tcW w:w="637" w:type="dxa"/>
            <w:tcBorders>
              <w:tl2br w:val="nil"/>
              <w:tr2bl w:val="nil"/>
            </w:tcBorders>
            <w:vAlign w:val="center"/>
          </w:tcPr>
          <w:p>
            <w:pPr>
              <w:adjustRightInd w:val="0"/>
              <w:snapToGrid w:val="0"/>
              <w:spacing w:line="240" w:lineRule="auto"/>
              <w:ind w:firstLine="0" w:firstLineChars="0"/>
              <w:jc w:val="center"/>
              <w:rPr>
                <w:b/>
                <w:color w:val="000000" w:themeColor="text1"/>
                <w:sz w:val="18"/>
                <w:szCs w:val="18"/>
              </w:rPr>
            </w:pPr>
            <w:r>
              <w:rPr>
                <w:rFonts w:hint="eastAsia"/>
                <w:b/>
                <w:color w:val="000000" w:themeColor="text1"/>
                <w:sz w:val="18"/>
                <w:szCs w:val="18"/>
              </w:rPr>
              <w:t>评分</w:t>
            </w:r>
          </w:p>
        </w:tc>
        <w:tc>
          <w:tcPr>
            <w:tcW w:w="1200" w:type="dxa"/>
            <w:tcBorders>
              <w:tl2br w:val="nil"/>
              <w:tr2bl w:val="nil"/>
            </w:tcBorders>
            <w:vAlign w:val="center"/>
          </w:tcPr>
          <w:p>
            <w:pPr>
              <w:widowControl/>
              <w:snapToGrid w:val="0"/>
              <w:spacing w:line="240" w:lineRule="auto"/>
              <w:ind w:firstLine="0" w:firstLineChars="0"/>
              <w:jc w:val="center"/>
              <w:rPr>
                <w:color w:val="000000" w:themeColor="text1"/>
                <w:kern w:val="0"/>
                <w:sz w:val="18"/>
                <w:szCs w:val="18"/>
              </w:rPr>
            </w:pPr>
            <w:r>
              <w:rPr>
                <w:rFonts w:hint="eastAsia"/>
                <w:color w:val="000000" w:themeColor="text1"/>
                <w:kern w:val="0"/>
                <w:sz w:val="18"/>
                <w:szCs w:val="18"/>
              </w:rPr>
              <w:t>指标值</w:t>
            </w:r>
          </w:p>
        </w:tc>
        <w:tc>
          <w:tcPr>
            <w:tcW w:w="825" w:type="dxa"/>
            <w:tcBorders>
              <w:tl2br w:val="nil"/>
              <w:tr2bl w:val="nil"/>
            </w:tcBorders>
            <w:vAlign w:val="center"/>
          </w:tcPr>
          <w:p>
            <w:pPr>
              <w:widowControl/>
              <w:snapToGrid w:val="0"/>
              <w:spacing w:line="240" w:lineRule="auto"/>
              <w:ind w:firstLine="0" w:firstLineChars="0"/>
              <w:jc w:val="center"/>
              <w:rPr>
                <w:color w:val="000000" w:themeColor="text1"/>
                <w:kern w:val="0"/>
                <w:sz w:val="18"/>
                <w:szCs w:val="18"/>
              </w:rPr>
            </w:pPr>
            <w:r>
              <w:rPr>
                <w:rFonts w:hint="eastAsia"/>
                <w:color w:val="000000" w:themeColor="text1"/>
                <w:kern w:val="0"/>
                <w:sz w:val="18"/>
                <w:szCs w:val="18"/>
              </w:rPr>
              <w:t>评分值（Y</w:t>
            </w:r>
            <w:r>
              <w:rPr>
                <w:rFonts w:hint="eastAsia"/>
                <w:color w:val="000000" w:themeColor="text1"/>
                <w:kern w:val="0"/>
                <w:sz w:val="18"/>
                <w:szCs w:val="18"/>
                <w:vertAlign w:val="subscript"/>
              </w:rPr>
              <w:t>3</w:t>
            </w:r>
            <w:r>
              <w:rPr>
                <w:rFonts w:hint="eastAsia"/>
                <w:color w:val="000000" w:themeColor="text1"/>
                <w:kern w:val="0"/>
                <w:sz w:val="18"/>
                <w:szCs w:val="18"/>
              </w:rPr>
              <w:t>）</w:t>
            </w:r>
          </w:p>
        </w:tc>
        <w:tc>
          <w:tcPr>
            <w:tcW w:w="1680" w:type="dxa"/>
            <w:tcBorders>
              <w:tl2br w:val="nil"/>
              <w:tr2bl w:val="nil"/>
            </w:tcBorders>
            <w:vAlign w:val="center"/>
          </w:tcPr>
          <w:p>
            <w:pPr>
              <w:adjustRightInd w:val="0"/>
              <w:snapToGrid w:val="0"/>
              <w:spacing w:line="240" w:lineRule="auto"/>
              <w:ind w:firstLine="0" w:firstLineChars="0"/>
              <w:jc w:val="center"/>
              <w:rPr>
                <w:b/>
                <w:color w:val="000000" w:themeColor="text1"/>
                <w:sz w:val="18"/>
                <w:szCs w:val="18"/>
              </w:rPr>
            </w:pPr>
            <w:r>
              <w:rPr>
                <w:rFonts w:hint="eastAsia"/>
                <w:b/>
                <w:color w:val="000000" w:themeColor="text1"/>
                <w:sz w:val="18"/>
                <w:szCs w:val="18"/>
              </w:rPr>
              <w:t>现状描述</w:t>
            </w:r>
          </w:p>
        </w:tc>
        <w:tc>
          <w:tcPr>
            <w:tcW w:w="726" w:type="dxa"/>
            <w:tcBorders>
              <w:tl2br w:val="nil"/>
              <w:tr2bl w:val="nil"/>
            </w:tcBorders>
            <w:vAlign w:val="center"/>
          </w:tcPr>
          <w:p>
            <w:pPr>
              <w:adjustRightInd w:val="0"/>
              <w:snapToGrid w:val="0"/>
              <w:spacing w:line="240" w:lineRule="auto"/>
              <w:ind w:firstLine="0" w:firstLineChars="0"/>
              <w:jc w:val="center"/>
              <w:rPr>
                <w:b/>
                <w:color w:val="000000" w:themeColor="text1"/>
                <w:sz w:val="18"/>
                <w:szCs w:val="18"/>
              </w:rPr>
            </w:pPr>
            <w:r>
              <w:rPr>
                <w:rFonts w:hint="eastAsia"/>
                <w:b/>
                <w:color w:val="000000" w:themeColor="text1"/>
                <w:sz w:val="18"/>
                <w:szCs w:val="18"/>
              </w:rPr>
              <w:t>评分</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trPr>
        <w:tc>
          <w:tcPr>
            <w:tcW w:w="818" w:type="dxa"/>
            <w:tcBorders>
              <w:tl2br w:val="nil"/>
              <w:tr2bl w:val="nil"/>
            </w:tcBorders>
            <w:vAlign w:val="center"/>
          </w:tcPr>
          <w:p>
            <w:pPr>
              <w:widowControl/>
              <w:snapToGrid w:val="0"/>
              <w:spacing w:line="240" w:lineRule="auto"/>
              <w:ind w:firstLine="0" w:firstLineChars="0"/>
              <w:jc w:val="center"/>
              <w:rPr>
                <w:color w:val="000000" w:themeColor="text1"/>
                <w:kern w:val="0"/>
                <w:sz w:val="18"/>
                <w:szCs w:val="18"/>
              </w:rPr>
            </w:pPr>
            <w:r>
              <w:rPr>
                <w:rFonts w:hint="eastAsia"/>
                <w:color w:val="000000" w:themeColor="text1"/>
                <w:kern w:val="0"/>
                <w:sz w:val="18"/>
                <w:szCs w:val="18"/>
              </w:rPr>
              <w:t>耕地面积所占比例</w:t>
            </w:r>
          </w:p>
        </w:tc>
        <w:tc>
          <w:tcPr>
            <w:tcW w:w="1080" w:type="dxa"/>
            <w:tcBorders>
              <w:tl2br w:val="nil"/>
              <w:tr2bl w:val="nil"/>
            </w:tcBorders>
            <w:vAlign w:val="center"/>
          </w:tcPr>
          <w:p>
            <w:pPr>
              <w:widowControl/>
              <w:snapToGrid w:val="0"/>
              <w:spacing w:line="240" w:lineRule="auto"/>
              <w:ind w:firstLine="0" w:firstLineChars="0"/>
              <w:jc w:val="center"/>
              <w:rPr>
                <w:color w:val="000000" w:themeColor="text1"/>
                <w:kern w:val="0"/>
                <w:sz w:val="18"/>
                <w:szCs w:val="18"/>
              </w:rPr>
            </w:pPr>
            <w:r>
              <w:rPr>
                <w:rFonts w:hint="eastAsia"/>
                <w:color w:val="000000" w:themeColor="text1"/>
                <w:kern w:val="0"/>
                <w:sz w:val="18"/>
                <w:szCs w:val="18"/>
              </w:rPr>
              <w:t>无</w:t>
            </w:r>
          </w:p>
          <w:p>
            <w:pPr>
              <w:widowControl/>
              <w:snapToGrid w:val="0"/>
              <w:spacing w:line="240" w:lineRule="auto"/>
              <w:ind w:firstLine="0" w:firstLineChars="0"/>
              <w:jc w:val="center"/>
              <w:rPr>
                <w:color w:val="000000" w:themeColor="text1"/>
                <w:kern w:val="0"/>
                <w:sz w:val="18"/>
                <w:szCs w:val="18"/>
              </w:rPr>
            </w:pPr>
            <w:r>
              <w:rPr>
                <w:rFonts w:hint="eastAsia"/>
                <w:color w:val="000000" w:themeColor="text1"/>
                <w:kern w:val="0"/>
                <w:sz w:val="18"/>
                <w:szCs w:val="18"/>
              </w:rPr>
              <w:t>存在</w:t>
            </w:r>
          </w:p>
        </w:tc>
        <w:tc>
          <w:tcPr>
            <w:tcW w:w="900" w:type="dxa"/>
            <w:tcBorders>
              <w:tl2br w:val="nil"/>
              <w:tr2bl w:val="nil"/>
            </w:tcBorders>
            <w:vAlign w:val="center"/>
          </w:tcPr>
          <w:p>
            <w:pPr>
              <w:widowControl/>
              <w:snapToGrid w:val="0"/>
              <w:spacing w:line="240" w:lineRule="auto"/>
              <w:ind w:firstLine="0" w:firstLineChars="0"/>
              <w:jc w:val="center"/>
              <w:rPr>
                <w:color w:val="000000" w:themeColor="text1"/>
                <w:kern w:val="0"/>
                <w:sz w:val="18"/>
                <w:szCs w:val="18"/>
              </w:rPr>
            </w:pPr>
            <w:r>
              <w:rPr>
                <w:rFonts w:hint="eastAsia"/>
                <w:color w:val="000000" w:themeColor="text1"/>
                <w:kern w:val="0"/>
                <w:sz w:val="18"/>
                <w:szCs w:val="18"/>
              </w:rPr>
              <w:t>0</w:t>
            </w:r>
          </w:p>
          <w:p>
            <w:pPr>
              <w:widowControl/>
              <w:snapToGrid w:val="0"/>
              <w:spacing w:line="240" w:lineRule="auto"/>
              <w:ind w:firstLine="0" w:firstLineChars="0"/>
              <w:jc w:val="center"/>
              <w:rPr>
                <w:color w:val="000000" w:themeColor="text1"/>
                <w:kern w:val="0"/>
                <w:sz w:val="18"/>
                <w:szCs w:val="18"/>
              </w:rPr>
            </w:pPr>
            <w:r>
              <w:rPr>
                <w:rFonts w:hint="eastAsia"/>
                <w:color w:val="000000" w:themeColor="text1"/>
                <w:kern w:val="0"/>
                <w:sz w:val="18"/>
                <w:szCs w:val="18"/>
              </w:rPr>
              <w:t>10</w:t>
            </w:r>
          </w:p>
        </w:tc>
        <w:tc>
          <w:tcPr>
            <w:tcW w:w="1770" w:type="dxa"/>
            <w:tcBorders>
              <w:tl2br w:val="nil"/>
              <w:tr2bl w:val="nil"/>
            </w:tcBorders>
            <w:vAlign w:val="center"/>
          </w:tcPr>
          <w:p>
            <w:pPr>
              <w:adjustRightInd w:val="0"/>
              <w:snapToGrid w:val="0"/>
              <w:spacing w:line="240" w:lineRule="auto"/>
              <w:ind w:firstLine="0" w:firstLineChars="0"/>
              <w:jc w:val="center"/>
              <w:rPr>
                <w:b/>
                <w:color w:val="000000" w:themeColor="text1"/>
                <w:sz w:val="18"/>
                <w:szCs w:val="18"/>
              </w:rPr>
            </w:pPr>
            <w:r>
              <w:rPr>
                <w:rFonts w:hint="eastAsia"/>
                <w:b/>
                <w:color w:val="000000" w:themeColor="text1"/>
                <w:sz w:val="18"/>
                <w:szCs w:val="18"/>
              </w:rPr>
              <w:t>一级保护区内有约0.09km</w:t>
            </w:r>
            <w:r>
              <w:rPr>
                <w:rFonts w:hint="eastAsia"/>
                <w:b/>
                <w:color w:val="000000" w:themeColor="text1"/>
                <w:sz w:val="18"/>
                <w:szCs w:val="18"/>
                <w:vertAlign w:val="superscript"/>
              </w:rPr>
              <w:t>2</w:t>
            </w:r>
            <w:r>
              <w:rPr>
                <w:rFonts w:hint="eastAsia"/>
                <w:b/>
                <w:color w:val="000000" w:themeColor="text1"/>
                <w:sz w:val="18"/>
                <w:szCs w:val="18"/>
              </w:rPr>
              <w:t>耕地</w:t>
            </w:r>
          </w:p>
        </w:tc>
        <w:tc>
          <w:tcPr>
            <w:tcW w:w="705" w:type="dxa"/>
            <w:tcBorders>
              <w:tl2br w:val="nil"/>
              <w:tr2bl w:val="nil"/>
            </w:tcBorders>
            <w:vAlign w:val="center"/>
          </w:tcPr>
          <w:p>
            <w:pPr>
              <w:adjustRightInd w:val="0"/>
              <w:snapToGrid w:val="0"/>
              <w:spacing w:line="240" w:lineRule="auto"/>
              <w:ind w:firstLine="0" w:firstLineChars="0"/>
              <w:jc w:val="center"/>
              <w:rPr>
                <w:b/>
                <w:color w:val="000000" w:themeColor="text1"/>
                <w:sz w:val="18"/>
                <w:szCs w:val="18"/>
              </w:rPr>
            </w:pPr>
            <w:r>
              <w:rPr>
                <w:rFonts w:hint="eastAsia"/>
                <w:b/>
                <w:color w:val="000000" w:themeColor="text1"/>
                <w:sz w:val="18"/>
                <w:szCs w:val="18"/>
              </w:rPr>
              <w:t>10</w:t>
            </w:r>
          </w:p>
        </w:tc>
        <w:tc>
          <w:tcPr>
            <w:tcW w:w="1185" w:type="dxa"/>
            <w:tcBorders>
              <w:tl2br w:val="nil"/>
              <w:tr2bl w:val="nil"/>
            </w:tcBorders>
            <w:vAlign w:val="center"/>
          </w:tcPr>
          <w:p>
            <w:pPr>
              <w:widowControl/>
              <w:snapToGrid w:val="0"/>
              <w:spacing w:line="240" w:lineRule="auto"/>
              <w:ind w:firstLine="0" w:firstLineChars="0"/>
              <w:jc w:val="center"/>
              <w:rPr>
                <w:color w:val="000000" w:themeColor="text1"/>
                <w:kern w:val="0"/>
                <w:sz w:val="18"/>
                <w:szCs w:val="18"/>
              </w:rPr>
            </w:pPr>
            <w:r>
              <w:rPr>
                <w:rFonts w:hint="eastAsia"/>
                <w:color w:val="000000" w:themeColor="text1"/>
                <w:kern w:val="0"/>
                <w:sz w:val="18"/>
                <w:szCs w:val="18"/>
              </w:rPr>
              <w:t>无</w:t>
            </w:r>
          </w:p>
          <w:p>
            <w:pPr>
              <w:widowControl/>
              <w:snapToGrid w:val="0"/>
              <w:spacing w:line="240" w:lineRule="auto"/>
              <w:ind w:firstLine="0" w:firstLineChars="0"/>
              <w:jc w:val="center"/>
              <w:rPr>
                <w:color w:val="000000" w:themeColor="text1"/>
                <w:kern w:val="0"/>
                <w:sz w:val="18"/>
                <w:szCs w:val="18"/>
              </w:rPr>
            </w:pPr>
            <w:r>
              <w:rPr>
                <w:rFonts w:hint="eastAsia"/>
                <w:color w:val="000000" w:themeColor="text1"/>
                <w:kern w:val="0"/>
                <w:sz w:val="18"/>
                <w:szCs w:val="18"/>
              </w:rPr>
              <w:t>＜5%</w:t>
            </w:r>
          </w:p>
          <w:p>
            <w:pPr>
              <w:widowControl/>
              <w:snapToGrid w:val="0"/>
              <w:spacing w:line="240" w:lineRule="auto"/>
              <w:ind w:firstLine="0" w:firstLineChars="0"/>
              <w:jc w:val="center"/>
              <w:rPr>
                <w:color w:val="000000" w:themeColor="text1"/>
                <w:kern w:val="0"/>
                <w:sz w:val="18"/>
                <w:szCs w:val="18"/>
              </w:rPr>
            </w:pPr>
            <w:r>
              <w:rPr>
                <w:rFonts w:hint="eastAsia"/>
                <w:color w:val="000000" w:themeColor="text1"/>
                <w:kern w:val="0"/>
                <w:sz w:val="18"/>
                <w:szCs w:val="18"/>
              </w:rPr>
              <w:t>5%~10%</w:t>
            </w:r>
          </w:p>
          <w:p>
            <w:pPr>
              <w:widowControl/>
              <w:snapToGrid w:val="0"/>
              <w:spacing w:line="240" w:lineRule="auto"/>
              <w:ind w:firstLine="0" w:firstLineChars="0"/>
              <w:jc w:val="center"/>
              <w:rPr>
                <w:color w:val="000000" w:themeColor="text1"/>
                <w:kern w:val="0"/>
                <w:sz w:val="18"/>
                <w:szCs w:val="18"/>
              </w:rPr>
            </w:pPr>
            <w:r>
              <w:rPr>
                <w:rFonts w:hint="eastAsia"/>
                <w:color w:val="000000" w:themeColor="text1"/>
                <w:kern w:val="0"/>
                <w:sz w:val="18"/>
                <w:szCs w:val="18"/>
              </w:rPr>
              <w:t>10%~20%</w:t>
            </w:r>
          </w:p>
          <w:p>
            <w:pPr>
              <w:widowControl/>
              <w:snapToGrid w:val="0"/>
              <w:spacing w:line="240" w:lineRule="auto"/>
              <w:ind w:firstLine="0" w:firstLineChars="0"/>
              <w:jc w:val="center"/>
              <w:rPr>
                <w:color w:val="000000" w:themeColor="text1"/>
                <w:kern w:val="0"/>
                <w:sz w:val="18"/>
                <w:szCs w:val="18"/>
              </w:rPr>
            </w:pPr>
            <w:r>
              <w:rPr>
                <w:rFonts w:hint="eastAsia"/>
                <w:color w:val="000000" w:themeColor="text1"/>
                <w:kern w:val="0"/>
                <w:sz w:val="18"/>
                <w:szCs w:val="18"/>
              </w:rPr>
              <w:t>20%~30%</w:t>
            </w:r>
          </w:p>
          <w:p>
            <w:pPr>
              <w:widowControl/>
              <w:snapToGrid w:val="0"/>
              <w:spacing w:line="240" w:lineRule="auto"/>
              <w:ind w:firstLine="0" w:firstLineChars="0"/>
              <w:jc w:val="center"/>
              <w:rPr>
                <w:color w:val="000000" w:themeColor="text1"/>
                <w:kern w:val="0"/>
                <w:sz w:val="18"/>
                <w:szCs w:val="18"/>
              </w:rPr>
            </w:pPr>
            <w:r>
              <w:rPr>
                <w:rFonts w:hint="eastAsia"/>
                <w:color w:val="000000" w:themeColor="text1"/>
                <w:kern w:val="0"/>
                <w:sz w:val="18"/>
                <w:szCs w:val="18"/>
              </w:rPr>
              <w:t>30%~40%</w:t>
            </w:r>
          </w:p>
          <w:p>
            <w:pPr>
              <w:widowControl/>
              <w:snapToGrid w:val="0"/>
              <w:spacing w:line="240" w:lineRule="auto"/>
              <w:ind w:firstLine="0" w:firstLineChars="0"/>
              <w:jc w:val="center"/>
              <w:rPr>
                <w:color w:val="000000" w:themeColor="text1"/>
                <w:kern w:val="0"/>
                <w:sz w:val="18"/>
                <w:szCs w:val="18"/>
              </w:rPr>
            </w:pPr>
            <w:r>
              <w:rPr>
                <w:rFonts w:hint="eastAsia"/>
                <w:color w:val="000000" w:themeColor="text1"/>
                <w:kern w:val="0"/>
                <w:sz w:val="18"/>
                <w:szCs w:val="18"/>
              </w:rPr>
              <w:t>50%~60%</w:t>
            </w:r>
          </w:p>
          <w:p>
            <w:pPr>
              <w:widowControl/>
              <w:snapToGrid w:val="0"/>
              <w:spacing w:line="240" w:lineRule="auto"/>
              <w:ind w:firstLine="0" w:firstLineChars="0"/>
              <w:jc w:val="center"/>
              <w:rPr>
                <w:color w:val="000000" w:themeColor="text1"/>
                <w:kern w:val="0"/>
                <w:sz w:val="18"/>
                <w:szCs w:val="18"/>
              </w:rPr>
            </w:pPr>
            <w:r>
              <w:rPr>
                <w:rFonts w:hint="eastAsia"/>
                <w:color w:val="000000" w:themeColor="text1"/>
                <w:kern w:val="0"/>
                <w:sz w:val="18"/>
                <w:szCs w:val="18"/>
              </w:rPr>
              <w:t>60%~70%</w:t>
            </w:r>
          </w:p>
          <w:p>
            <w:pPr>
              <w:widowControl/>
              <w:snapToGrid w:val="0"/>
              <w:spacing w:line="240" w:lineRule="auto"/>
              <w:ind w:firstLine="0" w:firstLineChars="0"/>
              <w:jc w:val="center"/>
              <w:rPr>
                <w:color w:val="000000" w:themeColor="text1"/>
                <w:kern w:val="0"/>
                <w:sz w:val="18"/>
                <w:szCs w:val="18"/>
              </w:rPr>
            </w:pPr>
            <w:r>
              <w:rPr>
                <w:rFonts w:hint="eastAsia"/>
                <w:color w:val="000000" w:themeColor="text1"/>
                <w:kern w:val="0"/>
                <w:sz w:val="18"/>
                <w:szCs w:val="18"/>
              </w:rPr>
              <w:t>70%~80%</w:t>
            </w:r>
          </w:p>
          <w:p>
            <w:pPr>
              <w:snapToGrid w:val="0"/>
              <w:spacing w:line="240" w:lineRule="auto"/>
              <w:ind w:firstLine="0" w:firstLineChars="0"/>
              <w:jc w:val="center"/>
              <w:rPr>
                <w:color w:val="000000" w:themeColor="text1"/>
                <w:kern w:val="0"/>
                <w:sz w:val="18"/>
                <w:szCs w:val="18"/>
              </w:rPr>
            </w:pPr>
            <w:r>
              <w:rPr>
                <w:rFonts w:hint="eastAsia"/>
                <w:color w:val="000000" w:themeColor="text1"/>
                <w:kern w:val="0"/>
                <w:sz w:val="18"/>
                <w:szCs w:val="18"/>
              </w:rPr>
              <w:t>＞80%</w:t>
            </w:r>
          </w:p>
        </w:tc>
        <w:tc>
          <w:tcPr>
            <w:tcW w:w="840" w:type="dxa"/>
            <w:tcBorders>
              <w:tl2br w:val="nil"/>
              <w:tr2bl w:val="nil"/>
            </w:tcBorders>
            <w:vAlign w:val="center"/>
          </w:tcPr>
          <w:p>
            <w:pPr>
              <w:widowControl/>
              <w:snapToGrid w:val="0"/>
              <w:spacing w:line="240" w:lineRule="auto"/>
              <w:ind w:firstLine="0" w:firstLineChars="0"/>
              <w:jc w:val="center"/>
              <w:rPr>
                <w:color w:val="000000" w:themeColor="text1"/>
                <w:kern w:val="0"/>
                <w:sz w:val="18"/>
                <w:szCs w:val="18"/>
              </w:rPr>
            </w:pPr>
            <w:r>
              <w:rPr>
                <w:rFonts w:hint="eastAsia"/>
                <w:color w:val="000000" w:themeColor="text1"/>
                <w:kern w:val="0"/>
                <w:sz w:val="18"/>
                <w:szCs w:val="18"/>
              </w:rPr>
              <w:t>0</w:t>
            </w:r>
          </w:p>
          <w:p>
            <w:pPr>
              <w:widowControl/>
              <w:snapToGrid w:val="0"/>
              <w:spacing w:line="240" w:lineRule="auto"/>
              <w:ind w:firstLine="0" w:firstLineChars="0"/>
              <w:jc w:val="center"/>
              <w:rPr>
                <w:color w:val="000000" w:themeColor="text1"/>
                <w:kern w:val="0"/>
                <w:sz w:val="18"/>
                <w:szCs w:val="18"/>
              </w:rPr>
            </w:pPr>
            <w:r>
              <w:rPr>
                <w:rFonts w:hint="eastAsia"/>
                <w:color w:val="000000" w:themeColor="text1"/>
                <w:kern w:val="0"/>
                <w:sz w:val="18"/>
                <w:szCs w:val="18"/>
              </w:rPr>
              <w:t>2</w:t>
            </w:r>
          </w:p>
          <w:p>
            <w:pPr>
              <w:widowControl/>
              <w:snapToGrid w:val="0"/>
              <w:spacing w:line="240" w:lineRule="auto"/>
              <w:ind w:firstLine="0" w:firstLineChars="0"/>
              <w:jc w:val="center"/>
              <w:rPr>
                <w:color w:val="000000" w:themeColor="text1"/>
                <w:kern w:val="0"/>
                <w:sz w:val="18"/>
                <w:szCs w:val="18"/>
              </w:rPr>
            </w:pPr>
            <w:r>
              <w:rPr>
                <w:rFonts w:hint="eastAsia"/>
                <w:color w:val="000000" w:themeColor="text1"/>
                <w:kern w:val="0"/>
                <w:sz w:val="18"/>
                <w:szCs w:val="18"/>
              </w:rPr>
              <w:t>3</w:t>
            </w:r>
          </w:p>
          <w:p>
            <w:pPr>
              <w:widowControl/>
              <w:snapToGrid w:val="0"/>
              <w:spacing w:line="240" w:lineRule="auto"/>
              <w:ind w:firstLine="0" w:firstLineChars="0"/>
              <w:jc w:val="center"/>
              <w:rPr>
                <w:color w:val="000000" w:themeColor="text1"/>
                <w:kern w:val="0"/>
                <w:sz w:val="18"/>
                <w:szCs w:val="18"/>
              </w:rPr>
            </w:pPr>
            <w:r>
              <w:rPr>
                <w:rFonts w:hint="eastAsia"/>
                <w:color w:val="000000" w:themeColor="text1"/>
                <w:kern w:val="0"/>
                <w:sz w:val="18"/>
                <w:szCs w:val="18"/>
              </w:rPr>
              <w:t>4</w:t>
            </w:r>
          </w:p>
          <w:p>
            <w:pPr>
              <w:widowControl/>
              <w:snapToGrid w:val="0"/>
              <w:spacing w:line="240" w:lineRule="auto"/>
              <w:ind w:firstLine="0" w:firstLineChars="0"/>
              <w:jc w:val="center"/>
              <w:rPr>
                <w:color w:val="000000" w:themeColor="text1"/>
                <w:kern w:val="0"/>
                <w:sz w:val="18"/>
                <w:szCs w:val="18"/>
              </w:rPr>
            </w:pPr>
            <w:r>
              <w:rPr>
                <w:rFonts w:hint="eastAsia"/>
                <w:color w:val="000000" w:themeColor="text1"/>
                <w:kern w:val="0"/>
                <w:sz w:val="18"/>
                <w:szCs w:val="18"/>
              </w:rPr>
              <w:t>5</w:t>
            </w:r>
          </w:p>
          <w:p>
            <w:pPr>
              <w:widowControl/>
              <w:snapToGrid w:val="0"/>
              <w:spacing w:line="240" w:lineRule="auto"/>
              <w:ind w:firstLine="0" w:firstLineChars="0"/>
              <w:jc w:val="center"/>
              <w:rPr>
                <w:color w:val="000000" w:themeColor="text1"/>
                <w:kern w:val="0"/>
                <w:sz w:val="18"/>
                <w:szCs w:val="18"/>
              </w:rPr>
            </w:pPr>
            <w:r>
              <w:rPr>
                <w:rFonts w:hint="eastAsia"/>
                <w:color w:val="000000" w:themeColor="text1"/>
                <w:kern w:val="0"/>
                <w:sz w:val="18"/>
                <w:szCs w:val="18"/>
              </w:rPr>
              <w:t>6</w:t>
            </w:r>
          </w:p>
          <w:p>
            <w:pPr>
              <w:widowControl/>
              <w:snapToGrid w:val="0"/>
              <w:spacing w:line="240" w:lineRule="auto"/>
              <w:ind w:firstLine="0" w:firstLineChars="0"/>
              <w:jc w:val="center"/>
              <w:rPr>
                <w:color w:val="000000" w:themeColor="text1"/>
                <w:kern w:val="0"/>
                <w:sz w:val="18"/>
                <w:szCs w:val="18"/>
              </w:rPr>
            </w:pPr>
            <w:r>
              <w:rPr>
                <w:rFonts w:hint="eastAsia"/>
                <w:color w:val="000000" w:themeColor="text1"/>
                <w:kern w:val="0"/>
                <w:sz w:val="18"/>
                <w:szCs w:val="18"/>
              </w:rPr>
              <w:t>7</w:t>
            </w:r>
          </w:p>
          <w:p>
            <w:pPr>
              <w:widowControl/>
              <w:snapToGrid w:val="0"/>
              <w:spacing w:line="240" w:lineRule="auto"/>
              <w:ind w:firstLine="0" w:firstLineChars="0"/>
              <w:jc w:val="center"/>
              <w:rPr>
                <w:color w:val="000000" w:themeColor="text1"/>
                <w:kern w:val="0"/>
                <w:sz w:val="18"/>
                <w:szCs w:val="18"/>
              </w:rPr>
            </w:pPr>
            <w:r>
              <w:rPr>
                <w:rFonts w:hint="eastAsia"/>
                <w:color w:val="000000" w:themeColor="text1"/>
                <w:kern w:val="0"/>
                <w:sz w:val="18"/>
                <w:szCs w:val="18"/>
              </w:rPr>
              <w:t>8</w:t>
            </w:r>
          </w:p>
          <w:p>
            <w:pPr>
              <w:widowControl/>
              <w:snapToGrid w:val="0"/>
              <w:spacing w:line="240" w:lineRule="auto"/>
              <w:ind w:firstLine="0" w:firstLineChars="0"/>
              <w:jc w:val="center"/>
              <w:rPr>
                <w:color w:val="000000" w:themeColor="text1"/>
                <w:kern w:val="0"/>
                <w:sz w:val="18"/>
                <w:szCs w:val="18"/>
              </w:rPr>
            </w:pPr>
            <w:r>
              <w:rPr>
                <w:rFonts w:hint="eastAsia"/>
                <w:color w:val="000000" w:themeColor="text1"/>
                <w:kern w:val="0"/>
                <w:sz w:val="18"/>
                <w:szCs w:val="18"/>
              </w:rPr>
              <w:t>9</w:t>
            </w:r>
          </w:p>
          <w:p>
            <w:pPr>
              <w:snapToGrid w:val="0"/>
              <w:spacing w:line="240" w:lineRule="auto"/>
              <w:ind w:firstLine="0" w:firstLineChars="0"/>
              <w:jc w:val="center"/>
              <w:rPr>
                <w:color w:val="000000" w:themeColor="text1"/>
                <w:kern w:val="0"/>
                <w:sz w:val="18"/>
                <w:szCs w:val="18"/>
              </w:rPr>
            </w:pPr>
            <w:r>
              <w:rPr>
                <w:rFonts w:hint="eastAsia"/>
                <w:color w:val="000000" w:themeColor="text1"/>
                <w:kern w:val="0"/>
                <w:sz w:val="18"/>
                <w:szCs w:val="18"/>
              </w:rPr>
              <w:t>10</w:t>
            </w:r>
          </w:p>
        </w:tc>
        <w:tc>
          <w:tcPr>
            <w:tcW w:w="1808" w:type="dxa"/>
            <w:tcBorders>
              <w:tl2br w:val="nil"/>
              <w:tr2bl w:val="nil"/>
            </w:tcBorders>
            <w:vAlign w:val="center"/>
          </w:tcPr>
          <w:p>
            <w:pPr>
              <w:adjustRightInd w:val="0"/>
              <w:snapToGrid w:val="0"/>
              <w:spacing w:line="240" w:lineRule="auto"/>
              <w:ind w:firstLine="0" w:firstLineChars="0"/>
              <w:jc w:val="center"/>
              <w:rPr>
                <w:b/>
                <w:color w:val="000000" w:themeColor="text1"/>
                <w:sz w:val="18"/>
                <w:szCs w:val="18"/>
              </w:rPr>
            </w:pPr>
            <w:r>
              <w:rPr>
                <w:rFonts w:hint="eastAsia"/>
                <w:b/>
                <w:color w:val="000000" w:themeColor="text1"/>
                <w:sz w:val="18"/>
                <w:szCs w:val="18"/>
              </w:rPr>
              <w:t>二级保护区陆域约25.4km</w:t>
            </w:r>
            <w:r>
              <w:rPr>
                <w:rFonts w:hint="eastAsia"/>
                <w:b/>
                <w:color w:val="000000" w:themeColor="text1"/>
                <w:sz w:val="18"/>
                <w:szCs w:val="18"/>
                <w:vertAlign w:val="superscript"/>
              </w:rPr>
              <w:t>2</w:t>
            </w:r>
            <w:r>
              <w:rPr>
                <w:rFonts w:hint="eastAsia"/>
                <w:b/>
                <w:color w:val="000000" w:themeColor="text1"/>
                <w:sz w:val="18"/>
                <w:szCs w:val="18"/>
              </w:rPr>
              <w:t>，耕地约2.64km</w:t>
            </w:r>
            <w:r>
              <w:rPr>
                <w:rFonts w:hint="eastAsia"/>
                <w:b/>
                <w:color w:val="000000" w:themeColor="text1"/>
                <w:sz w:val="18"/>
                <w:szCs w:val="18"/>
                <w:vertAlign w:val="superscript"/>
              </w:rPr>
              <w:t>2</w:t>
            </w:r>
            <w:r>
              <w:rPr>
                <w:rFonts w:hint="eastAsia"/>
                <w:b/>
                <w:color w:val="000000" w:themeColor="text1"/>
                <w:sz w:val="18"/>
                <w:szCs w:val="18"/>
              </w:rPr>
              <w:t>，比例为10.39%</w:t>
            </w:r>
          </w:p>
        </w:tc>
        <w:tc>
          <w:tcPr>
            <w:tcW w:w="637" w:type="dxa"/>
            <w:tcBorders>
              <w:tl2br w:val="nil"/>
              <w:tr2bl w:val="nil"/>
            </w:tcBorders>
            <w:vAlign w:val="center"/>
          </w:tcPr>
          <w:p>
            <w:pPr>
              <w:adjustRightInd w:val="0"/>
              <w:snapToGrid w:val="0"/>
              <w:spacing w:line="240" w:lineRule="auto"/>
              <w:ind w:firstLine="0" w:firstLineChars="0"/>
              <w:jc w:val="center"/>
              <w:rPr>
                <w:b/>
                <w:color w:val="000000" w:themeColor="text1"/>
                <w:sz w:val="18"/>
                <w:szCs w:val="18"/>
              </w:rPr>
            </w:pPr>
            <w:r>
              <w:rPr>
                <w:rFonts w:hint="eastAsia"/>
                <w:b/>
                <w:color w:val="000000" w:themeColor="text1"/>
                <w:sz w:val="18"/>
                <w:szCs w:val="18"/>
              </w:rPr>
              <w:t>4</w:t>
            </w:r>
          </w:p>
        </w:tc>
        <w:tc>
          <w:tcPr>
            <w:tcW w:w="1200" w:type="dxa"/>
            <w:tcBorders>
              <w:tl2br w:val="nil"/>
              <w:tr2bl w:val="nil"/>
            </w:tcBorders>
            <w:vAlign w:val="center"/>
          </w:tcPr>
          <w:p>
            <w:pPr>
              <w:widowControl/>
              <w:snapToGrid w:val="0"/>
              <w:spacing w:line="240" w:lineRule="auto"/>
              <w:ind w:firstLine="0" w:firstLineChars="0"/>
              <w:jc w:val="center"/>
              <w:rPr>
                <w:color w:val="000000" w:themeColor="text1"/>
                <w:kern w:val="0"/>
                <w:sz w:val="18"/>
                <w:szCs w:val="18"/>
              </w:rPr>
            </w:pPr>
            <w:r>
              <w:rPr>
                <w:rFonts w:hint="eastAsia"/>
                <w:color w:val="000000" w:themeColor="text1"/>
                <w:kern w:val="0"/>
                <w:sz w:val="18"/>
                <w:szCs w:val="18"/>
              </w:rPr>
              <w:t>无</w:t>
            </w:r>
          </w:p>
          <w:p>
            <w:pPr>
              <w:widowControl/>
              <w:snapToGrid w:val="0"/>
              <w:spacing w:line="240" w:lineRule="auto"/>
              <w:ind w:firstLine="0" w:firstLineChars="0"/>
              <w:jc w:val="center"/>
              <w:rPr>
                <w:color w:val="000000" w:themeColor="text1"/>
                <w:kern w:val="0"/>
                <w:sz w:val="18"/>
                <w:szCs w:val="18"/>
              </w:rPr>
            </w:pPr>
            <w:r>
              <w:rPr>
                <w:rFonts w:hint="eastAsia"/>
                <w:color w:val="000000" w:themeColor="text1"/>
                <w:kern w:val="0"/>
                <w:sz w:val="18"/>
                <w:szCs w:val="18"/>
              </w:rPr>
              <w:t>＜20%</w:t>
            </w:r>
          </w:p>
          <w:p>
            <w:pPr>
              <w:widowControl/>
              <w:snapToGrid w:val="0"/>
              <w:spacing w:line="240" w:lineRule="auto"/>
              <w:ind w:firstLine="0" w:firstLineChars="0"/>
              <w:jc w:val="center"/>
              <w:rPr>
                <w:color w:val="000000" w:themeColor="text1"/>
                <w:kern w:val="0"/>
                <w:sz w:val="18"/>
                <w:szCs w:val="18"/>
              </w:rPr>
            </w:pPr>
            <w:r>
              <w:rPr>
                <w:rFonts w:hint="eastAsia"/>
                <w:color w:val="000000" w:themeColor="text1"/>
                <w:kern w:val="0"/>
                <w:sz w:val="18"/>
                <w:szCs w:val="18"/>
              </w:rPr>
              <w:t>20%~30%</w:t>
            </w:r>
          </w:p>
          <w:p>
            <w:pPr>
              <w:widowControl/>
              <w:snapToGrid w:val="0"/>
              <w:spacing w:line="240" w:lineRule="auto"/>
              <w:ind w:firstLine="0" w:firstLineChars="0"/>
              <w:jc w:val="center"/>
              <w:rPr>
                <w:color w:val="000000" w:themeColor="text1"/>
                <w:kern w:val="0"/>
                <w:sz w:val="18"/>
                <w:szCs w:val="18"/>
              </w:rPr>
            </w:pPr>
            <w:r>
              <w:rPr>
                <w:rFonts w:hint="eastAsia"/>
                <w:color w:val="000000" w:themeColor="text1"/>
                <w:kern w:val="0"/>
                <w:sz w:val="18"/>
                <w:szCs w:val="18"/>
              </w:rPr>
              <w:t>30%~40%</w:t>
            </w:r>
          </w:p>
          <w:p>
            <w:pPr>
              <w:widowControl/>
              <w:snapToGrid w:val="0"/>
              <w:spacing w:line="240" w:lineRule="auto"/>
              <w:ind w:firstLine="0" w:firstLineChars="0"/>
              <w:jc w:val="center"/>
              <w:rPr>
                <w:color w:val="000000" w:themeColor="text1"/>
                <w:kern w:val="0"/>
                <w:sz w:val="18"/>
                <w:szCs w:val="18"/>
              </w:rPr>
            </w:pPr>
            <w:r>
              <w:rPr>
                <w:rFonts w:hint="eastAsia"/>
                <w:color w:val="000000" w:themeColor="text1"/>
                <w:kern w:val="0"/>
                <w:sz w:val="18"/>
                <w:szCs w:val="18"/>
              </w:rPr>
              <w:t>40%~50%</w:t>
            </w:r>
          </w:p>
          <w:p>
            <w:pPr>
              <w:widowControl/>
              <w:snapToGrid w:val="0"/>
              <w:spacing w:line="240" w:lineRule="auto"/>
              <w:ind w:firstLine="0" w:firstLineChars="0"/>
              <w:jc w:val="center"/>
              <w:rPr>
                <w:color w:val="000000" w:themeColor="text1"/>
                <w:kern w:val="0"/>
                <w:sz w:val="18"/>
                <w:szCs w:val="18"/>
              </w:rPr>
            </w:pPr>
            <w:r>
              <w:rPr>
                <w:rFonts w:hint="eastAsia"/>
                <w:color w:val="000000" w:themeColor="text1"/>
                <w:kern w:val="0"/>
                <w:sz w:val="18"/>
                <w:szCs w:val="18"/>
              </w:rPr>
              <w:t>60%~70%</w:t>
            </w:r>
          </w:p>
          <w:p>
            <w:pPr>
              <w:widowControl/>
              <w:snapToGrid w:val="0"/>
              <w:spacing w:line="240" w:lineRule="auto"/>
              <w:ind w:firstLine="0" w:firstLineChars="0"/>
              <w:jc w:val="center"/>
              <w:rPr>
                <w:color w:val="000000" w:themeColor="text1"/>
                <w:kern w:val="0"/>
                <w:sz w:val="18"/>
                <w:szCs w:val="18"/>
              </w:rPr>
            </w:pPr>
            <w:r>
              <w:rPr>
                <w:rFonts w:hint="eastAsia"/>
                <w:color w:val="000000" w:themeColor="text1"/>
                <w:kern w:val="0"/>
                <w:sz w:val="18"/>
                <w:szCs w:val="18"/>
              </w:rPr>
              <w:t>70%~80%</w:t>
            </w:r>
          </w:p>
          <w:p>
            <w:pPr>
              <w:widowControl/>
              <w:snapToGrid w:val="0"/>
              <w:spacing w:line="240" w:lineRule="auto"/>
              <w:ind w:firstLine="0" w:firstLineChars="0"/>
              <w:jc w:val="center"/>
              <w:rPr>
                <w:color w:val="000000" w:themeColor="text1"/>
                <w:kern w:val="0"/>
                <w:sz w:val="18"/>
                <w:szCs w:val="18"/>
              </w:rPr>
            </w:pPr>
            <w:r>
              <w:rPr>
                <w:rFonts w:hint="eastAsia"/>
                <w:color w:val="000000" w:themeColor="text1"/>
                <w:kern w:val="0"/>
                <w:sz w:val="18"/>
                <w:szCs w:val="18"/>
              </w:rPr>
              <w:t>＞80%</w:t>
            </w:r>
          </w:p>
          <w:p>
            <w:pPr>
              <w:snapToGrid w:val="0"/>
              <w:spacing w:line="240" w:lineRule="auto"/>
              <w:ind w:firstLine="0" w:firstLineChars="0"/>
              <w:jc w:val="center"/>
              <w:rPr>
                <w:color w:val="000000" w:themeColor="text1"/>
                <w:kern w:val="0"/>
                <w:sz w:val="18"/>
                <w:szCs w:val="18"/>
              </w:rPr>
            </w:pPr>
          </w:p>
        </w:tc>
        <w:tc>
          <w:tcPr>
            <w:tcW w:w="825" w:type="dxa"/>
            <w:tcBorders>
              <w:tl2br w:val="nil"/>
              <w:tr2bl w:val="nil"/>
            </w:tcBorders>
            <w:vAlign w:val="center"/>
          </w:tcPr>
          <w:p>
            <w:pPr>
              <w:widowControl/>
              <w:snapToGrid w:val="0"/>
              <w:spacing w:line="240" w:lineRule="auto"/>
              <w:ind w:firstLine="0" w:firstLineChars="0"/>
              <w:jc w:val="center"/>
              <w:rPr>
                <w:color w:val="000000" w:themeColor="text1"/>
                <w:kern w:val="0"/>
                <w:sz w:val="18"/>
                <w:szCs w:val="18"/>
              </w:rPr>
            </w:pPr>
            <w:r>
              <w:rPr>
                <w:rFonts w:hint="eastAsia"/>
                <w:color w:val="000000" w:themeColor="text1"/>
                <w:kern w:val="0"/>
                <w:sz w:val="18"/>
                <w:szCs w:val="18"/>
              </w:rPr>
              <w:t>0</w:t>
            </w:r>
          </w:p>
          <w:p>
            <w:pPr>
              <w:widowControl/>
              <w:snapToGrid w:val="0"/>
              <w:spacing w:line="240" w:lineRule="auto"/>
              <w:ind w:firstLine="0" w:firstLineChars="0"/>
              <w:jc w:val="center"/>
              <w:rPr>
                <w:color w:val="000000" w:themeColor="text1"/>
                <w:kern w:val="0"/>
                <w:sz w:val="18"/>
                <w:szCs w:val="18"/>
              </w:rPr>
            </w:pPr>
            <w:r>
              <w:rPr>
                <w:rFonts w:hint="eastAsia"/>
                <w:color w:val="000000" w:themeColor="text1"/>
                <w:kern w:val="0"/>
                <w:sz w:val="18"/>
                <w:szCs w:val="18"/>
              </w:rPr>
              <w:t>1</w:t>
            </w:r>
          </w:p>
          <w:p>
            <w:pPr>
              <w:widowControl/>
              <w:snapToGrid w:val="0"/>
              <w:spacing w:line="240" w:lineRule="auto"/>
              <w:ind w:firstLine="0" w:firstLineChars="0"/>
              <w:jc w:val="center"/>
              <w:rPr>
                <w:color w:val="000000" w:themeColor="text1"/>
                <w:kern w:val="0"/>
                <w:sz w:val="18"/>
                <w:szCs w:val="18"/>
              </w:rPr>
            </w:pPr>
            <w:r>
              <w:rPr>
                <w:rFonts w:hint="eastAsia"/>
                <w:color w:val="000000" w:themeColor="text1"/>
                <w:kern w:val="0"/>
                <w:sz w:val="18"/>
                <w:szCs w:val="18"/>
              </w:rPr>
              <w:t>2</w:t>
            </w:r>
          </w:p>
          <w:p>
            <w:pPr>
              <w:widowControl/>
              <w:snapToGrid w:val="0"/>
              <w:spacing w:line="240" w:lineRule="auto"/>
              <w:ind w:firstLine="0" w:firstLineChars="0"/>
              <w:jc w:val="center"/>
              <w:rPr>
                <w:color w:val="000000" w:themeColor="text1"/>
                <w:kern w:val="0"/>
                <w:sz w:val="18"/>
                <w:szCs w:val="18"/>
              </w:rPr>
            </w:pPr>
            <w:r>
              <w:rPr>
                <w:rFonts w:hint="eastAsia"/>
                <w:color w:val="000000" w:themeColor="text1"/>
                <w:kern w:val="0"/>
                <w:sz w:val="18"/>
                <w:szCs w:val="18"/>
              </w:rPr>
              <w:t>3</w:t>
            </w:r>
          </w:p>
          <w:p>
            <w:pPr>
              <w:widowControl/>
              <w:snapToGrid w:val="0"/>
              <w:spacing w:line="240" w:lineRule="auto"/>
              <w:ind w:firstLine="0" w:firstLineChars="0"/>
              <w:jc w:val="center"/>
              <w:rPr>
                <w:color w:val="000000" w:themeColor="text1"/>
                <w:kern w:val="0"/>
                <w:sz w:val="18"/>
                <w:szCs w:val="18"/>
              </w:rPr>
            </w:pPr>
            <w:r>
              <w:rPr>
                <w:rFonts w:hint="eastAsia"/>
                <w:color w:val="000000" w:themeColor="text1"/>
                <w:kern w:val="0"/>
                <w:sz w:val="18"/>
                <w:szCs w:val="18"/>
              </w:rPr>
              <w:t>4</w:t>
            </w:r>
          </w:p>
          <w:p>
            <w:pPr>
              <w:widowControl/>
              <w:snapToGrid w:val="0"/>
              <w:spacing w:line="240" w:lineRule="auto"/>
              <w:ind w:firstLine="0" w:firstLineChars="0"/>
              <w:jc w:val="center"/>
              <w:rPr>
                <w:color w:val="000000" w:themeColor="text1"/>
                <w:kern w:val="0"/>
                <w:sz w:val="18"/>
                <w:szCs w:val="18"/>
              </w:rPr>
            </w:pPr>
            <w:r>
              <w:rPr>
                <w:rFonts w:hint="eastAsia"/>
                <w:color w:val="000000" w:themeColor="text1"/>
                <w:kern w:val="0"/>
                <w:sz w:val="18"/>
                <w:szCs w:val="18"/>
              </w:rPr>
              <w:t>5</w:t>
            </w:r>
          </w:p>
          <w:p>
            <w:pPr>
              <w:widowControl/>
              <w:snapToGrid w:val="0"/>
              <w:spacing w:line="240" w:lineRule="auto"/>
              <w:ind w:firstLine="0" w:firstLineChars="0"/>
              <w:jc w:val="center"/>
              <w:rPr>
                <w:color w:val="000000" w:themeColor="text1"/>
                <w:kern w:val="0"/>
                <w:sz w:val="18"/>
                <w:szCs w:val="18"/>
              </w:rPr>
            </w:pPr>
            <w:r>
              <w:rPr>
                <w:rFonts w:hint="eastAsia"/>
                <w:color w:val="000000" w:themeColor="text1"/>
                <w:kern w:val="0"/>
                <w:sz w:val="18"/>
                <w:szCs w:val="18"/>
              </w:rPr>
              <w:t>6</w:t>
            </w:r>
          </w:p>
          <w:p>
            <w:pPr>
              <w:widowControl/>
              <w:snapToGrid w:val="0"/>
              <w:spacing w:line="240" w:lineRule="auto"/>
              <w:ind w:firstLine="0" w:firstLineChars="0"/>
              <w:jc w:val="center"/>
              <w:rPr>
                <w:color w:val="000000" w:themeColor="text1"/>
                <w:kern w:val="0"/>
                <w:sz w:val="18"/>
                <w:szCs w:val="18"/>
              </w:rPr>
            </w:pPr>
            <w:r>
              <w:rPr>
                <w:rFonts w:hint="eastAsia"/>
                <w:color w:val="000000" w:themeColor="text1"/>
                <w:kern w:val="0"/>
                <w:sz w:val="18"/>
                <w:szCs w:val="18"/>
              </w:rPr>
              <w:t>7</w:t>
            </w:r>
          </w:p>
          <w:p>
            <w:pPr>
              <w:snapToGrid w:val="0"/>
              <w:spacing w:line="240" w:lineRule="auto"/>
              <w:ind w:firstLine="0" w:firstLineChars="0"/>
              <w:jc w:val="center"/>
              <w:rPr>
                <w:color w:val="000000" w:themeColor="text1"/>
                <w:kern w:val="0"/>
                <w:sz w:val="18"/>
                <w:szCs w:val="18"/>
              </w:rPr>
            </w:pPr>
          </w:p>
        </w:tc>
        <w:tc>
          <w:tcPr>
            <w:tcW w:w="1680" w:type="dxa"/>
            <w:tcBorders>
              <w:tl2br w:val="nil"/>
              <w:tr2bl w:val="nil"/>
            </w:tcBorders>
            <w:vAlign w:val="center"/>
          </w:tcPr>
          <w:p>
            <w:pPr>
              <w:spacing w:line="240" w:lineRule="auto"/>
              <w:ind w:firstLine="0" w:firstLineChars="0"/>
              <w:jc w:val="center"/>
              <w:rPr>
                <w:b/>
                <w:bCs/>
                <w:color w:val="000000" w:themeColor="text1"/>
                <w:sz w:val="18"/>
                <w:szCs w:val="18"/>
              </w:rPr>
            </w:pPr>
            <w:r>
              <w:rPr>
                <w:rFonts w:hint="eastAsia"/>
                <w:b/>
                <w:bCs/>
                <w:color w:val="000000" w:themeColor="text1"/>
                <w:sz w:val="18"/>
                <w:szCs w:val="18"/>
              </w:rPr>
              <w:t>准保护区约440.04km</w:t>
            </w:r>
            <w:r>
              <w:rPr>
                <w:rFonts w:hint="eastAsia"/>
                <w:b/>
                <w:bCs/>
                <w:color w:val="000000" w:themeColor="text1"/>
                <w:sz w:val="18"/>
                <w:szCs w:val="18"/>
                <w:vertAlign w:val="superscript"/>
              </w:rPr>
              <w:t>2</w:t>
            </w:r>
            <w:r>
              <w:rPr>
                <w:rFonts w:hint="eastAsia"/>
                <w:b/>
                <w:bCs/>
                <w:color w:val="000000" w:themeColor="text1"/>
                <w:sz w:val="18"/>
                <w:szCs w:val="18"/>
              </w:rPr>
              <w:t>，耕地约39.31km</w:t>
            </w:r>
            <w:r>
              <w:rPr>
                <w:rFonts w:hint="eastAsia"/>
                <w:b/>
                <w:bCs/>
                <w:color w:val="000000" w:themeColor="text1"/>
                <w:sz w:val="18"/>
                <w:szCs w:val="18"/>
                <w:vertAlign w:val="superscript"/>
              </w:rPr>
              <w:t>2</w:t>
            </w:r>
            <w:r>
              <w:rPr>
                <w:rFonts w:hint="eastAsia"/>
                <w:b/>
                <w:bCs/>
                <w:color w:val="000000" w:themeColor="text1"/>
                <w:sz w:val="18"/>
                <w:szCs w:val="18"/>
              </w:rPr>
              <w:t>，比例为8.93%</w:t>
            </w:r>
          </w:p>
        </w:tc>
        <w:tc>
          <w:tcPr>
            <w:tcW w:w="726" w:type="dxa"/>
            <w:tcBorders>
              <w:tl2br w:val="nil"/>
              <w:tr2bl w:val="nil"/>
            </w:tcBorders>
            <w:vAlign w:val="center"/>
          </w:tcPr>
          <w:p>
            <w:pPr>
              <w:spacing w:line="240" w:lineRule="auto"/>
              <w:ind w:firstLine="0" w:firstLineChars="0"/>
              <w:jc w:val="center"/>
              <w:rPr>
                <w:b/>
                <w:bCs/>
                <w:color w:val="000000" w:themeColor="text1"/>
                <w:sz w:val="18"/>
                <w:szCs w:val="18"/>
              </w:rPr>
            </w:pPr>
            <w:r>
              <w:rPr>
                <w:rFonts w:hint="eastAsia"/>
                <w:b/>
                <w:bCs/>
                <w:color w:val="000000" w:themeColor="text1"/>
                <w:sz w:val="18"/>
                <w:szCs w:val="18"/>
              </w:rPr>
              <w:t>1</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trPr>
        <w:tc>
          <w:tcPr>
            <w:tcW w:w="818" w:type="dxa"/>
            <w:tcBorders>
              <w:tl2br w:val="nil"/>
              <w:tr2bl w:val="nil"/>
            </w:tcBorders>
            <w:vAlign w:val="center"/>
          </w:tcPr>
          <w:p>
            <w:pPr>
              <w:widowControl/>
              <w:snapToGrid w:val="0"/>
              <w:spacing w:line="240" w:lineRule="auto"/>
              <w:ind w:firstLine="0" w:firstLineChars="0"/>
              <w:jc w:val="center"/>
              <w:rPr>
                <w:color w:val="000000" w:themeColor="text1"/>
                <w:kern w:val="0"/>
                <w:sz w:val="18"/>
                <w:szCs w:val="18"/>
              </w:rPr>
            </w:pPr>
            <w:r>
              <w:rPr>
                <w:rFonts w:hint="eastAsia"/>
                <w:color w:val="000000" w:themeColor="text1"/>
                <w:kern w:val="0"/>
                <w:sz w:val="18"/>
                <w:szCs w:val="18"/>
              </w:rPr>
              <w:t>生态缓冲带</w:t>
            </w:r>
          </w:p>
        </w:tc>
        <w:tc>
          <w:tcPr>
            <w:tcW w:w="1080" w:type="dxa"/>
            <w:tcBorders>
              <w:tl2br w:val="nil"/>
              <w:tr2bl w:val="nil"/>
            </w:tcBorders>
            <w:vAlign w:val="center"/>
          </w:tcPr>
          <w:p>
            <w:pPr>
              <w:widowControl/>
              <w:snapToGrid w:val="0"/>
              <w:spacing w:line="240" w:lineRule="auto"/>
              <w:ind w:firstLine="0" w:firstLineChars="0"/>
              <w:jc w:val="center"/>
              <w:rPr>
                <w:color w:val="000000" w:themeColor="text1"/>
                <w:kern w:val="0"/>
                <w:sz w:val="18"/>
                <w:szCs w:val="18"/>
              </w:rPr>
            </w:pPr>
            <w:r>
              <w:rPr>
                <w:rFonts w:hint="eastAsia"/>
                <w:color w:val="000000" w:themeColor="text1"/>
                <w:kern w:val="0"/>
                <w:sz w:val="18"/>
                <w:szCs w:val="18"/>
              </w:rPr>
              <w:t>无</w:t>
            </w:r>
          </w:p>
          <w:p>
            <w:pPr>
              <w:widowControl/>
              <w:snapToGrid w:val="0"/>
              <w:spacing w:line="240" w:lineRule="auto"/>
              <w:ind w:firstLine="0" w:firstLineChars="0"/>
              <w:jc w:val="center"/>
              <w:rPr>
                <w:color w:val="000000" w:themeColor="text1"/>
                <w:kern w:val="0"/>
                <w:sz w:val="18"/>
                <w:szCs w:val="18"/>
              </w:rPr>
            </w:pPr>
            <w:r>
              <w:rPr>
                <w:rFonts w:hint="eastAsia"/>
                <w:color w:val="000000" w:themeColor="text1"/>
                <w:kern w:val="0"/>
                <w:sz w:val="18"/>
                <w:szCs w:val="18"/>
              </w:rPr>
              <w:t>宽度＞50m</w:t>
            </w:r>
          </w:p>
          <w:p>
            <w:pPr>
              <w:widowControl/>
              <w:snapToGrid w:val="0"/>
              <w:spacing w:line="240" w:lineRule="auto"/>
              <w:ind w:firstLine="0" w:firstLineChars="0"/>
              <w:jc w:val="center"/>
              <w:rPr>
                <w:color w:val="000000" w:themeColor="text1"/>
                <w:kern w:val="0"/>
                <w:sz w:val="18"/>
                <w:szCs w:val="18"/>
              </w:rPr>
            </w:pPr>
            <w:r>
              <w:rPr>
                <w:rFonts w:hint="eastAsia"/>
                <w:color w:val="000000" w:themeColor="text1"/>
                <w:kern w:val="0"/>
                <w:sz w:val="18"/>
                <w:szCs w:val="18"/>
              </w:rPr>
              <w:t>宽度≤50m</w:t>
            </w:r>
          </w:p>
        </w:tc>
        <w:tc>
          <w:tcPr>
            <w:tcW w:w="900" w:type="dxa"/>
            <w:tcBorders>
              <w:tl2br w:val="nil"/>
              <w:tr2bl w:val="nil"/>
            </w:tcBorders>
            <w:vAlign w:val="center"/>
          </w:tcPr>
          <w:p>
            <w:pPr>
              <w:widowControl/>
              <w:snapToGrid w:val="0"/>
              <w:spacing w:line="240" w:lineRule="auto"/>
              <w:ind w:firstLine="0" w:firstLineChars="0"/>
              <w:jc w:val="center"/>
              <w:rPr>
                <w:color w:val="000000" w:themeColor="text1"/>
                <w:kern w:val="0"/>
                <w:sz w:val="18"/>
                <w:szCs w:val="18"/>
              </w:rPr>
            </w:pPr>
            <w:r>
              <w:rPr>
                <w:rFonts w:hint="eastAsia"/>
                <w:color w:val="000000" w:themeColor="text1"/>
                <w:kern w:val="0"/>
                <w:sz w:val="18"/>
                <w:szCs w:val="18"/>
              </w:rPr>
              <w:t>0</w:t>
            </w:r>
          </w:p>
          <w:p>
            <w:pPr>
              <w:widowControl/>
              <w:snapToGrid w:val="0"/>
              <w:spacing w:line="240" w:lineRule="auto"/>
              <w:ind w:firstLine="0" w:firstLineChars="0"/>
              <w:jc w:val="center"/>
              <w:rPr>
                <w:color w:val="000000" w:themeColor="text1"/>
                <w:kern w:val="0"/>
                <w:sz w:val="18"/>
                <w:szCs w:val="18"/>
              </w:rPr>
            </w:pPr>
            <w:r>
              <w:rPr>
                <w:rFonts w:hint="eastAsia"/>
                <w:color w:val="000000" w:themeColor="text1"/>
                <w:kern w:val="0"/>
                <w:sz w:val="18"/>
                <w:szCs w:val="18"/>
              </w:rPr>
              <w:t>0</w:t>
            </w:r>
          </w:p>
          <w:p>
            <w:pPr>
              <w:widowControl/>
              <w:snapToGrid w:val="0"/>
              <w:spacing w:line="240" w:lineRule="auto"/>
              <w:ind w:firstLine="0" w:firstLineChars="0"/>
              <w:jc w:val="center"/>
              <w:rPr>
                <w:color w:val="000000" w:themeColor="text1"/>
                <w:kern w:val="0"/>
                <w:sz w:val="18"/>
                <w:szCs w:val="18"/>
              </w:rPr>
            </w:pPr>
            <w:r>
              <w:rPr>
                <w:rFonts w:hint="eastAsia"/>
                <w:color w:val="000000" w:themeColor="text1"/>
                <w:kern w:val="0"/>
                <w:sz w:val="18"/>
                <w:szCs w:val="18"/>
              </w:rPr>
              <w:t>2</w:t>
            </w:r>
          </w:p>
        </w:tc>
        <w:tc>
          <w:tcPr>
            <w:tcW w:w="1770" w:type="dxa"/>
            <w:tcBorders>
              <w:tl2br w:val="nil"/>
              <w:tr2bl w:val="nil"/>
            </w:tcBorders>
            <w:vAlign w:val="center"/>
          </w:tcPr>
          <w:p>
            <w:pPr>
              <w:adjustRightInd w:val="0"/>
              <w:snapToGrid w:val="0"/>
              <w:spacing w:line="240" w:lineRule="auto"/>
              <w:ind w:firstLine="0" w:firstLineChars="0"/>
              <w:jc w:val="center"/>
              <w:rPr>
                <w:b/>
                <w:color w:val="000000" w:themeColor="text1"/>
                <w:sz w:val="18"/>
                <w:szCs w:val="18"/>
              </w:rPr>
            </w:pPr>
          </w:p>
          <w:p>
            <w:pPr>
              <w:adjustRightInd w:val="0"/>
              <w:snapToGrid w:val="0"/>
              <w:spacing w:line="240" w:lineRule="auto"/>
              <w:ind w:firstLine="0" w:firstLineChars="0"/>
              <w:jc w:val="center"/>
              <w:rPr>
                <w:b/>
                <w:color w:val="000000" w:themeColor="text1"/>
                <w:sz w:val="18"/>
                <w:szCs w:val="18"/>
              </w:rPr>
            </w:pPr>
            <w:r>
              <w:rPr>
                <w:rFonts w:hint="eastAsia"/>
                <w:b/>
                <w:color w:val="000000" w:themeColor="text1"/>
                <w:sz w:val="18"/>
                <w:szCs w:val="18"/>
              </w:rPr>
              <w:t>不涉及生态缓冲带</w:t>
            </w:r>
          </w:p>
          <w:p>
            <w:pPr>
              <w:adjustRightInd w:val="0"/>
              <w:snapToGrid w:val="0"/>
              <w:spacing w:line="240" w:lineRule="auto"/>
              <w:ind w:firstLine="0" w:firstLineChars="0"/>
              <w:jc w:val="center"/>
              <w:rPr>
                <w:b/>
                <w:color w:val="000000" w:themeColor="text1"/>
                <w:sz w:val="18"/>
                <w:szCs w:val="18"/>
              </w:rPr>
            </w:pPr>
          </w:p>
        </w:tc>
        <w:tc>
          <w:tcPr>
            <w:tcW w:w="705" w:type="dxa"/>
            <w:tcBorders>
              <w:tl2br w:val="nil"/>
              <w:tr2bl w:val="nil"/>
            </w:tcBorders>
            <w:vAlign w:val="center"/>
          </w:tcPr>
          <w:p>
            <w:pPr>
              <w:adjustRightInd w:val="0"/>
              <w:snapToGrid w:val="0"/>
              <w:spacing w:line="240" w:lineRule="auto"/>
              <w:ind w:firstLine="0" w:firstLineChars="0"/>
              <w:jc w:val="center"/>
              <w:rPr>
                <w:b/>
                <w:color w:val="000000" w:themeColor="text1"/>
                <w:sz w:val="18"/>
                <w:szCs w:val="18"/>
              </w:rPr>
            </w:pPr>
          </w:p>
          <w:p>
            <w:pPr>
              <w:adjustRightInd w:val="0"/>
              <w:snapToGrid w:val="0"/>
              <w:spacing w:line="240" w:lineRule="auto"/>
              <w:ind w:firstLine="0" w:firstLineChars="0"/>
              <w:jc w:val="center"/>
              <w:rPr>
                <w:b/>
                <w:color w:val="000000" w:themeColor="text1"/>
                <w:sz w:val="18"/>
                <w:szCs w:val="18"/>
              </w:rPr>
            </w:pPr>
            <w:r>
              <w:rPr>
                <w:rFonts w:hint="eastAsia"/>
                <w:b/>
                <w:color w:val="000000" w:themeColor="text1"/>
                <w:sz w:val="18"/>
                <w:szCs w:val="18"/>
              </w:rPr>
              <w:t>0</w:t>
            </w:r>
          </w:p>
          <w:p>
            <w:pPr>
              <w:adjustRightInd w:val="0"/>
              <w:snapToGrid w:val="0"/>
              <w:spacing w:line="240" w:lineRule="auto"/>
              <w:ind w:firstLine="0" w:firstLineChars="0"/>
              <w:jc w:val="center"/>
              <w:rPr>
                <w:b/>
                <w:color w:val="000000" w:themeColor="text1"/>
                <w:sz w:val="18"/>
                <w:szCs w:val="18"/>
              </w:rPr>
            </w:pPr>
          </w:p>
        </w:tc>
        <w:tc>
          <w:tcPr>
            <w:tcW w:w="1185" w:type="dxa"/>
            <w:tcBorders>
              <w:tl2br w:val="nil"/>
              <w:tr2bl w:val="nil"/>
            </w:tcBorders>
            <w:vAlign w:val="center"/>
          </w:tcPr>
          <w:p>
            <w:pPr>
              <w:widowControl/>
              <w:snapToGrid w:val="0"/>
              <w:spacing w:line="240" w:lineRule="auto"/>
              <w:ind w:firstLine="0" w:firstLineChars="0"/>
              <w:jc w:val="center"/>
              <w:rPr>
                <w:color w:val="000000" w:themeColor="text1"/>
                <w:kern w:val="0"/>
                <w:sz w:val="18"/>
                <w:szCs w:val="18"/>
              </w:rPr>
            </w:pPr>
            <w:r>
              <w:rPr>
                <w:rFonts w:hint="eastAsia"/>
                <w:color w:val="000000" w:themeColor="text1"/>
                <w:kern w:val="0"/>
                <w:sz w:val="18"/>
                <w:szCs w:val="18"/>
              </w:rPr>
              <w:t>无</w:t>
            </w:r>
          </w:p>
          <w:p>
            <w:pPr>
              <w:widowControl/>
              <w:snapToGrid w:val="0"/>
              <w:spacing w:line="240" w:lineRule="auto"/>
              <w:ind w:firstLine="0" w:firstLineChars="0"/>
              <w:jc w:val="center"/>
              <w:rPr>
                <w:color w:val="000000" w:themeColor="text1"/>
                <w:kern w:val="0"/>
                <w:sz w:val="18"/>
                <w:szCs w:val="18"/>
              </w:rPr>
            </w:pPr>
            <w:r>
              <w:rPr>
                <w:rFonts w:hint="eastAsia"/>
                <w:color w:val="000000" w:themeColor="text1"/>
                <w:kern w:val="0"/>
                <w:sz w:val="18"/>
                <w:szCs w:val="18"/>
              </w:rPr>
              <w:t>宽度＞40m</w:t>
            </w:r>
          </w:p>
          <w:p>
            <w:pPr>
              <w:widowControl/>
              <w:snapToGrid w:val="0"/>
              <w:spacing w:line="240" w:lineRule="auto"/>
              <w:ind w:firstLine="0" w:firstLineChars="0"/>
              <w:jc w:val="center"/>
              <w:rPr>
                <w:color w:val="000000" w:themeColor="text1"/>
                <w:kern w:val="0"/>
                <w:sz w:val="18"/>
                <w:szCs w:val="18"/>
              </w:rPr>
            </w:pPr>
            <w:r>
              <w:rPr>
                <w:rFonts w:hint="eastAsia"/>
                <w:color w:val="000000" w:themeColor="text1"/>
                <w:kern w:val="0"/>
                <w:sz w:val="18"/>
                <w:szCs w:val="18"/>
              </w:rPr>
              <w:t>宽度≤40m</w:t>
            </w:r>
          </w:p>
        </w:tc>
        <w:tc>
          <w:tcPr>
            <w:tcW w:w="840" w:type="dxa"/>
            <w:tcBorders>
              <w:tl2br w:val="nil"/>
              <w:tr2bl w:val="nil"/>
            </w:tcBorders>
            <w:vAlign w:val="center"/>
          </w:tcPr>
          <w:p>
            <w:pPr>
              <w:widowControl/>
              <w:snapToGrid w:val="0"/>
              <w:spacing w:line="240" w:lineRule="auto"/>
              <w:ind w:firstLine="0" w:firstLineChars="0"/>
              <w:jc w:val="center"/>
              <w:rPr>
                <w:color w:val="000000" w:themeColor="text1"/>
                <w:kern w:val="0"/>
                <w:sz w:val="18"/>
                <w:szCs w:val="18"/>
              </w:rPr>
            </w:pPr>
            <w:r>
              <w:rPr>
                <w:rFonts w:hint="eastAsia"/>
                <w:color w:val="000000" w:themeColor="text1"/>
                <w:kern w:val="0"/>
                <w:sz w:val="18"/>
                <w:szCs w:val="18"/>
              </w:rPr>
              <w:t>0</w:t>
            </w:r>
          </w:p>
          <w:p>
            <w:pPr>
              <w:widowControl/>
              <w:snapToGrid w:val="0"/>
              <w:spacing w:line="240" w:lineRule="auto"/>
              <w:ind w:firstLine="0" w:firstLineChars="0"/>
              <w:jc w:val="center"/>
              <w:rPr>
                <w:color w:val="000000" w:themeColor="text1"/>
                <w:kern w:val="0"/>
                <w:sz w:val="18"/>
                <w:szCs w:val="18"/>
              </w:rPr>
            </w:pPr>
            <w:r>
              <w:rPr>
                <w:rFonts w:hint="eastAsia"/>
                <w:color w:val="000000" w:themeColor="text1"/>
                <w:kern w:val="0"/>
                <w:sz w:val="18"/>
                <w:szCs w:val="18"/>
              </w:rPr>
              <w:t>0</w:t>
            </w:r>
          </w:p>
          <w:p>
            <w:pPr>
              <w:widowControl/>
              <w:snapToGrid w:val="0"/>
              <w:spacing w:line="240" w:lineRule="auto"/>
              <w:ind w:firstLine="0" w:firstLineChars="0"/>
              <w:jc w:val="center"/>
              <w:rPr>
                <w:color w:val="000000" w:themeColor="text1"/>
                <w:kern w:val="0"/>
                <w:sz w:val="18"/>
                <w:szCs w:val="18"/>
              </w:rPr>
            </w:pPr>
            <w:r>
              <w:rPr>
                <w:rFonts w:hint="eastAsia"/>
                <w:color w:val="000000" w:themeColor="text1"/>
                <w:kern w:val="0"/>
                <w:sz w:val="18"/>
                <w:szCs w:val="18"/>
              </w:rPr>
              <w:t>2</w:t>
            </w:r>
          </w:p>
        </w:tc>
        <w:tc>
          <w:tcPr>
            <w:tcW w:w="1808" w:type="dxa"/>
            <w:tcBorders>
              <w:tl2br w:val="nil"/>
              <w:tr2bl w:val="nil"/>
            </w:tcBorders>
            <w:vAlign w:val="center"/>
          </w:tcPr>
          <w:p>
            <w:pPr>
              <w:adjustRightInd w:val="0"/>
              <w:snapToGrid w:val="0"/>
              <w:spacing w:line="240" w:lineRule="auto"/>
              <w:ind w:firstLine="0" w:firstLineChars="0"/>
              <w:jc w:val="center"/>
              <w:rPr>
                <w:b/>
                <w:color w:val="000000" w:themeColor="text1"/>
                <w:sz w:val="18"/>
                <w:szCs w:val="18"/>
              </w:rPr>
            </w:pPr>
            <w:r>
              <w:rPr>
                <w:rFonts w:hint="eastAsia"/>
                <w:b/>
                <w:color w:val="000000" w:themeColor="text1"/>
                <w:sz w:val="18"/>
                <w:szCs w:val="18"/>
              </w:rPr>
              <w:t>不涉及生态缓冲带</w:t>
            </w:r>
          </w:p>
        </w:tc>
        <w:tc>
          <w:tcPr>
            <w:tcW w:w="637" w:type="dxa"/>
            <w:tcBorders>
              <w:tl2br w:val="nil"/>
              <w:tr2bl w:val="nil"/>
            </w:tcBorders>
            <w:vAlign w:val="center"/>
          </w:tcPr>
          <w:p>
            <w:pPr>
              <w:adjustRightInd w:val="0"/>
              <w:snapToGrid w:val="0"/>
              <w:spacing w:line="240" w:lineRule="auto"/>
              <w:ind w:firstLine="0" w:firstLineChars="0"/>
              <w:jc w:val="center"/>
              <w:rPr>
                <w:b/>
                <w:color w:val="000000" w:themeColor="text1"/>
                <w:sz w:val="18"/>
                <w:szCs w:val="18"/>
              </w:rPr>
            </w:pPr>
          </w:p>
          <w:p>
            <w:pPr>
              <w:adjustRightInd w:val="0"/>
              <w:snapToGrid w:val="0"/>
              <w:spacing w:line="240" w:lineRule="auto"/>
              <w:ind w:firstLine="0" w:firstLineChars="0"/>
              <w:jc w:val="center"/>
              <w:rPr>
                <w:b/>
                <w:color w:val="000000" w:themeColor="text1"/>
                <w:sz w:val="18"/>
                <w:szCs w:val="18"/>
              </w:rPr>
            </w:pPr>
            <w:r>
              <w:rPr>
                <w:rFonts w:hint="eastAsia"/>
                <w:b/>
                <w:color w:val="000000" w:themeColor="text1"/>
                <w:sz w:val="18"/>
                <w:szCs w:val="18"/>
              </w:rPr>
              <w:t>0</w:t>
            </w:r>
          </w:p>
          <w:p>
            <w:pPr>
              <w:adjustRightInd w:val="0"/>
              <w:snapToGrid w:val="0"/>
              <w:spacing w:line="240" w:lineRule="auto"/>
              <w:ind w:firstLine="0" w:firstLineChars="0"/>
              <w:jc w:val="center"/>
              <w:rPr>
                <w:b/>
                <w:color w:val="000000" w:themeColor="text1"/>
                <w:sz w:val="18"/>
                <w:szCs w:val="18"/>
              </w:rPr>
            </w:pPr>
          </w:p>
        </w:tc>
        <w:tc>
          <w:tcPr>
            <w:tcW w:w="1200" w:type="dxa"/>
            <w:tcBorders>
              <w:tl2br w:val="nil"/>
              <w:tr2bl w:val="nil"/>
            </w:tcBorders>
            <w:vAlign w:val="center"/>
          </w:tcPr>
          <w:p>
            <w:pPr>
              <w:widowControl/>
              <w:snapToGrid w:val="0"/>
              <w:spacing w:line="240" w:lineRule="auto"/>
              <w:ind w:firstLine="0" w:firstLineChars="0"/>
              <w:jc w:val="center"/>
              <w:rPr>
                <w:color w:val="000000" w:themeColor="text1"/>
                <w:kern w:val="0"/>
                <w:sz w:val="18"/>
                <w:szCs w:val="18"/>
              </w:rPr>
            </w:pPr>
            <w:r>
              <w:rPr>
                <w:rFonts w:hint="eastAsia"/>
                <w:color w:val="000000" w:themeColor="text1"/>
                <w:kern w:val="0"/>
                <w:sz w:val="18"/>
                <w:szCs w:val="18"/>
              </w:rPr>
              <w:t>无</w:t>
            </w:r>
          </w:p>
          <w:p>
            <w:pPr>
              <w:widowControl/>
              <w:snapToGrid w:val="0"/>
              <w:spacing w:line="240" w:lineRule="auto"/>
              <w:ind w:firstLine="0" w:firstLineChars="0"/>
              <w:jc w:val="center"/>
              <w:rPr>
                <w:color w:val="000000" w:themeColor="text1"/>
                <w:kern w:val="0"/>
                <w:sz w:val="18"/>
                <w:szCs w:val="18"/>
              </w:rPr>
            </w:pPr>
            <w:r>
              <w:rPr>
                <w:rFonts w:hint="eastAsia"/>
                <w:color w:val="000000" w:themeColor="text1"/>
                <w:kern w:val="0"/>
                <w:sz w:val="18"/>
                <w:szCs w:val="18"/>
              </w:rPr>
              <w:t>宽度＞30m</w:t>
            </w:r>
          </w:p>
          <w:p>
            <w:pPr>
              <w:widowControl/>
              <w:snapToGrid w:val="0"/>
              <w:spacing w:line="240" w:lineRule="auto"/>
              <w:ind w:firstLine="0" w:firstLineChars="0"/>
              <w:jc w:val="center"/>
              <w:rPr>
                <w:color w:val="000000" w:themeColor="text1"/>
                <w:kern w:val="0"/>
                <w:sz w:val="18"/>
                <w:szCs w:val="18"/>
              </w:rPr>
            </w:pPr>
            <w:r>
              <w:rPr>
                <w:rFonts w:hint="eastAsia"/>
                <w:color w:val="000000" w:themeColor="text1"/>
                <w:kern w:val="0"/>
                <w:sz w:val="18"/>
                <w:szCs w:val="18"/>
              </w:rPr>
              <w:t>宽度≤30m</w:t>
            </w:r>
          </w:p>
        </w:tc>
        <w:tc>
          <w:tcPr>
            <w:tcW w:w="825" w:type="dxa"/>
            <w:tcBorders>
              <w:tl2br w:val="nil"/>
              <w:tr2bl w:val="nil"/>
            </w:tcBorders>
            <w:vAlign w:val="center"/>
          </w:tcPr>
          <w:p>
            <w:pPr>
              <w:widowControl/>
              <w:snapToGrid w:val="0"/>
              <w:spacing w:line="240" w:lineRule="auto"/>
              <w:ind w:firstLine="0" w:firstLineChars="0"/>
              <w:jc w:val="center"/>
              <w:rPr>
                <w:color w:val="000000" w:themeColor="text1"/>
                <w:kern w:val="0"/>
                <w:sz w:val="18"/>
                <w:szCs w:val="18"/>
              </w:rPr>
            </w:pPr>
            <w:r>
              <w:rPr>
                <w:rFonts w:hint="eastAsia"/>
                <w:color w:val="000000" w:themeColor="text1"/>
                <w:kern w:val="0"/>
                <w:sz w:val="18"/>
                <w:szCs w:val="18"/>
              </w:rPr>
              <w:t>0</w:t>
            </w:r>
          </w:p>
          <w:p>
            <w:pPr>
              <w:widowControl/>
              <w:snapToGrid w:val="0"/>
              <w:spacing w:line="240" w:lineRule="auto"/>
              <w:ind w:firstLine="0" w:firstLineChars="0"/>
              <w:jc w:val="center"/>
              <w:rPr>
                <w:color w:val="000000" w:themeColor="text1"/>
                <w:kern w:val="0"/>
                <w:sz w:val="18"/>
                <w:szCs w:val="18"/>
              </w:rPr>
            </w:pPr>
            <w:r>
              <w:rPr>
                <w:rFonts w:hint="eastAsia"/>
                <w:color w:val="000000" w:themeColor="text1"/>
                <w:kern w:val="0"/>
                <w:sz w:val="18"/>
                <w:szCs w:val="18"/>
              </w:rPr>
              <w:t>0</w:t>
            </w:r>
          </w:p>
          <w:p>
            <w:pPr>
              <w:snapToGrid w:val="0"/>
              <w:spacing w:line="240" w:lineRule="auto"/>
              <w:ind w:firstLine="0" w:firstLineChars="0"/>
              <w:jc w:val="center"/>
              <w:rPr>
                <w:color w:val="000000" w:themeColor="text1"/>
                <w:kern w:val="0"/>
                <w:sz w:val="18"/>
                <w:szCs w:val="18"/>
              </w:rPr>
            </w:pPr>
            <w:r>
              <w:rPr>
                <w:rFonts w:hint="eastAsia"/>
                <w:color w:val="000000" w:themeColor="text1"/>
                <w:kern w:val="0"/>
                <w:sz w:val="18"/>
                <w:szCs w:val="18"/>
              </w:rPr>
              <w:t>2</w:t>
            </w:r>
          </w:p>
        </w:tc>
        <w:tc>
          <w:tcPr>
            <w:tcW w:w="1680" w:type="dxa"/>
            <w:tcBorders>
              <w:tl2br w:val="nil"/>
              <w:tr2bl w:val="nil"/>
            </w:tcBorders>
            <w:vAlign w:val="center"/>
          </w:tcPr>
          <w:p>
            <w:pPr>
              <w:adjustRightInd w:val="0"/>
              <w:snapToGrid w:val="0"/>
              <w:spacing w:line="240" w:lineRule="auto"/>
              <w:ind w:firstLine="0" w:firstLineChars="0"/>
              <w:jc w:val="center"/>
              <w:rPr>
                <w:color w:val="000000" w:themeColor="text1"/>
                <w:sz w:val="18"/>
                <w:szCs w:val="18"/>
              </w:rPr>
            </w:pPr>
            <w:r>
              <w:rPr>
                <w:rFonts w:hint="eastAsia"/>
                <w:b/>
                <w:color w:val="000000" w:themeColor="text1"/>
                <w:sz w:val="18"/>
                <w:szCs w:val="18"/>
              </w:rPr>
              <w:t>不涉及生态缓冲带</w:t>
            </w:r>
          </w:p>
        </w:tc>
        <w:tc>
          <w:tcPr>
            <w:tcW w:w="726" w:type="dxa"/>
            <w:tcBorders>
              <w:tl2br w:val="nil"/>
              <w:tr2bl w:val="nil"/>
            </w:tcBorders>
            <w:vAlign w:val="center"/>
          </w:tcPr>
          <w:p>
            <w:pPr>
              <w:adjustRightInd w:val="0"/>
              <w:snapToGrid w:val="0"/>
              <w:spacing w:line="240" w:lineRule="auto"/>
              <w:ind w:firstLine="0" w:firstLineChars="0"/>
              <w:jc w:val="center"/>
              <w:rPr>
                <w:b/>
                <w:color w:val="000000" w:themeColor="text1"/>
                <w:sz w:val="18"/>
                <w:szCs w:val="18"/>
              </w:rPr>
            </w:pPr>
          </w:p>
          <w:p>
            <w:pPr>
              <w:adjustRightInd w:val="0"/>
              <w:snapToGrid w:val="0"/>
              <w:spacing w:line="240" w:lineRule="auto"/>
              <w:ind w:firstLine="0" w:firstLineChars="0"/>
              <w:jc w:val="center"/>
              <w:rPr>
                <w:b/>
                <w:color w:val="000000" w:themeColor="text1"/>
                <w:sz w:val="18"/>
                <w:szCs w:val="18"/>
              </w:rPr>
            </w:pPr>
            <w:r>
              <w:rPr>
                <w:rFonts w:hint="eastAsia"/>
                <w:b/>
                <w:color w:val="000000" w:themeColor="text1"/>
                <w:sz w:val="18"/>
                <w:szCs w:val="18"/>
              </w:rPr>
              <w:t>0</w:t>
            </w:r>
          </w:p>
          <w:p>
            <w:pPr>
              <w:adjustRightInd w:val="0"/>
              <w:snapToGrid w:val="0"/>
              <w:spacing w:line="240" w:lineRule="auto"/>
              <w:ind w:firstLine="0" w:firstLineChars="0"/>
              <w:jc w:val="center"/>
              <w:rPr>
                <w:color w:val="000000" w:themeColor="text1"/>
                <w:sz w:val="18"/>
                <w:szCs w:val="18"/>
              </w:rPr>
            </w:pP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trPr>
        <w:tc>
          <w:tcPr>
            <w:tcW w:w="818" w:type="dxa"/>
            <w:tcBorders>
              <w:tl2br w:val="nil"/>
              <w:tr2bl w:val="nil"/>
            </w:tcBorders>
            <w:vAlign w:val="center"/>
          </w:tcPr>
          <w:p>
            <w:pPr>
              <w:widowControl/>
              <w:snapToGrid w:val="0"/>
              <w:spacing w:line="240" w:lineRule="auto"/>
              <w:ind w:firstLine="0" w:firstLineChars="0"/>
              <w:jc w:val="center"/>
              <w:rPr>
                <w:color w:val="000000" w:themeColor="text1"/>
                <w:kern w:val="0"/>
                <w:sz w:val="18"/>
                <w:szCs w:val="18"/>
              </w:rPr>
            </w:pPr>
            <w:r>
              <w:rPr>
                <w:rFonts w:hint="eastAsia"/>
                <w:color w:val="000000" w:themeColor="text1"/>
                <w:kern w:val="0"/>
                <w:sz w:val="18"/>
                <w:szCs w:val="18"/>
              </w:rPr>
              <w:t>小计</w:t>
            </w:r>
          </w:p>
        </w:tc>
        <w:tc>
          <w:tcPr>
            <w:tcW w:w="1080" w:type="dxa"/>
            <w:tcBorders>
              <w:tl2br w:val="nil"/>
              <w:tr2bl w:val="nil"/>
            </w:tcBorders>
            <w:vAlign w:val="center"/>
          </w:tcPr>
          <w:p>
            <w:pPr>
              <w:widowControl/>
              <w:snapToGrid w:val="0"/>
              <w:spacing w:line="240" w:lineRule="auto"/>
              <w:ind w:firstLine="0" w:firstLineChars="0"/>
              <w:jc w:val="center"/>
              <w:rPr>
                <w:color w:val="000000" w:themeColor="text1"/>
                <w:kern w:val="0"/>
                <w:sz w:val="18"/>
                <w:szCs w:val="18"/>
              </w:rPr>
            </w:pPr>
          </w:p>
        </w:tc>
        <w:tc>
          <w:tcPr>
            <w:tcW w:w="900" w:type="dxa"/>
            <w:tcBorders>
              <w:tl2br w:val="nil"/>
              <w:tr2bl w:val="nil"/>
            </w:tcBorders>
            <w:vAlign w:val="center"/>
          </w:tcPr>
          <w:p>
            <w:pPr>
              <w:widowControl/>
              <w:snapToGrid w:val="0"/>
              <w:spacing w:line="240" w:lineRule="auto"/>
              <w:ind w:firstLine="0" w:firstLineChars="0"/>
              <w:jc w:val="center"/>
              <w:rPr>
                <w:color w:val="000000" w:themeColor="text1"/>
                <w:kern w:val="0"/>
                <w:sz w:val="18"/>
                <w:szCs w:val="18"/>
              </w:rPr>
            </w:pPr>
          </w:p>
        </w:tc>
        <w:tc>
          <w:tcPr>
            <w:tcW w:w="1770" w:type="dxa"/>
            <w:tcBorders>
              <w:tl2br w:val="nil"/>
              <w:tr2bl w:val="nil"/>
            </w:tcBorders>
            <w:vAlign w:val="center"/>
          </w:tcPr>
          <w:p>
            <w:pPr>
              <w:adjustRightInd w:val="0"/>
              <w:snapToGrid w:val="0"/>
              <w:spacing w:line="240" w:lineRule="auto"/>
              <w:ind w:firstLine="0" w:firstLineChars="0"/>
              <w:jc w:val="center"/>
              <w:rPr>
                <w:b/>
                <w:color w:val="000000" w:themeColor="text1"/>
                <w:sz w:val="18"/>
                <w:szCs w:val="18"/>
              </w:rPr>
            </w:pPr>
          </w:p>
        </w:tc>
        <w:tc>
          <w:tcPr>
            <w:tcW w:w="705" w:type="dxa"/>
            <w:tcBorders>
              <w:tl2br w:val="nil"/>
              <w:tr2bl w:val="nil"/>
            </w:tcBorders>
            <w:vAlign w:val="center"/>
          </w:tcPr>
          <w:p>
            <w:pPr>
              <w:adjustRightInd w:val="0"/>
              <w:snapToGrid w:val="0"/>
              <w:spacing w:line="240" w:lineRule="auto"/>
              <w:ind w:firstLine="0" w:firstLineChars="0"/>
              <w:jc w:val="center"/>
              <w:rPr>
                <w:b/>
                <w:color w:val="000000" w:themeColor="text1"/>
                <w:sz w:val="18"/>
                <w:szCs w:val="18"/>
              </w:rPr>
            </w:pPr>
            <w:r>
              <w:rPr>
                <w:rFonts w:hint="eastAsia"/>
                <w:b/>
                <w:color w:val="000000" w:themeColor="text1"/>
                <w:sz w:val="18"/>
                <w:szCs w:val="18"/>
              </w:rPr>
              <w:t>10</w:t>
            </w:r>
          </w:p>
        </w:tc>
        <w:tc>
          <w:tcPr>
            <w:tcW w:w="1185" w:type="dxa"/>
            <w:tcBorders>
              <w:tl2br w:val="nil"/>
              <w:tr2bl w:val="nil"/>
            </w:tcBorders>
            <w:vAlign w:val="center"/>
          </w:tcPr>
          <w:p>
            <w:pPr>
              <w:widowControl/>
              <w:snapToGrid w:val="0"/>
              <w:spacing w:line="240" w:lineRule="auto"/>
              <w:ind w:firstLine="0" w:firstLineChars="0"/>
              <w:jc w:val="center"/>
              <w:rPr>
                <w:color w:val="000000" w:themeColor="text1"/>
                <w:kern w:val="0"/>
                <w:sz w:val="18"/>
                <w:szCs w:val="18"/>
              </w:rPr>
            </w:pPr>
          </w:p>
        </w:tc>
        <w:tc>
          <w:tcPr>
            <w:tcW w:w="840" w:type="dxa"/>
            <w:tcBorders>
              <w:tl2br w:val="nil"/>
              <w:tr2bl w:val="nil"/>
            </w:tcBorders>
            <w:vAlign w:val="center"/>
          </w:tcPr>
          <w:p>
            <w:pPr>
              <w:widowControl/>
              <w:snapToGrid w:val="0"/>
              <w:spacing w:line="240" w:lineRule="auto"/>
              <w:ind w:firstLine="0" w:firstLineChars="0"/>
              <w:jc w:val="center"/>
              <w:rPr>
                <w:color w:val="000000" w:themeColor="text1"/>
                <w:kern w:val="0"/>
                <w:sz w:val="18"/>
                <w:szCs w:val="18"/>
              </w:rPr>
            </w:pPr>
          </w:p>
        </w:tc>
        <w:tc>
          <w:tcPr>
            <w:tcW w:w="1808" w:type="dxa"/>
            <w:tcBorders>
              <w:tl2br w:val="nil"/>
              <w:tr2bl w:val="nil"/>
            </w:tcBorders>
            <w:vAlign w:val="center"/>
          </w:tcPr>
          <w:p>
            <w:pPr>
              <w:adjustRightInd w:val="0"/>
              <w:snapToGrid w:val="0"/>
              <w:spacing w:line="240" w:lineRule="auto"/>
              <w:ind w:firstLine="0" w:firstLineChars="0"/>
              <w:jc w:val="center"/>
              <w:rPr>
                <w:b/>
                <w:color w:val="000000" w:themeColor="text1"/>
                <w:sz w:val="18"/>
                <w:szCs w:val="18"/>
              </w:rPr>
            </w:pPr>
          </w:p>
        </w:tc>
        <w:tc>
          <w:tcPr>
            <w:tcW w:w="637" w:type="dxa"/>
            <w:tcBorders>
              <w:tl2br w:val="nil"/>
              <w:tr2bl w:val="nil"/>
            </w:tcBorders>
            <w:vAlign w:val="center"/>
          </w:tcPr>
          <w:p>
            <w:pPr>
              <w:adjustRightInd w:val="0"/>
              <w:snapToGrid w:val="0"/>
              <w:spacing w:line="240" w:lineRule="auto"/>
              <w:ind w:firstLine="0" w:firstLineChars="0"/>
              <w:jc w:val="center"/>
              <w:rPr>
                <w:b/>
                <w:color w:val="000000" w:themeColor="text1"/>
                <w:sz w:val="18"/>
                <w:szCs w:val="18"/>
              </w:rPr>
            </w:pPr>
            <w:r>
              <w:rPr>
                <w:rFonts w:hint="eastAsia"/>
                <w:b/>
                <w:color w:val="000000" w:themeColor="text1"/>
                <w:sz w:val="18"/>
                <w:szCs w:val="18"/>
              </w:rPr>
              <w:t>4</w:t>
            </w:r>
          </w:p>
        </w:tc>
        <w:tc>
          <w:tcPr>
            <w:tcW w:w="1200" w:type="dxa"/>
            <w:tcBorders>
              <w:tl2br w:val="nil"/>
              <w:tr2bl w:val="nil"/>
            </w:tcBorders>
            <w:vAlign w:val="center"/>
          </w:tcPr>
          <w:p>
            <w:pPr>
              <w:widowControl/>
              <w:snapToGrid w:val="0"/>
              <w:spacing w:line="240" w:lineRule="auto"/>
              <w:ind w:firstLine="0" w:firstLineChars="0"/>
              <w:jc w:val="center"/>
              <w:rPr>
                <w:color w:val="000000" w:themeColor="text1"/>
                <w:kern w:val="0"/>
                <w:sz w:val="18"/>
                <w:szCs w:val="18"/>
              </w:rPr>
            </w:pPr>
          </w:p>
        </w:tc>
        <w:tc>
          <w:tcPr>
            <w:tcW w:w="825" w:type="dxa"/>
            <w:tcBorders>
              <w:tl2br w:val="nil"/>
              <w:tr2bl w:val="nil"/>
            </w:tcBorders>
            <w:vAlign w:val="center"/>
          </w:tcPr>
          <w:p>
            <w:pPr>
              <w:widowControl/>
              <w:snapToGrid w:val="0"/>
              <w:spacing w:line="240" w:lineRule="auto"/>
              <w:ind w:firstLine="0" w:firstLineChars="0"/>
              <w:jc w:val="center"/>
              <w:rPr>
                <w:color w:val="000000" w:themeColor="text1"/>
                <w:kern w:val="0"/>
                <w:sz w:val="18"/>
                <w:szCs w:val="18"/>
              </w:rPr>
            </w:pPr>
          </w:p>
        </w:tc>
        <w:tc>
          <w:tcPr>
            <w:tcW w:w="1680" w:type="dxa"/>
            <w:tcBorders>
              <w:tl2br w:val="nil"/>
              <w:tr2bl w:val="nil"/>
            </w:tcBorders>
            <w:vAlign w:val="center"/>
          </w:tcPr>
          <w:p>
            <w:pPr>
              <w:spacing w:line="240" w:lineRule="auto"/>
              <w:ind w:firstLine="0" w:firstLineChars="0"/>
              <w:jc w:val="center"/>
              <w:rPr>
                <w:color w:val="000000" w:themeColor="text1"/>
                <w:kern w:val="0"/>
                <w:sz w:val="18"/>
                <w:szCs w:val="18"/>
              </w:rPr>
            </w:pPr>
          </w:p>
        </w:tc>
        <w:tc>
          <w:tcPr>
            <w:tcW w:w="726" w:type="dxa"/>
            <w:tcBorders>
              <w:tl2br w:val="nil"/>
              <w:tr2bl w:val="nil"/>
            </w:tcBorders>
            <w:vAlign w:val="center"/>
          </w:tcPr>
          <w:p>
            <w:pPr>
              <w:adjustRightInd w:val="0"/>
              <w:snapToGrid w:val="0"/>
              <w:spacing w:line="240" w:lineRule="auto"/>
              <w:ind w:firstLine="0" w:firstLineChars="0"/>
              <w:jc w:val="center"/>
              <w:rPr>
                <w:b/>
                <w:color w:val="000000" w:themeColor="text1"/>
                <w:sz w:val="18"/>
                <w:szCs w:val="18"/>
              </w:rPr>
            </w:pPr>
            <w:r>
              <w:rPr>
                <w:rFonts w:hint="eastAsia"/>
                <w:b/>
                <w:color w:val="000000" w:themeColor="text1"/>
                <w:sz w:val="18"/>
                <w:szCs w:val="18"/>
              </w:rPr>
              <w:t>1</w:t>
            </w:r>
          </w:p>
        </w:tc>
      </w:tr>
    </w:tbl>
    <w:p>
      <w:pPr>
        <w:widowControl/>
        <w:rPr>
          <w:color w:val="000000" w:themeColor="text1"/>
          <w:kern w:val="0"/>
        </w:rPr>
      </w:pPr>
    </w:p>
    <w:p>
      <w:pPr>
        <w:widowControl/>
        <w:ind w:firstLine="420"/>
        <w:rPr>
          <w:bCs/>
          <w:color w:val="000000" w:themeColor="text1"/>
          <w:kern w:val="0"/>
          <w:sz w:val="21"/>
          <w:szCs w:val="21"/>
        </w:rPr>
      </w:pPr>
      <w:r>
        <w:rPr>
          <w:bCs/>
          <w:color w:val="000000" w:themeColor="text1"/>
          <w:kern w:val="0"/>
          <w:sz w:val="21"/>
          <w:szCs w:val="21"/>
        </w:rPr>
        <w:t>通过计算，</w:t>
      </w:r>
      <w:r>
        <w:rPr>
          <w:rFonts w:hint="eastAsia"/>
          <w:bCs/>
          <w:color w:val="000000" w:themeColor="text1"/>
          <w:kern w:val="0"/>
          <w:sz w:val="21"/>
          <w:szCs w:val="21"/>
        </w:rPr>
        <w:t>岳阳市饮用水源保护区（铁山水库-北干渠-金凤水库）非点源</w:t>
      </w:r>
      <w:r>
        <w:rPr>
          <w:bCs/>
          <w:color w:val="000000" w:themeColor="text1"/>
          <w:kern w:val="0"/>
          <w:sz w:val="21"/>
          <w:szCs w:val="21"/>
        </w:rPr>
        <w:t>Ry= Y1+Y2+Y3=</w:t>
      </w:r>
      <w:r>
        <w:rPr>
          <w:rFonts w:hint="eastAsia"/>
          <w:bCs/>
          <w:color w:val="000000" w:themeColor="text1"/>
          <w:kern w:val="0"/>
          <w:sz w:val="21"/>
          <w:szCs w:val="21"/>
        </w:rPr>
        <w:t>15</w:t>
      </w:r>
      <w:r>
        <w:rPr>
          <w:bCs/>
          <w:color w:val="000000" w:themeColor="text1"/>
          <w:kern w:val="0"/>
          <w:sz w:val="21"/>
          <w:szCs w:val="21"/>
        </w:rPr>
        <w:t>。</w:t>
      </w:r>
    </w:p>
    <w:p>
      <w:pPr>
        <w:widowControl/>
        <w:rPr>
          <w:color w:val="000000" w:themeColor="text1"/>
          <w:kern w:val="0"/>
        </w:rPr>
      </w:pPr>
    </w:p>
    <w:p>
      <w:pPr>
        <w:widowControl/>
        <w:rPr>
          <w:color w:val="000000" w:themeColor="text1"/>
          <w:kern w:val="0"/>
        </w:rPr>
        <w:sectPr>
          <w:pgSz w:w="16838" w:h="11906" w:orient="landscape"/>
          <w:pgMar w:top="1797" w:right="1440" w:bottom="1797" w:left="1440" w:header="851" w:footer="992" w:gutter="0"/>
          <w:cols w:space="720" w:num="1"/>
          <w:docGrid w:type="linesAndChars" w:linePitch="312" w:charSpace="0"/>
        </w:sectPr>
      </w:pPr>
    </w:p>
    <w:p>
      <w:pPr>
        <w:pStyle w:val="5"/>
        <w:rPr>
          <w:color w:val="000000" w:themeColor="text1"/>
        </w:rPr>
      </w:pPr>
      <w:r>
        <w:rPr>
          <w:rFonts w:hint="eastAsia"/>
          <w:color w:val="000000" w:themeColor="text1"/>
        </w:rPr>
        <w:t>4</w:t>
      </w:r>
      <w:r>
        <w:rPr>
          <w:color w:val="000000" w:themeColor="text1"/>
        </w:rPr>
        <w:t>.</w:t>
      </w:r>
      <w:r>
        <w:rPr>
          <w:rFonts w:hint="eastAsia"/>
          <w:color w:val="000000" w:themeColor="text1"/>
        </w:rPr>
        <w:t>2</w:t>
      </w:r>
      <w:r>
        <w:rPr>
          <w:color w:val="000000" w:themeColor="text1"/>
        </w:rPr>
        <w:t>.</w:t>
      </w:r>
      <w:r>
        <w:rPr>
          <w:rFonts w:hint="eastAsia"/>
          <w:color w:val="000000" w:themeColor="text1"/>
        </w:rPr>
        <w:t>4水华灾害事件识别</w:t>
      </w:r>
    </w:p>
    <w:p>
      <w:pPr>
        <w:rPr>
          <w:rFonts w:ascii="仿宋_GB2312" w:hAnsi="仿宋" w:eastAsia="仿宋_GB2312" w:cs="仿宋_GB2312"/>
          <w:spacing w:val="6"/>
          <w:sz w:val="32"/>
          <w:szCs w:val="32"/>
        </w:rPr>
      </w:pPr>
      <w:r>
        <w:rPr>
          <w:rFonts w:hint="eastAsia"/>
        </w:rPr>
        <w:t>2015年，铁山水库水体富营养化指数为33.4， 同比下降4.1；2016年，富营养化指数为28.6，再次下降4.8，达到贫营养级别。因此发生水华事件的可能性很小。</w:t>
      </w:r>
    </w:p>
    <w:p>
      <w:pPr>
        <w:pStyle w:val="5"/>
      </w:pPr>
      <w:r>
        <w:rPr>
          <w:rFonts w:hint="eastAsia"/>
          <w:color w:val="000000" w:themeColor="text1"/>
        </w:rPr>
        <w:t>4</w:t>
      </w:r>
      <w:r>
        <w:rPr>
          <w:color w:val="000000" w:themeColor="text1"/>
        </w:rPr>
        <w:t>.</w:t>
      </w:r>
      <w:r>
        <w:rPr>
          <w:rFonts w:hint="eastAsia"/>
          <w:color w:val="000000" w:themeColor="text1"/>
        </w:rPr>
        <w:t>2</w:t>
      </w:r>
      <w:r>
        <w:rPr>
          <w:color w:val="000000" w:themeColor="text1"/>
        </w:rPr>
        <w:t>.</w:t>
      </w:r>
      <w:r>
        <w:rPr>
          <w:rFonts w:hint="eastAsia"/>
          <w:color w:val="000000" w:themeColor="text1"/>
        </w:rPr>
        <w:t>5</w:t>
      </w:r>
      <w:r>
        <w:rPr>
          <w:rFonts w:hint="eastAsia" w:cs="宋体"/>
          <w:kern w:val="0"/>
          <w:szCs w:val="20"/>
        </w:rPr>
        <w:t>暴雨风险识别</w:t>
      </w:r>
    </w:p>
    <w:p>
      <w:pPr>
        <w:pStyle w:val="32"/>
        <w:widowControl w:val="0"/>
        <w:adjustRightInd w:val="0"/>
        <w:snapToGrid w:val="0"/>
        <w:spacing w:before="0" w:beforeAutospacing="0" w:after="0" w:afterAutospacing="0" w:line="360" w:lineRule="auto"/>
        <w:ind w:firstLine="480" w:firstLineChars="200"/>
        <w:jc w:val="both"/>
      </w:pPr>
      <w:r>
        <w:rPr>
          <w:rFonts w:hint="eastAsia" w:ascii="Times New Roman" w:hAnsi="Times New Roman" w:cs="Times New Roman"/>
          <w:kern w:val="2"/>
        </w:rPr>
        <w:t>岳阳市年平均降水量为</w:t>
      </w:r>
      <w:r>
        <w:rPr>
          <w:rFonts w:ascii="Times New Roman" w:hAnsi="Times New Roman" w:cs="Times New Roman"/>
          <w:kern w:val="2"/>
        </w:rPr>
        <w:t>1289.8</w:t>
      </w:r>
      <w:r>
        <w:rPr>
          <w:rFonts w:hint="eastAsia" w:ascii="Times New Roman" w:hAnsi="Times New Roman" w:cs="Times New Roman"/>
          <w:kern w:val="2"/>
        </w:rPr>
        <w:t>～</w:t>
      </w:r>
      <w:r>
        <w:rPr>
          <w:rFonts w:ascii="Times New Roman" w:hAnsi="Times New Roman" w:cs="Times New Roman"/>
          <w:kern w:val="2"/>
        </w:rPr>
        <w:t>1556.2mm</w:t>
      </w:r>
      <w:r>
        <w:rPr>
          <w:rFonts w:hint="eastAsia" w:ascii="Times New Roman" w:hAnsi="Times New Roman" w:cs="Times New Roman"/>
          <w:kern w:val="2"/>
        </w:rPr>
        <w:t>，呈春夏多、秋冬少，东部多、西部少的格局，春夏雨量占全年的</w:t>
      </w:r>
      <w:r>
        <w:rPr>
          <w:rFonts w:ascii="Times New Roman" w:hAnsi="Times New Roman" w:cs="Times New Roman"/>
          <w:kern w:val="2"/>
        </w:rPr>
        <w:t>70%</w:t>
      </w:r>
      <w:r>
        <w:rPr>
          <w:rFonts w:hint="eastAsia" w:ascii="Times New Roman" w:hAnsi="Times New Roman" w:cs="Times New Roman"/>
          <w:kern w:val="2"/>
        </w:rPr>
        <w:t>～</w:t>
      </w:r>
      <w:r>
        <w:rPr>
          <w:rFonts w:ascii="Times New Roman" w:hAnsi="Times New Roman" w:cs="Times New Roman"/>
          <w:kern w:val="2"/>
        </w:rPr>
        <w:t>73%</w:t>
      </w:r>
      <w:r>
        <w:rPr>
          <w:rFonts w:hint="eastAsia" w:ascii="Times New Roman" w:hAnsi="Times New Roman" w:cs="Times New Roman"/>
          <w:kern w:val="2"/>
        </w:rPr>
        <w:t>，降雨年际分布不均，最多达</w:t>
      </w:r>
      <w:r>
        <w:rPr>
          <w:rFonts w:ascii="Times New Roman" w:hAnsi="Times New Roman" w:cs="Times New Roman"/>
          <w:kern w:val="2"/>
        </w:rPr>
        <w:t>2336.5mm</w:t>
      </w:r>
      <w:r>
        <w:rPr>
          <w:rFonts w:hint="eastAsia" w:ascii="Times New Roman" w:hAnsi="Times New Roman"/>
          <w:szCs w:val="20"/>
        </w:rPr>
        <w:t>。暴雨一旦发生很有可能会发生非点源环境风险物质流失，尤其是农业面源、农村生活污水的流失，对</w:t>
      </w:r>
      <w:r>
        <w:rPr>
          <w:rFonts w:hint="eastAsia"/>
        </w:rPr>
        <w:t>岳阳市饮用水源保护区（铁山水库-北干渠-金凤水库）</w:t>
      </w:r>
      <w:r>
        <w:rPr>
          <w:rFonts w:hint="eastAsia" w:ascii="Times New Roman" w:hAnsi="Times New Roman"/>
          <w:szCs w:val="20"/>
        </w:rPr>
        <w:t>造成污染。</w:t>
      </w:r>
    </w:p>
    <w:p>
      <w:pPr>
        <w:pStyle w:val="5"/>
        <w:rPr>
          <w:color w:val="000000" w:themeColor="text1"/>
        </w:rPr>
      </w:pPr>
      <w:r>
        <w:rPr>
          <w:rFonts w:hint="eastAsia"/>
          <w:color w:val="000000" w:themeColor="text1"/>
        </w:rPr>
        <w:t>4</w:t>
      </w:r>
      <w:r>
        <w:rPr>
          <w:color w:val="000000" w:themeColor="text1"/>
        </w:rPr>
        <w:t>.</w:t>
      </w:r>
      <w:r>
        <w:rPr>
          <w:rFonts w:hint="eastAsia"/>
          <w:color w:val="000000" w:themeColor="text1"/>
        </w:rPr>
        <w:t>2</w:t>
      </w:r>
      <w:r>
        <w:rPr>
          <w:color w:val="000000" w:themeColor="text1"/>
        </w:rPr>
        <w:t>.</w:t>
      </w:r>
      <w:r>
        <w:rPr>
          <w:rFonts w:hint="eastAsia"/>
          <w:color w:val="000000" w:themeColor="text1"/>
        </w:rPr>
        <w:t>6风险源辨识结果</w:t>
      </w:r>
    </w:p>
    <w:p>
      <w:r>
        <w:rPr>
          <w:rFonts w:hint="eastAsia"/>
        </w:rPr>
        <w:t>根据上述风险辨识结果，岳阳市饮用水源保护区（铁山水库-北干渠-金凤水库）环境风险源项如下表4-10所示。</w:t>
      </w:r>
    </w:p>
    <w:p>
      <w:pPr>
        <w:autoSpaceDE w:val="0"/>
        <w:autoSpaceDN w:val="0"/>
        <w:adjustRightInd w:val="0"/>
        <w:ind w:firstLine="0" w:firstLineChars="0"/>
        <w:jc w:val="center"/>
        <w:rPr>
          <w:color w:val="000000" w:themeColor="text1"/>
          <w:sz w:val="21"/>
          <w:szCs w:val="21"/>
        </w:rPr>
      </w:pPr>
      <w:r>
        <w:rPr>
          <w:b/>
          <w:color w:val="000000" w:themeColor="text1"/>
          <w:sz w:val="21"/>
          <w:szCs w:val="21"/>
          <w:lang w:val="zh-CN"/>
        </w:rPr>
        <w:t>表</w:t>
      </w:r>
      <w:r>
        <w:rPr>
          <w:b/>
          <w:color w:val="000000" w:themeColor="text1"/>
          <w:sz w:val="21"/>
          <w:szCs w:val="21"/>
        </w:rPr>
        <w:t>4-</w:t>
      </w:r>
      <w:r>
        <w:rPr>
          <w:rFonts w:hint="eastAsia"/>
          <w:b/>
          <w:color w:val="000000" w:themeColor="text1"/>
          <w:sz w:val="21"/>
          <w:szCs w:val="21"/>
        </w:rPr>
        <w:t>10</w:t>
      </w:r>
      <w:r>
        <w:rPr>
          <w:b/>
          <w:color w:val="000000" w:themeColor="text1"/>
          <w:sz w:val="21"/>
          <w:szCs w:val="21"/>
          <w:lang w:val="zh-CN"/>
        </w:rPr>
        <w:t xml:space="preserve"> </w:t>
      </w:r>
      <w:r>
        <w:rPr>
          <w:b/>
          <w:color w:val="000000" w:themeColor="text1"/>
          <w:sz w:val="21"/>
          <w:szCs w:val="21"/>
        </w:rPr>
        <w:t xml:space="preserve">  </w:t>
      </w:r>
      <w:r>
        <w:rPr>
          <w:rFonts w:hint="eastAsia"/>
          <w:b/>
          <w:color w:val="000000" w:themeColor="text1"/>
          <w:kern w:val="0"/>
          <w:sz w:val="21"/>
          <w:szCs w:val="21"/>
        </w:rPr>
        <w:t>岳阳市饮用水源保护区（铁山水库-北干渠-金凤水库）</w:t>
      </w:r>
      <w:r>
        <w:rPr>
          <w:b/>
          <w:color w:val="000000" w:themeColor="text1"/>
          <w:sz w:val="21"/>
          <w:szCs w:val="21"/>
          <w:lang w:val="zh-CN"/>
        </w:rPr>
        <w:t>主要环境风险源统计表</w:t>
      </w:r>
    </w:p>
    <w:tbl>
      <w:tblPr>
        <w:tblStyle w:val="47"/>
        <w:tblW w:w="8514" w:type="dxa"/>
        <w:tblInd w:w="0" w:type="dxa"/>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
      <w:tblGrid>
        <w:gridCol w:w="643"/>
        <w:gridCol w:w="1530"/>
        <w:gridCol w:w="1618"/>
        <w:gridCol w:w="1226"/>
        <w:gridCol w:w="879"/>
        <w:gridCol w:w="2618"/>
      </w:tblGrid>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trPr>
        <w:tc>
          <w:tcPr>
            <w:tcW w:w="643" w:type="dxa"/>
            <w:tcBorders>
              <w:tl2br w:val="nil"/>
              <w:tr2bl w:val="nil"/>
            </w:tcBorders>
            <w:vAlign w:val="center"/>
          </w:tcPr>
          <w:p>
            <w:pPr>
              <w:spacing w:line="240" w:lineRule="auto"/>
              <w:ind w:firstLine="0" w:firstLineChars="0"/>
              <w:jc w:val="center"/>
              <w:rPr>
                <w:b/>
                <w:bCs/>
                <w:color w:val="000000" w:themeColor="text1"/>
                <w:sz w:val="18"/>
                <w:szCs w:val="18"/>
              </w:rPr>
            </w:pPr>
            <w:r>
              <w:rPr>
                <w:rFonts w:hint="eastAsia"/>
                <w:b/>
                <w:bCs/>
                <w:color w:val="000000" w:themeColor="text1"/>
                <w:sz w:val="18"/>
                <w:szCs w:val="18"/>
              </w:rPr>
              <w:t>类别</w:t>
            </w:r>
          </w:p>
        </w:tc>
        <w:tc>
          <w:tcPr>
            <w:tcW w:w="1530" w:type="dxa"/>
            <w:tcBorders>
              <w:tl2br w:val="nil"/>
              <w:tr2bl w:val="nil"/>
            </w:tcBorders>
            <w:vAlign w:val="center"/>
          </w:tcPr>
          <w:p>
            <w:pPr>
              <w:spacing w:line="240" w:lineRule="auto"/>
              <w:ind w:firstLine="0" w:firstLineChars="0"/>
              <w:jc w:val="center"/>
              <w:rPr>
                <w:b/>
                <w:bCs/>
                <w:color w:val="000000" w:themeColor="text1"/>
                <w:sz w:val="18"/>
                <w:szCs w:val="18"/>
              </w:rPr>
            </w:pPr>
            <w:r>
              <w:rPr>
                <w:rFonts w:hint="eastAsia"/>
                <w:b/>
                <w:bCs/>
                <w:color w:val="000000" w:themeColor="text1"/>
                <w:sz w:val="18"/>
                <w:szCs w:val="18"/>
              </w:rPr>
              <w:t>分队源分项</w:t>
            </w:r>
          </w:p>
        </w:tc>
        <w:tc>
          <w:tcPr>
            <w:tcW w:w="1618" w:type="dxa"/>
            <w:tcBorders>
              <w:tl2br w:val="nil"/>
              <w:tr2bl w:val="nil"/>
            </w:tcBorders>
            <w:vAlign w:val="center"/>
          </w:tcPr>
          <w:p>
            <w:pPr>
              <w:spacing w:line="240" w:lineRule="auto"/>
              <w:ind w:firstLine="0" w:firstLineChars="0"/>
              <w:jc w:val="center"/>
              <w:rPr>
                <w:b/>
                <w:bCs/>
                <w:color w:val="000000" w:themeColor="text1"/>
                <w:sz w:val="18"/>
                <w:szCs w:val="18"/>
              </w:rPr>
            </w:pPr>
            <w:r>
              <w:rPr>
                <w:rFonts w:hint="eastAsia"/>
                <w:b/>
                <w:bCs/>
                <w:color w:val="000000" w:themeColor="text1"/>
                <w:sz w:val="18"/>
                <w:szCs w:val="18"/>
              </w:rPr>
              <w:t>风险源名称</w:t>
            </w:r>
          </w:p>
        </w:tc>
        <w:tc>
          <w:tcPr>
            <w:tcW w:w="1226" w:type="dxa"/>
            <w:tcBorders>
              <w:tl2br w:val="nil"/>
              <w:tr2bl w:val="nil"/>
            </w:tcBorders>
            <w:vAlign w:val="center"/>
          </w:tcPr>
          <w:p>
            <w:pPr>
              <w:spacing w:line="240" w:lineRule="auto"/>
              <w:ind w:firstLine="0" w:firstLineChars="0"/>
              <w:jc w:val="center"/>
              <w:rPr>
                <w:b/>
                <w:bCs/>
                <w:color w:val="000000" w:themeColor="text1"/>
                <w:sz w:val="18"/>
                <w:szCs w:val="18"/>
              </w:rPr>
            </w:pPr>
            <w:r>
              <w:rPr>
                <w:rFonts w:hint="eastAsia"/>
                <w:b/>
                <w:bCs/>
                <w:color w:val="000000" w:themeColor="text1"/>
                <w:sz w:val="18"/>
                <w:szCs w:val="18"/>
              </w:rPr>
              <w:t>主要风险物质</w:t>
            </w:r>
          </w:p>
        </w:tc>
        <w:tc>
          <w:tcPr>
            <w:tcW w:w="879" w:type="dxa"/>
            <w:tcBorders>
              <w:tl2br w:val="nil"/>
              <w:tr2bl w:val="nil"/>
            </w:tcBorders>
            <w:vAlign w:val="center"/>
          </w:tcPr>
          <w:p>
            <w:pPr>
              <w:spacing w:line="240" w:lineRule="auto"/>
              <w:ind w:firstLine="0" w:firstLineChars="0"/>
              <w:jc w:val="center"/>
              <w:rPr>
                <w:b/>
                <w:bCs/>
                <w:color w:val="000000" w:themeColor="text1"/>
                <w:sz w:val="18"/>
                <w:szCs w:val="18"/>
              </w:rPr>
            </w:pPr>
            <w:r>
              <w:rPr>
                <w:rFonts w:hint="eastAsia"/>
                <w:b/>
                <w:bCs/>
                <w:color w:val="000000" w:themeColor="text1"/>
                <w:sz w:val="18"/>
                <w:szCs w:val="18"/>
              </w:rPr>
              <w:t>风险类型</w:t>
            </w:r>
          </w:p>
        </w:tc>
        <w:tc>
          <w:tcPr>
            <w:tcW w:w="2618" w:type="dxa"/>
            <w:tcBorders>
              <w:tl2br w:val="nil"/>
              <w:tr2bl w:val="nil"/>
            </w:tcBorders>
            <w:vAlign w:val="center"/>
          </w:tcPr>
          <w:p>
            <w:pPr>
              <w:spacing w:line="240" w:lineRule="auto"/>
              <w:ind w:firstLine="0" w:firstLineChars="0"/>
              <w:jc w:val="center"/>
              <w:rPr>
                <w:b/>
                <w:bCs/>
                <w:color w:val="000000" w:themeColor="text1"/>
                <w:sz w:val="18"/>
                <w:szCs w:val="18"/>
              </w:rPr>
            </w:pPr>
            <w:r>
              <w:rPr>
                <w:rFonts w:hint="eastAsia"/>
                <w:b/>
                <w:bCs/>
                <w:color w:val="000000" w:themeColor="text1"/>
                <w:sz w:val="18"/>
                <w:szCs w:val="18"/>
              </w:rPr>
              <w:t>备注</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trPr>
        <w:tc>
          <w:tcPr>
            <w:tcW w:w="643" w:type="dxa"/>
            <w:vMerge w:val="restart"/>
            <w:tcBorders>
              <w:tl2br w:val="nil"/>
              <w:tr2bl w:val="nil"/>
            </w:tcBorders>
            <w:vAlign w:val="center"/>
          </w:tcPr>
          <w:p>
            <w:pPr>
              <w:spacing w:line="240" w:lineRule="auto"/>
              <w:ind w:firstLine="0" w:firstLineChars="0"/>
              <w:jc w:val="center"/>
              <w:rPr>
                <w:bCs/>
                <w:color w:val="000000" w:themeColor="text1"/>
                <w:sz w:val="18"/>
                <w:szCs w:val="18"/>
              </w:rPr>
            </w:pPr>
            <w:r>
              <w:rPr>
                <w:rFonts w:hint="eastAsia"/>
                <w:bCs/>
                <w:color w:val="000000" w:themeColor="text1"/>
                <w:sz w:val="18"/>
                <w:szCs w:val="18"/>
              </w:rPr>
              <w:t>固定风险源</w:t>
            </w:r>
          </w:p>
        </w:tc>
        <w:tc>
          <w:tcPr>
            <w:tcW w:w="1530" w:type="dxa"/>
            <w:tcBorders>
              <w:tl2br w:val="nil"/>
              <w:tr2bl w:val="nil"/>
            </w:tcBorders>
            <w:vAlign w:val="center"/>
          </w:tcPr>
          <w:p>
            <w:pPr>
              <w:spacing w:line="240" w:lineRule="auto"/>
              <w:ind w:firstLine="0" w:firstLineChars="0"/>
              <w:jc w:val="center"/>
              <w:rPr>
                <w:bCs/>
                <w:color w:val="000000" w:themeColor="text1"/>
                <w:sz w:val="18"/>
                <w:szCs w:val="18"/>
              </w:rPr>
            </w:pPr>
            <w:r>
              <w:rPr>
                <w:rFonts w:hint="eastAsia"/>
                <w:bCs/>
                <w:color w:val="000000" w:themeColor="text1"/>
                <w:sz w:val="18"/>
                <w:szCs w:val="18"/>
              </w:rPr>
              <w:t>加油站</w:t>
            </w:r>
          </w:p>
        </w:tc>
        <w:tc>
          <w:tcPr>
            <w:tcW w:w="1618" w:type="dxa"/>
            <w:tcBorders>
              <w:tl2br w:val="nil"/>
              <w:tr2bl w:val="nil"/>
            </w:tcBorders>
            <w:vAlign w:val="center"/>
          </w:tcPr>
          <w:p>
            <w:pPr>
              <w:spacing w:line="240" w:lineRule="auto"/>
              <w:ind w:firstLine="0" w:firstLineChars="0"/>
              <w:jc w:val="center"/>
              <w:rPr>
                <w:bCs/>
                <w:color w:val="000000" w:themeColor="text1"/>
                <w:sz w:val="18"/>
                <w:szCs w:val="18"/>
              </w:rPr>
            </w:pPr>
            <w:r>
              <w:rPr>
                <w:rFonts w:hint="eastAsia"/>
                <w:bCs/>
                <w:color w:val="000000" w:themeColor="text1"/>
                <w:sz w:val="18"/>
                <w:szCs w:val="18"/>
              </w:rPr>
              <w:t>大塅加油站</w:t>
            </w:r>
          </w:p>
          <w:p>
            <w:pPr>
              <w:spacing w:line="240" w:lineRule="auto"/>
              <w:ind w:firstLine="0" w:firstLineChars="0"/>
              <w:jc w:val="center"/>
              <w:rPr>
                <w:bCs/>
                <w:color w:val="000000" w:themeColor="text1"/>
                <w:sz w:val="18"/>
                <w:szCs w:val="18"/>
              </w:rPr>
            </w:pPr>
            <w:r>
              <w:rPr>
                <w:rFonts w:hint="eastAsia"/>
                <w:bCs/>
                <w:color w:val="000000" w:themeColor="text1"/>
                <w:sz w:val="18"/>
                <w:szCs w:val="18"/>
              </w:rPr>
              <w:t>月田电力加油站</w:t>
            </w:r>
          </w:p>
          <w:p>
            <w:pPr>
              <w:spacing w:line="240" w:lineRule="auto"/>
              <w:ind w:firstLine="0" w:firstLineChars="0"/>
              <w:jc w:val="center"/>
              <w:rPr>
                <w:bCs/>
                <w:color w:val="000000" w:themeColor="text1"/>
                <w:sz w:val="18"/>
                <w:szCs w:val="18"/>
              </w:rPr>
            </w:pPr>
            <w:r>
              <w:rPr>
                <w:rFonts w:hint="eastAsia"/>
                <w:bCs/>
                <w:color w:val="000000" w:themeColor="text1"/>
                <w:sz w:val="18"/>
                <w:szCs w:val="18"/>
              </w:rPr>
              <w:t>月田加油站</w:t>
            </w:r>
          </w:p>
          <w:p>
            <w:pPr>
              <w:spacing w:line="240" w:lineRule="auto"/>
              <w:ind w:firstLine="0" w:firstLineChars="0"/>
              <w:jc w:val="center"/>
              <w:rPr>
                <w:bCs/>
                <w:color w:val="000000" w:themeColor="text1"/>
                <w:sz w:val="18"/>
                <w:szCs w:val="18"/>
              </w:rPr>
            </w:pPr>
            <w:r>
              <w:rPr>
                <w:rFonts w:hint="eastAsia"/>
                <w:bCs/>
                <w:color w:val="000000" w:themeColor="text1"/>
                <w:sz w:val="18"/>
                <w:szCs w:val="18"/>
              </w:rPr>
              <w:t>八斗加油站</w:t>
            </w:r>
          </w:p>
        </w:tc>
        <w:tc>
          <w:tcPr>
            <w:tcW w:w="1226" w:type="dxa"/>
            <w:tcBorders>
              <w:tl2br w:val="nil"/>
              <w:tr2bl w:val="nil"/>
            </w:tcBorders>
            <w:vAlign w:val="center"/>
          </w:tcPr>
          <w:p>
            <w:pPr>
              <w:spacing w:line="240" w:lineRule="auto"/>
              <w:ind w:firstLine="0" w:firstLineChars="0"/>
              <w:jc w:val="center"/>
              <w:rPr>
                <w:bCs/>
                <w:color w:val="000000" w:themeColor="text1"/>
                <w:sz w:val="18"/>
                <w:szCs w:val="18"/>
              </w:rPr>
            </w:pPr>
            <w:r>
              <w:rPr>
                <w:rFonts w:hint="eastAsia"/>
                <w:bCs/>
                <w:color w:val="000000" w:themeColor="text1"/>
                <w:sz w:val="18"/>
                <w:szCs w:val="18"/>
              </w:rPr>
              <w:t>石油类</w:t>
            </w:r>
          </w:p>
        </w:tc>
        <w:tc>
          <w:tcPr>
            <w:tcW w:w="879" w:type="dxa"/>
            <w:tcBorders>
              <w:tl2br w:val="nil"/>
              <w:tr2bl w:val="nil"/>
            </w:tcBorders>
            <w:vAlign w:val="center"/>
          </w:tcPr>
          <w:p>
            <w:pPr>
              <w:spacing w:line="240" w:lineRule="auto"/>
              <w:ind w:firstLine="0" w:firstLineChars="0"/>
              <w:jc w:val="center"/>
              <w:rPr>
                <w:bCs/>
                <w:color w:val="000000" w:themeColor="text1"/>
                <w:sz w:val="18"/>
                <w:szCs w:val="18"/>
              </w:rPr>
            </w:pPr>
            <w:r>
              <w:rPr>
                <w:rFonts w:hint="eastAsia"/>
                <w:bCs/>
                <w:color w:val="000000" w:themeColor="text1"/>
                <w:sz w:val="18"/>
                <w:szCs w:val="18"/>
              </w:rPr>
              <w:t>泄漏</w:t>
            </w:r>
          </w:p>
        </w:tc>
        <w:tc>
          <w:tcPr>
            <w:tcW w:w="2618" w:type="dxa"/>
            <w:vMerge w:val="restart"/>
            <w:tcBorders>
              <w:tl2br w:val="nil"/>
              <w:tr2bl w:val="nil"/>
            </w:tcBorders>
            <w:vAlign w:val="center"/>
          </w:tcPr>
          <w:p>
            <w:pPr>
              <w:tabs>
                <w:tab w:val="left" w:pos="567"/>
              </w:tabs>
              <w:spacing w:line="240" w:lineRule="auto"/>
              <w:ind w:firstLine="0" w:firstLineChars="0"/>
              <w:jc w:val="center"/>
              <w:rPr>
                <w:bCs/>
                <w:color w:val="000000" w:themeColor="text1"/>
                <w:sz w:val="18"/>
                <w:szCs w:val="18"/>
              </w:rPr>
            </w:pPr>
            <w:r>
              <w:rPr>
                <w:rFonts w:hint="eastAsia"/>
                <w:bCs/>
                <w:color w:val="000000" w:themeColor="text1"/>
                <w:sz w:val="18"/>
                <w:szCs w:val="18"/>
              </w:rPr>
              <w:t>准保护区内的加油站发生泄漏可能会对饮用水源水质产生一定的影响，污水处理站故障导致废水超标排放可能会对饮用水源水质产生一定的影响。</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trPr>
        <w:tc>
          <w:tcPr>
            <w:tcW w:w="643" w:type="dxa"/>
            <w:vMerge w:val="continue"/>
            <w:tcBorders>
              <w:tl2br w:val="nil"/>
              <w:tr2bl w:val="nil"/>
            </w:tcBorders>
            <w:vAlign w:val="center"/>
          </w:tcPr>
          <w:p>
            <w:pPr>
              <w:spacing w:line="240" w:lineRule="auto"/>
              <w:ind w:firstLine="0" w:firstLineChars="0"/>
              <w:jc w:val="center"/>
              <w:rPr>
                <w:bCs/>
                <w:color w:val="000000" w:themeColor="text1"/>
                <w:sz w:val="18"/>
                <w:szCs w:val="18"/>
              </w:rPr>
            </w:pPr>
          </w:p>
        </w:tc>
        <w:tc>
          <w:tcPr>
            <w:tcW w:w="1530" w:type="dxa"/>
            <w:vMerge w:val="restart"/>
            <w:tcBorders>
              <w:tl2br w:val="nil"/>
              <w:tr2bl w:val="nil"/>
            </w:tcBorders>
            <w:vAlign w:val="center"/>
          </w:tcPr>
          <w:p>
            <w:pPr>
              <w:spacing w:line="240" w:lineRule="auto"/>
              <w:ind w:firstLine="0" w:firstLineChars="0"/>
              <w:jc w:val="center"/>
              <w:rPr>
                <w:bCs/>
                <w:color w:val="000000" w:themeColor="text1"/>
                <w:sz w:val="18"/>
                <w:szCs w:val="18"/>
              </w:rPr>
            </w:pPr>
            <w:r>
              <w:rPr>
                <w:rFonts w:hint="eastAsia"/>
                <w:bCs/>
                <w:color w:val="000000" w:themeColor="text1"/>
                <w:sz w:val="18"/>
                <w:szCs w:val="18"/>
              </w:rPr>
              <w:t>污水处理厂</w:t>
            </w:r>
          </w:p>
        </w:tc>
        <w:tc>
          <w:tcPr>
            <w:tcW w:w="1618" w:type="dxa"/>
            <w:tcBorders>
              <w:tl2br w:val="nil"/>
              <w:tr2bl w:val="nil"/>
            </w:tcBorders>
            <w:vAlign w:val="center"/>
          </w:tcPr>
          <w:p>
            <w:pPr>
              <w:spacing w:line="240" w:lineRule="auto"/>
              <w:ind w:firstLine="0" w:firstLineChars="0"/>
              <w:jc w:val="center"/>
              <w:rPr>
                <w:bCs/>
                <w:color w:val="000000" w:themeColor="text1"/>
                <w:sz w:val="18"/>
                <w:szCs w:val="18"/>
              </w:rPr>
            </w:pPr>
            <w:r>
              <w:rPr>
                <w:rFonts w:hint="eastAsia"/>
                <w:bCs/>
                <w:color w:val="000000" w:themeColor="text1"/>
                <w:sz w:val="18"/>
                <w:szCs w:val="18"/>
              </w:rPr>
              <w:t>月田镇污水处理厂</w:t>
            </w:r>
          </w:p>
        </w:tc>
        <w:tc>
          <w:tcPr>
            <w:tcW w:w="1226" w:type="dxa"/>
            <w:vMerge w:val="restart"/>
            <w:tcBorders>
              <w:tl2br w:val="nil"/>
              <w:tr2bl w:val="nil"/>
            </w:tcBorders>
            <w:vAlign w:val="center"/>
          </w:tcPr>
          <w:p>
            <w:pPr>
              <w:spacing w:line="240" w:lineRule="auto"/>
              <w:ind w:firstLine="0" w:firstLineChars="0"/>
              <w:jc w:val="center"/>
              <w:rPr>
                <w:bCs/>
                <w:color w:val="000000" w:themeColor="text1"/>
                <w:sz w:val="18"/>
                <w:szCs w:val="18"/>
              </w:rPr>
            </w:pPr>
            <w:r>
              <w:rPr>
                <w:rFonts w:hint="eastAsia"/>
                <w:bCs/>
                <w:color w:val="000000" w:themeColor="text1"/>
                <w:sz w:val="18"/>
                <w:szCs w:val="18"/>
              </w:rPr>
              <w:t>COD、氨氮、TN、TP</w:t>
            </w:r>
          </w:p>
        </w:tc>
        <w:tc>
          <w:tcPr>
            <w:tcW w:w="879" w:type="dxa"/>
            <w:vMerge w:val="restart"/>
            <w:tcBorders>
              <w:tl2br w:val="nil"/>
              <w:tr2bl w:val="nil"/>
            </w:tcBorders>
            <w:vAlign w:val="center"/>
          </w:tcPr>
          <w:p>
            <w:pPr>
              <w:spacing w:line="240" w:lineRule="auto"/>
              <w:ind w:firstLine="0" w:firstLineChars="0"/>
              <w:jc w:val="center"/>
              <w:rPr>
                <w:bCs/>
                <w:color w:val="000000" w:themeColor="text1"/>
                <w:sz w:val="18"/>
                <w:szCs w:val="18"/>
              </w:rPr>
            </w:pPr>
            <w:r>
              <w:rPr>
                <w:rFonts w:hint="eastAsia"/>
                <w:bCs/>
                <w:color w:val="000000" w:themeColor="text1"/>
                <w:sz w:val="18"/>
                <w:szCs w:val="18"/>
              </w:rPr>
              <w:t>事故排放</w:t>
            </w:r>
          </w:p>
        </w:tc>
        <w:tc>
          <w:tcPr>
            <w:tcW w:w="2618" w:type="dxa"/>
            <w:vMerge w:val="continue"/>
            <w:tcBorders>
              <w:tl2br w:val="nil"/>
              <w:tr2bl w:val="nil"/>
            </w:tcBorders>
            <w:vAlign w:val="center"/>
          </w:tcPr>
          <w:p>
            <w:pPr>
              <w:tabs>
                <w:tab w:val="left" w:pos="567"/>
              </w:tabs>
              <w:spacing w:line="240" w:lineRule="auto"/>
              <w:ind w:firstLine="0" w:firstLineChars="0"/>
              <w:jc w:val="center"/>
              <w:rPr>
                <w:bCs/>
                <w:color w:val="000000" w:themeColor="text1"/>
                <w:sz w:val="18"/>
                <w:szCs w:val="18"/>
              </w:rPr>
            </w:pP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trPr>
        <w:tc>
          <w:tcPr>
            <w:tcW w:w="643" w:type="dxa"/>
            <w:vMerge w:val="continue"/>
            <w:tcBorders>
              <w:tl2br w:val="nil"/>
              <w:tr2bl w:val="nil"/>
            </w:tcBorders>
            <w:vAlign w:val="center"/>
          </w:tcPr>
          <w:p>
            <w:pPr>
              <w:spacing w:line="240" w:lineRule="auto"/>
              <w:ind w:firstLine="0" w:firstLineChars="0"/>
              <w:jc w:val="center"/>
              <w:rPr>
                <w:bCs/>
                <w:color w:val="000000" w:themeColor="text1"/>
                <w:sz w:val="18"/>
                <w:szCs w:val="18"/>
              </w:rPr>
            </w:pPr>
          </w:p>
        </w:tc>
        <w:tc>
          <w:tcPr>
            <w:tcW w:w="1530" w:type="dxa"/>
            <w:vMerge w:val="continue"/>
            <w:tcBorders>
              <w:tl2br w:val="nil"/>
              <w:tr2bl w:val="nil"/>
            </w:tcBorders>
            <w:vAlign w:val="center"/>
          </w:tcPr>
          <w:p>
            <w:pPr>
              <w:spacing w:line="240" w:lineRule="auto"/>
              <w:ind w:firstLine="0" w:firstLineChars="0"/>
              <w:jc w:val="center"/>
              <w:rPr>
                <w:bCs/>
                <w:color w:val="000000" w:themeColor="text1"/>
                <w:sz w:val="18"/>
                <w:szCs w:val="18"/>
              </w:rPr>
            </w:pPr>
          </w:p>
        </w:tc>
        <w:tc>
          <w:tcPr>
            <w:tcW w:w="1618" w:type="dxa"/>
            <w:tcBorders>
              <w:tl2br w:val="nil"/>
              <w:tr2bl w:val="nil"/>
            </w:tcBorders>
            <w:vAlign w:val="center"/>
          </w:tcPr>
          <w:p>
            <w:pPr>
              <w:spacing w:line="240" w:lineRule="auto"/>
              <w:ind w:firstLine="0" w:firstLineChars="0"/>
              <w:jc w:val="center"/>
              <w:rPr>
                <w:bCs/>
                <w:color w:val="000000" w:themeColor="text1"/>
                <w:sz w:val="18"/>
                <w:szCs w:val="18"/>
              </w:rPr>
            </w:pPr>
            <w:r>
              <w:rPr>
                <w:rFonts w:hint="eastAsia"/>
                <w:bCs/>
                <w:color w:val="000000" w:themeColor="text1"/>
                <w:sz w:val="18"/>
                <w:szCs w:val="18"/>
              </w:rPr>
              <w:t>毛田镇污水处理厂</w:t>
            </w:r>
          </w:p>
        </w:tc>
        <w:tc>
          <w:tcPr>
            <w:tcW w:w="1226" w:type="dxa"/>
            <w:vMerge w:val="continue"/>
            <w:tcBorders>
              <w:tl2br w:val="nil"/>
              <w:tr2bl w:val="nil"/>
            </w:tcBorders>
            <w:vAlign w:val="center"/>
          </w:tcPr>
          <w:p>
            <w:pPr>
              <w:spacing w:line="240" w:lineRule="auto"/>
              <w:ind w:firstLine="0" w:firstLineChars="0"/>
              <w:jc w:val="center"/>
              <w:rPr>
                <w:bCs/>
                <w:color w:val="000000" w:themeColor="text1"/>
                <w:sz w:val="18"/>
                <w:szCs w:val="18"/>
              </w:rPr>
            </w:pPr>
          </w:p>
        </w:tc>
        <w:tc>
          <w:tcPr>
            <w:tcW w:w="879" w:type="dxa"/>
            <w:vMerge w:val="continue"/>
            <w:tcBorders>
              <w:tl2br w:val="nil"/>
              <w:tr2bl w:val="nil"/>
            </w:tcBorders>
            <w:vAlign w:val="center"/>
          </w:tcPr>
          <w:p>
            <w:pPr>
              <w:spacing w:line="240" w:lineRule="auto"/>
              <w:ind w:firstLine="0" w:firstLineChars="0"/>
              <w:jc w:val="center"/>
              <w:rPr>
                <w:bCs/>
                <w:color w:val="000000" w:themeColor="text1"/>
                <w:sz w:val="18"/>
                <w:szCs w:val="18"/>
              </w:rPr>
            </w:pPr>
          </w:p>
        </w:tc>
        <w:tc>
          <w:tcPr>
            <w:tcW w:w="2618" w:type="dxa"/>
            <w:vMerge w:val="continue"/>
            <w:tcBorders>
              <w:tl2br w:val="nil"/>
              <w:tr2bl w:val="nil"/>
            </w:tcBorders>
            <w:vAlign w:val="center"/>
          </w:tcPr>
          <w:p>
            <w:pPr>
              <w:tabs>
                <w:tab w:val="left" w:pos="567"/>
              </w:tabs>
              <w:spacing w:line="240" w:lineRule="auto"/>
              <w:ind w:firstLine="0" w:firstLineChars="0"/>
              <w:jc w:val="center"/>
              <w:rPr>
                <w:bCs/>
                <w:color w:val="000000" w:themeColor="text1"/>
                <w:sz w:val="18"/>
                <w:szCs w:val="18"/>
              </w:rPr>
            </w:pP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trPr>
        <w:tc>
          <w:tcPr>
            <w:tcW w:w="643" w:type="dxa"/>
            <w:tcBorders>
              <w:tl2br w:val="nil"/>
              <w:tr2bl w:val="nil"/>
            </w:tcBorders>
            <w:vAlign w:val="center"/>
          </w:tcPr>
          <w:p>
            <w:pPr>
              <w:pStyle w:val="80"/>
              <w:rPr>
                <w:rFonts w:ascii="Times New Roman" w:hAnsi="Times New Roman" w:cs="Times New Roman"/>
                <w:bCs/>
                <w:color w:val="000000" w:themeColor="text1"/>
                <w:sz w:val="18"/>
                <w:szCs w:val="18"/>
              </w:rPr>
            </w:pPr>
            <w:r>
              <w:rPr>
                <w:rFonts w:hint="eastAsia" w:ascii="Times New Roman" w:hAnsi="Times New Roman" w:cs="Times New Roman"/>
                <w:bCs/>
                <w:color w:val="000000" w:themeColor="text1"/>
                <w:sz w:val="18"/>
                <w:szCs w:val="18"/>
              </w:rPr>
              <w:t>流动风险源</w:t>
            </w:r>
          </w:p>
        </w:tc>
        <w:tc>
          <w:tcPr>
            <w:tcW w:w="1530" w:type="dxa"/>
            <w:tcBorders>
              <w:tl2br w:val="nil"/>
              <w:tr2bl w:val="nil"/>
            </w:tcBorders>
            <w:vAlign w:val="center"/>
          </w:tcPr>
          <w:p>
            <w:pPr>
              <w:spacing w:line="240" w:lineRule="auto"/>
              <w:ind w:firstLine="0" w:firstLineChars="0"/>
              <w:jc w:val="center"/>
              <w:rPr>
                <w:bCs/>
                <w:color w:val="000000" w:themeColor="text1"/>
                <w:sz w:val="18"/>
                <w:szCs w:val="18"/>
              </w:rPr>
            </w:pPr>
            <w:r>
              <w:rPr>
                <w:rFonts w:hint="eastAsia"/>
                <w:bCs/>
                <w:color w:val="000000" w:themeColor="text1"/>
                <w:sz w:val="18"/>
                <w:szCs w:val="18"/>
              </w:rPr>
              <w:t>公路</w:t>
            </w:r>
          </w:p>
        </w:tc>
        <w:tc>
          <w:tcPr>
            <w:tcW w:w="1618" w:type="dxa"/>
            <w:tcBorders>
              <w:tl2br w:val="nil"/>
              <w:tr2bl w:val="nil"/>
            </w:tcBorders>
            <w:vAlign w:val="center"/>
          </w:tcPr>
          <w:p>
            <w:pPr>
              <w:spacing w:line="240" w:lineRule="auto"/>
              <w:ind w:firstLine="0" w:firstLineChars="0"/>
              <w:jc w:val="center"/>
              <w:rPr>
                <w:bCs/>
                <w:color w:val="000000" w:themeColor="text1"/>
                <w:sz w:val="18"/>
                <w:szCs w:val="18"/>
              </w:rPr>
            </w:pPr>
            <w:r>
              <w:rPr>
                <w:rFonts w:hint="eastAsia"/>
                <w:bCs/>
                <w:color w:val="000000" w:themeColor="text1"/>
                <w:sz w:val="18"/>
                <w:szCs w:val="18"/>
              </w:rPr>
              <w:t>陆路汽车、桥面径流</w:t>
            </w:r>
          </w:p>
        </w:tc>
        <w:tc>
          <w:tcPr>
            <w:tcW w:w="1226" w:type="dxa"/>
            <w:tcBorders>
              <w:tl2br w:val="nil"/>
              <w:tr2bl w:val="nil"/>
            </w:tcBorders>
            <w:vAlign w:val="center"/>
          </w:tcPr>
          <w:p>
            <w:pPr>
              <w:spacing w:line="240" w:lineRule="auto"/>
              <w:ind w:firstLine="0" w:firstLineChars="0"/>
              <w:jc w:val="center"/>
              <w:rPr>
                <w:bCs/>
                <w:color w:val="000000" w:themeColor="text1"/>
                <w:sz w:val="18"/>
                <w:szCs w:val="18"/>
              </w:rPr>
            </w:pPr>
            <w:r>
              <w:rPr>
                <w:rFonts w:hint="eastAsia"/>
                <w:bCs/>
                <w:color w:val="000000" w:themeColor="text1"/>
                <w:sz w:val="18"/>
                <w:szCs w:val="18"/>
              </w:rPr>
              <w:t>危化品泄漏导致COD、石油类污染</w:t>
            </w:r>
          </w:p>
        </w:tc>
        <w:tc>
          <w:tcPr>
            <w:tcW w:w="879" w:type="dxa"/>
            <w:tcBorders>
              <w:tl2br w:val="nil"/>
              <w:tr2bl w:val="nil"/>
            </w:tcBorders>
            <w:vAlign w:val="center"/>
          </w:tcPr>
          <w:p>
            <w:pPr>
              <w:spacing w:line="240" w:lineRule="auto"/>
              <w:ind w:firstLine="0" w:firstLineChars="0"/>
              <w:jc w:val="center"/>
              <w:rPr>
                <w:bCs/>
                <w:color w:val="000000" w:themeColor="text1"/>
                <w:sz w:val="18"/>
                <w:szCs w:val="18"/>
              </w:rPr>
            </w:pPr>
            <w:r>
              <w:rPr>
                <w:rFonts w:hint="eastAsia"/>
                <w:bCs/>
                <w:color w:val="000000" w:themeColor="text1"/>
                <w:sz w:val="18"/>
                <w:szCs w:val="18"/>
              </w:rPr>
              <w:t>泄漏</w:t>
            </w:r>
          </w:p>
        </w:tc>
        <w:tc>
          <w:tcPr>
            <w:tcW w:w="2618" w:type="dxa"/>
            <w:tcBorders>
              <w:tl2br w:val="nil"/>
              <w:tr2bl w:val="nil"/>
            </w:tcBorders>
            <w:vAlign w:val="center"/>
          </w:tcPr>
          <w:p>
            <w:pPr>
              <w:widowControl/>
              <w:snapToGrid w:val="0"/>
              <w:spacing w:line="240" w:lineRule="auto"/>
              <w:ind w:firstLine="0" w:firstLineChars="0"/>
              <w:jc w:val="center"/>
              <w:rPr>
                <w:bCs/>
                <w:color w:val="000000" w:themeColor="text1"/>
                <w:sz w:val="18"/>
                <w:szCs w:val="18"/>
              </w:rPr>
            </w:pPr>
            <w:r>
              <w:rPr>
                <w:rFonts w:hint="eastAsia"/>
                <w:sz w:val="18"/>
                <w:szCs w:val="18"/>
              </w:rPr>
              <w:t>S61</w:t>
            </w:r>
            <w:r>
              <w:rPr>
                <w:rFonts w:hint="eastAsia" w:cs="宋体"/>
                <w:sz w:val="18"/>
                <w:szCs w:val="18"/>
              </w:rPr>
              <w:t>上跨北干渠，</w:t>
            </w:r>
            <w:r>
              <w:rPr>
                <w:rFonts w:hint="eastAsia"/>
                <w:kern w:val="0"/>
                <w:sz w:val="18"/>
                <w:szCs w:val="18"/>
              </w:rPr>
              <w:t>X034</w:t>
            </w:r>
            <w:r>
              <w:rPr>
                <w:rFonts w:hint="eastAsia" w:ascii="宋体" w:hAnsi="宋体" w:cs="宋体"/>
                <w:kern w:val="0"/>
                <w:sz w:val="18"/>
                <w:szCs w:val="18"/>
              </w:rPr>
              <w:t>穿过铁山水库二级保护区，</w:t>
            </w:r>
            <w:r>
              <w:rPr>
                <w:rFonts w:hint="eastAsia"/>
                <w:bCs/>
                <w:color w:val="000000" w:themeColor="text1"/>
                <w:sz w:val="18"/>
                <w:szCs w:val="18"/>
              </w:rPr>
              <w:t>存在运输危险品。尚未建设事故导流槽、雨水收集系统和应急池等设施，桥面雨水和事故废水直接排入饮用水源保护区</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trPr>
        <w:tc>
          <w:tcPr>
            <w:tcW w:w="643" w:type="dxa"/>
            <w:vMerge w:val="restart"/>
            <w:tcBorders>
              <w:tl2br w:val="nil"/>
              <w:tr2bl w:val="nil"/>
            </w:tcBorders>
            <w:vAlign w:val="center"/>
          </w:tcPr>
          <w:p>
            <w:pPr>
              <w:pStyle w:val="80"/>
              <w:rPr>
                <w:rFonts w:ascii="Times New Roman" w:hAnsi="Times New Roman" w:cs="Times New Roman"/>
                <w:bCs/>
                <w:color w:val="000000" w:themeColor="text1"/>
                <w:sz w:val="18"/>
                <w:szCs w:val="18"/>
              </w:rPr>
            </w:pPr>
            <w:r>
              <w:rPr>
                <w:rFonts w:hint="eastAsia" w:ascii="Times New Roman" w:hAnsi="Times New Roman" w:cs="Times New Roman"/>
                <w:bCs/>
                <w:color w:val="000000" w:themeColor="text1"/>
                <w:sz w:val="18"/>
                <w:szCs w:val="18"/>
              </w:rPr>
              <w:t>非点源</w:t>
            </w:r>
          </w:p>
        </w:tc>
        <w:tc>
          <w:tcPr>
            <w:tcW w:w="1530" w:type="dxa"/>
            <w:tcBorders>
              <w:tl2br w:val="nil"/>
              <w:tr2bl w:val="nil"/>
            </w:tcBorders>
            <w:vAlign w:val="center"/>
          </w:tcPr>
          <w:p>
            <w:pPr>
              <w:spacing w:line="240" w:lineRule="auto"/>
              <w:ind w:firstLine="0" w:firstLineChars="0"/>
              <w:jc w:val="center"/>
              <w:rPr>
                <w:bCs/>
                <w:color w:val="000000" w:themeColor="text1"/>
                <w:sz w:val="18"/>
                <w:szCs w:val="18"/>
              </w:rPr>
            </w:pPr>
            <w:r>
              <w:rPr>
                <w:rFonts w:hint="eastAsia"/>
                <w:bCs/>
                <w:color w:val="000000" w:themeColor="text1"/>
                <w:sz w:val="18"/>
                <w:szCs w:val="18"/>
              </w:rPr>
              <w:t>水土地流失状况</w:t>
            </w:r>
          </w:p>
        </w:tc>
        <w:tc>
          <w:tcPr>
            <w:tcW w:w="1618" w:type="dxa"/>
            <w:tcBorders>
              <w:tl2br w:val="nil"/>
              <w:tr2bl w:val="nil"/>
            </w:tcBorders>
            <w:vAlign w:val="center"/>
          </w:tcPr>
          <w:p>
            <w:pPr>
              <w:spacing w:line="240" w:lineRule="auto"/>
              <w:ind w:firstLine="0" w:firstLineChars="0"/>
              <w:jc w:val="center"/>
              <w:rPr>
                <w:bCs/>
                <w:color w:val="000000" w:themeColor="text1"/>
                <w:sz w:val="18"/>
                <w:szCs w:val="18"/>
              </w:rPr>
            </w:pPr>
            <w:r>
              <w:rPr>
                <w:rFonts w:hint="eastAsia"/>
                <w:bCs/>
                <w:color w:val="000000" w:themeColor="text1"/>
                <w:sz w:val="18"/>
                <w:szCs w:val="18"/>
              </w:rPr>
              <w:t>/</w:t>
            </w:r>
          </w:p>
        </w:tc>
        <w:tc>
          <w:tcPr>
            <w:tcW w:w="1226" w:type="dxa"/>
            <w:tcBorders>
              <w:tl2br w:val="nil"/>
              <w:tr2bl w:val="nil"/>
            </w:tcBorders>
            <w:vAlign w:val="center"/>
          </w:tcPr>
          <w:p>
            <w:pPr>
              <w:spacing w:line="240" w:lineRule="auto"/>
              <w:ind w:firstLine="0" w:firstLineChars="0"/>
              <w:jc w:val="center"/>
              <w:rPr>
                <w:bCs/>
                <w:color w:val="000000" w:themeColor="text1"/>
                <w:sz w:val="18"/>
                <w:szCs w:val="18"/>
              </w:rPr>
            </w:pPr>
            <w:r>
              <w:rPr>
                <w:rFonts w:hint="eastAsia"/>
                <w:bCs/>
                <w:color w:val="000000" w:themeColor="text1"/>
                <w:sz w:val="18"/>
                <w:szCs w:val="18"/>
              </w:rPr>
              <w:t>SS</w:t>
            </w:r>
          </w:p>
        </w:tc>
        <w:tc>
          <w:tcPr>
            <w:tcW w:w="879" w:type="dxa"/>
            <w:tcBorders>
              <w:tl2br w:val="nil"/>
              <w:tr2bl w:val="nil"/>
            </w:tcBorders>
            <w:vAlign w:val="center"/>
          </w:tcPr>
          <w:p>
            <w:pPr>
              <w:spacing w:line="240" w:lineRule="auto"/>
              <w:ind w:firstLine="0" w:firstLineChars="0"/>
              <w:jc w:val="center"/>
              <w:rPr>
                <w:bCs/>
                <w:color w:val="000000" w:themeColor="text1"/>
                <w:sz w:val="18"/>
                <w:szCs w:val="18"/>
              </w:rPr>
            </w:pPr>
            <w:r>
              <w:rPr>
                <w:rFonts w:hint="eastAsia"/>
                <w:bCs/>
                <w:color w:val="000000" w:themeColor="text1"/>
                <w:sz w:val="18"/>
                <w:szCs w:val="18"/>
              </w:rPr>
              <w:t>冲刷</w:t>
            </w:r>
          </w:p>
        </w:tc>
        <w:tc>
          <w:tcPr>
            <w:tcW w:w="2618" w:type="dxa"/>
            <w:tcBorders>
              <w:tl2br w:val="nil"/>
              <w:tr2bl w:val="nil"/>
            </w:tcBorders>
            <w:vAlign w:val="center"/>
          </w:tcPr>
          <w:p>
            <w:pPr>
              <w:widowControl/>
              <w:snapToGrid w:val="0"/>
              <w:spacing w:line="240" w:lineRule="auto"/>
              <w:ind w:firstLine="0" w:firstLineChars="0"/>
              <w:jc w:val="center"/>
              <w:rPr>
                <w:sz w:val="18"/>
                <w:szCs w:val="18"/>
              </w:rPr>
            </w:pPr>
            <w:r>
              <w:rPr>
                <w:color w:val="000000" w:themeColor="text1"/>
                <w:kern w:val="0"/>
                <w:sz w:val="18"/>
                <w:szCs w:val="18"/>
              </w:rPr>
              <w:t>流域水土流失较为严重，周边的毛田镇、月田镇和公田镇3个乡镇的平均水土流失面积比例为16.6%</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trPr>
        <w:tc>
          <w:tcPr>
            <w:tcW w:w="643" w:type="dxa"/>
            <w:vMerge w:val="continue"/>
            <w:tcBorders>
              <w:tl2br w:val="nil"/>
              <w:tr2bl w:val="nil"/>
            </w:tcBorders>
            <w:vAlign w:val="center"/>
          </w:tcPr>
          <w:p>
            <w:pPr>
              <w:pStyle w:val="80"/>
              <w:rPr>
                <w:rFonts w:ascii="Times New Roman" w:hAnsi="Times New Roman" w:cs="Times New Roman"/>
                <w:bCs/>
                <w:color w:val="000000" w:themeColor="text1"/>
                <w:sz w:val="18"/>
                <w:szCs w:val="18"/>
              </w:rPr>
            </w:pPr>
          </w:p>
        </w:tc>
        <w:tc>
          <w:tcPr>
            <w:tcW w:w="1530" w:type="dxa"/>
            <w:tcBorders>
              <w:tl2br w:val="nil"/>
              <w:tr2bl w:val="nil"/>
            </w:tcBorders>
            <w:vAlign w:val="center"/>
          </w:tcPr>
          <w:p>
            <w:pPr>
              <w:spacing w:line="240" w:lineRule="auto"/>
              <w:ind w:firstLine="0" w:firstLineChars="0"/>
              <w:jc w:val="center"/>
              <w:rPr>
                <w:bCs/>
                <w:color w:val="000000" w:themeColor="text1"/>
                <w:sz w:val="18"/>
                <w:szCs w:val="18"/>
              </w:rPr>
            </w:pPr>
            <w:r>
              <w:rPr>
                <w:rFonts w:hint="eastAsia"/>
                <w:bCs/>
                <w:color w:val="000000" w:themeColor="text1"/>
                <w:sz w:val="18"/>
                <w:szCs w:val="18"/>
              </w:rPr>
              <w:t>土地利用状况</w:t>
            </w:r>
          </w:p>
        </w:tc>
        <w:tc>
          <w:tcPr>
            <w:tcW w:w="1618" w:type="dxa"/>
            <w:tcBorders>
              <w:tl2br w:val="nil"/>
              <w:tr2bl w:val="nil"/>
            </w:tcBorders>
            <w:vAlign w:val="center"/>
          </w:tcPr>
          <w:p>
            <w:pPr>
              <w:spacing w:line="240" w:lineRule="auto"/>
              <w:ind w:firstLine="0" w:firstLineChars="0"/>
              <w:jc w:val="center"/>
              <w:rPr>
                <w:bCs/>
                <w:color w:val="000000" w:themeColor="text1"/>
                <w:sz w:val="18"/>
                <w:szCs w:val="18"/>
              </w:rPr>
            </w:pPr>
            <w:r>
              <w:rPr>
                <w:rFonts w:hint="eastAsia"/>
                <w:bCs/>
                <w:color w:val="000000" w:themeColor="text1"/>
                <w:sz w:val="18"/>
                <w:szCs w:val="18"/>
              </w:rPr>
              <w:t>/</w:t>
            </w:r>
          </w:p>
        </w:tc>
        <w:tc>
          <w:tcPr>
            <w:tcW w:w="1226" w:type="dxa"/>
            <w:tcBorders>
              <w:tl2br w:val="nil"/>
              <w:tr2bl w:val="nil"/>
            </w:tcBorders>
            <w:vAlign w:val="center"/>
          </w:tcPr>
          <w:p>
            <w:pPr>
              <w:spacing w:line="240" w:lineRule="auto"/>
              <w:ind w:firstLine="0" w:firstLineChars="0"/>
              <w:jc w:val="center"/>
              <w:rPr>
                <w:bCs/>
                <w:color w:val="000000" w:themeColor="text1"/>
                <w:sz w:val="18"/>
                <w:szCs w:val="18"/>
              </w:rPr>
            </w:pPr>
            <w:r>
              <w:rPr>
                <w:rFonts w:hint="eastAsia"/>
                <w:bCs/>
                <w:color w:val="000000" w:themeColor="text1"/>
                <w:sz w:val="18"/>
                <w:szCs w:val="18"/>
              </w:rPr>
              <w:t>/</w:t>
            </w:r>
          </w:p>
        </w:tc>
        <w:tc>
          <w:tcPr>
            <w:tcW w:w="879" w:type="dxa"/>
            <w:tcBorders>
              <w:tl2br w:val="nil"/>
              <w:tr2bl w:val="nil"/>
            </w:tcBorders>
            <w:vAlign w:val="center"/>
          </w:tcPr>
          <w:p>
            <w:pPr>
              <w:spacing w:line="240" w:lineRule="auto"/>
              <w:ind w:firstLine="0" w:firstLineChars="0"/>
              <w:jc w:val="center"/>
              <w:rPr>
                <w:bCs/>
                <w:color w:val="000000" w:themeColor="text1"/>
                <w:sz w:val="18"/>
                <w:szCs w:val="18"/>
              </w:rPr>
            </w:pPr>
            <w:r>
              <w:rPr>
                <w:rFonts w:hint="eastAsia"/>
                <w:bCs/>
                <w:color w:val="000000" w:themeColor="text1"/>
                <w:sz w:val="18"/>
                <w:szCs w:val="18"/>
              </w:rPr>
              <w:t>/</w:t>
            </w:r>
          </w:p>
        </w:tc>
        <w:tc>
          <w:tcPr>
            <w:tcW w:w="2618" w:type="dxa"/>
            <w:tcBorders>
              <w:tl2br w:val="nil"/>
              <w:tr2bl w:val="nil"/>
            </w:tcBorders>
            <w:vAlign w:val="center"/>
          </w:tcPr>
          <w:p>
            <w:pPr>
              <w:widowControl/>
              <w:snapToGrid w:val="0"/>
              <w:spacing w:line="240" w:lineRule="auto"/>
              <w:ind w:firstLine="0" w:firstLineChars="0"/>
              <w:jc w:val="center"/>
              <w:rPr>
                <w:sz w:val="18"/>
                <w:szCs w:val="18"/>
              </w:rPr>
            </w:pPr>
            <w:r>
              <w:rPr>
                <w:rFonts w:hint="eastAsia"/>
                <w:sz w:val="18"/>
                <w:szCs w:val="18"/>
              </w:rPr>
              <w:t>/</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trPr>
        <w:tc>
          <w:tcPr>
            <w:tcW w:w="643" w:type="dxa"/>
            <w:vMerge w:val="continue"/>
            <w:tcBorders>
              <w:tl2br w:val="nil"/>
              <w:tr2bl w:val="nil"/>
            </w:tcBorders>
            <w:vAlign w:val="center"/>
          </w:tcPr>
          <w:p>
            <w:pPr>
              <w:pStyle w:val="80"/>
              <w:rPr>
                <w:rFonts w:ascii="Times New Roman" w:hAnsi="Times New Roman" w:cs="Times New Roman"/>
                <w:bCs/>
                <w:color w:val="000000" w:themeColor="text1"/>
                <w:sz w:val="18"/>
                <w:szCs w:val="18"/>
              </w:rPr>
            </w:pPr>
          </w:p>
        </w:tc>
        <w:tc>
          <w:tcPr>
            <w:tcW w:w="1530" w:type="dxa"/>
            <w:tcBorders>
              <w:tl2br w:val="nil"/>
              <w:tr2bl w:val="nil"/>
            </w:tcBorders>
            <w:vAlign w:val="center"/>
          </w:tcPr>
          <w:p>
            <w:pPr>
              <w:spacing w:line="240" w:lineRule="auto"/>
              <w:ind w:firstLine="0" w:firstLineChars="0"/>
              <w:jc w:val="center"/>
              <w:rPr>
                <w:bCs/>
                <w:color w:val="000000" w:themeColor="text1"/>
                <w:sz w:val="18"/>
                <w:szCs w:val="18"/>
              </w:rPr>
            </w:pPr>
            <w:r>
              <w:rPr>
                <w:rFonts w:hint="eastAsia"/>
                <w:bCs/>
                <w:color w:val="000000" w:themeColor="text1"/>
                <w:sz w:val="18"/>
                <w:szCs w:val="18"/>
              </w:rPr>
              <w:t>农田径流污染状况</w:t>
            </w:r>
          </w:p>
        </w:tc>
        <w:tc>
          <w:tcPr>
            <w:tcW w:w="1618" w:type="dxa"/>
            <w:tcBorders>
              <w:tl2br w:val="nil"/>
              <w:tr2bl w:val="nil"/>
            </w:tcBorders>
            <w:vAlign w:val="center"/>
          </w:tcPr>
          <w:p>
            <w:pPr>
              <w:spacing w:line="240" w:lineRule="auto"/>
              <w:ind w:firstLine="0" w:firstLineChars="0"/>
              <w:jc w:val="center"/>
              <w:rPr>
                <w:bCs/>
                <w:color w:val="000000" w:themeColor="text1"/>
                <w:sz w:val="18"/>
                <w:szCs w:val="18"/>
              </w:rPr>
            </w:pPr>
            <w:r>
              <w:rPr>
                <w:rFonts w:hint="eastAsia"/>
                <w:bCs/>
                <w:color w:val="000000" w:themeColor="text1"/>
                <w:sz w:val="18"/>
                <w:szCs w:val="18"/>
              </w:rPr>
              <w:t>/</w:t>
            </w:r>
          </w:p>
        </w:tc>
        <w:tc>
          <w:tcPr>
            <w:tcW w:w="1226" w:type="dxa"/>
            <w:vMerge w:val="restart"/>
            <w:tcBorders>
              <w:tl2br w:val="nil"/>
              <w:tr2bl w:val="nil"/>
            </w:tcBorders>
            <w:vAlign w:val="center"/>
          </w:tcPr>
          <w:p>
            <w:pPr>
              <w:autoSpaceDE w:val="0"/>
              <w:autoSpaceDN w:val="0"/>
              <w:adjustRightInd w:val="0"/>
              <w:spacing w:line="240" w:lineRule="auto"/>
              <w:ind w:firstLine="0" w:firstLineChars="0"/>
              <w:jc w:val="center"/>
              <w:rPr>
                <w:bCs/>
                <w:color w:val="000000" w:themeColor="text1"/>
                <w:sz w:val="18"/>
                <w:szCs w:val="18"/>
              </w:rPr>
            </w:pPr>
            <w:r>
              <w:rPr>
                <w:rFonts w:hint="eastAsia"/>
                <w:bCs/>
                <w:color w:val="000000" w:themeColor="text1"/>
                <w:sz w:val="18"/>
                <w:szCs w:val="18"/>
              </w:rPr>
              <w:t>COD、氨氮、TP</w:t>
            </w:r>
          </w:p>
        </w:tc>
        <w:tc>
          <w:tcPr>
            <w:tcW w:w="879" w:type="dxa"/>
            <w:vMerge w:val="restart"/>
            <w:tcBorders>
              <w:tl2br w:val="nil"/>
              <w:tr2bl w:val="nil"/>
            </w:tcBorders>
            <w:vAlign w:val="center"/>
          </w:tcPr>
          <w:p>
            <w:pPr>
              <w:spacing w:line="240" w:lineRule="auto"/>
              <w:ind w:firstLine="0" w:firstLineChars="0"/>
              <w:jc w:val="center"/>
              <w:rPr>
                <w:bCs/>
                <w:color w:val="000000" w:themeColor="text1"/>
                <w:sz w:val="18"/>
                <w:szCs w:val="18"/>
              </w:rPr>
            </w:pPr>
            <w:r>
              <w:rPr>
                <w:rFonts w:hint="eastAsia"/>
                <w:bCs/>
                <w:color w:val="000000" w:themeColor="text1"/>
                <w:sz w:val="18"/>
                <w:szCs w:val="18"/>
              </w:rPr>
              <w:t>流失</w:t>
            </w:r>
          </w:p>
        </w:tc>
        <w:tc>
          <w:tcPr>
            <w:tcW w:w="2618" w:type="dxa"/>
            <w:tcBorders>
              <w:tl2br w:val="nil"/>
              <w:tr2bl w:val="nil"/>
            </w:tcBorders>
            <w:vAlign w:val="center"/>
          </w:tcPr>
          <w:p>
            <w:pPr>
              <w:widowControl/>
              <w:snapToGrid w:val="0"/>
              <w:spacing w:line="240" w:lineRule="auto"/>
              <w:ind w:firstLine="0" w:firstLineChars="0"/>
              <w:jc w:val="center"/>
              <w:rPr>
                <w:sz w:val="18"/>
                <w:szCs w:val="18"/>
              </w:rPr>
            </w:pPr>
            <w:r>
              <w:rPr>
                <w:rFonts w:hint="eastAsia" w:ascii="宋体" w:hAnsi="宋体" w:cs="宋体"/>
                <w:sz w:val="18"/>
                <w:szCs w:val="18"/>
              </w:rPr>
              <w:t>调查范围内有约</w:t>
            </w:r>
            <w:r>
              <w:rPr>
                <w:sz w:val="18"/>
                <w:szCs w:val="18"/>
              </w:rPr>
              <w:t>63000</w:t>
            </w:r>
            <w:r>
              <w:rPr>
                <w:rFonts w:hint="eastAsia" w:ascii="宋体" w:hAnsi="宋体" w:cs="宋体"/>
                <w:sz w:val="18"/>
                <w:szCs w:val="18"/>
              </w:rPr>
              <w:t>亩耕地</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trPr>
        <w:tc>
          <w:tcPr>
            <w:tcW w:w="643" w:type="dxa"/>
            <w:vMerge w:val="continue"/>
            <w:tcBorders>
              <w:tl2br w:val="nil"/>
              <w:tr2bl w:val="nil"/>
            </w:tcBorders>
            <w:vAlign w:val="center"/>
          </w:tcPr>
          <w:p>
            <w:pPr>
              <w:pStyle w:val="80"/>
              <w:rPr>
                <w:rFonts w:ascii="Times New Roman" w:hAnsi="Times New Roman" w:cs="Times New Roman"/>
                <w:bCs/>
                <w:color w:val="000000" w:themeColor="text1"/>
                <w:sz w:val="18"/>
                <w:szCs w:val="18"/>
              </w:rPr>
            </w:pPr>
          </w:p>
        </w:tc>
        <w:tc>
          <w:tcPr>
            <w:tcW w:w="1530" w:type="dxa"/>
            <w:tcBorders>
              <w:tl2br w:val="nil"/>
              <w:tr2bl w:val="nil"/>
            </w:tcBorders>
            <w:vAlign w:val="center"/>
          </w:tcPr>
          <w:p>
            <w:pPr>
              <w:spacing w:line="240" w:lineRule="auto"/>
              <w:ind w:firstLine="0" w:firstLineChars="0"/>
              <w:jc w:val="center"/>
              <w:rPr>
                <w:bCs/>
                <w:color w:val="000000" w:themeColor="text1"/>
                <w:sz w:val="18"/>
                <w:szCs w:val="18"/>
              </w:rPr>
            </w:pPr>
            <w:r>
              <w:rPr>
                <w:rFonts w:hint="eastAsia"/>
                <w:bCs/>
                <w:color w:val="000000" w:themeColor="text1"/>
                <w:sz w:val="18"/>
                <w:szCs w:val="18"/>
              </w:rPr>
              <w:t>畜禽养殖污染状况</w:t>
            </w:r>
          </w:p>
        </w:tc>
        <w:tc>
          <w:tcPr>
            <w:tcW w:w="1618" w:type="dxa"/>
            <w:tcBorders>
              <w:tl2br w:val="nil"/>
              <w:tr2bl w:val="nil"/>
            </w:tcBorders>
            <w:vAlign w:val="center"/>
          </w:tcPr>
          <w:p>
            <w:pPr>
              <w:spacing w:line="240" w:lineRule="auto"/>
              <w:ind w:firstLine="0" w:firstLineChars="0"/>
              <w:jc w:val="center"/>
              <w:rPr>
                <w:bCs/>
                <w:color w:val="000000" w:themeColor="text1"/>
                <w:sz w:val="18"/>
                <w:szCs w:val="18"/>
              </w:rPr>
            </w:pPr>
            <w:r>
              <w:rPr>
                <w:rFonts w:hint="eastAsia"/>
                <w:bCs/>
                <w:color w:val="000000" w:themeColor="text1"/>
                <w:sz w:val="18"/>
                <w:szCs w:val="18"/>
              </w:rPr>
              <w:t>/</w:t>
            </w:r>
          </w:p>
        </w:tc>
        <w:tc>
          <w:tcPr>
            <w:tcW w:w="1226" w:type="dxa"/>
            <w:vMerge w:val="continue"/>
            <w:tcBorders>
              <w:tl2br w:val="nil"/>
              <w:tr2bl w:val="nil"/>
            </w:tcBorders>
            <w:vAlign w:val="center"/>
          </w:tcPr>
          <w:p>
            <w:pPr>
              <w:spacing w:line="240" w:lineRule="auto"/>
              <w:ind w:firstLine="0" w:firstLineChars="0"/>
              <w:jc w:val="center"/>
              <w:rPr>
                <w:bCs/>
                <w:color w:val="000000" w:themeColor="text1"/>
                <w:sz w:val="18"/>
                <w:szCs w:val="18"/>
              </w:rPr>
            </w:pPr>
          </w:p>
        </w:tc>
        <w:tc>
          <w:tcPr>
            <w:tcW w:w="879" w:type="dxa"/>
            <w:vMerge w:val="continue"/>
            <w:tcBorders>
              <w:tl2br w:val="nil"/>
              <w:tr2bl w:val="nil"/>
            </w:tcBorders>
            <w:vAlign w:val="center"/>
          </w:tcPr>
          <w:p>
            <w:pPr>
              <w:spacing w:line="240" w:lineRule="auto"/>
              <w:ind w:firstLine="0" w:firstLineChars="0"/>
              <w:jc w:val="center"/>
              <w:rPr>
                <w:bCs/>
                <w:color w:val="000000" w:themeColor="text1"/>
                <w:sz w:val="18"/>
                <w:szCs w:val="18"/>
              </w:rPr>
            </w:pPr>
          </w:p>
        </w:tc>
        <w:tc>
          <w:tcPr>
            <w:tcW w:w="2618" w:type="dxa"/>
            <w:tcBorders>
              <w:tl2br w:val="nil"/>
              <w:tr2bl w:val="nil"/>
            </w:tcBorders>
            <w:vAlign w:val="center"/>
          </w:tcPr>
          <w:p>
            <w:pPr>
              <w:widowControl/>
              <w:snapToGrid w:val="0"/>
              <w:spacing w:line="240" w:lineRule="auto"/>
              <w:ind w:firstLine="0" w:firstLineChars="0"/>
              <w:jc w:val="center"/>
              <w:rPr>
                <w:sz w:val="18"/>
                <w:szCs w:val="18"/>
              </w:rPr>
            </w:pPr>
            <w:r>
              <w:rPr>
                <w:rFonts w:hint="eastAsia"/>
                <w:sz w:val="18"/>
                <w:szCs w:val="18"/>
              </w:rPr>
              <w:t>有零星散养户</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trPr>
        <w:tc>
          <w:tcPr>
            <w:tcW w:w="643" w:type="dxa"/>
            <w:vMerge w:val="continue"/>
            <w:tcBorders>
              <w:tl2br w:val="nil"/>
              <w:tr2bl w:val="nil"/>
            </w:tcBorders>
            <w:vAlign w:val="center"/>
          </w:tcPr>
          <w:p>
            <w:pPr>
              <w:pStyle w:val="80"/>
              <w:rPr>
                <w:rFonts w:ascii="Times New Roman" w:hAnsi="Times New Roman" w:cs="Times New Roman"/>
                <w:bCs/>
                <w:color w:val="000000" w:themeColor="text1"/>
                <w:sz w:val="18"/>
                <w:szCs w:val="18"/>
              </w:rPr>
            </w:pPr>
          </w:p>
        </w:tc>
        <w:tc>
          <w:tcPr>
            <w:tcW w:w="1530" w:type="dxa"/>
            <w:tcBorders>
              <w:tl2br w:val="nil"/>
              <w:tr2bl w:val="nil"/>
            </w:tcBorders>
            <w:vAlign w:val="center"/>
          </w:tcPr>
          <w:p>
            <w:pPr>
              <w:pStyle w:val="80"/>
              <w:rPr>
                <w:rFonts w:ascii="Times New Roman" w:hAnsi="Times New Roman" w:cs="Times New Roman"/>
                <w:bCs/>
                <w:color w:val="000000" w:themeColor="text1"/>
                <w:sz w:val="18"/>
                <w:szCs w:val="18"/>
              </w:rPr>
            </w:pPr>
            <w:r>
              <w:rPr>
                <w:rFonts w:hint="eastAsia" w:ascii="Times New Roman" w:hAnsi="Times New Roman" w:cs="Times New Roman"/>
                <w:bCs/>
                <w:color w:val="000000" w:themeColor="text1"/>
                <w:sz w:val="18"/>
                <w:szCs w:val="18"/>
              </w:rPr>
              <w:t>农村生活污染状况</w:t>
            </w:r>
          </w:p>
        </w:tc>
        <w:tc>
          <w:tcPr>
            <w:tcW w:w="1618" w:type="dxa"/>
            <w:tcBorders>
              <w:tl2br w:val="nil"/>
              <w:tr2bl w:val="nil"/>
            </w:tcBorders>
            <w:vAlign w:val="center"/>
          </w:tcPr>
          <w:p>
            <w:pPr>
              <w:pStyle w:val="80"/>
              <w:rPr>
                <w:rFonts w:ascii="Times New Roman" w:hAnsi="Times New Roman" w:cs="Times New Roman"/>
                <w:bCs/>
                <w:color w:val="000000" w:themeColor="text1"/>
                <w:sz w:val="18"/>
                <w:szCs w:val="18"/>
              </w:rPr>
            </w:pPr>
            <w:r>
              <w:rPr>
                <w:rFonts w:hint="eastAsia" w:ascii="Times New Roman" w:hAnsi="Times New Roman" w:cs="Times New Roman"/>
                <w:bCs/>
                <w:color w:val="000000" w:themeColor="text1"/>
                <w:sz w:val="18"/>
                <w:szCs w:val="18"/>
              </w:rPr>
              <w:t>/</w:t>
            </w:r>
          </w:p>
        </w:tc>
        <w:tc>
          <w:tcPr>
            <w:tcW w:w="1226" w:type="dxa"/>
            <w:vMerge w:val="continue"/>
            <w:tcBorders>
              <w:tl2br w:val="nil"/>
              <w:tr2bl w:val="nil"/>
            </w:tcBorders>
            <w:vAlign w:val="center"/>
          </w:tcPr>
          <w:p>
            <w:pPr>
              <w:autoSpaceDE w:val="0"/>
              <w:autoSpaceDN w:val="0"/>
              <w:adjustRightInd w:val="0"/>
              <w:spacing w:line="240" w:lineRule="auto"/>
              <w:ind w:firstLine="0" w:firstLineChars="0"/>
              <w:jc w:val="center"/>
              <w:rPr>
                <w:bCs/>
                <w:color w:val="000000" w:themeColor="text1"/>
                <w:sz w:val="18"/>
                <w:szCs w:val="18"/>
              </w:rPr>
            </w:pPr>
          </w:p>
        </w:tc>
        <w:tc>
          <w:tcPr>
            <w:tcW w:w="879" w:type="dxa"/>
            <w:vMerge w:val="continue"/>
            <w:tcBorders>
              <w:tl2br w:val="nil"/>
              <w:tr2bl w:val="nil"/>
            </w:tcBorders>
            <w:vAlign w:val="center"/>
          </w:tcPr>
          <w:p>
            <w:pPr>
              <w:spacing w:line="240" w:lineRule="auto"/>
              <w:ind w:firstLine="0" w:firstLineChars="0"/>
              <w:jc w:val="center"/>
              <w:rPr>
                <w:bCs/>
                <w:color w:val="000000" w:themeColor="text1"/>
                <w:sz w:val="18"/>
                <w:szCs w:val="18"/>
              </w:rPr>
            </w:pPr>
          </w:p>
        </w:tc>
        <w:tc>
          <w:tcPr>
            <w:tcW w:w="2618" w:type="dxa"/>
            <w:tcBorders>
              <w:tl2br w:val="nil"/>
              <w:tr2bl w:val="nil"/>
            </w:tcBorders>
            <w:vAlign w:val="center"/>
          </w:tcPr>
          <w:p>
            <w:pPr>
              <w:tabs>
                <w:tab w:val="left" w:pos="567"/>
              </w:tabs>
              <w:spacing w:line="240" w:lineRule="auto"/>
              <w:ind w:firstLine="0" w:firstLineChars="0"/>
              <w:jc w:val="center"/>
              <w:rPr>
                <w:bCs/>
                <w:color w:val="000000" w:themeColor="text1"/>
                <w:sz w:val="18"/>
                <w:szCs w:val="18"/>
              </w:rPr>
            </w:pPr>
            <w:r>
              <w:rPr>
                <w:rFonts w:hint="eastAsia"/>
                <w:bCs/>
                <w:color w:val="000000" w:themeColor="text1"/>
                <w:sz w:val="18"/>
                <w:szCs w:val="18"/>
              </w:rPr>
              <w:t>由于北干渠沿线居民生活污水未进入管网集中收集处置，铁山水库周边仅有月田镇和毛田镇集镇生活污水经收集后通过污水处理厂集中处理，大部分农村生活污水通过“四格”化粪池处理后当农肥或者排放。</w:t>
            </w:r>
          </w:p>
        </w:tc>
      </w:tr>
    </w:tbl>
    <w:p>
      <w:pPr>
        <w:pStyle w:val="5"/>
        <w:rPr>
          <w:color w:val="000000" w:themeColor="text1"/>
        </w:rPr>
      </w:pPr>
      <w:r>
        <w:rPr>
          <w:color w:val="000000" w:themeColor="text1"/>
        </w:rPr>
        <w:t>4.</w:t>
      </w:r>
      <w:r>
        <w:rPr>
          <w:rFonts w:hint="eastAsia"/>
          <w:color w:val="000000" w:themeColor="text1"/>
        </w:rPr>
        <w:t>2.7</w:t>
      </w:r>
      <w:r>
        <w:rPr>
          <w:color w:val="000000" w:themeColor="text1"/>
        </w:rPr>
        <w:t>环境风险</w:t>
      </w:r>
      <w:r>
        <w:rPr>
          <w:rFonts w:hint="eastAsia"/>
          <w:color w:val="000000" w:themeColor="text1"/>
        </w:rPr>
        <w:t>源评估</w:t>
      </w:r>
    </w:p>
    <w:p>
      <w:pPr>
        <w:rPr>
          <w:b/>
          <w:color w:val="000000" w:themeColor="text1"/>
          <w:sz w:val="21"/>
          <w:szCs w:val="21"/>
          <w:lang w:val="zh-CN"/>
        </w:rPr>
      </w:pPr>
      <w:r>
        <w:rPr>
          <w:rFonts w:hint="eastAsia"/>
          <w:color w:val="000000" w:themeColor="text1"/>
        </w:rPr>
        <w:t>一般来说，环境风险值的可接受程度分别以 R</w:t>
      </w:r>
      <w:r>
        <w:rPr>
          <w:rFonts w:hint="eastAsia"/>
          <w:color w:val="000000" w:themeColor="text1"/>
          <w:vertAlign w:val="subscript"/>
        </w:rPr>
        <w:t>p</w:t>
      </w:r>
      <w:r>
        <w:rPr>
          <w:rFonts w:hint="eastAsia"/>
          <w:color w:val="000000" w:themeColor="text1"/>
        </w:rPr>
        <w:t>（或 R</w:t>
      </w:r>
      <w:r>
        <w:rPr>
          <w:rFonts w:hint="eastAsia"/>
          <w:color w:val="000000" w:themeColor="text1"/>
          <w:vertAlign w:val="subscript"/>
        </w:rPr>
        <w:t>f</w:t>
      </w:r>
      <w:r>
        <w:rPr>
          <w:rFonts w:hint="eastAsia"/>
          <w:color w:val="000000" w:themeColor="text1"/>
        </w:rPr>
        <w:t>、R</w:t>
      </w:r>
      <w:r>
        <w:rPr>
          <w:rFonts w:hint="eastAsia"/>
          <w:color w:val="000000" w:themeColor="text1"/>
          <w:vertAlign w:val="subscript"/>
        </w:rPr>
        <w:t>y</w:t>
      </w:r>
      <w:r>
        <w:rPr>
          <w:rFonts w:hint="eastAsia"/>
          <w:color w:val="000000" w:themeColor="text1"/>
        </w:rPr>
        <w:t>）≤3 作为背景值，当风险值超过此限，当 3&lt; R</w:t>
      </w:r>
      <w:r>
        <w:rPr>
          <w:rFonts w:hint="eastAsia"/>
          <w:color w:val="000000" w:themeColor="text1"/>
          <w:vertAlign w:val="subscript"/>
        </w:rPr>
        <w:t>p</w:t>
      </w:r>
      <w:r>
        <w:rPr>
          <w:rFonts w:hint="eastAsia"/>
          <w:color w:val="000000" w:themeColor="text1"/>
        </w:rPr>
        <w:t>（或 R</w:t>
      </w:r>
      <w:r>
        <w:rPr>
          <w:rFonts w:hint="eastAsia"/>
          <w:color w:val="000000" w:themeColor="text1"/>
          <w:vertAlign w:val="subscript"/>
        </w:rPr>
        <w:t>f</w:t>
      </w:r>
      <w:r>
        <w:rPr>
          <w:rFonts w:hint="eastAsia"/>
          <w:color w:val="000000" w:themeColor="text1"/>
        </w:rPr>
        <w:t>、R</w:t>
      </w:r>
      <w:r>
        <w:rPr>
          <w:rFonts w:hint="eastAsia"/>
          <w:color w:val="000000" w:themeColor="text1"/>
          <w:vertAlign w:val="subscript"/>
        </w:rPr>
        <w:t>y</w:t>
      </w:r>
      <w:r>
        <w:rPr>
          <w:rFonts w:hint="eastAsia"/>
          <w:color w:val="000000" w:themeColor="text1"/>
        </w:rPr>
        <w:t>）≤7 时，应按照《集中式地表水饮用水水源地环境应急管理工作指南（试行）》采取风险防范措施；当 7&lt; R</w:t>
      </w:r>
      <w:r>
        <w:rPr>
          <w:rFonts w:hint="eastAsia"/>
          <w:color w:val="000000" w:themeColor="text1"/>
          <w:vertAlign w:val="subscript"/>
        </w:rPr>
        <w:t>p</w:t>
      </w:r>
      <w:r>
        <w:rPr>
          <w:rFonts w:hint="eastAsia"/>
          <w:color w:val="000000" w:themeColor="text1"/>
        </w:rPr>
        <w:t>（或 R</w:t>
      </w:r>
      <w:r>
        <w:rPr>
          <w:rFonts w:hint="eastAsia"/>
          <w:color w:val="000000" w:themeColor="text1"/>
          <w:vertAlign w:val="subscript"/>
        </w:rPr>
        <w:t>f</w:t>
      </w:r>
      <w:r>
        <w:rPr>
          <w:rFonts w:hint="eastAsia"/>
          <w:color w:val="000000" w:themeColor="text1"/>
        </w:rPr>
        <w:t>、R</w:t>
      </w:r>
      <w:r>
        <w:rPr>
          <w:rFonts w:hint="eastAsia"/>
          <w:color w:val="000000" w:themeColor="text1"/>
          <w:vertAlign w:val="subscript"/>
        </w:rPr>
        <w:t>y</w:t>
      </w:r>
      <w:r>
        <w:rPr>
          <w:rFonts w:hint="eastAsia"/>
          <w:color w:val="000000" w:themeColor="text1"/>
        </w:rPr>
        <w:t>）≤9 时，应采取风险预警措施；当 R</w:t>
      </w:r>
      <w:r>
        <w:rPr>
          <w:rFonts w:hint="eastAsia"/>
          <w:color w:val="000000" w:themeColor="text1"/>
          <w:vertAlign w:val="subscript"/>
        </w:rPr>
        <w:t>p</w:t>
      </w:r>
      <w:r>
        <w:rPr>
          <w:rFonts w:hint="eastAsia"/>
          <w:color w:val="000000" w:themeColor="text1"/>
        </w:rPr>
        <w:t>（或 R</w:t>
      </w:r>
      <w:r>
        <w:rPr>
          <w:rFonts w:hint="eastAsia"/>
          <w:color w:val="000000" w:themeColor="text1"/>
          <w:vertAlign w:val="subscript"/>
        </w:rPr>
        <w:t>f</w:t>
      </w:r>
      <w:r>
        <w:rPr>
          <w:rFonts w:hint="eastAsia"/>
          <w:color w:val="000000" w:themeColor="text1"/>
        </w:rPr>
        <w:t>、R</w:t>
      </w:r>
      <w:r>
        <w:rPr>
          <w:rFonts w:hint="eastAsia"/>
          <w:color w:val="000000" w:themeColor="text1"/>
          <w:vertAlign w:val="subscript"/>
        </w:rPr>
        <w:t>y</w:t>
      </w:r>
      <w:r>
        <w:rPr>
          <w:rFonts w:hint="eastAsia"/>
          <w:color w:val="000000" w:themeColor="text1"/>
        </w:rPr>
        <w:t>）&gt;9 时，应采取风险应急措施。</w:t>
      </w:r>
      <w:r>
        <w:rPr>
          <w:rFonts w:hint="eastAsia"/>
          <w:bCs/>
          <w:color w:val="000000" w:themeColor="text1"/>
        </w:rPr>
        <w:t>岳阳市饮用水源保护区（铁山水库-北干渠-金凤水库）</w:t>
      </w:r>
      <w:r>
        <w:rPr>
          <w:rFonts w:hint="eastAsia"/>
        </w:rPr>
        <w:t>水源地风险值评估结果见表4-11。</w:t>
      </w:r>
    </w:p>
    <w:p>
      <w:pPr>
        <w:autoSpaceDE w:val="0"/>
        <w:autoSpaceDN w:val="0"/>
        <w:adjustRightInd w:val="0"/>
        <w:ind w:firstLine="0" w:firstLineChars="0"/>
        <w:jc w:val="center"/>
        <w:rPr>
          <w:b/>
          <w:color w:val="000000" w:themeColor="text1"/>
          <w:sz w:val="21"/>
          <w:szCs w:val="21"/>
          <w:lang w:val="zh-CN"/>
        </w:rPr>
      </w:pPr>
      <w:r>
        <w:rPr>
          <w:rFonts w:hint="eastAsia"/>
          <w:b/>
          <w:color w:val="000000" w:themeColor="text1"/>
          <w:sz w:val="21"/>
          <w:szCs w:val="21"/>
          <w:lang w:val="zh-CN"/>
        </w:rPr>
        <w:t>表4-</w:t>
      </w:r>
      <w:r>
        <w:rPr>
          <w:rFonts w:hint="eastAsia"/>
          <w:b/>
          <w:color w:val="000000" w:themeColor="text1"/>
          <w:sz w:val="21"/>
          <w:szCs w:val="21"/>
        </w:rPr>
        <w:t>11</w:t>
      </w:r>
      <w:r>
        <w:rPr>
          <w:rFonts w:hint="eastAsia"/>
          <w:b/>
          <w:color w:val="000000" w:themeColor="text1"/>
          <w:sz w:val="21"/>
          <w:szCs w:val="21"/>
          <w:lang w:val="zh-CN"/>
        </w:rPr>
        <w:t xml:space="preserve">  </w:t>
      </w:r>
      <w:r>
        <w:rPr>
          <w:rFonts w:hint="eastAsia"/>
          <w:b/>
          <w:color w:val="000000" w:themeColor="text1"/>
          <w:kern w:val="0"/>
          <w:sz w:val="21"/>
          <w:szCs w:val="21"/>
        </w:rPr>
        <w:t>岳阳市饮用水源保护区（铁山水库-北干渠-金凤水库）</w:t>
      </w:r>
      <w:r>
        <w:rPr>
          <w:rFonts w:hint="eastAsia"/>
          <w:b/>
          <w:color w:val="000000" w:themeColor="text1"/>
          <w:sz w:val="21"/>
          <w:szCs w:val="21"/>
          <w:lang w:val="zh-CN"/>
        </w:rPr>
        <w:t>风险值评估结果一览表</w:t>
      </w:r>
    </w:p>
    <w:tbl>
      <w:tblPr>
        <w:tblStyle w:val="47"/>
        <w:tblW w:w="8522" w:type="dxa"/>
        <w:tblInd w:w="0" w:type="dxa"/>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
      <w:tblGrid>
        <w:gridCol w:w="1546"/>
        <w:gridCol w:w="1551"/>
        <w:gridCol w:w="1940"/>
        <w:gridCol w:w="3485"/>
      </w:tblGrid>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trPr>
        <w:tc>
          <w:tcPr>
            <w:tcW w:w="1546" w:type="dxa"/>
            <w:tcBorders>
              <w:tl2br w:val="nil"/>
              <w:tr2bl w:val="nil"/>
            </w:tcBorders>
            <w:shd w:val="clear" w:color="auto" w:fill="auto"/>
            <w:vAlign w:val="center"/>
          </w:tcPr>
          <w:p>
            <w:pPr>
              <w:pStyle w:val="80"/>
              <w:rPr>
                <w:rFonts w:ascii="Times New Roman" w:hAnsi="Times New Roman" w:cs="Times New Roman"/>
                <w:b/>
                <w:sz w:val="21"/>
                <w:szCs w:val="21"/>
              </w:rPr>
            </w:pPr>
            <w:r>
              <w:rPr>
                <w:rFonts w:hint="eastAsia" w:ascii="Times New Roman" w:hAnsi="Times New Roman" w:cs="Times New Roman"/>
                <w:b/>
                <w:sz w:val="21"/>
                <w:szCs w:val="21"/>
              </w:rPr>
              <w:t>类别</w:t>
            </w:r>
          </w:p>
        </w:tc>
        <w:tc>
          <w:tcPr>
            <w:tcW w:w="1551" w:type="dxa"/>
            <w:tcBorders>
              <w:tl2br w:val="nil"/>
              <w:tr2bl w:val="nil"/>
            </w:tcBorders>
            <w:shd w:val="clear" w:color="auto" w:fill="auto"/>
            <w:vAlign w:val="center"/>
          </w:tcPr>
          <w:p>
            <w:pPr>
              <w:pStyle w:val="80"/>
              <w:rPr>
                <w:rFonts w:ascii="Times New Roman" w:hAnsi="Times New Roman" w:cs="Times New Roman"/>
                <w:b/>
                <w:sz w:val="21"/>
                <w:szCs w:val="21"/>
              </w:rPr>
            </w:pPr>
            <w:r>
              <w:rPr>
                <w:rFonts w:hint="eastAsia" w:ascii="Times New Roman" w:hAnsi="Times New Roman" w:cs="Times New Roman"/>
                <w:b/>
                <w:sz w:val="21"/>
                <w:szCs w:val="21"/>
              </w:rPr>
              <w:t>风险值</w:t>
            </w:r>
          </w:p>
        </w:tc>
        <w:tc>
          <w:tcPr>
            <w:tcW w:w="1940" w:type="dxa"/>
            <w:tcBorders>
              <w:tl2br w:val="nil"/>
              <w:tr2bl w:val="nil"/>
            </w:tcBorders>
            <w:shd w:val="clear" w:color="auto" w:fill="auto"/>
            <w:vAlign w:val="center"/>
          </w:tcPr>
          <w:p>
            <w:pPr>
              <w:pStyle w:val="80"/>
              <w:rPr>
                <w:rFonts w:ascii="Times New Roman" w:hAnsi="Times New Roman" w:cs="Times New Roman"/>
                <w:b/>
                <w:sz w:val="21"/>
                <w:szCs w:val="21"/>
              </w:rPr>
            </w:pPr>
            <w:r>
              <w:rPr>
                <w:rFonts w:hint="eastAsia" w:ascii="Times New Roman" w:hAnsi="Times New Roman" w:cs="Times New Roman"/>
                <w:b/>
                <w:sz w:val="21"/>
                <w:szCs w:val="21"/>
              </w:rPr>
              <w:t>判定结果</w:t>
            </w:r>
          </w:p>
        </w:tc>
        <w:tc>
          <w:tcPr>
            <w:tcW w:w="3485" w:type="dxa"/>
            <w:tcBorders>
              <w:tl2br w:val="nil"/>
              <w:tr2bl w:val="nil"/>
            </w:tcBorders>
            <w:shd w:val="clear" w:color="auto" w:fill="auto"/>
            <w:vAlign w:val="center"/>
          </w:tcPr>
          <w:p>
            <w:pPr>
              <w:pStyle w:val="80"/>
              <w:rPr>
                <w:rFonts w:ascii="Times New Roman" w:hAnsi="Times New Roman" w:cs="Times New Roman"/>
                <w:b/>
                <w:sz w:val="21"/>
                <w:szCs w:val="21"/>
              </w:rPr>
            </w:pPr>
            <w:r>
              <w:rPr>
                <w:rFonts w:hint="eastAsia" w:ascii="Times New Roman" w:hAnsi="Times New Roman" w:cs="Times New Roman"/>
                <w:b/>
                <w:sz w:val="21"/>
                <w:szCs w:val="21"/>
              </w:rPr>
              <w:t>评估结果</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trPr>
        <w:tc>
          <w:tcPr>
            <w:tcW w:w="1546" w:type="dxa"/>
            <w:tcBorders>
              <w:tl2br w:val="nil"/>
              <w:tr2bl w:val="nil"/>
            </w:tcBorders>
            <w:shd w:val="clear" w:color="auto" w:fill="auto"/>
            <w:vAlign w:val="center"/>
          </w:tcPr>
          <w:p>
            <w:pPr>
              <w:pStyle w:val="80"/>
              <w:rPr>
                <w:rFonts w:ascii="Times New Roman" w:hAnsi="Times New Roman" w:cs="Times New Roman"/>
                <w:sz w:val="21"/>
                <w:szCs w:val="21"/>
              </w:rPr>
            </w:pPr>
            <w:r>
              <w:rPr>
                <w:rFonts w:hint="eastAsia" w:ascii="Times New Roman" w:hAnsi="Times New Roman" w:cs="Times New Roman"/>
                <w:sz w:val="21"/>
                <w:szCs w:val="21"/>
              </w:rPr>
              <w:t>固定源</w:t>
            </w:r>
          </w:p>
        </w:tc>
        <w:tc>
          <w:tcPr>
            <w:tcW w:w="1551" w:type="dxa"/>
            <w:tcBorders>
              <w:tl2br w:val="nil"/>
              <w:tr2bl w:val="nil"/>
            </w:tcBorders>
            <w:shd w:val="clear" w:color="auto" w:fill="auto"/>
            <w:vAlign w:val="center"/>
          </w:tcPr>
          <w:p>
            <w:pPr>
              <w:pStyle w:val="80"/>
              <w:rPr>
                <w:rFonts w:ascii="Times New Roman" w:hAnsi="Times New Roman" w:cs="Times New Roman"/>
                <w:sz w:val="21"/>
                <w:szCs w:val="21"/>
              </w:rPr>
            </w:pPr>
            <w:r>
              <w:rPr>
                <w:rFonts w:hint="eastAsia" w:ascii="Times New Roman" w:hAnsi="Times New Roman" w:cs="Times New Roman"/>
                <w:sz w:val="21"/>
                <w:szCs w:val="21"/>
              </w:rPr>
              <w:t>5</w:t>
            </w:r>
          </w:p>
        </w:tc>
        <w:tc>
          <w:tcPr>
            <w:tcW w:w="1940" w:type="dxa"/>
            <w:tcBorders>
              <w:tl2br w:val="nil"/>
              <w:tr2bl w:val="nil"/>
            </w:tcBorders>
            <w:shd w:val="clear" w:color="auto" w:fill="auto"/>
            <w:vAlign w:val="center"/>
          </w:tcPr>
          <w:p>
            <w:pPr>
              <w:pStyle w:val="80"/>
              <w:rPr>
                <w:rFonts w:ascii="Times New Roman" w:hAnsi="Times New Roman" w:cs="Times New Roman"/>
                <w:sz w:val="21"/>
                <w:szCs w:val="21"/>
              </w:rPr>
            </w:pPr>
            <w:r>
              <w:rPr>
                <w:rFonts w:hint="eastAsia" w:ascii="Times New Roman" w:hAnsi="Times New Roman" w:cs="Times New Roman"/>
                <w:color w:val="000000" w:themeColor="text1"/>
                <w:sz w:val="21"/>
                <w:szCs w:val="21"/>
              </w:rPr>
              <w:t xml:space="preserve"> 3&lt;</w:t>
            </w:r>
            <w:r>
              <w:rPr>
                <w:rFonts w:hint="eastAsia" w:ascii="Times New Roman" w:hAnsi="Times New Roman" w:cs="Times New Roman"/>
                <w:i/>
                <w:sz w:val="21"/>
                <w:szCs w:val="21"/>
              </w:rPr>
              <w:t>R</w:t>
            </w:r>
            <w:r>
              <w:rPr>
                <w:rFonts w:hint="eastAsia" w:ascii="Times New Roman" w:hAnsi="Times New Roman" w:cs="Times New Roman"/>
                <w:i/>
                <w:sz w:val="21"/>
                <w:szCs w:val="21"/>
                <w:vertAlign w:val="subscript"/>
              </w:rPr>
              <w:t>p</w:t>
            </w:r>
            <w:r>
              <w:rPr>
                <w:rFonts w:hint="eastAsia" w:ascii="Times New Roman" w:hAnsi="Times New Roman" w:cs="Times New Roman"/>
                <w:sz w:val="21"/>
                <w:szCs w:val="21"/>
              </w:rPr>
              <w:t>≤7</w:t>
            </w:r>
          </w:p>
        </w:tc>
        <w:tc>
          <w:tcPr>
            <w:tcW w:w="3485" w:type="dxa"/>
            <w:tcBorders>
              <w:tl2br w:val="nil"/>
              <w:tr2bl w:val="nil"/>
            </w:tcBorders>
            <w:shd w:val="clear" w:color="auto" w:fill="auto"/>
            <w:vAlign w:val="center"/>
          </w:tcPr>
          <w:p>
            <w:pPr>
              <w:pStyle w:val="80"/>
              <w:rPr>
                <w:rFonts w:ascii="Times New Roman" w:hAnsi="Times New Roman" w:cs="Times New Roman"/>
                <w:sz w:val="21"/>
                <w:szCs w:val="21"/>
              </w:rPr>
            </w:pPr>
            <w:r>
              <w:rPr>
                <w:rFonts w:hint="eastAsia" w:ascii="Times New Roman" w:hAnsi="Times New Roman" w:cs="Times New Roman"/>
                <w:sz w:val="21"/>
                <w:szCs w:val="21"/>
              </w:rPr>
              <w:t>应采取风险防范措施</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trPr>
        <w:tc>
          <w:tcPr>
            <w:tcW w:w="1546" w:type="dxa"/>
            <w:tcBorders>
              <w:tl2br w:val="nil"/>
              <w:tr2bl w:val="nil"/>
            </w:tcBorders>
            <w:shd w:val="clear" w:color="auto" w:fill="auto"/>
            <w:vAlign w:val="center"/>
          </w:tcPr>
          <w:p>
            <w:pPr>
              <w:pStyle w:val="80"/>
              <w:rPr>
                <w:rFonts w:ascii="Times New Roman" w:hAnsi="Times New Roman" w:cs="Times New Roman"/>
                <w:sz w:val="21"/>
                <w:szCs w:val="21"/>
              </w:rPr>
            </w:pPr>
            <w:r>
              <w:rPr>
                <w:rFonts w:hint="eastAsia" w:ascii="Times New Roman" w:hAnsi="Times New Roman" w:cs="Times New Roman"/>
                <w:sz w:val="21"/>
                <w:szCs w:val="21"/>
              </w:rPr>
              <w:t>流动源</w:t>
            </w:r>
          </w:p>
        </w:tc>
        <w:tc>
          <w:tcPr>
            <w:tcW w:w="1551" w:type="dxa"/>
            <w:tcBorders>
              <w:tl2br w:val="nil"/>
              <w:tr2bl w:val="nil"/>
            </w:tcBorders>
            <w:shd w:val="clear" w:color="auto" w:fill="auto"/>
            <w:vAlign w:val="center"/>
          </w:tcPr>
          <w:p>
            <w:pPr>
              <w:pStyle w:val="80"/>
              <w:rPr>
                <w:rFonts w:ascii="Times New Roman" w:hAnsi="Times New Roman" w:cs="Times New Roman"/>
                <w:sz w:val="21"/>
                <w:szCs w:val="21"/>
              </w:rPr>
            </w:pPr>
            <w:r>
              <w:rPr>
                <w:rFonts w:hint="eastAsia" w:ascii="Times New Roman" w:hAnsi="Times New Roman" w:cs="Times New Roman"/>
                <w:sz w:val="21"/>
                <w:szCs w:val="21"/>
              </w:rPr>
              <w:t>19</w:t>
            </w:r>
          </w:p>
        </w:tc>
        <w:tc>
          <w:tcPr>
            <w:tcW w:w="1940" w:type="dxa"/>
            <w:tcBorders>
              <w:tl2br w:val="nil"/>
              <w:tr2bl w:val="nil"/>
            </w:tcBorders>
            <w:shd w:val="clear" w:color="auto" w:fill="auto"/>
            <w:vAlign w:val="center"/>
          </w:tcPr>
          <w:p>
            <w:pPr>
              <w:pStyle w:val="80"/>
              <w:rPr>
                <w:rFonts w:ascii="Times New Roman" w:hAnsi="Times New Roman" w:cs="Times New Roman"/>
                <w:sz w:val="21"/>
                <w:szCs w:val="21"/>
              </w:rPr>
            </w:pPr>
            <w:r>
              <w:rPr>
                <w:rFonts w:hint="eastAsia" w:ascii="Times New Roman" w:hAnsi="Times New Roman" w:cs="Times New Roman"/>
                <w:i/>
                <w:sz w:val="21"/>
                <w:szCs w:val="21"/>
              </w:rPr>
              <w:t>R</w:t>
            </w:r>
            <w:r>
              <w:rPr>
                <w:rFonts w:hint="eastAsia" w:ascii="Times New Roman" w:hAnsi="Times New Roman" w:cs="Times New Roman"/>
                <w:i/>
                <w:sz w:val="21"/>
                <w:szCs w:val="21"/>
                <w:vertAlign w:val="subscript"/>
              </w:rPr>
              <w:t>f</w:t>
            </w:r>
            <w:r>
              <w:rPr>
                <w:rFonts w:hint="eastAsia" w:ascii="Times New Roman" w:hAnsi="Times New Roman" w:cs="Times New Roman"/>
                <w:color w:val="000000" w:themeColor="text1"/>
                <w:sz w:val="21"/>
                <w:szCs w:val="21"/>
              </w:rPr>
              <w:t xml:space="preserve">&gt;9 </w:t>
            </w:r>
          </w:p>
        </w:tc>
        <w:tc>
          <w:tcPr>
            <w:tcW w:w="3485" w:type="dxa"/>
            <w:tcBorders>
              <w:tl2br w:val="nil"/>
              <w:tr2bl w:val="nil"/>
            </w:tcBorders>
            <w:shd w:val="clear" w:color="auto" w:fill="auto"/>
            <w:vAlign w:val="center"/>
          </w:tcPr>
          <w:p>
            <w:pPr>
              <w:pStyle w:val="80"/>
              <w:rPr>
                <w:rFonts w:ascii="Times New Roman" w:hAnsi="Times New Roman" w:cs="Times New Roman"/>
                <w:sz w:val="21"/>
                <w:szCs w:val="21"/>
              </w:rPr>
            </w:pPr>
            <w:r>
              <w:rPr>
                <w:rFonts w:hint="eastAsia" w:ascii="Times New Roman" w:hAnsi="Times New Roman" w:cs="Times New Roman"/>
                <w:sz w:val="21"/>
                <w:szCs w:val="21"/>
              </w:rPr>
              <w:t>应采取风险应急措施</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trPr>
        <w:tc>
          <w:tcPr>
            <w:tcW w:w="1546" w:type="dxa"/>
            <w:tcBorders>
              <w:tl2br w:val="nil"/>
              <w:tr2bl w:val="nil"/>
            </w:tcBorders>
            <w:shd w:val="clear" w:color="auto" w:fill="auto"/>
            <w:vAlign w:val="center"/>
          </w:tcPr>
          <w:p>
            <w:pPr>
              <w:pStyle w:val="80"/>
              <w:rPr>
                <w:rFonts w:ascii="Times New Roman" w:hAnsi="Times New Roman" w:cs="Times New Roman"/>
                <w:sz w:val="21"/>
                <w:szCs w:val="21"/>
              </w:rPr>
            </w:pPr>
            <w:r>
              <w:rPr>
                <w:rFonts w:hint="eastAsia" w:ascii="Times New Roman" w:hAnsi="Times New Roman" w:cs="Times New Roman"/>
                <w:sz w:val="21"/>
                <w:szCs w:val="21"/>
              </w:rPr>
              <w:t>非点源</w:t>
            </w:r>
          </w:p>
        </w:tc>
        <w:tc>
          <w:tcPr>
            <w:tcW w:w="1551" w:type="dxa"/>
            <w:tcBorders>
              <w:tl2br w:val="nil"/>
              <w:tr2bl w:val="nil"/>
            </w:tcBorders>
            <w:shd w:val="clear" w:color="auto" w:fill="auto"/>
            <w:vAlign w:val="center"/>
          </w:tcPr>
          <w:p>
            <w:pPr>
              <w:pStyle w:val="80"/>
              <w:rPr>
                <w:rFonts w:ascii="Times New Roman" w:hAnsi="Times New Roman" w:cs="Times New Roman"/>
                <w:sz w:val="21"/>
                <w:szCs w:val="21"/>
              </w:rPr>
            </w:pPr>
            <w:r>
              <w:rPr>
                <w:rFonts w:hint="eastAsia" w:ascii="Times New Roman" w:hAnsi="Times New Roman" w:cs="Times New Roman"/>
                <w:sz w:val="21"/>
                <w:szCs w:val="21"/>
              </w:rPr>
              <w:t>15</w:t>
            </w:r>
          </w:p>
        </w:tc>
        <w:tc>
          <w:tcPr>
            <w:tcW w:w="1940" w:type="dxa"/>
            <w:tcBorders>
              <w:tl2br w:val="nil"/>
              <w:tr2bl w:val="nil"/>
            </w:tcBorders>
            <w:shd w:val="clear" w:color="auto" w:fill="auto"/>
            <w:vAlign w:val="center"/>
          </w:tcPr>
          <w:p>
            <w:pPr>
              <w:pStyle w:val="80"/>
              <w:rPr>
                <w:rFonts w:ascii="Times New Roman" w:hAnsi="Times New Roman" w:cs="Times New Roman"/>
                <w:sz w:val="21"/>
                <w:szCs w:val="21"/>
              </w:rPr>
            </w:pPr>
            <w:r>
              <w:rPr>
                <w:rFonts w:hint="eastAsia" w:ascii="Times New Roman" w:hAnsi="Times New Roman" w:cs="Times New Roman"/>
                <w:i/>
                <w:sz w:val="21"/>
                <w:szCs w:val="21"/>
              </w:rPr>
              <w:t>R</w:t>
            </w:r>
            <w:r>
              <w:rPr>
                <w:rFonts w:hint="eastAsia" w:ascii="Times New Roman" w:hAnsi="Times New Roman" w:cs="Times New Roman"/>
                <w:i/>
                <w:sz w:val="21"/>
                <w:szCs w:val="21"/>
                <w:vertAlign w:val="subscript"/>
              </w:rPr>
              <w:t>f</w:t>
            </w:r>
            <w:r>
              <w:rPr>
                <w:rFonts w:hint="eastAsia" w:ascii="Times New Roman" w:hAnsi="Times New Roman" w:cs="Times New Roman"/>
                <w:color w:val="000000" w:themeColor="text1"/>
                <w:sz w:val="21"/>
                <w:szCs w:val="21"/>
              </w:rPr>
              <w:t xml:space="preserve">&gt;9 </w:t>
            </w:r>
          </w:p>
        </w:tc>
        <w:tc>
          <w:tcPr>
            <w:tcW w:w="3485" w:type="dxa"/>
            <w:tcBorders>
              <w:tl2br w:val="nil"/>
              <w:tr2bl w:val="nil"/>
            </w:tcBorders>
            <w:shd w:val="clear" w:color="auto" w:fill="auto"/>
            <w:vAlign w:val="center"/>
          </w:tcPr>
          <w:p>
            <w:pPr>
              <w:pStyle w:val="80"/>
              <w:rPr>
                <w:rFonts w:ascii="Times New Roman" w:hAnsi="Times New Roman" w:cs="Times New Roman"/>
                <w:sz w:val="21"/>
                <w:szCs w:val="21"/>
              </w:rPr>
            </w:pPr>
            <w:r>
              <w:rPr>
                <w:rFonts w:hint="eastAsia" w:ascii="Times New Roman" w:hAnsi="Times New Roman" w:cs="Times New Roman"/>
                <w:sz w:val="21"/>
                <w:szCs w:val="21"/>
              </w:rPr>
              <w:t>应采取风险应急措施</w:t>
            </w:r>
          </w:p>
        </w:tc>
      </w:tr>
    </w:tbl>
    <w:p>
      <w:pPr>
        <w:rPr>
          <w:bCs/>
          <w:color w:val="000000" w:themeColor="text1"/>
        </w:rPr>
      </w:pPr>
      <w:r>
        <w:rPr>
          <w:rFonts w:hint="eastAsia"/>
          <w:bCs/>
          <w:color w:val="000000" w:themeColor="text1"/>
        </w:rPr>
        <w:t>结论：岳阳市饮用水源保护区（铁山水库-北干渠-金凤水库）范围内</w:t>
      </w:r>
      <w:r>
        <w:rPr>
          <w:bCs/>
          <w:color w:val="000000" w:themeColor="text1"/>
        </w:rPr>
        <w:t>R</w:t>
      </w:r>
      <w:r>
        <w:rPr>
          <w:bCs/>
          <w:color w:val="000000" w:themeColor="text1"/>
          <w:vertAlign w:val="subscript"/>
        </w:rPr>
        <w:t>p</w:t>
      </w:r>
      <w:r>
        <w:rPr>
          <w:rFonts w:hint="eastAsia"/>
          <w:bCs/>
          <w:color w:val="000000" w:themeColor="text1"/>
        </w:rPr>
        <w:t>值为5、</w:t>
      </w:r>
      <w:r>
        <w:rPr>
          <w:bCs/>
          <w:color w:val="000000" w:themeColor="text1"/>
        </w:rPr>
        <w:t>R</w:t>
      </w:r>
      <w:r>
        <w:rPr>
          <w:bCs/>
          <w:color w:val="000000" w:themeColor="text1"/>
          <w:vertAlign w:val="subscript"/>
        </w:rPr>
        <w:t>f</w:t>
      </w:r>
      <w:r>
        <w:rPr>
          <w:rFonts w:hint="eastAsia"/>
          <w:bCs/>
          <w:color w:val="000000" w:themeColor="text1"/>
        </w:rPr>
        <w:t>值为19、</w:t>
      </w:r>
      <w:r>
        <w:rPr>
          <w:bCs/>
          <w:color w:val="000000" w:themeColor="text1"/>
        </w:rPr>
        <w:t>R</w:t>
      </w:r>
      <w:r>
        <w:rPr>
          <w:bCs/>
          <w:color w:val="000000" w:themeColor="text1"/>
          <w:vertAlign w:val="subscript"/>
        </w:rPr>
        <w:t>y</w:t>
      </w:r>
      <w:r>
        <w:rPr>
          <w:rFonts w:hint="eastAsia"/>
          <w:bCs/>
          <w:color w:val="000000" w:themeColor="text1"/>
        </w:rPr>
        <w:t>值为15；对照上述环境风险值可接受程度分析可知，岳阳市饮用水源保护区（铁山水库-北干渠-金凤水库）需要采取相应的环境风险应急措施。</w:t>
      </w:r>
    </w:p>
    <w:p>
      <w:pPr>
        <w:pStyle w:val="3"/>
        <w:rPr>
          <w:rStyle w:val="62"/>
          <w:color w:val="000000" w:themeColor="text1"/>
        </w:rPr>
      </w:pPr>
      <w:bookmarkStart w:id="308" w:name="_Toc535851346"/>
      <w:r>
        <w:rPr>
          <w:rStyle w:val="62"/>
          <w:color w:val="000000" w:themeColor="text1"/>
        </w:rPr>
        <w:t>4.</w:t>
      </w:r>
      <w:r>
        <w:rPr>
          <w:rStyle w:val="62"/>
          <w:rFonts w:hint="eastAsia"/>
          <w:color w:val="000000" w:themeColor="text1"/>
        </w:rPr>
        <w:t>3</w:t>
      </w:r>
      <w:r>
        <w:rPr>
          <w:rStyle w:val="62"/>
          <w:color w:val="000000" w:themeColor="text1"/>
        </w:rPr>
        <w:t>环境风险</w:t>
      </w:r>
      <w:r>
        <w:rPr>
          <w:rStyle w:val="62"/>
          <w:rFonts w:hint="eastAsia"/>
          <w:color w:val="000000" w:themeColor="text1"/>
        </w:rPr>
        <w:t>事件分析</w:t>
      </w:r>
      <w:bookmarkEnd w:id="308"/>
    </w:p>
    <w:p>
      <w:pPr>
        <w:pStyle w:val="5"/>
        <w:rPr>
          <w:color w:val="000000" w:themeColor="text1"/>
        </w:rPr>
      </w:pPr>
      <w:r>
        <w:rPr>
          <w:color w:val="000000" w:themeColor="text1"/>
        </w:rPr>
        <w:t>4.</w:t>
      </w:r>
      <w:r>
        <w:rPr>
          <w:rFonts w:hint="eastAsia"/>
          <w:color w:val="000000" w:themeColor="text1"/>
        </w:rPr>
        <w:t>3</w:t>
      </w:r>
      <w:r>
        <w:rPr>
          <w:color w:val="000000" w:themeColor="text1"/>
        </w:rPr>
        <w:t>.</w:t>
      </w:r>
      <w:r>
        <w:rPr>
          <w:rFonts w:hint="eastAsia"/>
          <w:color w:val="000000" w:themeColor="text1"/>
        </w:rPr>
        <w:t>1固定风险源泄漏突发环境事件分析</w:t>
      </w:r>
    </w:p>
    <w:p>
      <w:r>
        <w:t>油品泄漏事件情景分析</w:t>
      </w:r>
    </w:p>
    <w:p>
      <w:pPr>
        <w:autoSpaceDE w:val="0"/>
        <w:autoSpaceDN w:val="0"/>
        <w:adjustRightInd w:val="0"/>
        <w:ind w:firstLine="477" w:firstLineChars="199"/>
        <w:jc w:val="left"/>
        <w:rPr>
          <w:color w:val="000000" w:themeColor="text1"/>
        </w:rPr>
      </w:pPr>
      <w:r>
        <w:rPr>
          <w:rFonts w:hint="eastAsia"/>
          <w:color w:val="000000" w:themeColor="text1"/>
        </w:rPr>
        <w:t>根据相关文献资料关于国内外溢流事故的统计资料分析，近岸固定风险源多发生小于规模的溢油事故，大规模事故泄漏比较少见。本预案假设10min的时间，运输40t的油品运输车辆在最不利情况下即管道破裂考虑，采</w:t>
      </w:r>
      <w:r>
        <w:rPr>
          <w:color w:val="000000" w:themeColor="text1"/>
        </w:rPr>
        <w:t>用伯努利方程计算</w:t>
      </w:r>
      <w:r>
        <w:rPr>
          <w:rFonts w:hint="eastAsia"/>
          <w:color w:val="000000" w:themeColor="text1"/>
        </w:rPr>
        <w:t>最大漏油量为3t。</w:t>
      </w:r>
    </w:p>
    <w:p>
      <w:pPr>
        <w:autoSpaceDE w:val="0"/>
        <w:autoSpaceDN w:val="0"/>
        <w:adjustRightInd w:val="0"/>
        <w:jc w:val="left"/>
        <w:rPr>
          <w:color w:val="000000" w:themeColor="text1"/>
        </w:rPr>
      </w:pPr>
      <w:r>
        <w:rPr>
          <w:rFonts w:hint="eastAsia"/>
          <w:color w:val="000000" w:themeColor="text1"/>
        </w:rPr>
        <w:t>参考FAY的研究成果，在无干扰的条件下，油在水面的分散呈圆形，溢流的最大面积为：</w:t>
      </w:r>
    </w:p>
    <w:p>
      <w:pPr>
        <w:autoSpaceDE w:val="0"/>
        <w:autoSpaceDN w:val="0"/>
        <w:adjustRightInd w:val="0"/>
        <w:ind w:firstLine="482"/>
        <w:jc w:val="center"/>
        <w:rPr>
          <w:b/>
          <w:color w:val="000000" w:themeColor="text1"/>
        </w:rPr>
      </w:pPr>
      <w:r>
        <w:rPr>
          <w:rFonts w:hint="eastAsia"/>
          <w:b/>
          <w:color w:val="000000" w:themeColor="text1"/>
        </w:rPr>
        <w:drawing>
          <wp:inline distT="0" distB="0" distL="0" distR="0">
            <wp:extent cx="3302635" cy="1074420"/>
            <wp:effectExtent l="19050" t="0" r="0" b="0"/>
            <wp:docPr id="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18"/>
                    <pic:cNvPicPr>
                      <a:picLocks noChangeAspect="1" noChangeArrowheads="1"/>
                    </pic:cNvPicPr>
                  </pic:nvPicPr>
                  <pic:blipFill>
                    <a:blip r:embed="rId38" cstate="print"/>
                    <a:srcRect/>
                    <a:stretch>
                      <a:fillRect/>
                    </a:stretch>
                  </pic:blipFill>
                  <pic:spPr>
                    <a:xfrm>
                      <a:off x="0" y="0"/>
                      <a:ext cx="3302635" cy="1074420"/>
                    </a:xfrm>
                    <a:prstGeom prst="rect">
                      <a:avLst/>
                    </a:prstGeom>
                    <a:noFill/>
                    <a:ln w="9525">
                      <a:noFill/>
                      <a:miter lim="800000"/>
                      <a:headEnd/>
                      <a:tailEnd/>
                    </a:ln>
                  </pic:spPr>
                </pic:pic>
              </a:graphicData>
            </a:graphic>
          </wp:inline>
        </w:drawing>
      </w:r>
    </w:p>
    <w:p>
      <w:pPr>
        <w:autoSpaceDE w:val="0"/>
        <w:autoSpaceDN w:val="0"/>
        <w:adjustRightInd w:val="0"/>
        <w:jc w:val="left"/>
        <w:rPr>
          <w:color w:val="000000" w:themeColor="text1"/>
        </w:rPr>
      </w:pPr>
      <w:r>
        <w:rPr>
          <w:rFonts w:hint="eastAsia"/>
          <w:color w:val="000000" w:themeColor="text1"/>
        </w:rPr>
        <w:t>油入水后很快扩散成油膜，然后在水流、风流作用下产生漂移，同时溢油本身扩散的等效圆油膜继续扩散，因此，溢油污染范围就是这个不断扩大的等效圆油膜所经过的水域面积。漂移与扩展不同，它与油量无关，漂移大小通常以油膜等效圆中心位移来判断。油膜中心漂移速度为：</w:t>
      </w:r>
    </w:p>
    <w:p>
      <w:pPr>
        <w:autoSpaceDE w:val="0"/>
        <w:autoSpaceDN w:val="0"/>
        <w:adjustRightInd w:val="0"/>
        <w:ind w:firstLine="482"/>
        <w:jc w:val="center"/>
        <w:rPr>
          <w:b/>
          <w:color w:val="000000" w:themeColor="text1"/>
        </w:rPr>
      </w:pPr>
      <w:r>
        <w:rPr>
          <w:rFonts w:hint="eastAsia"/>
          <w:b/>
          <w:color w:val="000000" w:themeColor="text1"/>
        </w:rPr>
        <w:drawing>
          <wp:inline distT="0" distB="0" distL="0" distR="0">
            <wp:extent cx="3249295" cy="843280"/>
            <wp:effectExtent l="19050" t="0" r="8255" b="0"/>
            <wp:docPr id="13"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9"/>
                    <pic:cNvPicPr>
                      <a:picLocks noChangeAspect="1" noChangeArrowheads="1"/>
                    </pic:cNvPicPr>
                  </pic:nvPicPr>
                  <pic:blipFill>
                    <a:blip r:embed="rId39" cstate="print"/>
                    <a:srcRect/>
                    <a:stretch>
                      <a:fillRect/>
                    </a:stretch>
                  </pic:blipFill>
                  <pic:spPr>
                    <a:xfrm>
                      <a:off x="0" y="0"/>
                      <a:ext cx="3249295" cy="843280"/>
                    </a:xfrm>
                    <a:prstGeom prst="rect">
                      <a:avLst/>
                    </a:prstGeom>
                    <a:noFill/>
                    <a:ln w="9525">
                      <a:noFill/>
                      <a:miter lim="800000"/>
                      <a:headEnd/>
                      <a:tailEnd/>
                    </a:ln>
                  </pic:spPr>
                </pic:pic>
              </a:graphicData>
            </a:graphic>
          </wp:inline>
        </w:drawing>
      </w:r>
    </w:p>
    <w:p>
      <w:pPr>
        <w:autoSpaceDE w:val="0"/>
        <w:autoSpaceDN w:val="0"/>
        <w:adjustRightInd w:val="0"/>
        <w:jc w:val="left"/>
        <w:rPr>
          <w:color w:val="000000" w:themeColor="text1"/>
        </w:rPr>
      </w:pPr>
      <w:r>
        <w:rPr>
          <w:rFonts w:hint="eastAsia"/>
          <w:color w:val="000000" w:themeColor="text1"/>
        </w:rPr>
        <w:t>采用溢油覆盖水面的面积和油膜厚度作为环境污染范围和程度的评价指标，具体如下表4-12。按照泄漏量的10%、50%、100%，得到的3种溢油量对应的油膜面积和厚度如下表4-13，油膜的漂移距离与时间的关系如下表4-14。</w:t>
      </w:r>
    </w:p>
    <w:p>
      <w:pPr>
        <w:autoSpaceDE w:val="0"/>
        <w:autoSpaceDN w:val="0"/>
        <w:adjustRightInd w:val="0"/>
        <w:ind w:firstLine="0" w:firstLineChars="0"/>
        <w:jc w:val="center"/>
        <w:rPr>
          <w:b/>
          <w:color w:val="000000" w:themeColor="text1"/>
          <w:sz w:val="21"/>
          <w:szCs w:val="21"/>
        </w:rPr>
      </w:pPr>
      <w:r>
        <w:rPr>
          <w:rFonts w:hint="eastAsia"/>
          <w:b/>
          <w:color w:val="000000" w:themeColor="text1"/>
          <w:sz w:val="21"/>
          <w:szCs w:val="21"/>
        </w:rPr>
        <w:t>表4-12   溢油水体污染影响程度评价指标</w:t>
      </w:r>
    </w:p>
    <w:tbl>
      <w:tblPr>
        <w:tblStyle w:val="47"/>
        <w:tblW w:w="8522" w:type="dxa"/>
        <w:tblInd w:w="0" w:type="dxa"/>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
      <w:tblGrid>
        <w:gridCol w:w="1411"/>
        <w:gridCol w:w="2250"/>
        <w:gridCol w:w="2400"/>
        <w:gridCol w:w="2461"/>
      </w:tblGrid>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trPr>
        <w:tc>
          <w:tcPr>
            <w:tcW w:w="1411" w:type="dxa"/>
            <w:tcBorders>
              <w:tl2br w:val="nil"/>
              <w:tr2bl w:val="nil"/>
            </w:tcBorders>
            <w:vAlign w:val="center"/>
          </w:tcPr>
          <w:p>
            <w:pPr>
              <w:widowControl/>
              <w:snapToGrid w:val="0"/>
              <w:spacing w:line="240" w:lineRule="auto"/>
              <w:ind w:firstLine="0" w:firstLineChars="0"/>
              <w:jc w:val="center"/>
              <w:rPr>
                <w:b/>
                <w:bCs/>
                <w:color w:val="000000" w:themeColor="text1"/>
                <w:kern w:val="0"/>
                <w:sz w:val="21"/>
                <w:szCs w:val="21"/>
              </w:rPr>
            </w:pPr>
            <w:r>
              <w:rPr>
                <w:rFonts w:hint="eastAsia"/>
                <w:b/>
                <w:bCs/>
                <w:color w:val="000000" w:themeColor="text1"/>
                <w:kern w:val="0"/>
                <w:sz w:val="21"/>
                <w:szCs w:val="21"/>
              </w:rPr>
              <w:t>序号</w:t>
            </w:r>
          </w:p>
        </w:tc>
        <w:tc>
          <w:tcPr>
            <w:tcW w:w="2250" w:type="dxa"/>
            <w:tcBorders>
              <w:tl2br w:val="nil"/>
              <w:tr2bl w:val="nil"/>
            </w:tcBorders>
            <w:vAlign w:val="center"/>
          </w:tcPr>
          <w:p>
            <w:pPr>
              <w:widowControl/>
              <w:snapToGrid w:val="0"/>
              <w:spacing w:line="240" w:lineRule="auto"/>
              <w:ind w:firstLine="0" w:firstLineChars="0"/>
              <w:jc w:val="center"/>
              <w:rPr>
                <w:b/>
                <w:bCs/>
                <w:color w:val="000000" w:themeColor="text1"/>
                <w:kern w:val="0"/>
                <w:sz w:val="21"/>
                <w:szCs w:val="21"/>
              </w:rPr>
            </w:pPr>
            <w:r>
              <w:rPr>
                <w:rFonts w:hint="eastAsia"/>
                <w:b/>
                <w:bCs/>
                <w:color w:val="000000" w:themeColor="text1"/>
                <w:kern w:val="0"/>
                <w:sz w:val="21"/>
                <w:szCs w:val="21"/>
              </w:rPr>
              <w:t>污染程度</w:t>
            </w:r>
          </w:p>
        </w:tc>
        <w:tc>
          <w:tcPr>
            <w:tcW w:w="2400" w:type="dxa"/>
            <w:tcBorders>
              <w:tl2br w:val="nil"/>
              <w:tr2bl w:val="nil"/>
            </w:tcBorders>
            <w:vAlign w:val="center"/>
          </w:tcPr>
          <w:p>
            <w:pPr>
              <w:widowControl/>
              <w:snapToGrid w:val="0"/>
              <w:spacing w:line="240" w:lineRule="auto"/>
              <w:ind w:firstLine="0" w:firstLineChars="0"/>
              <w:jc w:val="center"/>
              <w:rPr>
                <w:b/>
                <w:bCs/>
                <w:color w:val="000000" w:themeColor="text1"/>
                <w:kern w:val="0"/>
                <w:sz w:val="21"/>
                <w:szCs w:val="21"/>
              </w:rPr>
            </w:pPr>
            <w:r>
              <w:rPr>
                <w:rFonts w:hint="eastAsia"/>
                <w:b/>
                <w:bCs/>
                <w:color w:val="000000" w:themeColor="text1"/>
                <w:kern w:val="0"/>
                <w:sz w:val="21"/>
                <w:szCs w:val="21"/>
              </w:rPr>
              <w:t>水面油膜厚度um</w:t>
            </w:r>
          </w:p>
        </w:tc>
        <w:tc>
          <w:tcPr>
            <w:tcW w:w="2461" w:type="dxa"/>
            <w:tcBorders>
              <w:tl2br w:val="nil"/>
              <w:tr2bl w:val="nil"/>
            </w:tcBorders>
            <w:vAlign w:val="center"/>
          </w:tcPr>
          <w:p>
            <w:pPr>
              <w:widowControl/>
              <w:snapToGrid w:val="0"/>
              <w:spacing w:line="240" w:lineRule="auto"/>
              <w:ind w:firstLine="0" w:firstLineChars="0"/>
              <w:jc w:val="center"/>
              <w:rPr>
                <w:b/>
                <w:bCs/>
                <w:color w:val="000000" w:themeColor="text1"/>
                <w:kern w:val="0"/>
                <w:sz w:val="21"/>
                <w:szCs w:val="21"/>
              </w:rPr>
            </w:pPr>
            <w:r>
              <w:rPr>
                <w:rFonts w:hint="eastAsia"/>
                <w:b/>
                <w:bCs/>
                <w:color w:val="000000" w:themeColor="text1"/>
                <w:kern w:val="0"/>
                <w:sz w:val="21"/>
                <w:szCs w:val="21"/>
              </w:rPr>
              <w:t>水面油膜面积km</w:t>
            </w:r>
            <w:r>
              <w:rPr>
                <w:rFonts w:hint="eastAsia"/>
                <w:b/>
                <w:bCs/>
                <w:color w:val="000000" w:themeColor="text1"/>
                <w:kern w:val="0"/>
                <w:sz w:val="21"/>
                <w:szCs w:val="21"/>
                <w:vertAlign w:val="superscript"/>
              </w:rPr>
              <w:t>2</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trPr>
        <w:tc>
          <w:tcPr>
            <w:tcW w:w="1411" w:type="dxa"/>
            <w:tcBorders>
              <w:tl2br w:val="nil"/>
              <w:tr2bl w:val="nil"/>
            </w:tcBorders>
            <w:vAlign w:val="center"/>
          </w:tcPr>
          <w:p>
            <w:pPr>
              <w:widowControl/>
              <w:snapToGrid w:val="0"/>
              <w:spacing w:line="240" w:lineRule="auto"/>
              <w:ind w:firstLine="0" w:firstLineChars="0"/>
              <w:jc w:val="center"/>
              <w:rPr>
                <w:color w:val="000000" w:themeColor="text1"/>
                <w:kern w:val="0"/>
                <w:sz w:val="21"/>
                <w:szCs w:val="21"/>
              </w:rPr>
            </w:pPr>
            <w:r>
              <w:rPr>
                <w:rFonts w:hint="eastAsia"/>
                <w:color w:val="000000" w:themeColor="text1"/>
                <w:kern w:val="0"/>
                <w:sz w:val="21"/>
                <w:szCs w:val="21"/>
              </w:rPr>
              <w:t>1</w:t>
            </w:r>
          </w:p>
        </w:tc>
        <w:tc>
          <w:tcPr>
            <w:tcW w:w="2250" w:type="dxa"/>
            <w:tcBorders>
              <w:tl2br w:val="nil"/>
              <w:tr2bl w:val="nil"/>
            </w:tcBorders>
            <w:vAlign w:val="center"/>
          </w:tcPr>
          <w:p>
            <w:pPr>
              <w:widowControl/>
              <w:snapToGrid w:val="0"/>
              <w:spacing w:line="240" w:lineRule="auto"/>
              <w:ind w:firstLine="0" w:firstLineChars="0"/>
              <w:jc w:val="center"/>
              <w:rPr>
                <w:color w:val="000000" w:themeColor="text1"/>
                <w:kern w:val="0"/>
                <w:sz w:val="21"/>
                <w:szCs w:val="21"/>
              </w:rPr>
            </w:pPr>
            <w:r>
              <w:rPr>
                <w:rFonts w:hint="eastAsia"/>
                <w:color w:val="000000" w:themeColor="text1"/>
                <w:kern w:val="0"/>
                <w:sz w:val="21"/>
                <w:szCs w:val="21"/>
              </w:rPr>
              <w:t>极重污染</w:t>
            </w:r>
          </w:p>
        </w:tc>
        <w:tc>
          <w:tcPr>
            <w:tcW w:w="2400" w:type="dxa"/>
            <w:tcBorders>
              <w:tl2br w:val="nil"/>
              <w:tr2bl w:val="nil"/>
            </w:tcBorders>
            <w:vAlign w:val="center"/>
          </w:tcPr>
          <w:p>
            <w:pPr>
              <w:widowControl/>
              <w:snapToGrid w:val="0"/>
              <w:spacing w:line="240" w:lineRule="auto"/>
              <w:ind w:firstLine="0" w:firstLineChars="0"/>
              <w:jc w:val="center"/>
              <w:rPr>
                <w:color w:val="000000" w:themeColor="text1"/>
                <w:kern w:val="0"/>
                <w:sz w:val="21"/>
                <w:szCs w:val="21"/>
              </w:rPr>
            </w:pPr>
            <w:r>
              <w:rPr>
                <w:rFonts w:hint="eastAsia"/>
                <w:color w:val="000000" w:themeColor="text1"/>
                <w:sz w:val="21"/>
                <w:szCs w:val="21"/>
              </w:rPr>
              <w:t>≥50</w:t>
            </w:r>
          </w:p>
        </w:tc>
        <w:tc>
          <w:tcPr>
            <w:tcW w:w="2461" w:type="dxa"/>
            <w:tcBorders>
              <w:tl2br w:val="nil"/>
              <w:tr2bl w:val="nil"/>
            </w:tcBorders>
            <w:vAlign w:val="center"/>
          </w:tcPr>
          <w:p>
            <w:pPr>
              <w:widowControl/>
              <w:snapToGrid w:val="0"/>
              <w:spacing w:line="240" w:lineRule="auto"/>
              <w:ind w:firstLine="0" w:firstLineChars="0"/>
              <w:jc w:val="center"/>
              <w:rPr>
                <w:color w:val="000000" w:themeColor="text1"/>
                <w:kern w:val="0"/>
                <w:sz w:val="21"/>
                <w:szCs w:val="21"/>
              </w:rPr>
            </w:pPr>
            <w:r>
              <w:rPr>
                <w:rFonts w:hint="eastAsia"/>
                <w:color w:val="000000" w:themeColor="text1"/>
                <w:kern w:val="0"/>
                <w:sz w:val="21"/>
                <w:szCs w:val="21"/>
              </w:rPr>
              <w:t>100</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trPr>
        <w:tc>
          <w:tcPr>
            <w:tcW w:w="1411" w:type="dxa"/>
            <w:tcBorders>
              <w:tl2br w:val="nil"/>
              <w:tr2bl w:val="nil"/>
            </w:tcBorders>
            <w:vAlign w:val="center"/>
          </w:tcPr>
          <w:p>
            <w:pPr>
              <w:widowControl/>
              <w:snapToGrid w:val="0"/>
              <w:spacing w:line="240" w:lineRule="auto"/>
              <w:ind w:firstLine="0" w:firstLineChars="0"/>
              <w:jc w:val="center"/>
              <w:rPr>
                <w:color w:val="000000" w:themeColor="text1"/>
                <w:kern w:val="0"/>
                <w:sz w:val="21"/>
                <w:szCs w:val="21"/>
              </w:rPr>
            </w:pPr>
            <w:r>
              <w:rPr>
                <w:rFonts w:hint="eastAsia"/>
                <w:color w:val="000000" w:themeColor="text1"/>
                <w:kern w:val="0"/>
                <w:sz w:val="21"/>
                <w:szCs w:val="21"/>
              </w:rPr>
              <w:t>2</w:t>
            </w:r>
          </w:p>
        </w:tc>
        <w:tc>
          <w:tcPr>
            <w:tcW w:w="2250" w:type="dxa"/>
            <w:tcBorders>
              <w:tl2br w:val="nil"/>
              <w:tr2bl w:val="nil"/>
            </w:tcBorders>
            <w:vAlign w:val="center"/>
          </w:tcPr>
          <w:p>
            <w:pPr>
              <w:widowControl/>
              <w:snapToGrid w:val="0"/>
              <w:spacing w:line="240" w:lineRule="auto"/>
              <w:ind w:firstLine="0" w:firstLineChars="0"/>
              <w:jc w:val="center"/>
              <w:rPr>
                <w:color w:val="000000" w:themeColor="text1"/>
                <w:kern w:val="0"/>
                <w:sz w:val="21"/>
                <w:szCs w:val="21"/>
              </w:rPr>
            </w:pPr>
            <w:r>
              <w:rPr>
                <w:rFonts w:hint="eastAsia"/>
                <w:color w:val="000000" w:themeColor="text1"/>
                <w:kern w:val="0"/>
                <w:sz w:val="21"/>
                <w:szCs w:val="21"/>
              </w:rPr>
              <w:t>严重污染</w:t>
            </w:r>
          </w:p>
        </w:tc>
        <w:tc>
          <w:tcPr>
            <w:tcW w:w="2400" w:type="dxa"/>
            <w:tcBorders>
              <w:tl2br w:val="nil"/>
              <w:tr2bl w:val="nil"/>
            </w:tcBorders>
            <w:vAlign w:val="center"/>
          </w:tcPr>
          <w:p>
            <w:pPr>
              <w:widowControl/>
              <w:snapToGrid w:val="0"/>
              <w:spacing w:line="240" w:lineRule="auto"/>
              <w:ind w:firstLine="0" w:firstLineChars="0"/>
              <w:jc w:val="center"/>
              <w:rPr>
                <w:color w:val="000000" w:themeColor="text1"/>
                <w:kern w:val="0"/>
                <w:sz w:val="21"/>
                <w:szCs w:val="21"/>
              </w:rPr>
            </w:pPr>
            <w:r>
              <w:rPr>
                <w:rFonts w:hint="eastAsia"/>
                <w:color w:val="000000" w:themeColor="text1"/>
                <w:kern w:val="0"/>
                <w:sz w:val="21"/>
                <w:szCs w:val="21"/>
              </w:rPr>
              <w:t>25~50</w:t>
            </w:r>
          </w:p>
        </w:tc>
        <w:tc>
          <w:tcPr>
            <w:tcW w:w="2461" w:type="dxa"/>
            <w:tcBorders>
              <w:tl2br w:val="nil"/>
              <w:tr2bl w:val="nil"/>
            </w:tcBorders>
            <w:vAlign w:val="center"/>
          </w:tcPr>
          <w:p>
            <w:pPr>
              <w:widowControl/>
              <w:snapToGrid w:val="0"/>
              <w:spacing w:line="240" w:lineRule="auto"/>
              <w:ind w:firstLine="0" w:firstLineChars="0"/>
              <w:jc w:val="center"/>
              <w:rPr>
                <w:color w:val="000000" w:themeColor="text1"/>
                <w:kern w:val="0"/>
                <w:sz w:val="21"/>
                <w:szCs w:val="21"/>
              </w:rPr>
            </w:pPr>
            <w:r>
              <w:rPr>
                <w:rFonts w:hint="eastAsia"/>
                <w:color w:val="000000" w:themeColor="text1"/>
                <w:kern w:val="0"/>
                <w:sz w:val="21"/>
                <w:szCs w:val="21"/>
              </w:rPr>
              <w:t>50~100</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trPr>
        <w:tc>
          <w:tcPr>
            <w:tcW w:w="1411" w:type="dxa"/>
            <w:tcBorders>
              <w:tl2br w:val="nil"/>
              <w:tr2bl w:val="nil"/>
            </w:tcBorders>
            <w:vAlign w:val="center"/>
          </w:tcPr>
          <w:p>
            <w:pPr>
              <w:widowControl/>
              <w:snapToGrid w:val="0"/>
              <w:spacing w:line="240" w:lineRule="auto"/>
              <w:ind w:firstLine="0" w:firstLineChars="0"/>
              <w:jc w:val="center"/>
              <w:rPr>
                <w:color w:val="000000" w:themeColor="text1"/>
                <w:kern w:val="0"/>
                <w:sz w:val="21"/>
                <w:szCs w:val="21"/>
              </w:rPr>
            </w:pPr>
            <w:r>
              <w:rPr>
                <w:rFonts w:hint="eastAsia"/>
                <w:color w:val="000000" w:themeColor="text1"/>
                <w:kern w:val="0"/>
                <w:sz w:val="21"/>
                <w:szCs w:val="21"/>
              </w:rPr>
              <w:t>3</w:t>
            </w:r>
          </w:p>
        </w:tc>
        <w:tc>
          <w:tcPr>
            <w:tcW w:w="2250" w:type="dxa"/>
            <w:tcBorders>
              <w:tl2br w:val="nil"/>
              <w:tr2bl w:val="nil"/>
            </w:tcBorders>
            <w:vAlign w:val="center"/>
          </w:tcPr>
          <w:p>
            <w:pPr>
              <w:widowControl/>
              <w:snapToGrid w:val="0"/>
              <w:spacing w:line="240" w:lineRule="auto"/>
              <w:ind w:firstLine="0" w:firstLineChars="0"/>
              <w:jc w:val="center"/>
              <w:rPr>
                <w:color w:val="000000" w:themeColor="text1"/>
                <w:kern w:val="0"/>
                <w:sz w:val="21"/>
                <w:szCs w:val="21"/>
              </w:rPr>
            </w:pPr>
            <w:r>
              <w:rPr>
                <w:rFonts w:hint="eastAsia"/>
                <w:color w:val="000000" w:themeColor="text1"/>
                <w:kern w:val="0"/>
                <w:sz w:val="21"/>
                <w:szCs w:val="21"/>
              </w:rPr>
              <w:t>中度污染</w:t>
            </w:r>
          </w:p>
        </w:tc>
        <w:tc>
          <w:tcPr>
            <w:tcW w:w="2400" w:type="dxa"/>
            <w:tcBorders>
              <w:tl2br w:val="nil"/>
              <w:tr2bl w:val="nil"/>
            </w:tcBorders>
            <w:vAlign w:val="center"/>
          </w:tcPr>
          <w:p>
            <w:pPr>
              <w:widowControl/>
              <w:snapToGrid w:val="0"/>
              <w:spacing w:line="240" w:lineRule="auto"/>
              <w:ind w:firstLine="0" w:firstLineChars="0"/>
              <w:jc w:val="center"/>
              <w:rPr>
                <w:color w:val="000000" w:themeColor="text1"/>
                <w:kern w:val="0"/>
                <w:sz w:val="21"/>
                <w:szCs w:val="21"/>
              </w:rPr>
            </w:pPr>
            <w:r>
              <w:rPr>
                <w:rFonts w:hint="eastAsia"/>
                <w:color w:val="000000" w:themeColor="text1"/>
                <w:kern w:val="0"/>
                <w:sz w:val="21"/>
                <w:szCs w:val="21"/>
              </w:rPr>
              <w:t>10~25</w:t>
            </w:r>
          </w:p>
        </w:tc>
        <w:tc>
          <w:tcPr>
            <w:tcW w:w="2461" w:type="dxa"/>
            <w:tcBorders>
              <w:tl2br w:val="nil"/>
              <w:tr2bl w:val="nil"/>
            </w:tcBorders>
            <w:vAlign w:val="center"/>
          </w:tcPr>
          <w:p>
            <w:pPr>
              <w:widowControl/>
              <w:snapToGrid w:val="0"/>
              <w:spacing w:line="240" w:lineRule="auto"/>
              <w:ind w:firstLine="0" w:firstLineChars="0"/>
              <w:jc w:val="center"/>
              <w:rPr>
                <w:color w:val="000000" w:themeColor="text1"/>
                <w:kern w:val="0"/>
                <w:sz w:val="21"/>
                <w:szCs w:val="21"/>
              </w:rPr>
            </w:pPr>
            <w:r>
              <w:rPr>
                <w:rFonts w:hint="eastAsia"/>
                <w:color w:val="000000" w:themeColor="text1"/>
                <w:kern w:val="0"/>
                <w:sz w:val="21"/>
                <w:szCs w:val="21"/>
              </w:rPr>
              <w:t>10~50</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trPr>
        <w:tc>
          <w:tcPr>
            <w:tcW w:w="1411" w:type="dxa"/>
            <w:tcBorders>
              <w:tl2br w:val="nil"/>
              <w:tr2bl w:val="nil"/>
            </w:tcBorders>
            <w:vAlign w:val="center"/>
          </w:tcPr>
          <w:p>
            <w:pPr>
              <w:widowControl/>
              <w:snapToGrid w:val="0"/>
              <w:spacing w:line="240" w:lineRule="auto"/>
              <w:ind w:firstLine="0" w:firstLineChars="0"/>
              <w:jc w:val="center"/>
              <w:rPr>
                <w:color w:val="000000" w:themeColor="text1"/>
                <w:kern w:val="0"/>
                <w:sz w:val="21"/>
                <w:szCs w:val="21"/>
              </w:rPr>
            </w:pPr>
            <w:r>
              <w:rPr>
                <w:rFonts w:hint="eastAsia"/>
                <w:color w:val="000000" w:themeColor="text1"/>
                <w:kern w:val="0"/>
                <w:sz w:val="21"/>
                <w:szCs w:val="21"/>
              </w:rPr>
              <w:t>4</w:t>
            </w:r>
          </w:p>
        </w:tc>
        <w:tc>
          <w:tcPr>
            <w:tcW w:w="2250" w:type="dxa"/>
            <w:tcBorders>
              <w:tl2br w:val="nil"/>
              <w:tr2bl w:val="nil"/>
            </w:tcBorders>
            <w:vAlign w:val="center"/>
          </w:tcPr>
          <w:p>
            <w:pPr>
              <w:widowControl/>
              <w:snapToGrid w:val="0"/>
              <w:spacing w:line="240" w:lineRule="auto"/>
              <w:ind w:firstLine="0" w:firstLineChars="0"/>
              <w:jc w:val="center"/>
              <w:rPr>
                <w:color w:val="000000" w:themeColor="text1"/>
                <w:kern w:val="0"/>
                <w:sz w:val="21"/>
                <w:szCs w:val="21"/>
              </w:rPr>
            </w:pPr>
            <w:r>
              <w:rPr>
                <w:rFonts w:hint="eastAsia"/>
                <w:color w:val="000000" w:themeColor="text1"/>
                <w:kern w:val="0"/>
                <w:sz w:val="21"/>
                <w:szCs w:val="21"/>
              </w:rPr>
              <w:t>轻度污染</w:t>
            </w:r>
          </w:p>
        </w:tc>
        <w:tc>
          <w:tcPr>
            <w:tcW w:w="2400" w:type="dxa"/>
            <w:tcBorders>
              <w:tl2br w:val="nil"/>
              <w:tr2bl w:val="nil"/>
            </w:tcBorders>
            <w:vAlign w:val="center"/>
          </w:tcPr>
          <w:p>
            <w:pPr>
              <w:widowControl/>
              <w:snapToGrid w:val="0"/>
              <w:spacing w:line="240" w:lineRule="auto"/>
              <w:ind w:firstLine="0" w:firstLineChars="0"/>
              <w:jc w:val="center"/>
              <w:rPr>
                <w:color w:val="000000" w:themeColor="text1"/>
                <w:kern w:val="0"/>
                <w:sz w:val="21"/>
                <w:szCs w:val="21"/>
              </w:rPr>
            </w:pPr>
            <w:r>
              <w:rPr>
                <w:rFonts w:hint="eastAsia"/>
                <w:color w:val="000000" w:themeColor="text1"/>
                <w:kern w:val="0"/>
                <w:sz w:val="21"/>
                <w:szCs w:val="21"/>
              </w:rPr>
              <w:t>5~10</w:t>
            </w:r>
          </w:p>
        </w:tc>
        <w:tc>
          <w:tcPr>
            <w:tcW w:w="2461" w:type="dxa"/>
            <w:tcBorders>
              <w:tl2br w:val="nil"/>
              <w:tr2bl w:val="nil"/>
            </w:tcBorders>
            <w:vAlign w:val="center"/>
          </w:tcPr>
          <w:p>
            <w:pPr>
              <w:widowControl/>
              <w:snapToGrid w:val="0"/>
              <w:spacing w:line="240" w:lineRule="auto"/>
              <w:ind w:firstLine="0" w:firstLineChars="0"/>
              <w:jc w:val="center"/>
              <w:rPr>
                <w:color w:val="000000" w:themeColor="text1"/>
                <w:kern w:val="0"/>
                <w:sz w:val="21"/>
                <w:szCs w:val="21"/>
              </w:rPr>
            </w:pPr>
            <w:r>
              <w:rPr>
                <w:rFonts w:hint="eastAsia"/>
                <w:color w:val="000000" w:themeColor="text1"/>
                <w:kern w:val="0"/>
                <w:sz w:val="21"/>
                <w:szCs w:val="21"/>
              </w:rPr>
              <w:t>5~10</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trPr>
        <w:tc>
          <w:tcPr>
            <w:tcW w:w="1411" w:type="dxa"/>
            <w:tcBorders>
              <w:tl2br w:val="nil"/>
              <w:tr2bl w:val="nil"/>
            </w:tcBorders>
            <w:vAlign w:val="center"/>
          </w:tcPr>
          <w:p>
            <w:pPr>
              <w:widowControl/>
              <w:snapToGrid w:val="0"/>
              <w:spacing w:line="240" w:lineRule="auto"/>
              <w:ind w:firstLine="0" w:firstLineChars="0"/>
              <w:jc w:val="center"/>
              <w:rPr>
                <w:color w:val="000000" w:themeColor="text1"/>
                <w:kern w:val="0"/>
                <w:sz w:val="21"/>
                <w:szCs w:val="21"/>
              </w:rPr>
            </w:pPr>
            <w:r>
              <w:rPr>
                <w:rFonts w:hint="eastAsia"/>
                <w:color w:val="000000" w:themeColor="text1"/>
                <w:kern w:val="0"/>
                <w:sz w:val="21"/>
                <w:szCs w:val="21"/>
              </w:rPr>
              <w:t>5</w:t>
            </w:r>
          </w:p>
        </w:tc>
        <w:tc>
          <w:tcPr>
            <w:tcW w:w="2250" w:type="dxa"/>
            <w:tcBorders>
              <w:tl2br w:val="nil"/>
              <w:tr2bl w:val="nil"/>
            </w:tcBorders>
            <w:vAlign w:val="center"/>
          </w:tcPr>
          <w:p>
            <w:pPr>
              <w:widowControl/>
              <w:snapToGrid w:val="0"/>
              <w:spacing w:line="240" w:lineRule="auto"/>
              <w:ind w:firstLine="0" w:firstLineChars="0"/>
              <w:jc w:val="center"/>
              <w:rPr>
                <w:color w:val="000000" w:themeColor="text1"/>
                <w:kern w:val="0"/>
                <w:sz w:val="21"/>
                <w:szCs w:val="21"/>
              </w:rPr>
            </w:pPr>
            <w:r>
              <w:rPr>
                <w:rFonts w:hint="eastAsia"/>
                <w:color w:val="000000" w:themeColor="text1"/>
                <w:kern w:val="0"/>
                <w:sz w:val="21"/>
                <w:szCs w:val="21"/>
              </w:rPr>
              <w:t>一般污染</w:t>
            </w:r>
          </w:p>
        </w:tc>
        <w:tc>
          <w:tcPr>
            <w:tcW w:w="2400" w:type="dxa"/>
            <w:tcBorders>
              <w:tl2br w:val="nil"/>
              <w:tr2bl w:val="nil"/>
            </w:tcBorders>
            <w:vAlign w:val="center"/>
          </w:tcPr>
          <w:p>
            <w:pPr>
              <w:widowControl/>
              <w:snapToGrid w:val="0"/>
              <w:spacing w:line="240" w:lineRule="auto"/>
              <w:ind w:firstLine="0" w:firstLineChars="0"/>
              <w:jc w:val="center"/>
              <w:rPr>
                <w:color w:val="000000" w:themeColor="text1"/>
                <w:kern w:val="0"/>
                <w:sz w:val="21"/>
                <w:szCs w:val="21"/>
              </w:rPr>
            </w:pPr>
            <w:r>
              <w:rPr>
                <w:rFonts w:hint="eastAsia"/>
                <w:color w:val="000000" w:themeColor="text1"/>
                <w:kern w:val="0"/>
                <w:sz w:val="21"/>
                <w:szCs w:val="21"/>
              </w:rPr>
              <w:t>1~5</w:t>
            </w:r>
          </w:p>
        </w:tc>
        <w:tc>
          <w:tcPr>
            <w:tcW w:w="2461" w:type="dxa"/>
            <w:tcBorders>
              <w:tl2br w:val="nil"/>
              <w:tr2bl w:val="nil"/>
            </w:tcBorders>
            <w:vAlign w:val="center"/>
          </w:tcPr>
          <w:p>
            <w:pPr>
              <w:widowControl/>
              <w:snapToGrid w:val="0"/>
              <w:spacing w:line="240" w:lineRule="auto"/>
              <w:ind w:firstLine="0" w:firstLineChars="0"/>
              <w:jc w:val="center"/>
              <w:rPr>
                <w:color w:val="000000" w:themeColor="text1"/>
                <w:kern w:val="0"/>
                <w:sz w:val="21"/>
                <w:szCs w:val="21"/>
              </w:rPr>
            </w:pPr>
            <w:r>
              <w:rPr>
                <w:rFonts w:hint="eastAsia"/>
                <w:color w:val="000000" w:themeColor="text1"/>
                <w:kern w:val="0"/>
                <w:sz w:val="21"/>
                <w:szCs w:val="21"/>
              </w:rPr>
              <w:t>1~5</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trPr>
        <w:tc>
          <w:tcPr>
            <w:tcW w:w="1411" w:type="dxa"/>
            <w:tcBorders>
              <w:tl2br w:val="nil"/>
              <w:tr2bl w:val="nil"/>
            </w:tcBorders>
            <w:vAlign w:val="center"/>
          </w:tcPr>
          <w:p>
            <w:pPr>
              <w:widowControl/>
              <w:snapToGrid w:val="0"/>
              <w:spacing w:line="240" w:lineRule="auto"/>
              <w:ind w:firstLine="0" w:firstLineChars="0"/>
              <w:jc w:val="center"/>
              <w:rPr>
                <w:color w:val="000000" w:themeColor="text1"/>
                <w:kern w:val="0"/>
                <w:sz w:val="21"/>
                <w:szCs w:val="21"/>
              </w:rPr>
            </w:pPr>
            <w:r>
              <w:rPr>
                <w:rFonts w:hint="eastAsia"/>
                <w:color w:val="000000" w:themeColor="text1"/>
                <w:kern w:val="0"/>
                <w:sz w:val="21"/>
                <w:szCs w:val="21"/>
              </w:rPr>
              <w:t>6</w:t>
            </w:r>
          </w:p>
        </w:tc>
        <w:tc>
          <w:tcPr>
            <w:tcW w:w="2250" w:type="dxa"/>
            <w:tcBorders>
              <w:tl2br w:val="nil"/>
              <w:tr2bl w:val="nil"/>
            </w:tcBorders>
            <w:vAlign w:val="center"/>
          </w:tcPr>
          <w:p>
            <w:pPr>
              <w:widowControl/>
              <w:snapToGrid w:val="0"/>
              <w:spacing w:line="240" w:lineRule="auto"/>
              <w:ind w:firstLine="0" w:firstLineChars="0"/>
              <w:jc w:val="center"/>
              <w:rPr>
                <w:color w:val="000000" w:themeColor="text1"/>
                <w:kern w:val="0"/>
                <w:sz w:val="21"/>
                <w:szCs w:val="21"/>
              </w:rPr>
            </w:pPr>
            <w:r>
              <w:rPr>
                <w:rFonts w:hint="eastAsia"/>
                <w:color w:val="000000" w:themeColor="text1"/>
                <w:kern w:val="0"/>
                <w:sz w:val="21"/>
                <w:szCs w:val="21"/>
              </w:rPr>
              <w:t>轻度影响</w:t>
            </w:r>
          </w:p>
        </w:tc>
        <w:tc>
          <w:tcPr>
            <w:tcW w:w="2400" w:type="dxa"/>
            <w:tcBorders>
              <w:tl2br w:val="nil"/>
              <w:tr2bl w:val="nil"/>
            </w:tcBorders>
            <w:vAlign w:val="center"/>
          </w:tcPr>
          <w:p>
            <w:pPr>
              <w:widowControl/>
              <w:snapToGrid w:val="0"/>
              <w:spacing w:line="240" w:lineRule="auto"/>
              <w:ind w:firstLine="0" w:firstLineChars="0"/>
              <w:jc w:val="center"/>
              <w:rPr>
                <w:color w:val="000000" w:themeColor="text1"/>
                <w:kern w:val="0"/>
                <w:sz w:val="21"/>
                <w:szCs w:val="21"/>
              </w:rPr>
            </w:pPr>
            <w:r>
              <w:rPr>
                <w:rFonts w:hint="eastAsia"/>
                <w:color w:val="000000" w:themeColor="text1"/>
                <w:kern w:val="0"/>
                <w:sz w:val="21"/>
                <w:szCs w:val="21"/>
              </w:rPr>
              <w:t>1</w:t>
            </w:r>
          </w:p>
        </w:tc>
        <w:tc>
          <w:tcPr>
            <w:tcW w:w="2461" w:type="dxa"/>
            <w:tcBorders>
              <w:tl2br w:val="nil"/>
              <w:tr2bl w:val="nil"/>
            </w:tcBorders>
            <w:vAlign w:val="center"/>
          </w:tcPr>
          <w:p>
            <w:pPr>
              <w:widowControl/>
              <w:snapToGrid w:val="0"/>
              <w:spacing w:line="240" w:lineRule="auto"/>
              <w:ind w:firstLine="0" w:firstLineChars="0"/>
              <w:jc w:val="center"/>
              <w:rPr>
                <w:color w:val="000000" w:themeColor="text1"/>
                <w:kern w:val="0"/>
                <w:sz w:val="21"/>
                <w:szCs w:val="21"/>
              </w:rPr>
            </w:pPr>
            <w:r>
              <w:rPr>
                <w:rFonts w:hint="eastAsia"/>
                <w:color w:val="000000" w:themeColor="text1"/>
                <w:kern w:val="0"/>
                <w:sz w:val="21"/>
                <w:szCs w:val="21"/>
              </w:rPr>
              <w:t>1</w:t>
            </w:r>
          </w:p>
        </w:tc>
      </w:tr>
    </w:tbl>
    <w:p>
      <w:pPr>
        <w:autoSpaceDE w:val="0"/>
        <w:autoSpaceDN w:val="0"/>
        <w:adjustRightInd w:val="0"/>
        <w:spacing w:line="240" w:lineRule="auto"/>
        <w:ind w:firstLine="482"/>
        <w:jc w:val="center"/>
        <w:rPr>
          <w:b/>
          <w:color w:val="000000" w:themeColor="text1"/>
        </w:rPr>
      </w:pPr>
    </w:p>
    <w:p>
      <w:pPr>
        <w:autoSpaceDE w:val="0"/>
        <w:autoSpaceDN w:val="0"/>
        <w:adjustRightInd w:val="0"/>
        <w:ind w:firstLine="0" w:firstLineChars="0"/>
        <w:jc w:val="center"/>
        <w:rPr>
          <w:b/>
          <w:color w:val="000000" w:themeColor="text1"/>
          <w:sz w:val="21"/>
          <w:szCs w:val="21"/>
        </w:rPr>
      </w:pPr>
      <w:r>
        <w:rPr>
          <w:rFonts w:hint="eastAsia"/>
          <w:b/>
          <w:color w:val="000000" w:themeColor="text1"/>
          <w:sz w:val="21"/>
          <w:szCs w:val="21"/>
        </w:rPr>
        <w:t>表4-13  不同泄漏量油品溢入河流事故预测结果</w:t>
      </w:r>
    </w:p>
    <w:tbl>
      <w:tblPr>
        <w:tblStyle w:val="47"/>
        <w:tblW w:w="8522"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18"/>
        <w:gridCol w:w="1219"/>
        <w:gridCol w:w="1217"/>
        <w:gridCol w:w="1217"/>
        <w:gridCol w:w="1217"/>
        <w:gridCol w:w="1217"/>
        <w:gridCol w:w="121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trPr>
        <w:tc>
          <w:tcPr>
            <w:tcW w:w="1218" w:type="dxa"/>
            <w:vMerge w:val="restart"/>
            <w:tcBorders>
              <w:top w:val="single" w:color="auto" w:sz="4" w:space="0"/>
              <w:left w:val="single" w:color="auto" w:sz="4" w:space="0"/>
              <w:bottom w:val="single" w:color="auto" w:sz="4" w:space="0"/>
              <w:right w:val="single" w:color="auto" w:sz="4" w:space="0"/>
            </w:tcBorders>
            <w:shd w:val="clear" w:color="auto" w:fill="auto"/>
            <w:vAlign w:val="center"/>
          </w:tcPr>
          <w:p>
            <w:pPr>
              <w:widowControl/>
              <w:snapToGrid w:val="0"/>
              <w:spacing w:line="240" w:lineRule="auto"/>
              <w:ind w:firstLine="0" w:firstLineChars="0"/>
              <w:jc w:val="center"/>
              <w:rPr>
                <w:color w:val="000000"/>
                <w:kern w:val="0"/>
                <w:sz w:val="21"/>
                <w:szCs w:val="21"/>
              </w:rPr>
            </w:pPr>
            <w:r>
              <w:rPr>
                <w:color w:val="000000"/>
                <w:kern w:val="0"/>
                <w:sz w:val="21"/>
                <w:szCs w:val="21"/>
              </w:rPr>
              <w:t>溢油规模</w:t>
            </w:r>
          </w:p>
        </w:tc>
        <w:tc>
          <w:tcPr>
            <w:tcW w:w="2436" w:type="dxa"/>
            <w:gridSpan w:val="2"/>
            <w:tcBorders>
              <w:top w:val="single" w:color="auto" w:sz="4" w:space="0"/>
              <w:left w:val="single" w:color="auto" w:sz="4" w:space="0"/>
              <w:bottom w:val="single" w:color="auto" w:sz="4" w:space="0"/>
              <w:right w:val="single" w:color="auto" w:sz="4" w:space="0"/>
            </w:tcBorders>
            <w:shd w:val="clear" w:color="auto" w:fill="auto"/>
            <w:vAlign w:val="center"/>
          </w:tcPr>
          <w:p>
            <w:pPr>
              <w:widowControl/>
              <w:snapToGrid w:val="0"/>
              <w:spacing w:line="240" w:lineRule="auto"/>
              <w:ind w:firstLine="0" w:firstLineChars="0"/>
              <w:jc w:val="center"/>
              <w:rPr>
                <w:color w:val="000000"/>
                <w:kern w:val="0"/>
                <w:sz w:val="21"/>
                <w:szCs w:val="21"/>
              </w:rPr>
            </w:pPr>
            <w:r>
              <w:rPr>
                <w:color w:val="000000"/>
                <w:kern w:val="0"/>
                <w:sz w:val="21"/>
                <w:szCs w:val="21"/>
              </w:rPr>
              <w:t>0.3t</w:t>
            </w:r>
          </w:p>
        </w:tc>
        <w:tc>
          <w:tcPr>
            <w:tcW w:w="2434" w:type="dxa"/>
            <w:gridSpan w:val="2"/>
            <w:tcBorders>
              <w:top w:val="single" w:color="auto" w:sz="4" w:space="0"/>
              <w:left w:val="single" w:color="auto" w:sz="4" w:space="0"/>
              <w:bottom w:val="single" w:color="auto" w:sz="4" w:space="0"/>
              <w:right w:val="single" w:color="auto" w:sz="4" w:space="0"/>
            </w:tcBorders>
            <w:shd w:val="clear" w:color="auto" w:fill="auto"/>
            <w:vAlign w:val="center"/>
          </w:tcPr>
          <w:p>
            <w:pPr>
              <w:widowControl/>
              <w:snapToGrid w:val="0"/>
              <w:spacing w:line="240" w:lineRule="auto"/>
              <w:ind w:firstLine="0" w:firstLineChars="0"/>
              <w:jc w:val="center"/>
              <w:rPr>
                <w:color w:val="000000"/>
                <w:kern w:val="0"/>
                <w:sz w:val="21"/>
                <w:szCs w:val="21"/>
              </w:rPr>
            </w:pPr>
            <w:r>
              <w:rPr>
                <w:color w:val="000000"/>
                <w:kern w:val="0"/>
                <w:sz w:val="21"/>
                <w:szCs w:val="21"/>
              </w:rPr>
              <w:t>1.5t</w:t>
            </w:r>
          </w:p>
        </w:tc>
        <w:tc>
          <w:tcPr>
            <w:tcW w:w="2434" w:type="dxa"/>
            <w:gridSpan w:val="2"/>
            <w:tcBorders>
              <w:top w:val="single" w:color="auto" w:sz="4" w:space="0"/>
              <w:left w:val="single" w:color="auto" w:sz="4" w:space="0"/>
              <w:bottom w:val="single" w:color="auto" w:sz="4" w:space="0"/>
              <w:right w:val="single" w:color="auto" w:sz="4" w:space="0"/>
            </w:tcBorders>
            <w:shd w:val="clear" w:color="auto" w:fill="auto"/>
            <w:vAlign w:val="center"/>
          </w:tcPr>
          <w:p>
            <w:pPr>
              <w:widowControl/>
              <w:snapToGrid w:val="0"/>
              <w:spacing w:line="240" w:lineRule="auto"/>
              <w:ind w:firstLine="0" w:firstLineChars="0"/>
              <w:jc w:val="center"/>
              <w:rPr>
                <w:color w:val="000000"/>
                <w:kern w:val="0"/>
                <w:sz w:val="21"/>
                <w:szCs w:val="21"/>
              </w:rPr>
            </w:pPr>
            <w:r>
              <w:rPr>
                <w:color w:val="000000"/>
                <w:kern w:val="0"/>
                <w:sz w:val="21"/>
                <w:szCs w:val="21"/>
              </w:rPr>
              <w:t>3t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trPr>
        <w:tc>
          <w:tcPr>
            <w:tcW w:w="1218" w:type="dxa"/>
            <w:vMerge w:val="continue"/>
            <w:tcBorders>
              <w:top w:val="single" w:color="auto" w:sz="4" w:space="0"/>
              <w:left w:val="single" w:color="auto" w:sz="4" w:space="0"/>
              <w:bottom w:val="single" w:color="auto" w:sz="4" w:space="0"/>
              <w:right w:val="single" w:color="auto" w:sz="4" w:space="0"/>
            </w:tcBorders>
            <w:shd w:val="clear" w:color="auto" w:fill="auto"/>
            <w:vAlign w:val="center"/>
          </w:tcPr>
          <w:p>
            <w:pPr>
              <w:spacing w:line="240" w:lineRule="auto"/>
              <w:ind w:firstLine="0" w:firstLineChars="0"/>
              <w:jc w:val="center"/>
              <w:rPr>
                <w:sz w:val="21"/>
                <w:szCs w:val="21"/>
              </w:rPr>
            </w:pPr>
          </w:p>
        </w:tc>
        <w:tc>
          <w:tcPr>
            <w:tcW w:w="1219" w:type="dxa"/>
            <w:tcBorders>
              <w:top w:val="single" w:color="auto" w:sz="4" w:space="0"/>
              <w:left w:val="single" w:color="auto" w:sz="4" w:space="0"/>
              <w:bottom w:val="single" w:color="auto" w:sz="4" w:space="0"/>
              <w:right w:val="single" w:color="auto" w:sz="4" w:space="0"/>
            </w:tcBorders>
            <w:shd w:val="clear" w:color="auto" w:fill="auto"/>
            <w:vAlign w:val="center"/>
          </w:tcPr>
          <w:p>
            <w:pPr>
              <w:autoSpaceDE w:val="0"/>
              <w:autoSpaceDN w:val="0"/>
              <w:adjustRightInd w:val="0"/>
              <w:spacing w:line="240" w:lineRule="auto"/>
              <w:ind w:firstLine="0" w:firstLineChars="0"/>
              <w:jc w:val="center"/>
              <w:rPr>
                <w:color w:val="000000"/>
                <w:sz w:val="21"/>
                <w:szCs w:val="21"/>
              </w:rPr>
            </w:pPr>
            <w:r>
              <w:rPr>
                <w:color w:val="000000"/>
                <w:sz w:val="21"/>
                <w:szCs w:val="21"/>
              </w:rPr>
              <w:t>油膜面积km</w:t>
            </w:r>
            <w:r>
              <w:rPr>
                <w:color w:val="000000"/>
                <w:sz w:val="21"/>
                <w:szCs w:val="21"/>
                <w:vertAlign w:val="superscript"/>
              </w:rPr>
              <w:t>2</w:t>
            </w:r>
          </w:p>
        </w:tc>
        <w:tc>
          <w:tcPr>
            <w:tcW w:w="1217" w:type="dxa"/>
            <w:tcBorders>
              <w:top w:val="single" w:color="auto" w:sz="4" w:space="0"/>
              <w:left w:val="single" w:color="auto" w:sz="4" w:space="0"/>
              <w:bottom w:val="single" w:color="auto" w:sz="4" w:space="0"/>
              <w:right w:val="single" w:color="auto" w:sz="4" w:space="0"/>
            </w:tcBorders>
            <w:shd w:val="clear" w:color="auto" w:fill="auto"/>
            <w:vAlign w:val="center"/>
          </w:tcPr>
          <w:p>
            <w:pPr>
              <w:autoSpaceDE w:val="0"/>
              <w:autoSpaceDN w:val="0"/>
              <w:adjustRightInd w:val="0"/>
              <w:spacing w:line="240" w:lineRule="auto"/>
              <w:ind w:firstLine="0" w:firstLineChars="0"/>
              <w:jc w:val="center"/>
              <w:rPr>
                <w:color w:val="000000"/>
                <w:sz w:val="21"/>
                <w:szCs w:val="21"/>
              </w:rPr>
            </w:pPr>
            <w:r>
              <w:rPr>
                <w:color w:val="000000"/>
                <w:sz w:val="21"/>
                <w:szCs w:val="21"/>
              </w:rPr>
              <w:t>油膜厚度um</w:t>
            </w:r>
          </w:p>
        </w:tc>
        <w:tc>
          <w:tcPr>
            <w:tcW w:w="1217" w:type="dxa"/>
            <w:tcBorders>
              <w:top w:val="single" w:color="auto" w:sz="4" w:space="0"/>
              <w:left w:val="single" w:color="auto" w:sz="4" w:space="0"/>
              <w:bottom w:val="single" w:color="auto" w:sz="4" w:space="0"/>
              <w:right w:val="single" w:color="auto" w:sz="4" w:space="0"/>
            </w:tcBorders>
            <w:shd w:val="clear" w:color="auto" w:fill="auto"/>
            <w:vAlign w:val="center"/>
          </w:tcPr>
          <w:p>
            <w:pPr>
              <w:autoSpaceDE w:val="0"/>
              <w:autoSpaceDN w:val="0"/>
              <w:adjustRightInd w:val="0"/>
              <w:spacing w:line="240" w:lineRule="auto"/>
              <w:ind w:firstLine="0" w:firstLineChars="0"/>
              <w:jc w:val="center"/>
              <w:rPr>
                <w:color w:val="000000"/>
                <w:sz w:val="21"/>
                <w:szCs w:val="21"/>
              </w:rPr>
            </w:pPr>
            <w:r>
              <w:rPr>
                <w:color w:val="000000"/>
                <w:sz w:val="21"/>
                <w:szCs w:val="21"/>
              </w:rPr>
              <w:t>油膜面积km</w:t>
            </w:r>
            <w:r>
              <w:rPr>
                <w:color w:val="000000"/>
                <w:sz w:val="21"/>
                <w:szCs w:val="21"/>
                <w:vertAlign w:val="superscript"/>
              </w:rPr>
              <w:t>2</w:t>
            </w:r>
          </w:p>
        </w:tc>
        <w:tc>
          <w:tcPr>
            <w:tcW w:w="1217" w:type="dxa"/>
            <w:tcBorders>
              <w:top w:val="single" w:color="auto" w:sz="4" w:space="0"/>
              <w:left w:val="single" w:color="auto" w:sz="4" w:space="0"/>
              <w:bottom w:val="single" w:color="auto" w:sz="4" w:space="0"/>
              <w:right w:val="single" w:color="auto" w:sz="4" w:space="0"/>
            </w:tcBorders>
            <w:shd w:val="clear" w:color="auto" w:fill="auto"/>
            <w:vAlign w:val="center"/>
          </w:tcPr>
          <w:p>
            <w:pPr>
              <w:autoSpaceDE w:val="0"/>
              <w:autoSpaceDN w:val="0"/>
              <w:adjustRightInd w:val="0"/>
              <w:spacing w:line="240" w:lineRule="auto"/>
              <w:ind w:firstLine="0" w:firstLineChars="0"/>
              <w:jc w:val="center"/>
              <w:rPr>
                <w:color w:val="000000"/>
                <w:sz w:val="21"/>
                <w:szCs w:val="21"/>
              </w:rPr>
            </w:pPr>
            <w:r>
              <w:rPr>
                <w:color w:val="000000"/>
                <w:sz w:val="21"/>
                <w:szCs w:val="21"/>
              </w:rPr>
              <w:t>油膜厚度um</w:t>
            </w:r>
          </w:p>
        </w:tc>
        <w:tc>
          <w:tcPr>
            <w:tcW w:w="1217" w:type="dxa"/>
            <w:tcBorders>
              <w:top w:val="single" w:color="auto" w:sz="4" w:space="0"/>
              <w:left w:val="single" w:color="auto" w:sz="4" w:space="0"/>
              <w:bottom w:val="single" w:color="auto" w:sz="4" w:space="0"/>
              <w:right w:val="single" w:color="auto" w:sz="4" w:space="0"/>
            </w:tcBorders>
            <w:shd w:val="clear" w:color="auto" w:fill="auto"/>
            <w:vAlign w:val="center"/>
          </w:tcPr>
          <w:p>
            <w:pPr>
              <w:autoSpaceDE w:val="0"/>
              <w:autoSpaceDN w:val="0"/>
              <w:adjustRightInd w:val="0"/>
              <w:spacing w:line="240" w:lineRule="auto"/>
              <w:ind w:firstLine="0" w:firstLineChars="0"/>
              <w:jc w:val="center"/>
              <w:rPr>
                <w:color w:val="000000"/>
                <w:sz w:val="21"/>
                <w:szCs w:val="21"/>
              </w:rPr>
            </w:pPr>
            <w:r>
              <w:rPr>
                <w:color w:val="000000"/>
                <w:sz w:val="21"/>
                <w:szCs w:val="21"/>
              </w:rPr>
              <w:t>油膜面积km</w:t>
            </w:r>
            <w:r>
              <w:rPr>
                <w:color w:val="000000"/>
                <w:sz w:val="21"/>
                <w:szCs w:val="21"/>
                <w:vertAlign w:val="superscript"/>
              </w:rPr>
              <w:t>2</w:t>
            </w:r>
          </w:p>
        </w:tc>
        <w:tc>
          <w:tcPr>
            <w:tcW w:w="1217" w:type="dxa"/>
            <w:tcBorders>
              <w:top w:val="single" w:color="auto" w:sz="4" w:space="0"/>
              <w:left w:val="single" w:color="auto" w:sz="4" w:space="0"/>
              <w:bottom w:val="single" w:color="auto" w:sz="4" w:space="0"/>
              <w:right w:val="single" w:color="auto" w:sz="4" w:space="0"/>
            </w:tcBorders>
            <w:shd w:val="clear" w:color="auto" w:fill="auto"/>
            <w:vAlign w:val="center"/>
          </w:tcPr>
          <w:p>
            <w:pPr>
              <w:autoSpaceDE w:val="0"/>
              <w:autoSpaceDN w:val="0"/>
              <w:adjustRightInd w:val="0"/>
              <w:spacing w:line="240" w:lineRule="auto"/>
              <w:ind w:firstLine="0" w:firstLineChars="0"/>
              <w:jc w:val="center"/>
              <w:rPr>
                <w:color w:val="000000"/>
                <w:sz w:val="21"/>
                <w:szCs w:val="21"/>
              </w:rPr>
            </w:pPr>
            <w:r>
              <w:rPr>
                <w:color w:val="000000"/>
                <w:sz w:val="21"/>
                <w:szCs w:val="21"/>
              </w:rPr>
              <w:t>油膜厚度um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trPr>
        <w:tc>
          <w:tcPr>
            <w:tcW w:w="1218" w:type="dxa"/>
            <w:tcBorders>
              <w:top w:val="single" w:color="auto" w:sz="4" w:space="0"/>
              <w:left w:val="single" w:color="auto" w:sz="4" w:space="0"/>
              <w:bottom w:val="single" w:color="auto" w:sz="4" w:space="0"/>
              <w:right w:val="single" w:color="auto" w:sz="4" w:space="0"/>
            </w:tcBorders>
            <w:shd w:val="clear" w:color="auto" w:fill="auto"/>
            <w:vAlign w:val="center"/>
          </w:tcPr>
          <w:p>
            <w:pPr>
              <w:widowControl/>
              <w:snapToGrid w:val="0"/>
              <w:spacing w:line="240" w:lineRule="auto"/>
              <w:ind w:firstLine="0" w:firstLineChars="0"/>
              <w:jc w:val="center"/>
              <w:rPr>
                <w:color w:val="000000"/>
                <w:kern w:val="0"/>
                <w:sz w:val="21"/>
                <w:szCs w:val="21"/>
              </w:rPr>
            </w:pPr>
            <w:r>
              <w:rPr>
                <w:color w:val="000000"/>
                <w:kern w:val="0"/>
                <w:sz w:val="21"/>
                <w:szCs w:val="21"/>
              </w:rPr>
              <w:t>预测数据</w:t>
            </w:r>
          </w:p>
        </w:tc>
        <w:tc>
          <w:tcPr>
            <w:tcW w:w="1219" w:type="dxa"/>
            <w:tcBorders>
              <w:top w:val="single" w:color="auto" w:sz="4" w:space="0"/>
              <w:left w:val="single" w:color="auto" w:sz="4" w:space="0"/>
              <w:bottom w:val="single" w:color="auto" w:sz="4" w:space="0"/>
              <w:right w:val="single" w:color="auto" w:sz="4" w:space="0"/>
            </w:tcBorders>
            <w:shd w:val="clear" w:color="auto" w:fill="auto"/>
            <w:vAlign w:val="center"/>
          </w:tcPr>
          <w:p>
            <w:pPr>
              <w:widowControl/>
              <w:snapToGrid w:val="0"/>
              <w:spacing w:line="240" w:lineRule="auto"/>
              <w:ind w:firstLine="0" w:firstLineChars="0"/>
              <w:jc w:val="center"/>
              <w:rPr>
                <w:color w:val="000000"/>
                <w:kern w:val="0"/>
                <w:sz w:val="21"/>
                <w:szCs w:val="21"/>
              </w:rPr>
            </w:pPr>
            <w:r>
              <w:rPr>
                <w:color w:val="000000"/>
                <w:kern w:val="0"/>
                <w:sz w:val="21"/>
                <w:szCs w:val="21"/>
              </w:rPr>
              <w:t>0.053</w:t>
            </w:r>
          </w:p>
        </w:tc>
        <w:tc>
          <w:tcPr>
            <w:tcW w:w="1217" w:type="dxa"/>
            <w:tcBorders>
              <w:top w:val="single" w:color="auto" w:sz="4" w:space="0"/>
              <w:left w:val="single" w:color="auto" w:sz="4" w:space="0"/>
              <w:bottom w:val="single" w:color="auto" w:sz="4" w:space="0"/>
              <w:right w:val="single" w:color="auto" w:sz="4" w:space="0"/>
            </w:tcBorders>
            <w:shd w:val="clear" w:color="auto" w:fill="auto"/>
            <w:vAlign w:val="center"/>
          </w:tcPr>
          <w:p>
            <w:pPr>
              <w:widowControl/>
              <w:snapToGrid w:val="0"/>
              <w:spacing w:line="240" w:lineRule="auto"/>
              <w:ind w:firstLine="0" w:firstLineChars="0"/>
              <w:jc w:val="center"/>
              <w:rPr>
                <w:color w:val="000000"/>
                <w:kern w:val="0"/>
                <w:sz w:val="21"/>
                <w:szCs w:val="21"/>
              </w:rPr>
            </w:pPr>
            <w:r>
              <w:rPr>
                <w:color w:val="000000"/>
                <w:kern w:val="0"/>
                <w:sz w:val="21"/>
                <w:szCs w:val="21"/>
              </w:rPr>
              <w:t>8.1um</w:t>
            </w:r>
          </w:p>
        </w:tc>
        <w:tc>
          <w:tcPr>
            <w:tcW w:w="1217" w:type="dxa"/>
            <w:tcBorders>
              <w:top w:val="single" w:color="auto" w:sz="4" w:space="0"/>
              <w:left w:val="single" w:color="auto" w:sz="4" w:space="0"/>
              <w:bottom w:val="single" w:color="auto" w:sz="4" w:space="0"/>
              <w:right w:val="single" w:color="auto" w:sz="4" w:space="0"/>
            </w:tcBorders>
            <w:shd w:val="clear" w:color="auto" w:fill="auto"/>
            <w:vAlign w:val="center"/>
          </w:tcPr>
          <w:p>
            <w:pPr>
              <w:widowControl/>
              <w:snapToGrid w:val="0"/>
              <w:spacing w:line="240" w:lineRule="auto"/>
              <w:ind w:firstLine="0" w:firstLineChars="0"/>
              <w:jc w:val="center"/>
              <w:rPr>
                <w:color w:val="000000"/>
                <w:kern w:val="0"/>
                <w:sz w:val="21"/>
                <w:szCs w:val="21"/>
              </w:rPr>
            </w:pPr>
            <w:r>
              <w:rPr>
                <w:color w:val="000000"/>
                <w:kern w:val="0"/>
                <w:sz w:val="21"/>
                <w:szCs w:val="21"/>
              </w:rPr>
              <w:t>0.18</w:t>
            </w:r>
          </w:p>
        </w:tc>
        <w:tc>
          <w:tcPr>
            <w:tcW w:w="1217" w:type="dxa"/>
            <w:tcBorders>
              <w:top w:val="single" w:color="auto" w:sz="4" w:space="0"/>
              <w:left w:val="single" w:color="auto" w:sz="4" w:space="0"/>
              <w:bottom w:val="single" w:color="auto" w:sz="4" w:space="0"/>
              <w:right w:val="single" w:color="auto" w:sz="4" w:space="0"/>
            </w:tcBorders>
            <w:shd w:val="clear" w:color="auto" w:fill="auto"/>
            <w:vAlign w:val="center"/>
          </w:tcPr>
          <w:p>
            <w:pPr>
              <w:widowControl/>
              <w:snapToGrid w:val="0"/>
              <w:spacing w:line="240" w:lineRule="auto"/>
              <w:ind w:firstLine="0" w:firstLineChars="0"/>
              <w:jc w:val="center"/>
              <w:rPr>
                <w:color w:val="000000"/>
                <w:kern w:val="0"/>
                <w:sz w:val="21"/>
                <w:szCs w:val="21"/>
              </w:rPr>
            </w:pPr>
            <w:r>
              <w:rPr>
                <w:color w:val="000000"/>
                <w:kern w:val="0"/>
                <w:sz w:val="21"/>
                <w:szCs w:val="21"/>
              </w:rPr>
              <w:t>12.1</w:t>
            </w:r>
          </w:p>
        </w:tc>
        <w:tc>
          <w:tcPr>
            <w:tcW w:w="1217" w:type="dxa"/>
            <w:tcBorders>
              <w:top w:val="single" w:color="auto" w:sz="4" w:space="0"/>
              <w:left w:val="single" w:color="auto" w:sz="4" w:space="0"/>
              <w:bottom w:val="single" w:color="auto" w:sz="4" w:space="0"/>
              <w:right w:val="single" w:color="auto" w:sz="4" w:space="0"/>
            </w:tcBorders>
            <w:shd w:val="clear" w:color="auto" w:fill="auto"/>
            <w:vAlign w:val="center"/>
          </w:tcPr>
          <w:p>
            <w:pPr>
              <w:widowControl/>
              <w:snapToGrid w:val="0"/>
              <w:spacing w:line="240" w:lineRule="auto"/>
              <w:ind w:firstLine="0" w:firstLineChars="0"/>
              <w:jc w:val="center"/>
              <w:rPr>
                <w:color w:val="000000"/>
                <w:kern w:val="0"/>
                <w:sz w:val="21"/>
                <w:szCs w:val="21"/>
              </w:rPr>
            </w:pPr>
            <w:r>
              <w:rPr>
                <w:color w:val="000000"/>
                <w:kern w:val="0"/>
                <w:sz w:val="21"/>
                <w:szCs w:val="21"/>
              </w:rPr>
              <w:t>0.283</w:t>
            </w:r>
          </w:p>
        </w:tc>
        <w:tc>
          <w:tcPr>
            <w:tcW w:w="1217" w:type="dxa"/>
            <w:tcBorders>
              <w:top w:val="single" w:color="auto" w:sz="4" w:space="0"/>
              <w:left w:val="single" w:color="auto" w:sz="4" w:space="0"/>
              <w:bottom w:val="single" w:color="auto" w:sz="4" w:space="0"/>
              <w:right w:val="single" w:color="auto" w:sz="4" w:space="0"/>
            </w:tcBorders>
            <w:shd w:val="clear" w:color="auto" w:fill="auto"/>
            <w:vAlign w:val="center"/>
          </w:tcPr>
          <w:p>
            <w:pPr>
              <w:widowControl/>
              <w:snapToGrid w:val="0"/>
              <w:spacing w:line="240" w:lineRule="auto"/>
              <w:ind w:firstLine="0" w:firstLineChars="0"/>
              <w:jc w:val="center"/>
              <w:rPr>
                <w:color w:val="000000"/>
                <w:kern w:val="0"/>
                <w:sz w:val="21"/>
                <w:szCs w:val="21"/>
              </w:rPr>
            </w:pPr>
            <w:r>
              <w:rPr>
                <w:color w:val="000000"/>
                <w:kern w:val="0"/>
                <w:sz w:val="21"/>
                <w:szCs w:val="21"/>
              </w:rPr>
              <w:t>14.1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trPr>
        <w:tc>
          <w:tcPr>
            <w:tcW w:w="1218" w:type="dxa"/>
            <w:tcBorders>
              <w:top w:val="single" w:color="auto" w:sz="4" w:space="0"/>
              <w:left w:val="single" w:color="auto" w:sz="4" w:space="0"/>
              <w:bottom w:val="single" w:color="auto" w:sz="4" w:space="0"/>
              <w:right w:val="single" w:color="auto" w:sz="4" w:space="0"/>
            </w:tcBorders>
            <w:shd w:val="clear" w:color="auto" w:fill="auto"/>
            <w:vAlign w:val="center"/>
          </w:tcPr>
          <w:p>
            <w:pPr>
              <w:widowControl/>
              <w:snapToGrid w:val="0"/>
              <w:spacing w:line="240" w:lineRule="auto"/>
              <w:ind w:firstLine="0" w:firstLineChars="0"/>
              <w:jc w:val="center"/>
              <w:rPr>
                <w:color w:val="000000"/>
                <w:kern w:val="0"/>
                <w:sz w:val="21"/>
                <w:szCs w:val="21"/>
              </w:rPr>
            </w:pPr>
            <w:r>
              <w:rPr>
                <w:color w:val="000000"/>
                <w:kern w:val="0"/>
                <w:sz w:val="21"/>
                <w:szCs w:val="21"/>
              </w:rPr>
              <w:t>评价结果</w:t>
            </w:r>
          </w:p>
        </w:tc>
        <w:tc>
          <w:tcPr>
            <w:tcW w:w="1219" w:type="dxa"/>
            <w:tcBorders>
              <w:top w:val="single" w:color="auto" w:sz="4" w:space="0"/>
              <w:left w:val="single" w:color="auto" w:sz="4" w:space="0"/>
              <w:bottom w:val="single" w:color="auto" w:sz="4" w:space="0"/>
              <w:right w:val="single" w:color="auto" w:sz="4" w:space="0"/>
            </w:tcBorders>
            <w:shd w:val="clear" w:color="auto" w:fill="auto"/>
            <w:vAlign w:val="center"/>
          </w:tcPr>
          <w:p>
            <w:pPr>
              <w:widowControl/>
              <w:snapToGrid w:val="0"/>
              <w:spacing w:line="240" w:lineRule="auto"/>
              <w:ind w:firstLine="0" w:firstLineChars="0"/>
              <w:jc w:val="center"/>
              <w:rPr>
                <w:color w:val="000000"/>
                <w:kern w:val="0"/>
                <w:sz w:val="21"/>
                <w:szCs w:val="21"/>
              </w:rPr>
            </w:pPr>
            <w:r>
              <w:rPr>
                <w:color w:val="000000"/>
                <w:kern w:val="0"/>
                <w:sz w:val="21"/>
                <w:szCs w:val="21"/>
              </w:rPr>
              <w:t>轻度影响</w:t>
            </w:r>
          </w:p>
        </w:tc>
        <w:tc>
          <w:tcPr>
            <w:tcW w:w="1217" w:type="dxa"/>
            <w:tcBorders>
              <w:top w:val="single" w:color="auto" w:sz="4" w:space="0"/>
              <w:left w:val="single" w:color="auto" w:sz="4" w:space="0"/>
              <w:bottom w:val="single" w:color="auto" w:sz="4" w:space="0"/>
              <w:right w:val="single" w:color="auto" w:sz="4" w:space="0"/>
            </w:tcBorders>
            <w:shd w:val="clear" w:color="auto" w:fill="auto"/>
            <w:vAlign w:val="center"/>
          </w:tcPr>
          <w:p>
            <w:pPr>
              <w:widowControl/>
              <w:snapToGrid w:val="0"/>
              <w:spacing w:line="240" w:lineRule="auto"/>
              <w:ind w:firstLine="0" w:firstLineChars="0"/>
              <w:jc w:val="center"/>
              <w:rPr>
                <w:color w:val="000000"/>
                <w:kern w:val="0"/>
                <w:sz w:val="21"/>
                <w:szCs w:val="21"/>
              </w:rPr>
            </w:pPr>
            <w:r>
              <w:rPr>
                <w:color w:val="000000"/>
                <w:kern w:val="0"/>
                <w:sz w:val="21"/>
                <w:szCs w:val="21"/>
              </w:rPr>
              <w:t>轻度污染</w:t>
            </w:r>
          </w:p>
        </w:tc>
        <w:tc>
          <w:tcPr>
            <w:tcW w:w="1217" w:type="dxa"/>
            <w:tcBorders>
              <w:top w:val="single" w:color="auto" w:sz="4" w:space="0"/>
              <w:left w:val="single" w:color="auto" w:sz="4" w:space="0"/>
              <w:bottom w:val="single" w:color="auto" w:sz="4" w:space="0"/>
              <w:right w:val="single" w:color="auto" w:sz="4" w:space="0"/>
            </w:tcBorders>
            <w:shd w:val="clear" w:color="auto" w:fill="auto"/>
            <w:vAlign w:val="center"/>
          </w:tcPr>
          <w:p>
            <w:pPr>
              <w:widowControl/>
              <w:snapToGrid w:val="0"/>
              <w:spacing w:line="240" w:lineRule="auto"/>
              <w:ind w:firstLine="0" w:firstLineChars="0"/>
              <w:jc w:val="center"/>
              <w:rPr>
                <w:color w:val="000000"/>
                <w:kern w:val="0"/>
                <w:sz w:val="21"/>
                <w:szCs w:val="21"/>
              </w:rPr>
            </w:pPr>
            <w:r>
              <w:rPr>
                <w:color w:val="000000"/>
                <w:kern w:val="0"/>
                <w:sz w:val="21"/>
                <w:szCs w:val="21"/>
              </w:rPr>
              <w:t>轻度影响</w:t>
            </w:r>
          </w:p>
        </w:tc>
        <w:tc>
          <w:tcPr>
            <w:tcW w:w="1217" w:type="dxa"/>
            <w:tcBorders>
              <w:top w:val="single" w:color="auto" w:sz="4" w:space="0"/>
              <w:left w:val="single" w:color="auto" w:sz="4" w:space="0"/>
              <w:bottom w:val="single" w:color="auto" w:sz="4" w:space="0"/>
              <w:right w:val="single" w:color="auto" w:sz="4" w:space="0"/>
            </w:tcBorders>
            <w:shd w:val="clear" w:color="auto" w:fill="auto"/>
            <w:vAlign w:val="center"/>
          </w:tcPr>
          <w:p>
            <w:pPr>
              <w:widowControl/>
              <w:snapToGrid w:val="0"/>
              <w:spacing w:line="240" w:lineRule="auto"/>
              <w:ind w:firstLine="0" w:firstLineChars="0"/>
              <w:jc w:val="center"/>
              <w:rPr>
                <w:color w:val="000000"/>
                <w:kern w:val="0"/>
                <w:sz w:val="21"/>
                <w:szCs w:val="21"/>
              </w:rPr>
            </w:pPr>
            <w:r>
              <w:rPr>
                <w:color w:val="000000"/>
                <w:kern w:val="0"/>
                <w:sz w:val="21"/>
                <w:szCs w:val="21"/>
              </w:rPr>
              <w:t>中度污染</w:t>
            </w:r>
          </w:p>
        </w:tc>
        <w:tc>
          <w:tcPr>
            <w:tcW w:w="1217" w:type="dxa"/>
            <w:tcBorders>
              <w:top w:val="single" w:color="auto" w:sz="4" w:space="0"/>
              <w:left w:val="single" w:color="auto" w:sz="4" w:space="0"/>
              <w:bottom w:val="single" w:color="auto" w:sz="4" w:space="0"/>
              <w:right w:val="single" w:color="auto" w:sz="4" w:space="0"/>
            </w:tcBorders>
            <w:shd w:val="clear" w:color="auto" w:fill="auto"/>
            <w:vAlign w:val="center"/>
          </w:tcPr>
          <w:p>
            <w:pPr>
              <w:widowControl/>
              <w:snapToGrid w:val="0"/>
              <w:spacing w:line="240" w:lineRule="auto"/>
              <w:ind w:firstLine="0" w:firstLineChars="0"/>
              <w:jc w:val="center"/>
              <w:rPr>
                <w:color w:val="000000"/>
                <w:kern w:val="0"/>
                <w:sz w:val="21"/>
                <w:szCs w:val="21"/>
              </w:rPr>
            </w:pPr>
            <w:r>
              <w:rPr>
                <w:color w:val="000000"/>
                <w:kern w:val="0"/>
                <w:sz w:val="21"/>
                <w:szCs w:val="21"/>
              </w:rPr>
              <w:t>轻度污染</w:t>
            </w:r>
          </w:p>
        </w:tc>
        <w:tc>
          <w:tcPr>
            <w:tcW w:w="1217" w:type="dxa"/>
            <w:tcBorders>
              <w:top w:val="single" w:color="auto" w:sz="4" w:space="0"/>
              <w:left w:val="single" w:color="auto" w:sz="4" w:space="0"/>
              <w:bottom w:val="single" w:color="auto" w:sz="4" w:space="0"/>
              <w:right w:val="single" w:color="auto" w:sz="4" w:space="0"/>
            </w:tcBorders>
            <w:shd w:val="clear" w:color="auto" w:fill="auto"/>
            <w:vAlign w:val="center"/>
          </w:tcPr>
          <w:p>
            <w:pPr>
              <w:widowControl/>
              <w:snapToGrid w:val="0"/>
              <w:spacing w:line="240" w:lineRule="auto"/>
              <w:ind w:firstLine="0" w:firstLineChars="0"/>
              <w:jc w:val="center"/>
              <w:rPr>
                <w:color w:val="000000"/>
                <w:kern w:val="0"/>
                <w:sz w:val="21"/>
                <w:szCs w:val="21"/>
              </w:rPr>
            </w:pPr>
            <w:r>
              <w:rPr>
                <w:color w:val="000000"/>
                <w:kern w:val="0"/>
                <w:sz w:val="21"/>
                <w:szCs w:val="21"/>
              </w:rPr>
              <w:t>中度污染</w:t>
            </w:r>
          </w:p>
        </w:tc>
      </w:tr>
    </w:tbl>
    <w:p>
      <w:pPr>
        <w:widowControl/>
        <w:snapToGrid w:val="0"/>
        <w:spacing w:line="240" w:lineRule="auto"/>
        <w:ind w:firstLine="0" w:firstLineChars="0"/>
        <w:jc w:val="center"/>
        <w:rPr>
          <w:color w:val="000000" w:themeColor="text1"/>
          <w:kern w:val="0"/>
          <w:sz w:val="21"/>
          <w:szCs w:val="21"/>
        </w:rPr>
      </w:pPr>
    </w:p>
    <w:p>
      <w:pPr>
        <w:tabs>
          <w:tab w:val="left" w:pos="1920"/>
          <w:tab w:val="center" w:pos="4461"/>
        </w:tabs>
        <w:autoSpaceDE w:val="0"/>
        <w:autoSpaceDN w:val="0"/>
        <w:adjustRightInd w:val="0"/>
        <w:ind w:firstLine="0" w:firstLineChars="0"/>
        <w:jc w:val="left"/>
        <w:rPr>
          <w:b/>
          <w:color w:val="000000" w:themeColor="text1"/>
        </w:rPr>
      </w:pPr>
      <w:r>
        <w:rPr>
          <w:rFonts w:hint="eastAsia"/>
          <w:b/>
          <w:color w:val="000000" w:themeColor="text1"/>
        </w:rPr>
        <w:tab/>
      </w:r>
    </w:p>
    <w:p>
      <w:pPr>
        <w:tabs>
          <w:tab w:val="left" w:pos="1920"/>
          <w:tab w:val="center" w:pos="4461"/>
        </w:tabs>
        <w:autoSpaceDE w:val="0"/>
        <w:autoSpaceDN w:val="0"/>
        <w:adjustRightInd w:val="0"/>
        <w:ind w:firstLine="0" w:firstLineChars="0"/>
        <w:jc w:val="left"/>
        <w:rPr>
          <w:b/>
          <w:color w:val="000000" w:themeColor="text1"/>
        </w:rPr>
      </w:pPr>
    </w:p>
    <w:p>
      <w:pPr>
        <w:tabs>
          <w:tab w:val="left" w:pos="1920"/>
          <w:tab w:val="center" w:pos="4461"/>
        </w:tabs>
        <w:autoSpaceDE w:val="0"/>
        <w:autoSpaceDN w:val="0"/>
        <w:adjustRightInd w:val="0"/>
        <w:ind w:firstLine="0" w:firstLineChars="0"/>
        <w:jc w:val="left"/>
        <w:rPr>
          <w:b/>
          <w:color w:val="000000" w:themeColor="text1"/>
          <w:sz w:val="21"/>
          <w:szCs w:val="21"/>
        </w:rPr>
      </w:pPr>
      <w:r>
        <w:rPr>
          <w:rFonts w:hint="eastAsia"/>
          <w:b/>
          <w:color w:val="000000" w:themeColor="text1"/>
          <w:sz w:val="21"/>
          <w:szCs w:val="21"/>
        </w:rPr>
        <w:tab/>
      </w:r>
      <w:r>
        <w:rPr>
          <w:rFonts w:hint="eastAsia"/>
          <w:b/>
          <w:color w:val="000000" w:themeColor="text1"/>
          <w:sz w:val="21"/>
          <w:szCs w:val="21"/>
        </w:rPr>
        <w:t>表4-14  油膜漂移距离与油品溢出时间的关系</w:t>
      </w:r>
    </w:p>
    <w:tbl>
      <w:tblPr>
        <w:tblStyle w:val="47"/>
        <w:tblW w:w="8522" w:type="dxa"/>
        <w:tblInd w:w="0" w:type="dxa"/>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
      <w:tblGrid>
        <w:gridCol w:w="4259"/>
        <w:gridCol w:w="4263"/>
      </w:tblGrid>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trPr>
        <w:tc>
          <w:tcPr>
            <w:tcW w:w="4259" w:type="dxa"/>
            <w:tcBorders>
              <w:tl2br w:val="nil"/>
              <w:tr2bl w:val="nil"/>
            </w:tcBorders>
            <w:vAlign w:val="center"/>
          </w:tcPr>
          <w:p>
            <w:pPr>
              <w:widowControl/>
              <w:snapToGrid w:val="0"/>
              <w:spacing w:line="240" w:lineRule="auto"/>
              <w:ind w:firstLine="0" w:firstLineChars="0"/>
              <w:jc w:val="center"/>
              <w:rPr>
                <w:b/>
                <w:bCs/>
                <w:color w:val="000000" w:themeColor="text1"/>
                <w:kern w:val="0"/>
                <w:sz w:val="21"/>
                <w:szCs w:val="21"/>
              </w:rPr>
            </w:pPr>
            <w:r>
              <w:rPr>
                <w:rFonts w:hint="eastAsia"/>
                <w:b/>
                <w:bCs/>
                <w:color w:val="000000" w:themeColor="text1"/>
                <w:kern w:val="0"/>
                <w:sz w:val="21"/>
                <w:szCs w:val="21"/>
              </w:rPr>
              <w:t>溢出时间h</w:t>
            </w:r>
          </w:p>
        </w:tc>
        <w:tc>
          <w:tcPr>
            <w:tcW w:w="4263" w:type="dxa"/>
            <w:tcBorders>
              <w:tl2br w:val="nil"/>
              <w:tr2bl w:val="nil"/>
            </w:tcBorders>
            <w:vAlign w:val="center"/>
          </w:tcPr>
          <w:p>
            <w:pPr>
              <w:widowControl/>
              <w:snapToGrid w:val="0"/>
              <w:spacing w:line="240" w:lineRule="auto"/>
              <w:ind w:firstLine="0" w:firstLineChars="0"/>
              <w:jc w:val="center"/>
              <w:rPr>
                <w:b/>
                <w:bCs/>
                <w:color w:val="000000" w:themeColor="text1"/>
                <w:kern w:val="0"/>
                <w:sz w:val="21"/>
                <w:szCs w:val="21"/>
              </w:rPr>
            </w:pPr>
            <w:r>
              <w:rPr>
                <w:rFonts w:hint="eastAsia"/>
                <w:b/>
                <w:bCs/>
                <w:color w:val="000000" w:themeColor="text1"/>
                <w:kern w:val="0"/>
                <w:sz w:val="21"/>
                <w:szCs w:val="21"/>
              </w:rPr>
              <w:t>油膜漂移距离km</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trPr>
        <w:tc>
          <w:tcPr>
            <w:tcW w:w="4259" w:type="dxa"/>
            <w:tcBorders>
              <w:tl2br w:val="nil"/>
              <w:tr2bl w:val="nil"/>
            </w:tcBorders>
            <w:vAlign w:val="center"/>
          </w:tcPr>
          <w:p>
            <w:pPr>
              <w:widowControl/>
              <w:snapToGrid w:val="0"/>
              <w:spacing w:line="240" w:lineRule="auto"/>
              <w:ind w:firstLine="0" w:firstLineChars="0"/>
              <w:jc w:val="center"/>
              <w:rPr>
                <w:color w:val="000000" w:themeColor="text1"/>
                <w:kern w:val="0"/>
                <w:sz w:val="21"/>
                <w:szCs w:val="21"/>
              </w:rPr>
            </w:pPr>
            <w:r>
              <w:rPr>
                <w:rFonts w:hint="eastAsia"/>
                <w:color w:val="000000" w:themeColor="text1"/>
                <w:kern w:val="0"/>
                <w:sz w:val="21"/>
                <w:szCs w:val="21"/>
              </w:rPr>
              <w:t>1</w:t>
            </w:r>
          </w:p>
        </w:tc>
        <w:tc>
          <w:tcPr>
            <w:tcW w:w="4263" w:type="dxa"/>
            <w:tcBorders>
              <w:tl2br w:val="nil"/>
              <w:tr2bl w:val="nil"/>
            </w:tcBorders>
            <w:vAlign w:val="center"/>
          </w:tcPr>
          <w:p>
            <w:pPr>
              <w:widowControl/>
              <w:snapToGrid w:val="0"/>
              <w:spacing w:line="240" w:lineRule="auto"/>
              <w:ind w:firstLine="0" w:firstLineChars="0"/>
              <w:jc w:val="center"/>
              <w:rPr>
                <w:color w:val="000000" w:themeColor="text1"/>
                <w:kern w:val="0"/>
                <w:sz w:val="21"/>
                <w:szCs w:val="21"/>
              </w:rPr>
            </w:pPr>
            <w:r>
              <w:rPr>
                <w:rFonts w:hint="eastAsia"/>
                <w:color w:val="000000" w:themeColor="text1"/>
                <w:kern w:val="0"/>
                <w:sz w:val="21"/>
                <w:szCs w:val="21"/>
              </w:rPr>
              <w:t>0.9</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trPr>
        <w:tc>
          <w:tcPr>
            <w:tcW w:w="4259" w:type="dxa"/>
            <w:tcBorders>
              <w:tl2br w:val="nil"/>
              <w:tr2bl w:val="nil"/>
            </w:tcBorders>
            <w:vAlign w:val="center"/>
          </w:tcPr>
          <w:p>
            <w:pPr>
              <w:widowControl/>
              <w:snapToGrid w:val="0"/>
              <w:spacing w:line="240" w:lineRule="auto"/>
              <w:ind w:firstLine="0" w:firstLineChars="0"/>
              <w:jc w:val="center"/>
              <w:rPr>
                <w:color w:val="000000" w:themeColor="text1"/>
                <w:kern w:val="0"/>
                <w:sz w:val="21"/>
                <w:szCs w:val="21"/>
              </w:rPr>
            </w:pPr>
            <w:r>
              <w:rPr>
                <w:rFonts w:hint="eastAsia"/>
                <w:color w:val="000000" w:themeColor="text1"/>
                <w:kern w:val="0"/>
                <w:sz w:val="21"/>
                <w:szCs w:val="21"/>
              </w:rPr>
              <w:t>2</w:t>
            </w:r>
          </w:p>
        </w:tc>
        <w:tc>
          <w:tcPr>
            <w:tcW w:w="4263" w:type="dxa"/>
            <w:tcBorders>
              <w:tl2br w:val="nil"/>
              <w:tr2bl w:val="nil"/>
            </w:tcBorders>
            <w:vAlign w:val="center"/>
          </w:tcPr>
          <w:p>
            <w:pPr>
              <w:widowControl/>
              <w:snapToGrid w:val="0"/>
              <w:spacing w:line="240" w:lineRule="auto"/>
              <w:ind w:firstLine="0" w:firstLineChars="0"/>
              <w:jc w:val="center"/>
              <w:rPr>
                <w:color w:val="000000" w:themeColor="text1"/>
                <w:kern w:val="0"/>
                <w:sz w:val="21"/>
                <w:szCs w:val="21"/>
              </w:rPr>
            </w:pPr>
            <w:r>
              <w:rPr>
                <w:rFonts w:hint="eastAsia"/>
                <w:color w:val="000000" w:themeColor="text1"/>
                <w:kern w:val="0"/>
                <w:sz w:val="21"/>
                <w:szCs w:val="21"/>
              </w:rPr>
              <w:t>1.8</w:t>
            </w:r>
          </w:p>
        </w:tc>
      </w:tr>
    </w:tbl>
    <w:p>
      <w:r>
        <w:rPr>
          <w:rFonts w:hint="eastAsia"/>
        </w:rPr>
        <w:t>结果表明溢油事故在</w:t>
      </w:r>
      <w:r>
        <w:t>24h</w:t>
      </w:r>
      <w:r>
        <w:rPr>
          <w:rFonts w:hint="eastAsia"/>
        </w:rPr>
        <w:t>内油膜最大漂移距离为</w:t>
      </w:r>
      <w:r>
        <w:t>21.6km</w:t>
      </w:r>
      <w:r>
        <w:rPr>
          <w:rFonts w:hint="eastAsia"/>
        </w:rPr>
        <w:t>，</w:t>
      </w:r>
      <w:r>
        <w:t>0.3t</w:t>
      </w:r>
      <w:r>
        <w:rPr>
          <w:rFonts w:hint="eastAsia"/>
        </w:rPr>
        <w:t>溢油事故可造成油膜厚度轻度污染，油膜面积轻度污染，</w:t>
      </w:r>
      <w:r>
        <w:t>1.5t</w:t>
      </w:r>
      <w:r>
        <w:rPr>
          <w:rFonts w:hint="eastAsia"/>
        </w:rPr>
        <w:t>溢油事故可造成油膜厚度中度污染，油膜面积轻度污染。</w:t>
      </w:r>
      <w:r>
        <w:t>3t</w:t>
      </w:r>
      <w:r>
        <w:rPr>
          <w:rFonts w:hint="eastAsia"/>
        </w:rPr>
        <w:t>溢油事故可造成油膜厚度中度污染，油膜面积轻度污染，油膜面积较小，影响范围不大。</w:t>
      </w:r>
    </w:p>
    <w:p>
      <w:pPr>
        <w:autoSpaceDE w:val="0"/>
        <w:autoSpaceDN w:val="0"/>
        <w:adjustRightInd w:val="0"/>
        <w:jc w:val="left"/>
        <w:rPr>
          <w:color w:val="000000" w:themeColor="text1"/>
        </w:rPr>
      </w:pPr>
      <w:r>
        <w:rPr>
          <w:rFonts w:hint="eastAsia"/>
          <w:color w:val="000000" w:themeColor="text1"/>
        </w:rPr>
        <w:t>通过查阅相关资料可知：泄漏或溢出的成品油一旦进入地表河流，将造成地表河流的污染，影响范围小到几公里大到几十公里。污染首先将造成地表河流的景观破坏，产生严重的刺鼻气味；其次，由于有机烃类物质难溶于水，大部分上浮在水层表面，形成一层油膜使空气与水隔离，造成水中溶解氧浓度降低，逐渐形成死水，致使水中生物死亡；再次，成品油的主要成分是C4~C9的烃类、芳烃类、醇酮类以及卤代烃类有机物，一旦进入水环境，由于可生化性较差，造成被污染水体长时间得不到净化。</w:t>
      </w:r>
    </w:p>
    <w:p>
      <w:pPr>
        <w:autoSpaceDE w:val="0"/>
        <w:autoSpaceDN w:val="0"/>
        <w:adjustRightInd w:val="0"/>
        <w:jc w:val="left"/>
        <w:rPr>
          <w:color w:val="000000" w:themeColor="text1"/>
          <w:highlight w:val="yellow"/>
        </w:rPr>
      </w:pPr>
      <w:r>
        <w:rPr>
          <w:color w:val="000000" w:themeColor="text1"/>
        </w:rPr>
        <w:t>由于目前对于溢油扩散理论研究的不完善，未有方便可用的计算方式和模拟软件，有关油扩散的计算仅仅只考虑了油自身的因素，未考虑其他自然因素如风、水流、</w:t>
      </w:r>
      <w:r>
        <w:rPr>
          <w:rFonts w:hint="eastAsia"/>
          <w:color w:val="000000" w:themeColor="text1"/>
        </w:rPr>
        <w:t>航</w:t>
      </w:r>
      <w:r>
        <w:rPr>
          <w:color w:val="000000" w:themeColor="text1"/>
        </w:rPr>
        <w:t>道形状</w:t>
      </w:r>
      <w:r>
        <w:rPr>
          <w:rFonts w:hint="eastAsia"/>
          <w:color w:val="000000" w:themeColor="text1"/>
        </w:rPr>
        <w:t>、</w:t>
      </w:r>
      <w:r>
        <w:rPr>
          <w:color w:val="000000" w:themeColor="text1"/>
        </w:rPr>
        <w:t>油的挥发、降解、稀释等因素。选择较为简便的计算式进行计算，并对结果进行了阐述，可能与实际情况有所偏差，</w:t>
      </w:r>
      <w:r>
        <w:rPr>
          <w:rFonts w:hint="eastAsia"/>
          <w:color w:val="000000" w:themeColor="text1"/>
        </w:rPr>
        <w:t>建议适当</w:t>
      </w:r>
      <w:r>
        <w:rPr>
          <w:color w:val="000000" w:themeColor="text1"/>
        </w:rPr>
        <w:t>的参考。</w:t>
      </w:r>
    </w:p>
    <w:p>
      <w:pPr>
        <w:pStyle w:val="5"/>
        <w:rPr>
          <w:color w:val="000000" w:themeColor="text1"/>
        </w:rPr>
      </w:pPr>
      <w:r>
        <w:rPr>
          <w:color w:val="000000" w:themeColor="text1"/>
        </w:rPr>
        <w:t>4.</w:t>
      </w:r>
      <w:r>
        <w:rPr>
          <w:rFonts w:hint="eastAsia"/>
          <w:color w:val="000000" w:themeColor="text1"/>
        </w:rPr>
        <w:t>3</w:t>
      </w:r>
      <w:r>
        <w:rPr>
          <w:color w:val="000000" w:themeColor="text1"/>
        </w:rPr>
        <w:t>.</w:t>
      </w:r>
      <w:r>
        <w:rPr>
          <w:rFonts w:hint="eastAsia"/>
          <w:color w:val="000000" w:themeColor="text1"/>
        </w:rPr>
        <w:t>2流动风险源突发环境事件分析</w:t>
      </w:r>
    </w:p>
    <w:p>
      <w:pPr>
        <w:rPr>
          <w:color w:val="000000" w:themeColor="text1"/>
          <w:szCs w:val="28"/>
        </w:rPr>
      </w:pPr>
      <w:r>
        <w:rPr>
          <w:rFonts w:hint="eastAsia"/>
          <w:color w:val="000000" w:themeColor="text1"/>
          <w:szCs w:val="28"/>
        </w:rPr>
        <w:t>根据现场情况了解可知，</w:t>
      </w:r>
      <w:r>
        <w:rPr>
          <w:rFonts w:hint="eastAsia"/>
          <w:color w:val="000000" w:themeColor="text1"/>
        </w:rPr>
        <w:t>岳阳市饮用水源保护区（铁山水库-北干渠-金凤水库）</w:t>
      </w:r>
      <w:r>
        <w:rPr>
          <w:rFonts w:hint="eastAsia"/>
          <w:color w:val="000000" w:themeColor="text1"/>
          <w:szCs w:val="28"/>
        </w:rPr>
        <w:t>流动风险源突发环境事件主要为危险化学品运输过程中发现泄漏事故等，其具体后果分析如下：</w:t>
      </w:r>
    </w:p>
    <w:p>
      <w:pPr>
        <w:rPr>
          <w:color w:val="000000" w:themeColor="text1"/>
          <w:szCs w:val="28"/>
        </w:rPr>
      </w:pPr>
      <w:r>
        <w:rPr>
          <w:rFonts w:hint="eastAsia"/>
          <w:color w:val="000000" w:themeColor="text1"/>
          <w:szCs w:val="28"/>
        </w:rPr>
        <w:t>1、陆路流动源风险物质泄漏突发环境事件分析</w:t>
      </w:r>
    </w:p>
    <w:p>
      <w:pPr>
        <w:rPr>
          <w:bCs/>
          <w:color w:val="000000" w:themeColor="text1"/>
          <w:kern w:val="0"/>
          <w:szCs w:val="28"/>
        </w:rPr>
      </w:pPr>
      <w:r>
        <w:rPr>
          <w:rFonts w:hint="eastAsia"/>
          <w:color w:val="000000" w:themeColor="text1"/>
        </w:rPr>
        <w:t>岳阳市饮用水源保护区（铁山水库-北干渠-金凤水库）北干渠</w:t>
      </w:r>
      <w:r>
        <w:rPr>
          <w:rFonts w:hint="eastAsia"/>
          <w:bCs/>
          <w:color w:val="000000" w:themeColor="text1"/>
          <w:kern w:val="0"/>
          <w:szCs w:val="28"/>
        </w:rPr>
        <w:t>上空有S61（岳临高速）上跨，</w:t>
      </w:r>
      <w:r>
        <w:rPr>
          <w:rFonts w:hint="eastAsia"/>
          <w:color w:val="000000" w:themeColor="text1"/>
        </w:rPr>
        <w:t>岳阳市饮用水源保护区（铁山水库-北干渠-金凤水库）铁山水库北岸有</w:t>
      </w:r>
      <w:r>
        <w:rPr>
          <w:rFonts w:hint="eastAsia"/>
        </w:rPr>
        <w:t>X034穿过二级保护区。</w:t>
      </w:r>
    </w:p>
    <w:p>
      <w:pPr>
        <w:rPr>
          <w:b/>
          <w:color w:val="000000" w:themeColor="text1"/>
        </w:rPr>
      </w:pPr>
      <w:r>
        <w:rPr>
          <w:color w:val="000000" w:themeColor="text1"/>
          <w:lang w:bidi="th-TH"/>
        </w:rPr>
        <w:t>根据现场调查，</w:t>
      </w:r>
      <w:r>
        <w:rPr>
          <w:rFonts w:hint="eastAsia"/>
          <w:bCs/>
          <w:color w:val="000000" w:themeColor="text1"/>
          <w:kern w:val="0"/>
          <w:szCs w:val="28"/>
        </w:rPr>
        <w:t>X034未设置</w:t>
      </w:r>
      <w:r>
        <w:rPr>
          <w:rFonts w:hint="eastAsia"/>
          <w:color w:val="000000" w:themeColor="text1"/>
        </w:rPr>
        <w:t>雨水收集系统和应急池等设施，路面和桥面雨水和事故废水存在直接排入饮用水源保护区风险。通过类比调查可知，</w:t>
      </w:r>
      <w:r>
        <w:rPr>
          <w:rFonts w:hint="eastAsia"/>
          <w:bCs/>
          <w:color w:val="000000" w:themeColor="text1"/>
          <w:kern w:val="0"/>
          <w:szCs w:val="28"/>
        </w:rPr>
        <w:t>S61（岳临高速）</w:t>
      </w:r>
      <w:r>
        <w:rPr>
          <w:rFonts w:hint="eastAsia"/>
          <w:color w:val="000000" w:themeColor="text1"/>
        </w:rPr>
        <w:t>不可避免有运输有毒有害的危险化学品运输车辆经过，一旦运输有毒有害的车辆在饮用水源保护区附近发生交通事故，将对水源保护区水质造成严重污染，其影响时间长，污染物难以短时间内清</w:t>
      </w:r>
      <w:r>
        <w:rPr>
          <w:rFonts w:hint="eastAsia"/>
          <w:color w:val="000000" w:themeColor="text1"/>
          <w:szCs w:val="28"/>
        </w:rPr>
        <w:t>除，对居民生产、生活造成重大影响。关于</w:t>
      </w:r>
      <w:r>
        <w:rPr>
          <w:rFonts w:hint="eastAsia"/>
          <w:color w:val="000000" w:themeColor="text1"/>
        </w:rPr>
        <w:t>岳阳市饮用水源保护区（铁山水库-北干渠-金凤水库）</w:t>
      </w:r>
      <w:r>
        <w:rPr>
          <w:rFonts w:hint="eastAsia"/>
          <w:color w:val="000000" w:themeColor="text1"/>
          <w:szCs w:val="28"/>
        </w:rPr>
        <w:t>流动源风险物质泄漏具体情况如下表4-15。</w:t>
      </w:r>
    </w:p>
    <w:p>
      <w:pPr>
        <w:widowControl/>
        <w:ind w:firstLine="0" w:firstLineChars="0"/>
        <w:jc w:val="center"/>
        <w:rPr>
          <w:b/>
          <w:color w:val="000000" w:themeColor="text1"/>
          <w:kern w:val="0"/>
          <w:sz w:val="21"/>
          <w:szCs w:val="21"/>
        </w:rPr>
      </w:pPr>
      <w:r>
        <w:rPr>
          <w:rFonts w:hint="eastAsia"/>
          <w:b/>
          <w:color w:val="000000" w:themeColor="text1"/>
          <w:sz w:val="21"/>
          <w:szCs w:val="21"/>
        </w:rPr>
        <w:t xml:space="preserve">表4-15   </w:t>
      </w:r>
      <w:r>
        <w:rPr>
          <w:rFonts w:hint="eastAsia"/>
          <w:b/>
          <w:bCs/>
          <w:color w:val="000000" w:themeColor="text1"/>
          <w:sz w:val="21"/>
          <w:szCs w:val="21"/>
        </w:rPr>
        <w:t>流动源风险物质泄漏突发环境事件一览表</w:t>
      </w:r>
    </w:p>
    <w:tbl>
      <w:tblPr>
        <w:tblStyle w:val="47"/>
        <w:tblW w:w="8522" w:type="dxa"/>
        <w:tblInd w:w="0" w:type="dxa"/>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
      <w:tblGrid>
        <w:gridCol w:w="2499"/>
        <w:gridCol w:w="2330"/>
        <w:gridCol w:w="3693"/>
      </w:tblGrid>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trPr>
        <w:tc>
          <w:tcPr>
            <w:tcW w:w="2499" w:type="dxa"/>
            <w:tcBorders>
              <w:tl2br w:val="nil"/>
              <w:tr2bl w:val="nil"/>
            </w:tcBorders>
            <w:vAlign w:val="center"/>
          </w:tcPr>
          <w:p>
            <w:pPr>
              <w:spacing w:line="240" w:lineRule="auto"/>
              <w:ind w:firstLine="0" w:firstLineChars="0"/>
              <w:jc w:val="center"/>
              <w:rPr>
                <w:b/>
                <w:color w:val="000000" w:themeColor="text1"/>
                <w:sz w:val="21"/>
                <w:szCs w:val="21"/>
              </w:rPr>
            </w:pPr>
            <w:r>
              <w:rPr>
                <w:rFonts w:hint="eastAsia"/>
                <w:b/>
                <w:color w:val="000000" w:themeColor="text1"/>
                <w:sz w:val="21"/>
                <w:szCs w:val="21"/>
              </w:rPr>
              <w:t>事件名称</w:t>
            </w:r>
          </w:p>
        </w:tc>
        <w:tc>
          <w:tcPr>
            <w:tcW w:w="2330" w:type="dxa"/>
            <w:tcBorders>
              <w:tl2br w:val="nil"/>
              <w:tr2bl w:val="nil"/>
            </w:tcBorders>
            <w:vAlign w:val="center"/>
          </w:tcPr>
          <w:p>
            <w:pPr>
              <w:spacing w:line="240" w:lineRule="auto"/>
              <w:ind w:firstLine="0" w:firstLineChars="0"/>
              <w:jc w:val="center"/>
              <w:rPr>
                <w:b/>
                <w:color w:val="000000" w:themeColor="text1"/>
                <w:sz w:val="21"/>
                <w:szCs w:val="21"/>
              </w:rPr>
            </w:pPr>
            <w:r>
              <w:rPr>
                <w:rFonts w:hint="eastAsia"/>
                <w:b/>
                <w:color w:val="000000" w:themeColor="text1"/>
                <w:sz w:val="21"/>
                <w:szCs w:val="21"/>
              </w:rPr>
              <w:t>发生地点</w:t>
            </w:r>
          </w:p>
        </w:tc>
        <w:tc>
          <w:tcPr>
            <w:tcW w:w="3693" w:type="dxa"/>
            <w:tcBorders>
              <w:tl2br w:val="nil"/>
              <w:tr2bl w:val="nil"/>
            </w:tcBorders>
            <w:vAlign w:val="center"/>
          </w:tcPr>
          <w:p>
            <w:pPr>
              <w:spacing w:line="240" w:lineRule="auto"/>
              <w:ind w:firstLine="0" w:firstLineChars="0"/>
              <w:jc w:val="center"/>
              <w:rPr>
                <w:b/>
                <w:color w:val="000000" w:themeColor="text1"/>
                <w:sz w:val="21"/>
                <w:szCs w:val="21"/>
              </w:rPr>
            </w:pPr>
            <w:r>
              <w:rPr>
                <w:rFonts w:hint="eastAsia"/>
                <w:b/>
                <w:color w:val="000000" w:themeColor="text1"/>
                <w:sz w:val="21"/>
                <w:szCs w:val="21"/>
              </w:rPr>
              <w:t>事故后果</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trPr>
        <w:tc>
          <w:tcPr>
            <w:tcW w:w="2499" w:type="dxa"/>
            <w:vMerge w:val="restart"/>
            <w:tcBorders>
              <w:tl2br w:val="nil"/>
              <w:tr2bl w:val="nil"/>
            </w:tcBorders>
            <w:vAlign w:val="center"/>
          </w:tcPr>
          <w:p>
            <w:pPr>
              <w:spacing w:line="240" w:lineRule="auto"/>
              <w:ind w:firstLine="0" w:firstLineChars="0"/>
              <w:jc w:val="center"/>
              <w:rPr>
                <w:color w:val="000000" w:themeColor="text1"/>
                <w:sz w:val="21"/>
                <w:szCs w:val="21"/>
              </w:rPr>
            </w:pPr>
            <w:r>
              <w:rPr>
                <w:rFonts w:hint="eastAsia"/>
                <w:color w:val="000000" w:themeColor="text1"/>
                <w:sz w:val="21"/>
                <w:szCs w:val="21"/>
              </w:rPr>
              <w:t>流动源风险物质泄漏环境事件</w:t>
            </w:r>
          </w:p>
        </w:tc>
        <w:tc>
          <w:tcPr>
            <w:tcW w:w="2330" w:type="dxa"/>
            <w:tcBorders>
              <w:tl2br w:val="nil"/>
              <w:tr2bl w:val="nil"/>
            </w:tcBorders>
            <w:vAlign w:val="center"/>
          </w:tcPr>
          <w:p>
            <w:pPr>
              <w:spacing w:line="240" w:lineRule="auto"/>
              <w:ind w:firstLine="0" w:firstLineChars="0"/>
              <w:jc w:val="center"/>
              <w:rPr>
                <w:color w:val="000000" w:themeColor="text1"/>
                <w:sz w:val="21"/>
                <w:szCs w:val="21"/>
              </w:rPr>
            </w:pPr>
            <w:r>
              <w:rPr>
                <w:rFonts w:hint="eastAsia"/>
                <w:bCs/>
                <w:color w:val="000000" w:themeColor="text1"/>
                <w:kern w:val="0"/>
                <w:sz w:val="21"/>
                <w:szCs w:val="21"/>
              </w:rPr>
              <w:t>S61上跨北干渠段</w:t>
            </w:r>
          </w:p>
        </w:tc>
        <w:tc>
          <w:tcPr>
            <w:tcW w:w="3693" w:type="dxa"/>
            <w:vMerge w:val="restart"/>
            <w:tcBorders>
              <w:tl2br w:val="nil"/>
              <w:tr2bl w:val="nil"/>
            </w:tcBorders>
            <w:vAlign w:val="center"/>
          </w:tcPr>
          <w:p>
            <w:pPr>
              <w:spacing w:line="240" w:lineRule="auto"/>
              <w:ind w:firstLine="0" w:firstLineChars="0"/>
              <w:jc w:val="center"/>
              <w:rPr>
                <w:color w:val="000000" w:themeColor="text1"/>
                <w:sz w:val="21"/>
                <w:szCs w:val="21"/>
              </w:rPr>
            </w:pPr>
            <w:r>
              <w:rPr>
                <w:rFonts w:hint="eastAsia"/>
                <w:color w:val="000000" w:themeColor="text1"/>
                <w:sz w:val="21"/>
                <w:szCs w:val="21"/>
              </w:rPr>
              <w:t>若发生泄漏事故，外泄的污水进入饮用水水源保护区内</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trPr>
        <w:tc>
          <w:tcPr>
            <w:tcW w:w="2499" w:type="dxa"/>
            <w:vMerge w:val="continue"/>
            <w:tcBorders>
              <w:tl2br w:val="nil"/>
              <w:tr2bl w:val="nil"/>
            </w:tcBorders>
            <w:vAlign w:val="center"/>
          </w:tcPr>
          <w:p>
            <w:pPr>
              <w:spacing w:line="240" w:lineRule="auto"/>
              <w:ind w:firstLine="0" w:firstLineChars="0"/>
              <w:jc w:val="center"/>
              <w:rPr>
                <w:color w:val="000000" w:themeColor="text1"/>
                <w:sz w:val="21"/>
                <w:szCs w:val="21"/>
              </w:rPr>
            </w:pPr>
          </w:p>
        </w:tc>
        <w:tc>
          <w:tcPr>
            <w:tcW w:w="2330" w:type="dxa"/>
            <w:tcBorders>
              <w:tl2br w:val="nil"/>
              <w:tr2bl w:val="nil"/>
            </w:tcBorders>
            <w:vAlign w:val="center"/>
          </w:tcPr>
          <w:p>
            <w:pPr>
              <w:spacing w:line="240" w:lineRule="auto"/>
              <w:ind w:firstLine="0" w:firstLineChars="0"/>
              <w:jc w:val="center"/>
              <w:rPr>
                <w:color w:val="000000" w:themeColor="text1"/>
                <w:sz w:val="21"/>
                <w:szCs w:val="21"/>
              </w:rPr>
            </w:pPr>
            <w:r>
              <w:rPr>
                <w:rFonts w:hint="eastAsia"/>
              </w:rPr>
              <w:t>X034</w:t>
            </w:r>
            <w:r>
              <w:rPr>
                <w:rFonts w:hint="eastAsia"/>
                <w:color w:val="000000" w:themeColor="text1"/>
                <w:sz w:val="21"/>
                <w:szCs w:val="21"/>
              </w:rPr>
              <w:t>穿越铁山水库二级保护区段</w:t>
            </w:r>
          </w:p>
        </w:tc>
        <w:tc>
          <w:tcPr>
            <w:tcW w:w="3693" w:type="dxa"/>
            <w:vMerge w:val="continue"/>
            <w:tcBorders>
              <w:tl2br w:val="nil"/>
              <w:tr2bl w:val="nil"/>
            </w:tcBorders>
            <w:vAlign w:val="center"/>
          </w:tcPr>
          <w:p>
            <w:pPr>
              <w:spacing w:line="240" w:lineRule="auto"/>
              <w:ind w:firstLine="0" w:firstLineChars="0"/>
              <w:jc w:val="center"/>
              <w:rPr>
                <w:color w:val="000000" w:themeColor="text1"/>
                <w:sz w:val="21"/>
                <w:szCs w:val="21"/>
              </w:rPr>
            </w:pPr>
          </w:p>
        </w:tc>
      </w:tr>
    </w:tbl>
    <w:p>
      <w:pPr>
        <w:rPr>
          <w:color w:val="000000" w:themeColor="text1"/>
          <w:szCs w:val="28"/>
          <w:u w:val="single"/>
        </w:rPr>
      </w:pPr>
      <w:r>
        <w:rPr>
          <w:rFonts w:hint="eastAsia"/>
          <w:color w:val="000000" w:themeColor="text1"/>
          <w:szCs w:val="28"/>
          <w:u w:val="single"/>
        </w:rPr>
        <w:t>本预案重点考虑S61发生危险化学品运输突发环境事件，北干渠下穿S61后经过约4km达到终点（金凤水库），途中有两处泄洪闸，一旦发生危险化学品运输突发环境事件，危险化学品流入北干渠，如果危险化学品随北干渠流入金凤水库，将直接影响取水水质，因此，在发生突发事件后第一时间应将下流泄洪闸打开，并控制上流来水量，水厂要增加监测频次，一旦发现取水受到污染，可根据污染程度启动水厂应急预案。</w:t>
      </w:r>
    </w:p>
    <w:p>
      <w:pPr>
        <w:rPr>
          <w:color w:val="000000" w:themeColor="text1"/>
          <w:szCs w:val="28"/>
        </w:rPr>
      </w:pPr>
      <w:r>
        <w:rPr>
          <w:rFonts w:hint="eastAsia"/>
          <w:color w:val="000000" w:themeColor="text1"/>
          <w:szCs w:val="28"/>
        </w:rPr>
        <w:t>2、水路流动源风险物质泄漏突发环境事件分析</w:t>
      </w:r>
    </w:p>
    <w:p>
      <w:pPr>
        <w:pStyle w:val="88"/>
        <w:spacing w:line="360" w:lineRule="auto"/>
        <w:ind w:firstLine="480" w:firstLineChars="200"/>
        <w:jc w:val="both"/>
        <w:rPr>
          <w:rFonts w:ascii="宋体" w:hAnsi="宋体" w:eastAsia="宋体" w:cs="宋体"/>
          <w:color w:val="000000" w:themeColor="text1"/>
        </w:rPr>
      </w:pPr>
      <w:r>
        <w:rPr>
          <w:rFonts w:hint="eastAsia" w:ascii="宋体" w:hAnsi="宋体" w:eastAsia="宋体" w:cs="宋体"/>
          <w:color w:val="000000" w:themeColor="text1"/>
        </w:rPr>
        <w:t>根据现场调查可知，</w:t>
      </w:r>
      <w:r>
        <w:rPr>
          <w:rFonts w:hint="eastAsia" w:eastAsia="宋体"/>
          <w:color w:val="000000" w:themeColor="text1"/>
        </w:rPr>
        <w:t>岳阳市饮用水源保护区（铁山水库-北干渠-金凤水库）</w:t>
      </w:r>
      <w:r>
        <w:rPr>
          <w:rFonts w:hint="eastAsia" w:ascii="宋体" w:hAnsi="宋体" w:eastAsia="宋体" w:cs="宋体"/>
          <w:color w:val="000000" w:themeColor="text1"/>
        </w:rPr>
        <w:t>范围内不涉及码头等涉水构筑物，但是二级保护区内有8个渡口（一级保护区内一个渡口已关闭），渡船已改为环保能源动力船。因此，本评价对其水路流动源不进行分析。</w:t>
      </w:r>
    </w:p>
    <w:p>
      <w:pPr>
        <w:pStyle w:val="5"/>
        <w:rPr>
          <w:color w:val="000000" w:themeColor="text1"/>
        </w:rPr>
      </w:pPr>
      <w:r>
        <w:rPr>
          <w:color w:val="000000" w:themeColor="text1"/>
        </w:rPr>
        <w:t>4.</w:t>
      </w:r>
      <w:r>
        <w:rPr>
          <w:rFonts w:hint="eastAsia"/>
          <w:color w:val="000000" w:themeColor="text1"/>
        </w:rPr>
        <w:t>3</w:t>
      </w:r>
      <w:r>
        <w:rPr>
          <w:color w:val="000000" w:themeColor="text1"/>
        </w:rPr>
        <w:t>.</w:t>
      </w:r>
      <w:r>
        <w:rPr>
          <w:rFonts w:hint="eastAsia"/>
          <w:color w:val="000000" w:themeColor="text1"/>
        </w:rPr>
        <w:t>3非点风险源环境事件分析</w:t>
      </w:r>
    </w:p>
    <w:p>
      <w:pPr>
        <w:rPr>
          <w:color w:val="000000" w:themeColor="text1"/>
          <w:szCs w:val="28"/>
          <w:u w:val="single"/>
        </w:rPr>
      </w:pPr>
      <w:r>
        <w:rPr>
          <w:rFonts w:hint="eastAsia"/>
          <w:color w:val="000000" w:themeColor="text1"/>
          <w:szCs w:val="28"/>
          <w:u w:val="single"/>
        </w:rPr>
        <w:t>1、监测断面及入库河流水质超标</w:t>
      </w:r>
    </w:p>
    <w:p>
      <w:pPr>
        <w:tabs>
          <w:tab w:val="left" w:pos="321"/>
        </w:tabs>
        <w:rPr>
          <w:color w:val="000000" w:themeColor="text1"/>
          <w:szCs w:val="28"/>
          <w:u w:val="single"/>
        </w:rPr>
      </w:pPr>
      <w:r>
        <w:rPr>
          <w:rFonts w:hint="eastAsia"/>
          <w:color w:val="000000" w:themeColor="text1"/>
          <w:szCs w:val="28"/>
          <w:u w:val="single"/>
        </w:rPr>
        <w:t>根据岳阳市环境监测站对</w:t>
      </w:r>
      <w:r>
        <w:rPr>
          <w:rFonts w:hint="eastAsia"/>
          <w:color w:val="000000" w:themeColor="text1"/>
          <w:u w:val="single"/>
        </w:rPr>
        <w:t>岳阳市饮用水源保护区（铁山水库-北干渠-金凤水库）金凤取水口</w:t>
      </w:r>
      <w:r>
        <w:rPr>
          <w:rFonts w:hint="eastAsia"/>
          <w:color w:val="000000" w:themeColor="text1"/>
          <w:szCs w:val="28"/>
          <w:u w:val="single"/>
        </w:rPr>
        <w:t>的水质监测数据分析可知，沿线的非点风险源环境事件指由于铁山水库库区及北干渠沿线生活污水、农业污水等长时间累积排放导致饮用水水源保护区水质超过《地表水环境质量标准》（GB3838-2002）水质标准要求，主要是TN、NH</w:t>
      </w:r>
      <w:r>
        <w:rPr>
          <w:rFonts w:hint="eastAsia"/>
          <w:color w:val="000000" w:themeColor="text1"/>
          <w:szCs w:val="28"/>
          <w:u w:val="single"/>
          <w:vertAlign w:val="subscript"/>
        </w:rPr>
        <w:t>3</w:t>
      </w:r>
      <w:r>
        <w:rPr>
          <w:rFonts w:hint="eastAsia"/>
          <w:color w:val="000000" w:themeColor="text1"/>
          <w:szCs w:val="28"/>
          <w:u w:val="single"/>
        </w:rPr>
        <w:t>-N等超标。根据</w:t>
      </w:r>
      <w:r>
        <w:rPr>
          <w:rFonts w:hint="eastAsia"/>
          <w:color w:val="000000" w:themeColor="text1"/>
          <w:u w:val="single"/>
        </w:rPr>
        <w:t>岳阳市饮用水源保护区（铁山水库-北干渠-金凤水库）</w:t>
      </w:r>
      <w:r>
        <w:rPr>
          <w:rFonts w:hint="eastAsia"/>
          <w:color w:val="000000" w:themeColor="text1"/>
          <w:szCs w:val="28"/>
          <w:u w:val="single"/>
        </w:rPr>
        <w:t>监测断面设置的位置及不同断面监测指标情况，非点风险源环境事件基本类型如表4-16所示。</w:t>
      </w:r>
    </w:p>
    <w:p>
      <w:pPr>
        <w:widowControl/>
        <w:ind w:firstLine="0" w:firstLineChars="0"/>
        <w:jc w:val="center"/>
        <w:rPr>
          <w:b/>
          <w:color w:val="000000" w:themeColor="text1"/>
          <w:spacing w:val="-6"/>
          <w:sz w:val="21"/>
          <w:szCs w:val="21"/>
          <w:u w:val="single"/>
        </w:rPr>
      </w:pPr>
    </w:p>
    <w:p>
      <w:pPr>
        <w:widowControl/>
        <w:ind w:firstLine="0" w:firstLineChars="0"/>
        <w:jc w:val="center"/>
        <w:rPr>
          <w:b/>
          <w:color w:val="000000" w:themeColor="text1"/>
          <w:spacing w:val="-6"/>
          <w:sz w:val="21"/>
          <w:szCs w:val="21"/>
          <w:u w:val="single"/>
        </w:rPr>
      </w:pPr>
      <w:r>
        <w:rPr>
          <w:rFonts w:hint="eastAsia"/>
          <w:b/>
          <w:color w:val="000000" w:themeColor="text1"/>
          <w:spacing w:val="-6"/>
          <w:sz w:val="21"/>
          <w:szCs w:val="21"/>
          <w:u w:val="single"/>
        </w:rPr>
        <w:t>表4-16 岳阳市饮用水源保护区（铁山水库-北干渠-金凤水库）非点风险源环境事件一览表</w:t>
      </w:r>
    </w:p>
    <w:tbl>
      <w:tblPr>
        <w:tblStyle w:val="47"/>
        <w:tblW w:w="8504" w:type="dxa"/>
        <w:tblInd w:w="0" w:type="dxa"/>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
      <w:tblGrid>
        <w:gridCol w:w="2202"/>
        <w:gridCol w:w="3976"/>
        <w:gridCol w:w="2326"/>
      </w:tblGrid>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trPr>
        <w:tc>
          <w:tcPr>
            <w:tcW w:w="2202" w:type="dxa"/>
            <w:tcBorders>
              <w:tl2br w:val="nil"/>
              <w:tr2bl w:val="nil"/>
            </w:tcBorders>
            <w:vAlign w:val="center"/>
          </w:tcPr>
          <w:p>
            <w:pPr>
              <w:tabs>
                <w:tab w:val="left" w:pos="321"/>
              </w:tabs>
              <w:spacing w:line="240" w:lineRule="auto"/>
              <w:ind w:firstLine="422"/>
              <w:rPr>
                <w:b/>
                <w:color w:val="000000" w:themeColor="text1"/>
                <w:sz w:val="21"/>
                <w:szCs w:val="21"/>
                <w:u w:val="single"/>
              </w:rPr>
            </w:pPr>
            <w:r>
              <w:rPr>
                <w:rFonts w:hint="eastAsia"/>
                <w:b/>
                <w:color w:val="000000" w:themeColor="text1"/>
                <w:sz w:val="21"/>
                <w:szCs w:val="21"/>
                <w:u w:val="single"/>
              </w:rPr>
              <w:t>事件名称</w:t>
            </w:r>
          </w:p>
        </w:tc>
        <w:tc>
          <w:tcPr>
            <w:tcW w:w="3976" w:type="dxa"/>
            <w:tcBorders>
              <w:tl2br w:val="nil"/>
              <w:tr2bl w:val="nil"/>
            </w:tcBorders>
            <w:vAlign w:val="center"/>
          </w:tcPr>
          <w:p>
            <w:pPr>
              <w:tabs>
                <w:tab w:val="left" w:pos="321"/>
              </w:tabs>
              <w:spacing w:line="240" w:lineRule="auto"/>
              <w:ind w:firstLine="422"/>
              <w:jc w:val="center"/>
              <w:rPr>
                <w:b/>
                <w:color w:val="000000" w:themeColor="text1"/>
                <w:sz w:val="21"/>
                <w:szCs w:val="21"/>
                <w:u w:val="single"/>
              </w:rPr>
            </w:pPr>
            <w:r>
              <w:rPr>
                <w:rFonts w:hint="eastAsia"/>
                <w:b/>
                <w:color w:val="000000" w:themeColor="text1"/>
                <w:sz w:val="21"/>
                <w:szCs w:val="21"/>
                <w:u w:val="single"/>
              </w:rPr>
              <w:t>事件说明</w:t>
            </w:r>
          </w:p>
        </w:tc>
        <w:tc>
          <w:tcPr>
            <w:tcW w:w="2326" w:type="dxa"/>
            <w:tcBorders>
              <w:tl2br w:val="nil"/>
              <w:tr2bl w:val="nil"/>
            </w:tcBorders>
            <w:vAlign w:val="center"/>
          </w:tcPr>
          <w:p>
            <w:pPr>
              <w:tabs>
                <w:tab w:val="left" w:pos="321"/>
              </w:tabs>
              <w:spacing w:line="240" w:lineRule="auto"/>
              <w:ind w:firstLine="422"/>
              <w:jc w:val="center"/>
              <w:rPr>
                <w:b/>
                <w:color w:val="000000" w:themeColor="text1"/>
                <w:sz w:val="21"/>
                <w:szCs w:val="21"/>
                <w:u w:val="single"/>
              </w:rPr>
            </w:pPr>
            <w:r>
              <w:rPr>
                <w:rFonts w:hint="eastAsia"/>
                <w:b/>
                <w:color w:val="000000" w:themeColor="text1"/>
                <w:sz w:val="21"/>
                <w:szCs w:val="21"/>
                <w:u w:val="single"/>
              </w:rPr>
              <w:t>事件地点</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trPr>
        <w:tc>
          <w:tcPr>
            <w:tcW w:w="2202" w:type="dxa"/>
            <w:tcBorders>
              <w:tl2br w:val="nil"/>
              <w:tr2bl w:val="nil"/>
            </w:tcBorders>
            <w:vAlign w:val="center"/>
          </w:tcPr>
          <w:p>
            <w:pPr>
              <w:tabs>
                <w:tab w:val="left" w:pos="321"/>
              </w:tabs>
              <w:spacing w:line="240" w:lineRule="auto"/>
              <w:ind w:firstLine="0" w:firstLineChars="0"/>
              <w:jc w:val="center"/>
              <w:rPr>
                <w:color w:val="000000" w:themeColor="text1"/>
                <w:sz w:val="21"/>
                <w:szCs w:val="21"/>
                <w:u w:val="single"/>
              </w:rPr>
            </w:pPr>
            <w:r>
              <w:rPr>
                <w:rFonts w:hint="eastAsia"/>
                <w:color w:val="000000" w:themeColor="text1"/>
                <w:sz w:val="21"/>
                <w:szCs w:val="21"/>
                <w:u w:val="single"/>
              </w:rPr>
              <w:t>常规监测控断面水质超标环境事件</w:t>
            </w:r>
          </w:p>
        </w:tc>
        <w:tc>
          <w:tcPr>
            <w:tcW w:w="3976" w:type="dxa"/>
            <w:tcBorders>
              <w:tl2br w:val="nil"/>
              <w:tr2bl w:val="nil"/>
            </w:tcBorders>
            <w:vAlign w:val="center"/>
          </w:tcPr>
          <w:p>
            <w:pPr>
              <w:tabs>
                <w:tab w:val="left" w:pos="321"/>
              </w:tabs>
              <w:spacing w:line="240" w:lineRule="auto"/>
              <w:ind w:firstLine="0" w:firstLineChars="0"/>
              <w:jc w:val="center"/>
              <w:rPr>
                <w:color w:val="000000" w:themeColor="text1"/>
                <w:sz w:val="21"/>
                <w:szCs w:val="21"/>
                <w:u w:val="single"/>
              </w:rPr>
            </w:pPr>
            <w:r>
              <w:rPr>
                <w:rFonts w:hint="eastAsia"/>
                <w:color w:val="000000" w:themeColor="text1"/>
                <w:sz w:val="21"/>
                <w:szCs w:val="21"/>
                <w:u w:val="single"/>
              </w:rPr>
              <w:t>金凤水库取水口、铁山水库取水口水质监测项目中，任意1个及以上项目超标3倍及以上的现象</w:t>
            </w:r>
          </w:p>
        </w:tc>
        <w:tc>
          <w:tcPr>
            <w:tcW w:w="2326" w:type="dxa"/>
            <w:tcBorders>
              <w:tl2br w:val="nil"/>
              <w:tr2bl w:val="nil"/>
            </w:tcBorders>
            <w:vAlign w:val="center"/>
          </w:tcPr>
          <w:p>
            <w:pPr>
              <w:tabs>
                <w:tab w:val="left" w:pos="321"/>
              </w:tabs>
              <w:spacing w:line="240" w:lineRule="auto"/>
              <w:ind w:firstLine="0" w:firstLineChars="0"/>
              <w:jc w:val="center"/>
              <w:rPr>
                <w:color w:val="000000" w:themeColor="text1"/>
                <w:sz w:val="21"/>
                <w:szCs w:val="21"/>
                <w:u w:val="single"/>
              </w:rPr>
            </w:pPr>
            <w:r>
              <w:rPr>
                <w:rFonts w:hint="eastAsia"/>
                <w:color w:val="000000" w:themeColor="text1"/>
                <w:sz w:val="21"/>
                <w:szCs w:val="21"/>
                <w:u w:val="single"/>
              </w:rPr>
              <w:t>金凤水库取水口</w:t>
            </w:r>
          </w:p>
          <w:p>
            <w:pPr>
              <w:tabs>
                <w:tab w:val="left" w:pos="321"/>
              </w:tabs>
              <w:spacing w:line="240" w:lineRule="auto"/>
              <w:ind w:firstLine="0" w:firstLineChars="0"/>
              <w:jc w:val="center"/>
              <w:rPr>
                <w:color w:val="000000" w:themeColor="text1"/>
                <w:sz w:val="21"/>
                <w:szCs w:val="21"/>
                <w:u w:val="single"/>
              </w:rPr>
            </w:pPr>
            <w:r>
              <w:rPr>
                <w:rFonts w:hint="eastAsia"/>
                <w:color w:val="000000" w:themeColor="text1"/>
                <w:sz w:val="21"/>
                <w:szCs w:val="21"/>
                <w:u w:val="single"/>
              </w:rPr>
              <w:t>铁山水库取水口</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trPr>
        <w:tc>
          <w:tcPr>
            <w:tcW w:w="2202" w:type="dxa"/>
            <w:tcBorders>
              <w:tl2br w:val="nil"/>
              <w:tr2bl w:val="nil"/>
            </w:tcBorders>
            <w:vAlign w:val="center"/>
          </w:tcPr>
          <w:p>
            <w:pPr>
              <w:tabs>
                <w:tab w:val="left" w:pos="321"/>
              </w:tabs>
              <w:spacing w:line="240" w:lineRule="auto"/>
              <w:ind w:firstLine="0" w:firstLineChars="0"/>
              <w:jc w:val="center"/>
              <w:rPr>
                <w:color w:val="000000" w:themeColor="text1"/>
                <w:sz w:val="21"/>
                <w:szCs w:val="21"/>
                <w:u w:val="single"/>
              </w:rPr>
            </w:pPr>
            <w:r>
              <w:rPr>
                <w:rFonts w:hint="eastAsia"/>
                <w:color w:val="000000" w:themeColor="text1"/>
                <w:sz w:val="21"/>
                <w:szCs w:val="21"/>
                <w:u w:val="single"/>
              </w:rPr>
              <w:t>上游入库河流断面的水质超标环境事件</w:t>
            </w:r>
          </w:p>
        </w:tc>
        <w:tc>
          <w:tcPr>
            <w:tcW w:w="3976" w:type="dxa"/>
            <w:tcBorders>
              <w:tl2br w:val="nil"/>
              <w:tr2bl w:val="nil"/>
            </w:tcBorders>
            <w:vAlign w:val="center"/>
          </w:tcPr>
          <w:p>
            <w:pPr>
              <w:tabs>
                <w:tab w:val="left" w:pos="321"/>
              </w:tabs>
              <w:spacing w:line="240" w:lineRule="auto"/>
              <w:ind w:firstLine="0" w:firstLineChars="0"/>
              <w:jc w:val="center"/>
              <w:rPr>
                <w:color w:val="000000" w:themeColor="text1"/>
                <w:sz w:val="21"/>
                <w:szCs w:val="21"/>
                <w:u w:val="single"/>
              </w:rPr>
            </w:pPr>
            <w:r>
              <w:rPr>
                <w:rFonts w:hint="eastAsia"/>
                <w:color w:val="000000" w:themeColor="text1"/>
                <w:sz w:val="21"/>
                <w:szCs w:val="21"/>
                <w:u w:val="single"/>
              </w:rPr>
              <w:t>上游毛田河、月田河、东淇河等入库断面出现COD、NH</w:t>
            </w:r>
            <w:r>
              <w:rPr>
                <w:rFonts w:hint="eastAsia"/>
                <w:color w:val="000000" w:themeColor="text1"/>
                <w:sz w:val="21"/>
                <w:szCs w:val="21"/>
                <w:u w:val="single"/>
                <w:vertAlign w:val="subscript"/>
              </w:rPr>
              <w:t>3</w:t>
            </w:r>
            <w:r>
              <w:rPr>
                <w:rFonts w:hint="eastAsia"/>
                <w:color w:val="000000" w:themeColor="text1"/>
                <w:sz w:val="21"/>
                <w:szCs w:val="21"/>
                <w:u w:val="single"/>
              </w:rPr>
              <w:t>-N、重金属等超标现象</w:t>
            </w:r>
          </w:p>
        </w:tc>
        <w:tc>
          <w:tcPr>
            <w:tcW w:w="2326" w:type="dxa"/>
            <w:tcBorders>
              <w:tl2br w:val="nil"/>
              <w:tr2bl w:val="nil"/>
            </w:tcBorders>
            <w:vAlign w:val="center"/>
          </w:tcPr>
          <w:p>
            <w:pPr>
              <w:tabs>
                <w:tab w:val="left" w:pos="321"/>
              </w:tabs>
              <w:spacing w:line="240" w:lineRule="auto"/>
              <w:ind w:firstLine="0" w:firstLineChars="0"/>
              <w:jc w:val="center"/>
              <w:rPr>
                <w:color w:val="000000" w:themeColor="text1"/>
                <w:sz w:val="21"/>
                <w:szCs w:val="21"/>
                <w:u w:val="single"/>
              </w:rPr>
            </w:pPr>
            <w:r>
              <w:rPr>
                <w:rFonts w:hint="eastAsia"/>
                <w:color w:val="000000" w:themeColor="text1"/>
                <w:sz w:val="21"/>
                <w:szCs w:val="21"/>
                <w:u w:val="single"/>
              </w:rPr>
              <w:t>毛田河、月田河、东淇河口入库等断面</w:t>
            </w:r>
          </w:p>
        </w:tc>
      </w:tr>
    </w:tbl>
    <w:p>
      <w:pPr>
        <w:spacing w:line="440" w:lineRule="exact"/>
        <w:rPr>
          <w:color w:val="000000" w:themeColor="text1"/>
          <w:szCs w:val="28"/>
          <w:u w:val="single"/>
        </w:rPr>
      </w:pPr>
      <w:r>
        <w:rPr>
          <w:rFonts w:hint="eastAsia"/>
          <w:color w:val="000000" w:themeColor="text1"/>
          <w:szCs w:val="28"/>
          <w:u w:val="single"/>
        </w:rPr>
        <w:t>2、汛期、枯水期、雨雪冰冻或台风等特殊时期引发次生环境事件</w:t>
      </w:r>
    </w:p>
    <w:p>
      <w:pPr>
        <w:spacing w:line="440" w:lineRule="exact"/>
        <w:rPr>
          <w:color w:val="000000" w:themeColor="text1"/>
          <w:szCs w:val="28"/>
          <w:u w:val="single"/>
          <w:lang w:val="zh-CN"/>
        </w:rPr>
      </w:pPr>
      <w:r>
        <w:rPr>
          <w:rFonts w:hint="eastAsia"/>
          <w:color w:val="000000" w:themeColor="text1"/>
          <w:kern w:val="0"/>
          <w:u w:val="single"/>
        </w:rPr>
        <w:t>通过查阅相关资料可知，岳阳市</w:t>
      </w:r>
      <w:r>
        <w:rPr>
          <w:color w:val="000000" w:themeColor="text1"/>
          <w:u w:val="single"/>
        </w:rPr>
        <w:t>4-6月是雨季，总雨量为563.9毫米，占全年雨量的42%</w:t>
      </w:r>
      <w:r>
        <w:rPr>
          <w:rFonts w:hint="eastAsia"/>
          <w:color w:val="000000" w:themeColor="text1"/>
          <w:u w:val="single"/>
        </w:rPr>
        <w:t>，</w:t>
      </w:r>
      <w:r>
        <w:rPr>
          <w:rFonts w:hint="eastAsia"/>
          <w:color w:val="000000" w:themeColor="text1"/>
          <w:szCs w:val="28"/>
          <w:u w:val="single"/>
          <w:lang w:val="zh-CN"/>
        </w:rPr>
        <w:t>由暴雨造成的洪涝灾害多发生在</w:t>
      </w:r>
      <w:r>
        <w:rPr>
          <w:rFonts w:hint="eastAsia"/>
          <w:color w:val="000000" w:themeColor="text1"/>
          <w:szCs w:val="28"/>
          <w:u w:val="single"/>
        </w:rPr>
        <w:t>4~6</w:t>
      </w:r>
      <w:r>
        <w:rPr>
          <w:rFonts w:hint="eastAsia"/>
          <w:color w:val="000000" w:themeColor="text1"/>
          <w:szCs w:val="28"/>
          <w:u w:val="single"/>
          <w:lang w:val="zh-CN"/>
        </w:rPr>
        <w:t>月。暴雨一旦发生很有可能会产生非点源环境风险物质流失，对</w:t>
      </w:r>
      <w:r>
        <w:rPr>
          <w:rFonts w:hint="eastAsia"/>
          <w:color w:val="000000" w:themeColor="text1"/>
          <w:u w:val="single"/>
        </w:rPr>
        <w:t>岳阳市饮用水源保护区（铁山水库-北干渠-金凤水库）</w:t>
      </w:r>
      <w:r>
        <w:rPr>
          <w:rFonts w:hint="eastAsia"/>
          <w:color w:val="000000" w:themeColor="text1"/>
          <w:szCs w:val="28"/>
          <w:u w:val="single"/>
          <w:lang w:val="zh-CN"/>
        </w:rPr>
        <w:t>造成污染。</w:t>
      </w:r>
    </w:p>
    <w:p>
      <w:pPr>
        <w:spacing w:line="440" w:lineRule="exact"/>
        <w:rPr>
          <w:color w:val="000000" w:themeColor="text1"/>
          <w:szCs w:val="28"/>
          <w:u w:val="single"/>
          <w:lang w:val="zh-CN"/>
        </w:rPr>
      </w:pPr>
      <w:r>
        <w:rPr>
          <w:rFonts w:hint="eastAsia"/>
          <w:color w:val="000000" w:themeColor="text1"/>
          <w:szCs w:val="28"/>
          <w:u w:val="single"/>
          <w:lang w:val="zh-CN"/>
        </w:rPr>
        <w:t>枯水期上游来水量减少，水体自净能力减弱，可能会导致水质恶化，因此需加密监测，随时掌握水质变化情况。</w:t>
      </w:r>
    </w:p>
    <w:p>
      <w:pPr>
        <w:spacing w:line="440" w:lineRule="exact"/>
        <w:rPr>
          <w:color w:val="000000" w:themeColor="text1"/>
          <w:szCs w:val="28"/>
          <w:u w:val="single"/>
        </w:rPr>
      </w:pPr>
      <w:r>
        <w:rPr>
          <w:rFonts w:hint="eastAsia"/>
          <w:color w:val="000000" w:themeColor="text1"/>
          <w:szCs w:val="28"/>
          <w:u w:val="single"/>
        </w:rPr>
        <w:t>雨雪冰冻或台风等特殊时期可能会因为融雪剂的使用导致水体亚硝酸盐超标，或者冰冻台风等导致管道破裂泄漏等。因此应</w:t>
      </w:r>
      <w:r>
        <w:rPr>
          <w:rFonts w:hint="eastAsia" w:ascii="宋体" w:hAnsi="宋体"/>
          <w:color w:val="000000"/>
          <w:szCs w:val="24"/>
          <w:u w:val="single"/>
        </w:rPr>
        <w:t>密切关注融雪剂的使用对水源地的影响，加强对取水口附近地表水的水质监测，增加可溶性盐类和亚硝酸盐的监测；督促企业加强风险防范，做好管道、罐体阀门的防冻工作。</w:t>
      </w:r>
    </w:p>
    <w:p>
      <w:pPr>
        <w:spacing w:line="440" w:lineRule="exact"/>
        <w:rPr>
          <w:color w:val="000000" w:themeColor="text1"/>
          <w:szCs w:val="28"/>
        </w:rPr>
      </w:pPr>
      <w:r>
        <w:rPr>
          <w:rFonts w:hint="eastAsia"/>
          <w:color w:val="000000" w:themeColor="text1"/>
          <w:szCs w:val="28"/>
        </w:rPr>
        <w:t>3、水华爆发及次生环境事件</w:t>
      </w:r>
    </w:p>
    <w:p>
      <w:pPr>
        <w:spacing w:line="440" w:lineRule="exact"/>
        <w:rPr>
          <w:color w:val="000000" w:themeColor="text1"/>
          <w:szCs w:val="28"/>
        </w:rPr>
      </w:pPr>
      <w:r>
        <w:rPr>
          <w:rFonts w:hint="eastAsia" w:ascii="宋体" w:hAnsi="宋体" w:cs="宋体"/>
          <w:szCs w:val="24"/>
        </w:rPr>
        <w:t>富营养化是一种氮、磷等植物营养物质含量过多所引起的水质污染现象。水体出现富营养化现象时，由于浮游生物大量繁殖，往往使水体呈现蓝色、红色、棕色、乳白色等，这些藻类有恶臭、有毒，鱼不能食用。藻类遮蔽阳光，使水底生植物因光合作用受到阻碍而死去，腐败后放出氮、磷等植物的营养物质，再供藻类利用。这样年深月久，造成恶性循环，藻类大量繁殖，水质恶化而有腥臭，水中缺氧，造成鱼类窒息死亡。若水华爆发处理不当或不及时，则会造成水体污染，影响岳阳市区的饮用水取水及供水安全。</w:t>
      </w:r>
    </w:p>
    <w:p>
      <w:pPr>
        <w:spacing w:line="440" w:lineRule="exact"/>
        <w:rPr>
          <w:color w:val="000000" w:themeColor="text1"/>
        </w:rPr>
      </w:pPr>
      <w:r>
        <w:rPr>
          <w:rFonts w:hint="eastAsia"/>
          <w:color w:val="000000" w:themeColor="text1"/>
        </w:rPr>
        <w:t>综合上述分析结果，根据各类突发环境事件危害的对象、影响的范围和程度，岳阳市饮用水源保护区（铁山水库-北干渠-金凤水库）可能发生的突发环境事件汇总于表4-17所示。</w:t>
      </w:r>
    </w:p>
    <w:p>
      <w:pPr>
        <w:spacing w:line="240" w:lineRule="auto"/>
        <w:ind w:firstLine="0" w:firstLineChars="0"/>
        <w:jc w:val="center"/>
        <w:rPr>
          <w:b/>
          <w:color w:val="000000" w:themeColor="text1"/>
          <w:sz w:val="21"/>
          <w:szCs w:val="21"/>
          <w:lang w:val="zh-CN"/>
        </w:rPr>
      </w:pPr>
      <w:r>
        <w:rPr>
          <w:b/>
          <w:color w:val="000000" w:themeColor="text1"/>
          <w:sz w:val="21"/>
          <w:szCs w:val="21"/>
          <w:lang w:val="zh-CN"/>
        </w:rPr>
        <w:br w:type="page"/>
      </w:r>
    </w:p>
    <w:p>
      <w:pPr>
        <w:spacing w:line="240" w:lineRule="auto"/>
        <w:ind w:firstLine="0" w:firstLineChars="0"/>
        <w:jc w:val="center"/>
        <w:rPr>
          <w:b/>
          <w:color w:val="000000" w:themeColor="text1"/>
          <w:sz w:val="21"/>
          <w:szCs w:val="21"/>
        </w:rPr>
      </w:pPr>
      <w:r>
        <w:rPr>
          <w:b/>
          <w:color w:val="000000" w:themeColor="text1"/>
          <w:sz w:val="21"/>
          <w:szCs w:val="21"/>
          <w:lang w:val="zh-CN"/>
        </w:rPr>
        <w:t>表</w:t>
      </w:r>
      <w:r>
        <w:rPr>
          <w:rFonts w:hint="eastAsia"/>
          <w:b/>
          <w:color w:val="000000" w:themeColor="text1"/>
          <w:sz w:val="21"/>
          <w:szCs w:val="21"/>
        </w:rPr>
        <w:t>4-17  岳阳市饮用水源保护区（铁山水库-北干渠-金凤水库）</w:t>
      </w:r>
    </w:p>
    <w:p>
      <w:pPr>
        <w:ind w:firstLine="0" w:firstLineChars="0"/>
        <w:jc w:val="center"/>
        <w:rPr>
          <w:color w:val="000000" w:themeColor="text1"/>
          <w:sz w:val="21"/>
          <w:szCs w:val="21"/>
          <w:lang w:val="zh-CN"/>
        </w:rPr>
      </w:pPr>
      <w:r>
        <w:rPr>
          <w:b/>
          <w:color w:val="000000" w:themeColor="text1"/>
          <w:sz w:val="21"/>
          <w:szCs w:val="21"/>
          <w:lang w:val="zh-CN"/>
        </w:rPr>
        <w:t>可能发生的突发环境风险事件一览表</w:t>
      </w:r>
    </w:p>
    <w:tbl>
      <w:tblPr>
        <w:tblStyle w:val="47"/>
        <w:tblW w:w="8522" w:type="dxa"/>
        <w:tblInd w:w="0" w:type="dxa"/>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
      <w:tblGrid>
        <w:gridCol w:w="636"/>
        <w:gridCol w:w="1392"/>
        <w:gridCol w:w="4516"/>
        <w:gridCol w:w="1978"/>
      </w:tblGrid>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trPr>
        <w:tc>
          <w:tcPr>
            <w:tcW w:w="636" w:type="dxa"/>
            <w:tcBorders>
              <w:tl2br w:val="nil"/>
              <w:tr2bl w:val="nil"/>
            </w:tcBorders>
            <w:vAlign w:val="center"/>
          </w:tcPr>
          <w:p>
            <w:pPr>
              <w:autoSpaceDE w:val="0"/>
              <w:autoSpaceDN w:val="0"/>
              <w:adjustRightInd w:val="0"/>
              <w:spacing w:line="240" w:lineRule="auto"/>
              <w:ind w:firstLine="0" w:firstLineChars="0"/>
              <w:jc w:val="center"/>
              <w:rPr>
                <w:bCs/>
                <w:color w:val="000000" w:themeColor="text1"/>
                <w:sz w:val="21"/>
                <w:szCs w:val="21"/>
                <w:lang w:val="zh-CN"/>
              </w:rPr>
            </w:pPr>
            <w:r>
              <w:rPr>
                <w:rFonts w:hint="eastAsia"/>
                <w:bCs/>
                <w:color w:val="000000" w:themeColor="text1"/>
                <w:sz w:val="21"/>
                <w:szCs w:val="21"/>
                <w:lang w:val="zh-CN"/>
              </w:rPr>
              <w:t>序号</w:t>
            </w:r>
          </w:p>
        </w:tc>
        <w:tc>
          <w:tcPr>
            <w:tcW w:w="1392" w:type="dxa"/>
            <w:tcBorders>
              <w:tl2br w:val="nil"/>
              <w:tr2bl w:val="nil"/>
            </w:tcBorders>
            <w:vAlign w:val="center"/>
          </w:tcPr>
          <w:p>
            <w:pPr>
              <w:autoSpaceDE w:val="0"/>
              <w:autoSpaceDN w:val="0"/>
              <w:adjustRightInd w:val="0"/>
              <w:spacing w:line="240" w:lineRule="auto"/>
              <w:ind w:firstLine="0" w:firstLineChars="0"/>
              <w:jc w:val="center"/>
              <w:rPr>
                <w:bCs/>
                <w:color w:val="000000" w:themeColor="text1"/>
                <w:sz w:val="21"/>
                <w:szCs w:val="21"/>
                <w:lang w:val="zh-CN"/>
              </w:rPr>
            </w:pPr>
            <w:r>
              <w:rPr>
                <w:rFonts w:hint="eastAsia"/>
                <w:bCs/>
                <w:color w:val="000000" w:themeColor="text1"/>
                <w:sz w:val="21"/>
                <w:szCs w:val="21"/>
                <w:lang w:val="zh-CN"/>
              </w:rPr>
              <w:t>事件名称</w:t>
            </w:r>
          </w:p>
        </w:tc>
        <w:tc>
          <w:tcPr>
            <w:tcW w:w="4516" w:type="dxa"/>
            <w:tcBorders>
              <w:tl2br w:val="nil"/>
              <w:tr2bl w:val="nil"/>
            </w:tcBorders>
            <w:vAlign w:val="center"/>
          </w:tcPr>
          <w:p>
            <w:pPr>
              <w:autoSpaceDE w:val="0"/>
              <w:autoSpaceDN w:val="0"/>
              <w:adjustRightInd w:val="0"/>
              <w:spacing w:line="240" w:lineRule="auto"/>
              <w:ind w:firstLine="0" w:firstLineChars="0"/>
              <w:jc w:val="center"/>
              <w:rPr>
                <w:bCs/>
                <w:color w:val="000000" w:themeColor="text1"/>
                <w:sz w:val="21"/>
                <w:szCs w:val="21"/>
                <w:lang w:val="zh-CN"/>
              </w:rPr>
            </w:pPr>
            <w:r>
              <w:rPr>
                <w:rFonts w:hint="eastAsia"/>
                <w:bCs/>
                <w:color w:val="000000" w:themeColor="text1"/>
                <w:sz w:val="21"/>
                <w:szCs w:val="21"/>
                <w:lang w:val="zh-CN"/>
              </w:rPr>
              <w:t>事故特征</w:t>
            </w:r>
          </w:p>
        </w:tc>
        <w:tc>
          <w:tcPr>
            <w:tcW w:w="1978" w:type="dxa"/>
            <w:tcBorders>
              <w:tl2br w:val="nil"/>
              <w:tr2bl w:val="nil"/>
            </w:tcBorders>
            <w:vAlign w:val="center"/>
          </w:tcPr>
          <w:p>
            <w:pPr>
              <w:autoSpaceDE w:val="0"/>
              <w:autoSpaceDN w:val="0"/>
              <w:adjustRightInd w:val="0"/>
              <w:spacing w:line="240" w:lineRule="auto"/>
              <w:ind w:firstLine="0" w:firstLineChars="0"/>
              <w:jc w:val="center"/>
              <w:rPr>
                <w:bCs/>
                <w:color w:val="000000" w:themeColor="text1"/>
                <w:sz w:val="21"/>
                <w:szCs w:val="21"/>
                <w:lang w:val="zh-CN"/>
              </w:rPr>
            </w:pPr>
            <w:r>
              <w:rPr>
                <w:rFonts w:hint="eastAsia"/>
                <w:bCs/>
                <w:color w:val="000000" w:themeColor="text1"/>
                <w:sz w:val="21"/>
                <w:szCs w:val="21"/>
                <w:lang w:val="zh-CN"/>
              </w:rPr>
              <w:t>发生场所</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trPr>
        <w:tc>
          <w:tcPr>
            <w:tcW w:w="636" w:type="dxa"/>
            <w:tcBorders>
              <w:tl2br w:val="nil"/>
              <w:tr2bl w:val="nil"/>
            </w:tcBorders>
            <w:vAlign w:val="center"/>
          </w:tcPr>
          <w:p>
            <w:pPr>
              <w:autoSpaceDE w:val="0"/>
              <w:autoSpaceDN w:val="0"/>
              <w:adjustRightInd w:val="0"/>
              <w:spacing w:line="240" w:lineRule="auto"/>
              <w:ind w:firstLine="0" w:firstLineChars="0"/>
              <w:jc w:val="center"/>
              <w:rPr>
                <w:bCs/>
                <w:color w:val="000000" w:themeColor="text1"/>
                <w:sz w:val="21"/>
                <w:szCs w:val="21"/>
                <w:lang w:val="zh-CN"/>
              </w:rPr>
            </w:pPr>
            <w:r>
              <w:rPr>
                <w:rFonts w:hint="eastAsia"/>
                <w:bCs/>
                <w:color w:val="000000" w:themeColor="text1"/>
                <w:sz w:val="21"/>
                <w:szCs w:val="21"/>
                <w:lang w:val="zh-CN"/>
              </w:rPr>
              <w:t>1</w:t>
            </w:r>
          </w:p>
        </w:tc>
        <w:tc>
          <w:tcPr>
            <w:tcW w:w="1392" w:type="dxa"/>
            <w:tcBorders>
              <w:tl2br w:val="nil"/>
              <w:tr2bl w:val="nil"/>
            </w:tcBorders>
            <w:vAlign w:val="center"/>
          </w:tcPr>
          <w:p>
            <w:pPr>
              <w:autoSpaceDE w:val="0"/>
              <w:autoSpaceDN w:val="0"/>
              <w:adjustRightInd w:val="0"/>
              <w:spacing w:line="240" w:lineRule="auto"/>
              <w:ind w:firstLine="0" w:firstLineChars="0"/>
              <w:jc w:val="center"/>
              <w:rPr>
                <w:bCs/>
                <w:color w:val="000000" w:themeColor="text1"/>
                <w:sz w:val="21"/>
                <w:szCs w:val="21"/>
                <w:lang w:val="zh-CN"/>
              </w:rPr>
            </w:pPr>
            <w:r>
              <w:rPr>
                <w:rFonts w:hint="eastAsia"/>
                <w:bCs/>
                <w:color w:val="000000" w:themeColor="text1"/>
                <w:sz w:val="21"/>
                <w:szCs w:val="21"/>
                <w:lang w:val="zh-CN"/>
              </w:rPr>
              <w:t>固定环境风险源突发环境事件</w:t>
            </w:r>
          </w:p>
        </w:tc>
        <w:tc>
          <w:tcPr>
            <w:tcW w:w="4516" w:type="dxa"/>
            <w:tcBorders>
              <w:tl2br w:val="nil"/>
              <w:tr2bl w:val="nil"/>
            </w:tcBorders>
            <w:vAlign w:val="center"/>
          </w:tcPr>
          <w:p>
            <w:pPr>
              <w:autoSpaceDE w:val="0"/>
              <w:autoSpaceDN w:val="0"/>
              <w:adjustRightInd w:val="0"/>
              <w:spacing w:line="240" w:lineRule="auto"/>
              <w:ind w:firstLine="0" w:firstLineChars="0"/>
              <w:jc w:val="center"/>
              <w:rPr>
                <w:bCs/>
                <w:color w:val="000000" w:themeColor="text1"/>
                <w:sz w:val="21"/>
                <w:szCs w:val="21"/>
              </w:rPr>
            </w:pPr>
            <w:r>
              <w:rPr>
                <w:rFonts w:hint="eastAsia"/>
                <w:bCs/>
                <w:color w:val="000000" w:themeColor="text1"/>
                <w:sz w:val="21"/>
                <w:szCs w:val="21"/>
              </w:rPr>
              <w:t>主要指铁山水库准保护区内的四个加油站及二个污水处理厂突然发生的环境事件，可能对铁山水库水质造成一定的影响。</w:t>
            </w:r>
          </w:p>
        </w:tc>
        <w:tc>
          <w:tcPr>
            <w:tcW w:w="1978" w:type="dxa"/>
            <w:tcBorders>
              <w:tl2br w:val="nil"/>
              <w:tr2bl w:val="nil"/>
            </w:tcBorders>
            <w:vAlign w:val="center"/>
          </w:tcPr>
          <w:p>
            <w:pPr>
              <w:autoSpaceDE w:val="0"/>
              <w:autoSpaceDN w:val="0"/>
              <w:adjustRightInd w:val="0"/>
              <w:spacing w:line="240" w:lineRule="auto"/>
              <w:ind w:firstLine="0" w:firstLineChars="0"/>
              <w:jc w:val="center"/>
              <w:rPr>
                <w:bCs/>
                <w:color w:val="000000" w:themeColor="text1"/>
                <w:sz w:val="21"/>
                <w:szCs w:val="21"/>
              </w:rPr>
            </w:pPr>
            <w:r>
              <w:rPr>
                <w:rFonts w:hint="eastAsia"/>
                <w:bCs/>
                <w:color w:val="000000" w:themeColor="text1"/>
                <w:sz w:val="21"/>
                <w:szCs w:val="21"/>
              </w:rPr>
              <w:t>重点为加油站及周边区域和污水处理站尾水排放区域</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trPr>
        <w:tc>
          <w:tcPr>
            <w:tcW w:w="636" w:type="dxa"/>
            <w:tcBorders>
              <w:tl2br w:val="nil"/>
              <w:tr2bl w:val="nil"/>
            </w:tcBorders>
            <w:vAlign w:val="center"/>
          </w:tcPr>
          <w:p>
            <w:pPr>
              <w:autoSpaceDE w:val="0"/>
              <w:autoSpaceDN w:val="0"/>
              <w:adjustRightInd w:val="0"/>
              <w:spacing w:line="240" w:lineRule="auto"/>
              <w:ind w:firstLine="0" w:firstLineChars="0"/>
              <w:jc w:val="center"/>
              <w:rPr>
                <w:bCs/>
                <w:color w:val="000000" w:themeColor="text1"/>
                <w:sz w:val="21"/>
                <w:szCs w:val="21"/>
                <w:lang w:val="zh-CN"/>
              </w:rPr>
            </w:pPr>
            <w:r>
              <w:rPr>
                <w:rFonts w:hint="eastAsia"/>
                <w:bCs/>
                <w:color w:val="000000" w:themeColor="text1"/>
                <w:sz w:val="21"/>
                <w:szCs w:val="21"/>
                <w:lang w:val="zh-CN"/>
              </w:rPr>
              <w:t>2</w:t>
            </w:r>
          </w:p>
        </w:tc>
        <w:tc>
          <w:tcPr>
            <w:tcW w:w="1392" w:type="dxa"/>
            <w:tcBorders>
              <w:tl2br w:val="nil"/>
              <w:tr2bl w:val="nil"/>
            </w:tcBorders>
            <w:vAlign w:val="center"/>
          </w:tcPr>
          <w:p>
            <w:pPr>
              <w:autoSpaceDE w:val="0"/>
              <w:autoSpaceDN w:val="0"/>
              <w:adjustRightInd w:val="0"/>
              <w:spacing w:line="240" w:lineRule="auto"/>
              <w:ind w:firstLine="0" w:firstLineChars="0"/>
              <w:jc w:val="center"/>
              <w:rPr>
                <w:bCs/>
                <w:color w:val="000000" w:themeColor="text1"/>
                <w:sz w:val="21"/>
                <w:szCs w:val="21"/>
                <w:lang w:val="zh-CN"/>
              </w:rPr>
            </w:pPr>
            <w:r>
              <w:rPr>
                <w:rFonts w:hint="eastAsia"/>
                <w:bCs/>
                <w:color w:val="000000" w:themeColor="text1"/>
                <w:sz w:val="21"/>
                <w:szCs w:val="21"/>
                <w:lang w:val="zh-CN"/>
              </w:rPr>
              <w:t>陆域流动源风险物质泄漏环境事件</w:t>
            </w:r>
          </w:p>
        </w:tc>
        <w:tc>
          <w:tcPr>
            <w:tcW w:w="4516" w:type="dxa"/>
            <w:tcBorders>
              <w:tl2br w:val="nil"/>
              <w:tr2bl w:val="nil"/>
            </w:tcBorders>
            <w:vAlign w:val="center"/>
          </w:tcPr>
          <w:p>
            <w:pPr>
              <w:autoSpaceDE w:val="0"/>
              <w:autoSpaceDN w:val="0"/>
              <w:adjustRightInd w:val="0"/>
              <w:spacing w:line="240" w:lineRule="auto"/>
              <w:ind w:firstLine="0" w:firstLineChars="0"/>
              <w:jc w:val="center"/>
              <w:rPr>
                <w:bCs/>
                <w:color w:val="000000" w:themeColor="text1"/>
                <w:sz w:val="21"/>
                <w:szCs w:val="21"/>
              </w:rPr>
            </w:pPr>
            <w:r>
              <w:rPr>
                <w:rFonts w:hint="eastAsia"/>
                <w:bCs/>
                <w:color w:val="000000" w:themeColor="text1"/>
                <w:sz w:val="21"/>
                <w:szCs w:val="21"/>
              </w:rPr>
              <w:t>S61（岳临高速）上跨北干渠段及铁山水库保护区内的公路上的车辆发生油品及危险品泄漏等环境事件，由于距离保护区的水域较近，可能对饮用水源保护区水体水质造成严重影响。</w:t>
            </w:r>
          </w:p>
        </w:tc>
        <w:tc>
          <w:tcPr>
            <w:tcW w:w="1978" w:type="dxa"/>
            <w:tcBorders>
              <w:tl2br w:val="nil"/>
              <w:tr2bl w:val="nil"/>
            </w:tcBorders>
            <w:vAlign w:val="center"/>
          </w:tcPr>
          <w:p>
            <w:pPr>
              <w:autoSpaceDE w:val="0"/>
              <w:autoSpaceDN w:val="0"/>
              <w:adjustRightInd w:val="0"/>
              <w:spacing w:line="240" w:lineRule="auto"/>
              <w:ind w:firstLine="0" w:firstLineChars="0"/>
              <w:jc w:val="center"/>
              <w:rPr>
                <w:bCs/>
                <w:color w:val="000000" w:themeColor="text1"/>
                <w:sz w:val="21"/>
                <w:szCs w:val="21"/>
              </w:rPr>
            </w:pPr>
            <w:r>
              <w:rPr>
                <w:rFonts w:hint="eastAsia"/>
                <w:bCs/>
                <w:color w:val="000000" w:themeColor="text1"/>
                <w:sz w:val="21"/>
                <w:szCs w:val="21"/>
                <w:lang w:val="zh-CN"/>
              </w:rPr>
              <w:t>重点为</w:t>
            </w:r>
            <w:r>
              <w:rPr>
                <w:rFonts w:hint="eastAsia"/>
                <w:bCs/>
                <w:color w:val="000000" w:themeColor="text1"/>
                <w:sz w:val="21"/>
                <w:szCs w:val="21"/>
              </w:rPr>
              <w:t>S61（岳临高速）上跨北干渠段及铁山水库保护区范围内的公路</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trPr>
        <w:tc>
          <w:tcPr>
            <w:tcW w:w="636" w:type="dxa"/>
            <w:tcBorders>
              <w:tl2br w:val="nil"/>
              <w:tr2bl w:val="nil"/>
            </w:tcBorders>
            <w:vAlign w:val="center"/>
          </w:tcPr>
          <w:p>
            <w:pPr>
              <w:autoSpaceDE w:val="0"/>
              <w:autoSpaceDN w:val="0"/>
              <w:adjustRightInd w:val="0"/>
              <w:spacing w:line="240" w:lineRule="auto"/>
              <w:ind w:firstLine="0" w:firstLineChars="0"/>
              <w:jc w:val="center"/>
              <w:rPr>
                <w:bCs/>
                <w:color w:val="000000" w:themeColor="text1"/>
                <w:sz w:val="21"/>
                <w:szCs w:val="21"/>
                <w:lang w:val="zh-CN"/>
              </w:rPr>
            </w:pPr>
            <w:r>
              <w:rPr>
                <w:rFonts w:hint="eastAsia"/>
                <w:bCs/>
                <w:color w:val="000000" w:themeColor="text1"/>
                <w:sz w:val="21"/>
                <w:szCs w:val="21"/>
                <w:lang w:val="zh-CN"/>
              </w:rPr>
              <w:t>3</w:t>
            </w:r>
          </w:p>
        </w:tc>
        <w:tc>
          <w:tcPr>
            <w:tcW w:w="1392" w:type="dxa"/>
            <w:tcBorders>
              <w:tl2br w:val="nil"/>
              <w:tr2bl w:val="nil"/>
            </w:tcBorders>
            <w:vAlign w:val="center"/>
          </w:tcPr>
          <w:p>
            <w:pPr>
              <w:autoSpaceDE w:val="0"/>
              <w:autoSpaceDN w:val="0"/>
              <w:adjustRightInd w:val="0"/>
              <w:spacing w:line="240" w:lineRule="auto"/>
              <w:ind w:firstLine="0" w:firstLineChars="0"/>
              <w:jc w:val="center"/>
              <w:rPr>
                <w:bCs/>
                <w:color w:val="000000" w:themeColor="text1"/>
                <w:sz w:val="21"/>
                <w:szCs w:val="21"/>
                <w:lang w:val="zh-CN"/>
              </w:rPr>
            </w:pPr>
            <w:r>
              <w:rPr>
                <w:rFonts w:hint="eastAsia"/>
                <w:bCs/>
                <w:color w:val="000000" w:themeColor="text1"/>
                <w:sz w:val="21"/>
                <w:szCs w:val="21"/>
                <w:lang w:val="zh-CN"/>
              </w:rPr>
              <w:t>监测断面水质超标环境事件</w:t>
            </w:r>
          </w:p>
        </w:tc>
        <w:tc>
          <w:tcPr>
            <w:tcW w:w="4516" w:type="dxa"/>
            <w:tcBorders>
              <w:tl2br w:val="nil"/>
              <w:tr2bl w:val="nil"/>
            </w:tcBorders>
            <w:vAlign w:val="center"/>
          </w:tcPr>
          <w:p>
            <w:pPr>
              <w:autoSpaceDE w:val="0"/>
              <w:autoSpaceDN w:val="0"/>
              <w:adjustRightInd w:val="0"/>
              <w:spacing w:line="240" w:lineRule="auto"/>
              <w:ind w:firstLine="0" w:firstLineChars="0"/>
              <w:jc w:val="center"/>
              <w:rPr>
                <w:bCs/>
                <w:color w:val="000000" w:themeColor="text1"/>
                <w:sz w:val="21"/>
                <w:szCs w:val="21"/>
                <w:lang w:val="zh-CN"/>
              </w:rPr>
            </w:pPr>
            <w:r>
              <w:rPr>
                <w:rFonts w:hint="eastAsia" w:ascii="宋体" w:hAnsi="宋体" w:cs="宋体"/>
                <w:bCs/>
                <w:sz w:val="21"/>
                <w:szCs w:val="21"/>
              </w:rPr>
              <w:t>监测断面水质监测项目中，任意1个及以上项目超标3倍及以上的现象</w:t>
            </w:r>
          </w:p>
        </w:tc>
        <w:tc>
          <w:tcPr>
            <w:tcW w:w="1978" w:type="dxa"/>
            <w:tcBorders>
              <w:tl2br w:val="nil"/>
              <w:tr2bl w:val="nil"/>
            </w:tcBorders>
            <w:vAlign w:val="center"/>
          </w:tcPr>
          <w:p>
            <w:pPr>
              <w:autoSpaceDE w:val="0"/>
              <w:autoSpaceDN w:val="0"/>
              <w:adjustRightInd w:val="0"/>
              <w:spacing w:line="240" w:lineRule="auto"/>
              <w:ind w:firstLine="0" w:firstLineChars="0"/>
              <w:jc w:val="center"/>
              <w:rPr>
                <w:bCs/>
                <w:color w:val="000000" w:themeColor="text1"/>
                <w:sz w:val="21"/>
                <w:szCs w:val="21"/>
                <w:lang w:val="zh-CN"/>
              </w:rPr>
            </w:pPr>
            <w:r>
              <w:rPr>
                <w:rFonts w:hint="eastAsia"/>
                <w:bCs/>
                <w:color w:val="000000" w:themeColor="text1"/>
                <w:sz w:val="21"/>
                <w:szCs w:val="21"/>
                <w:lang w:val="zh-CN"/>
              </w:rPr>
              <w:t>金凤水库取水口、铁山水库取水口以及铁山水库入库河流断面</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trPr>
        <w:tc>
          <w:tcPr>
            <w:tcW w:w="636" w:type="dxa"/>
            <w:tcBorders>
              <w:tl2br w:val="nil"/>
              <w:tr2bl w:val="nil"/>
            </w:tcBorders>
            <w:vAlign w:val="center"/>
          </w:tcPr>
          <w:p>
            <w:pPr>
              <w:autoSpaceDE w:val="0"/>
              <w:autoSpaceDN w:val="0"/>
              <w:adjustRightInd w:val="0"/>
              <w:spacing w:line="240" w:lineRule="auto"/>
              <w:ind w:firstLine="0" w:firstLineChars="0"/>
              <w:jc w:val="center"/>
              <w:rPr>
                <w:bCs/>
                <w:color w:val="000000" w:themeColor="text1"/>
                <w:sz w:val="21"/>
                <w:szCs w:val="21"/>
                <w:lang w:val="zh-CN"/>
              </w:rPr>
            </w:pPr>
            <w:r>
              <w:rPr>
                <w:rFonts w:hint="eastAsia"/>
                <w:bCs/>
                <w:color w:val="000000" w:themeColor="text1"/>
                <w:sz w:val="21"/>
                <w:szCs w:val="21"/>
                <w:lang w:val="zh-CN"/>
              </w:rPr>
              <w:t>4</w:t>
            </w:r>
          </w:p>
        </w:tc>
        <w:tc>
          <w:tcPr>
            <w:tcW w:w="1392" w:type="dxa"/>
            <w:tcBorders>
              <w:tl2br w:val="nil"/>
              <w:tr2bl w:val="nil"/>
            </w:tcBorders>
            <w:vAlign w:val="center"/>
          </w:tcPr>
          <w:p>
            <w:pPr>
              <w:autoSpaceDE w:val="0"/>
              <w:autoSpaceDN w:val="0"/>
              <w:adjustRightInd w:val="0"/>
              <w:spacing w:line="240" w:lineRule="auto"/>
              <w:ind w:firstLine="0" w:firstLineChars="0"/>
              <w:jc w:val="center"/>
              <w:rPr>
                <w:bCs/>
                <w:color w:val="000000" w:themeColor="text1"/>
                <w:sz w:val="21"/>
                <w:szCs w:val="21"/>
                <w:lang w:val="zh-CN"/>
              </w:rPr>
            </w:pPr>
            <w:r>
              <w:rPr>
                <w:rFonts w:hint="eastAsia"/>
                <w:bCs/>
                <w:color w:val="000000" w:themeColor="text1"/>
                <w:sz w:val="21"/>
                <w:szCs w:val="21"/>
                <w:lang w:val="zh-CN"/>
              </w:rPr>
              <w:t>暴雨引发次生环境事件</w:t>
            </w:r>
          </w:p>
        </w:tc>
        <w:tc>
          <w:tcPr>
            <w:tcW w:w="4516" w:type="dxa"/>
            <w:tcBorders>
              <w:tl2br w:val="nil"/>
              <w:tr2bl w:val="nil"/>
            </w:tcBorders>
            <w:vAlign w:val="center"/>
          </w:tcPr>
          <w:p>
            <w:pPr>
              <w:autoSpaceDE w:val="0"/>
              <w:autoSpaceDN w:val="0"/>
              <w:adjustRightInd w:val="0"/>
              <w:spacing w:line="240" w:lineRule="auto"/>
              <w:ind w:firstLine="0" w:firstLineChars="0"/>
              <w:jc w:val="center"/>
              <w:rPr>
                <w:bCs/>
                <w:color w:val="000000" w:themeColor="text1"/>
                <w:sz w:val="21"/>
                <w:szCs w:val="21"/>
                <w:lang w:val="zh-CN"/>
              </w:rPr>
            </w:pPr>
            <w:r>
              <w:rPr>
                <w:rFonts w:hint="eastAsia"/>
                <w:bCs/>
                <w:color w:val="000000" w:themeColor="text1"/>
                <w:sz w:val="21"/>
                <w:szCs w:val="21"/>
                <w:lang w:val="zh-CN"/>
              </w:rPr>
              <w:t>出现强暴雨时，可能造成非点源环境风险物质流失，对岳阳市饮用水源保护区（铁山水库-北干渠-金凤水库）水质造成污染</w:t>
            </w:r>
          </w:p>
        </w:tc>
        <w:tc>
          <w:tcPr>
            <w:tcW w:w="1978" w:type="dxa"/>
            <w:tcBorders>
              <w:tl2br w:val="nil"/>
              <w:tr2bl w:val="nil"/>
            </w:tcBorders>
            <w:vAlign w:val="center"/>
          </w:tcPr>
          <w:p>
            <w:pPr>
              <w:autoSpaceDE w:val="0"/>
              <w:autoSpaceDN w:val="0"/>
              <w:adjustRightInd w:val="0"/>
              <w:spacing w:line="240" w:lineRule="auto"/>
              <w:ind w:firstLine="0" w:firstLineChars="0"/>
              <w:jc w:val="center"/>
              <w:rPr>
                <w:bCs/>
                <w:color w:val="000000" w:themeColor="text1"/>
                <w:sz w:val="21"/>
                <w:szCs w:val="21"/>
                <w:lang w:val="zh-CN"/>
              </w:rPr>
            </w:pPr>
            <w:r>
              <w:rPr>
                <w:rFonts w:hint="eastAsia"/>
                <w:bCs/>
                <w:color w:val="000000" w:themeColor="text1"/>
                <w:sz w:val="21"/>
                <w:szCs w:val="21"/>
                <w:lang w:val="zh-CN"/>
              </w:rPr>
              <w:t>岳阳市饮用水源保护区（铁山水库-北干渠-金凤水库）一级、二级陆域、水域范围</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trPr>
        <w:tc>
          <w:tcPr>
            <w:tcW w:w="636" w:type="dxa"/>
            <w:tcBorders>
              <w:tl2br w:val="nil"/>
              <w:tr2bl w:val="nil"/>
            </w:tcBorders>
            <w:vAlign w:val="center"/>
          </w:tcPr>
          <w:p>
            <w:pPr>
              <w:autoSpaceDE w:val="0"/>
              <w:autoSpaceDN w:val="0"/>
              <w:adjustRightInd w:val="0"/>
              <w:spacing w:line="240" w:lineRule="auto"/>
              <w:ind w:firstLine="0" w:firstLineChars="0"/>
              <w:jc w:val="center"/>
              <w:rPr>
                <w:bCs/>
                <w:color w:val="000000" w:themeColor="text1"/>
                <w:sz w:val="21"/>
                <w:szCs w:val="21"/>
              </w:rPr>
            </w:pPr>
            <w:r>
              <w:rPr>
                <w:rFonts w:hint="eastAsia"/>
                <w:bCs/>
                <w:color w:val="000000" w:themeColor="text1"/>
                <w:sz w:val="21"/>
                <w:szCs w:val="21"/>
              </w:rPr>
              <w:t>5</w:t>
            </w:r>
          </w:p>
        </w:tc>
        <w:tc>
          <w:tcPr>
            <w:tcW w:w="1392" w:type="dxa"/>
            <w:tcBorders>
              <w:tl2br w:val="nil"/>
              <w:tr2bl w:val="nil"/>
            </w:tcBorders>
            <w:vAlign w:val="center"/>
          </w:tcPr>
          <w:p>
            <w:pPr>
              <w:autoSpaceDE w:val="0"/>
              <w:autoSpaceDN w:val="0"/>
              <w:adjustRightInd w:val="0"/>
              <w:spacing w:line="240" w:lineRule="auto"/>
              <w:ind w:firstLine="0" w:firstLineChars="0"/>
              <w:jc w:val="center"/>
              <w:rPr>
                <w:b/>
                <w:color w:val="000000" w:themeColor="text1"/>
                <w:sz w:val="21"/>
                <w:szCs w:val="21"/>
                <w:lang w:val="zh-CN"/>
              </w:rPr>
            </w:pPr>
            <w:r>
              <w:rPr>
                <w:rFonts w:hint="eastAsia" w:ascii="宋体" w:hAnsi="宋体" w:cs="宋体"/>
                <w:bCs/>
                <w:sz w:val="21"/>
                <w:szCs w:val="21"/>
              </w:rPr>
              <w:t>水华爆发及次生环境事件</w:t>
            </w:r>
          </w:p>
        </w:tc>
        <w:tc>
          <w:tcPr>
            <w:tcW w:w="4516" w:type="dxa"/>
            <w:tcBorders>
              <w:tl2br w:val="nil"/>
              <w:tr2bl w:val="nil"/>
            </w:tcBorders>
            <w:vAlign w:val="center"/>
          </w:tcPr>
          <w:p>
            <w:pPr>
              <w:widowControl/>
              <w:spacing w:line="240" w:lineRule="auto"/>
              <w:ind w:firstLine="0" w:firstLineChars="0"/>
              <w:jc w:val="center"/>
              <w:rPr>
                <w:bCs/>
                <w:color w:val="000000" w:themeColor="text1"/>
                <w:sz w:val="21"/>
                <w:szCs w:val="21"/>
                <w:lang w:val="zh-CN"/>
              </w:rPr>
            </w:pPr>
            <w:r>
              <w:rPr>
                <w:rFonts w:hint="eastAsia" w:ascii="宋体" w:hAnsi="宋体" w:cs="宋体"/>
                <w:bCs/>
                <w:sz w:val="21"/>
                <w:szCs w:val="21"/>
              </w:rPr>
              <w:t>水体出现富营养化时，藻类大量繁殖，水质恶化而有腥臭，水中缺氧，造成鱼类窒息死亡。若水华爆发处理不当或不及时，则会造成水体污染，影响岳阳市区的饮用水取水及供水安全。</w:t>
            </w:r>
          </w:p>
        </w:tc>
        <w:tc>
          <w:tcPr>
            <w:tcW w:w="1978" w:type="dxa"/>
            <w:tcBorders>
              <w:tl2br w:val="nil"/>
              <w:tr2bl w:val="nil"/>
            </w:tcBorders>
            <w:vAlign w:val="center"/>
          </w:tcPr>
          <w:p>
            <w:pPr>
              <w:autoSpaceDE w:val="0"/>
              <w:autoSpaceDN w:val="0"/>
              <w:adjustRightInd w:val="0"/>
              <w:spacing w:line="240" w:lineRule="auto"/>
              <w:ind w:firstLine="0" w:firstLineChars="0"/>
              <w:jc w:val="center"/>
              <w:rPr>
                <w:bCs/>
                <w:color w:val="000000" w:themeColor="text1"/>
                <w:sz w:val="21"/>
                <w:szCs w:val="21"/>
                <w:lang w:val="zh-CN"/>
              </w:rPr>
            </w:pPr>
            <w:r>
              <w:rPr>
                <w:rFonts w:hint="eastAsia"/>
                <w:bCs/>
                <w:color w:val="000000" w:themeColor="text1"/>
                <w:sz w:val="21"/>
                <w:szCs w:val="21"/>
                <w:lang w:val="zh-CN"/>
              </w:rPr>
              <w:t>铁山水库库区</w:t>
            </w:r>
          </w:p>
          <w:p>
            <w:pPr>
              <w:autoSpaceDE w:val="0"/>
              <w:autoSpaceDN w:val="0"/>
              <w:adjustRightInd w:val="0"/>
              <w:spacing w:line="240" w:lineRule="auto"/>
              <w:ind w:firstLine="0" w:firstLineChars="0"/>
              <w:jc w:val="center"/>
              <w:rPr>
                <w:bCs/>
                <w:color w:val="000000" w:themeColor="text1"/>
                <w:sz w:val="21"/>
                <w:szCs w:val="21"/>
                <w:lang w:val="zh-CN"/>
              </w:rPr>
            </w:pPr>
            <w:r>
              <w:rPr>
                <w:rFonts w:hint="eastAsia"/>
                <w:bCs/>
                <w:color w:val="000000" w:themeColor="text1"/>
                <w:sz w:val="21"/>
                <w:szCs w:val="21"/>
                <w:lang w:val="zh-CN"/>
              </w:rPr>
              <w:t>金凤水库库区</w:t>
            </w:r>
          </w:p>
        </w:tc>
      </w:tr>
    </w:tbl>
    <w:p>
      <w:pPr>
        <w:spacing w:line="240" w:lineRule="auto"/>
        <w:ind w:firstLine="0" w:firstLineChars="0"/>
        <w:jc w:val="left"/>
        <w:rPr>
          <w:bCs/>
          <w:color w:val="000000" w:themeColor="text1"/>
          <w:sz w:val="21"/>
          <w:szCs w:val="21"/>
        </w:rPr>
      </w:pPr>
    </w:p>
    <w:p>
      <w:pPr>
        <w:spacing w:line="240" w:lineRule="auto"/>
        <w:ind w:firstLine="0" w:firstLineChars="0"/>
        <w:jc w:val="left"/>
        <w:rPr>
          <w:bCs/>
          <w:color w:val="000000" w:themeColor="text1"/>
          <w:sz w:val="21"/>
          <w:szCs w:val="21"/>
        </w:rPr>
      </w:pPr>
    </w:p>
    <w:p>
      <w:pPr>
        <w:spacing w:line="240" w:lineRule="auto"/>
        <w:ind w:firstLine="0" w:firstLineChars="0"/>
        <w:jc w:val="left"/>
        <w:rPr>
          <w:bCs/>
          <w:color w:val="000000" w:themeColor="text1"/>
          <w:sz w:val="21"/>
          <w:szCs w:val="21"/>
        </w:rPr>
        <w:sectPr>
          <w:headerReference r:id="rId16" w:type="default"/>
          <w:pgSz w:w="11906" w:h="16838"/>
          <w:pgMar w:top="1440" w:right="1797" w:bottom="1440" w:left="1797" w:header="851" w:footer="992" w:gutter="0"/>
          <w:cols w:space="720" w:num="1"/>
          <w:docGrid w:type="linesAndChars" w:linePitch="312" w:charSpace="0"/>
        </w:sectPr>
      </w:pPr>
    </w:p>
    <w:bookmarkEnd w:id="1"/>
    <w:bookmarkEnd w:id="2"/>
    <w:p>
      <w:pPr>
        <w:pStyle w:val="85"/>
        <w:spacing w:before="156" w:after="156"/>
        <w:jc w:val="center"/>
        <w:rPr>
          <w:color w:val="000000" w:themeColor="text1"/>
        </w:rPr>
      </w:pPr>
      <w:r>
        <w:rPr>
          <w:color w:val="000000" w:themeColor="text1"/>
        </w:rPr>
        <w:t xml:space="preserve"> </w:t>
      </w:r>
      <w:bookmarkStart w:id="309" w:name="_Toc535851347"/>
      <w:r>
        <w:rPr>
          <w:rFonts w:hint="eastAsia"/>
          <w:color w:val="000000" w:themeColor="text1"/>
        </w:rPr>
        <w:t>5应急资源调查</w:t>
      </w:r>
      <w:bookmarkEnd w:id="309"/>
    </w:p>
    <w:p>
      <w:pPr>
        <w:rPr>
          <w:color w:val="000000" w:themeColor="text1"/>
        </w:rPr>
      </w:pPr>
      <w:bookmarkStart w:id="310" w:name="_Toc18173"/>
      <w:bookmarkStart w:id="311" w:name="_Toc426466834"/>
      <w:bookmarkStart w:id="312" w:name="_Toc425168132"/>
      <w:r>
        <w:rPr>
          <w:color w:val="000000" w:themeColor="text1"/>
        </w:rPr>
        <w:t>突发性环境污染事件是威胁人类健康、破坏生态环境的重要因素，其危害制约着</w:t>
      </w:r>
      <w:r>
        <w:rPr>
          <w:rFonts w:hint="eastAsia"/>
          <w:color w:val="000000" w:themeColor="text1"/>
        </w:rPr>
        <w:t>生态平衡及经济、社会的发展。</w:t>
      </w:r>
      <w:r>
        <w:rPr>
          <w:color w:val="000000" w:themeColor="text1"/>
        </w:rPr>
        <w:t>迫切需要我们做好突发性环境污染事件的预防，提高对突发性环境污染事故处置的应急能力。</w:t>
      </w:r>
    </w:p>
    <w:p>
      <w:pPr>
        <w:rPr>
          <w:color w:val="000000" w:themeColor="text1"/>
        </w:rPr>
      </w:pPr>
      <w:r>
        <w:rPr>
          <w:color w:val="000000" w:themeColor="text1"/>
        </w:rPr>
        <w:t> 应急资源是突发环境事件应急处置的基础</w:t>
      </w:r>
      <w:r>
        <w:rPr>
          <w:rFonts w:hint="eastAsia"/>
          <w:color w:val="000000" w:themeColor="text1"/>
        </w:rPr>
        <w:t>，</w:t>
      </w:r>
      <w:r>
        <w:rPr>
          <w:color w:val="000000" w:themeColor="text1"/>
        </w:rPr>
        <w:t>若不开展应急资源调查，则无法对应急人力、财力、装备进行科学地调配和引进。</w:t>
      </w:r>
    </w:p>
    <w:bookmarkEnd w:id="310"/>
    <w:bookmarkEnd w:id="311"/>
    <w:bookmarkEnd w:id="312"/>
    <w:p>
      <w:pPr>
        <w:pStyle w:val="3"/>
        <w:rPr>
          <w:color w:val="000000" w:themeColor="text1"/>
        </w:rPr>
      </w:pPr>
      <w:bookmarkStart w:id="313" w:name="_Toc21930"/>
      <w:bookmarkStart w:id="314" w:name="_Toc485201143"/>
      <w:bookmarkStart w:id="315" w:name="_Toc15428"/>
      <w:bookmarkStart w:id="316" w:name="_Toc16649"/>
      <w:bookmarkStart w:id="317" w:name="_Toc3380"/>
      <w:bookmarkStart w:id="318" w:name="_Toc17808"/>
      <w:bookmarkStart w:id="319" w:name="_Toc29223"/>
      <w:bookmarkStart w:id="320" w:name="_Toc482605538"/>
      <w:bookmarkStart w:id="321" w:name="_Toc4016"/>
      <w:bookmarkStart w:id="322" w:name="_Toc23578"/>
      <w:bookmarkStart w:id="323" w:name="_Toc535851348"/>
      <w:r>
        <w:rPr>
          <w:rFonts w:hint="eastAsia"/>
          <w:color w:val="000000" w:themeColor="text1"/>
        </w:rPr>
        <w:t>5.1</w:t>
      </w:r>
      <w:r>
        <w:rPr>
          <w:color w:val="000000" w:themeColor="text1"/>
        </w:rPr>
        <w:t>应急队伍救援</w:t>
      </w:r>
      <w:bookmarkEnd w:id="313"/>
      <w:bookmarkEnd w:id="314"/>
      <w:bookmarkEnd w:id="315"/>
      <w:bookmarkEnd w:id="316"/>
      <w:bookmarkEnd w:id="317"/>
      <w:bookmarkEnd w:id="318"/>
      <w:bookmarkEnd w:id="319"/>
      <w:bookmarkEnd w:id="320"/>
      <w:bookmarkEnd w:id="321"/>
      <w:bookmarkEnd w:id="322"/>
      <w:bookmarkEnd w:id="323"/>
    </w:p>
    <w:p>
      <w:pPr>
        <w:rPr>
          <w:color w:val="000000" w:themeColor="text1"/>
        </w:rPr>
      </w:pPr>
      <w:r>
        <w:rPr>
          <w:color w:val="000000" w:themeColor="text1"/>
          <w:szCs w:val="24"/>
        </w:rPr>
        <w:t>为应对突发环境事件，组建应急救援队伍包括</w:t>
      </w:r>
      <w:r>
        <w:rPr>
          <w:rFonts w:hint="eastAsia"/>
          <w:color w:val="000000" w:themeColor="text1"/>
        </w:rPr>
        <w:t>应急处置组</w:t>
      </w:r>
      <w:r>
        <w:rPr>
          <w:rFonts w:hint="eastAsia"/>
          <w:color w:val="000000" w:themeColor="text1"/>
          <w:szCs w:val="24"/>
        </w:rPr>
        <w:t>、</w:t>
      </w:r>
      <w:r>
        <w:rPr>
          <w:color w:val="000000" w:themeColor="text1"/>
          <w:szCs w:val="24"/>
        </w:rPr>
        <w:t>工程技术组、安全警戒组、</w:t>
      </w:r>
      <w:r>
        <w:rPr>
          <w:rFonts w:hint="eastAsia"/>
          <w:color w:val="000000" w:themeColor="text1"/>
          <w:szCs w:val="24"/>
        </w:rPr>
        <w:t>应急</w:t>
      </w:r>
      <w:r>
        <w:rPr>
          <w:color w:val="000000" w:themeColor="text1"/>
          <w:szCs w:val="24"/>
        </w:rPr>
        <w:t>监测组、善后处理组</w:t>
      </w:r>
      <w:r>
        <w:rPr>
          <w:rFonts w:hint="eastAsia"/>
          <w:color w:val="000000" w:themeColor="text1"/>
          <w:szCs w:val="24"/>
        </w:rPr>
        <w:t>、专家咨询组、后勤保障组等</w:t>
      </w:r>
      <w:r>
        <w:rPr>
          <w:color w:val="000000" w:themeColor="text1"/>
          <w:szCs w:val="24"/>
        </w:rPr>
        <w:t>；并且定期开展应急救援培训与训练及演练，不断提高应急救援能力。</w:t>
      </w:r>
    </w:p>
    <w:p>
      <w:pPr>
        <w:rPr>
          <w:color w:val="000000" w:themeColor="text1"/>
        </w:rPr>
      </w:pPr>
      <w:r>
        <w:rPr>
          <w:color w:val="000000" w:themeColor="text1"/>
          <w:szCs w:val="18"/>
        </w:rPr>
        <w:t>当</w:t>
      </w:r>
      <w:r>
        <w:rPr>
          <w:rFonts w:hint="eastAsia"/>
          <w:color w:val="000000" w:themeColor="text1"/>
        </w:rPr>
        <w:t>岳阳市饮用水源保护区（铁山水库-北干渠-金凤水库）</w:t>
      </w:r>
      <w:r>
        <w:rPr>
          <w:color w:val="000000" w:themeColor="text1"/>
          <w:szCs w:val="18"/>
        </w:rPr>
        <w:t>发生需要</w:t>
      </w:r>
      <w:r>
        <w:rPr>
          <w:rFonts w:hint="eastAsia"/>
          <w:color w:val="000000" w:themeColor="text1"/>
          <w:szCs w:val="18"/>
        </w:rPr>
        <w:t>岳阳市人民</w:t>
      </w:r>
      <w:r>
        <w:rPr>
          <w:color w:val="000000" w:themeColor="text1"/>
          <w:szCs w:val="18"/>
        </w:rPr>
        <w:t>政府支持的突发环境事件时，可请求</w:t>
      </w:r>
      <w:r>
        <w:rPr>
          <w:rFonts w:hint="eastAsia"/>
          <w:color w:val="000000" w:themeColor="text1"/>
          <w:szCs w:val="18"/>
        </w:rPr>
        <w:t>岳阳市人民</w:t>
      </w:r>
      <w:r>
        <w:rPr>
          <w:color w:val="000000" w:themeColor="text1"/>
          <w:szCs w:val="18"/>
        </w:rPr>
        <w:t>政府支援，如与</w:t>
      </w:r>
      <w:r>
        <w:rPr>
          <w:rFonts w:hint="eastAsia"/>
          <w:color w:val="000000" w:themeColor="text1"/>
          <w:szCs w:val="18"/>
        </w:rPr>
        <w:t>岳阳市环境保护局</w:t>
      </w:r>
      <w:r>
        <w:rPr>
          <w:color w:val="000000" w:themeColor="text1"/>
          <w:szCs w:val="18"/>
        </w:rPr>
        <w:t>、</w:t>
      </w:r>
      <w:r>
        <w:rPr>
          <w:rFonts w:hint="eastAsia"/>
          <w:color w:val="000000" w:themeColor="text1"/>
          <w:szCs w:val="18"/>
        </w:rPr>
        <w:t>岳阳市水利局</w:t>
      </w:r>
      <w:r>
        <w:rPr>
          <w:color w:val="000000" w:themeColor="text1"/>
          <w:szCs w:val="18"/>
        </w:rPr>
        <w:t>保持上级应急联动由其指挥应急救援。并咨询专家组</w:t>
      </w:r>
      <w:r>
        <w:rPr>
          <w:color w:val="000000" w:themeColor="text1"/>
        </w:rPr>
        <w:t>有关专家，迅速对事件信息进行分析、评估，提出应急处置方案和建议，供指挥部领导决策参考。</w:t>
      </w:r>
      <w:r>
        <w:rPr>
          <w:rFonts w:hint="eastAsia"/>
          <w:color w:val="000000" w:themeColor="text1"/>
        </w:rPr>
        <w:t>关于突发环境事件其他应急部门联系方式见下表</w:t>
      </w:r>
      <w:r>
        <w:rPr>
          <w:color w:val="000000" w:themeColor="text1"/>
        </w:rPr>
        <w:t>。</w:t>
      </w:r>
    </w:p>
    <w:p>
      <w:pPr>
        <w:ind w:firstLine="0" w:firstLineChars="0"/>
        <w:jc w:val="center"/>
        <w:rPr>
          <w:rFonts w:hAnsi="宋体"/>
          <w:b/>
          <w:color w:val="000000" w:themeColor="text1"/>
          <w:sz w:val="21"/>
          <w:szCs w:val="21"/>
        </w:rPr>
      </w:pPr>
      <w:r>
        <w:rPr>
          <w:rFonts w:hAnsi="宋体"/>
          <w:b/>
          <w:color w:val="000000" w:themeColor="text1"/>
          <w:sz w:val="21"/>
          <w:szCs w:val="21"/>
        </w:rPr>
        <w:t>表</w:t>
      </w:r>
      <w:r>
        <w:rPr>
          <w:rFonts w:hint="eastAsia" w:hAnsi="宋体"/>
          <w:b/>
          <w:color w:val="000000" w:themeColor="text1"/>
          <w:sz w:val="21"/>
          <w:szCs w:val="21"/>
        </w:rPr>
        <w:t>5-</w:t>
      </w:r>
      <w:r>
        <w:rPr>
          <w:b/>
          <w:color w:val="000000" w:themeColor="text1"/>
          <w:sz w:val="21"/>
          <w:szCs w:val="21"/>
        </w:rPr>
        <w:t xml:space="preserve">1  </w:t>
      </w:r>
      <w:r>
        <w:rPr>
          <w:rFonts w:hAnsi="宋体"/>
          <w:b/>
          <w:color w:val="000000" w:themeColor="text1"/>
          <w:sz w:val="21"/>
          <w:szCs w:val="21"/>
        </w:rPr>
        <w:t>突发环境事件应急部门联系方式</w:t>
      </w:r>
    </w:p>
    <w:tbl>
      <w:tblPr>
        <w:tblStyle w:val="47"/>
        <w:tblW w:w="8522" w:type="dxa"/>
        <w:jc w:val="center"/>
        <w:tblInd w:w="0" w:type="dxa"/>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Layout w:type="fixed"/>
        <w:tblCellMar>
          <w:top w:w="0" w:type="dxa"/>
          <w:left w:w="108" w:type="dxa"/>
          <w:bottom w:w="0" w:type="dxa"/>
          <w:right w:w="108" w:type="dxa"/>
        </w:tblCellMar>
      </w:tblPr>
      <w:tblGrid>
        <w:gridCol w:w="858"/>
        <w:gridCol w:w="1222"/>
        <w:gridCol w:w="3415"/>
        <w:gridCol w:w="3027"/>
      </w:tblGrid>
      <w:tr>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Layout w:type="fixed"/>
          <w:tblCellMar>
            <w:top w:w="0" w:type="dxa"/>
            <w:left w:w="108" w:type="dxa"/>
            <w:bottom w:w="0" w:type="dxa"/>
            <w:right w:w="108" w:type="dxa"/>
          </w:tblCellMar>
        </w:tblPrEx>
        <w:trPr>
          <w:trHeight w:val="397" w:hRule="atLeast"/>
          <w:jc w:val="center"/>
        </w:trPr>
        <w:tc>
          <w:tcPr>
            <w:tcW w:w="858" w:type="dxa"/>
            <w:tcBorders>
              <w:tl2br w:val="nil"/>
              <w:tr2bl w:val="nil"/>
            </w:tcBorders>
            <w:vAlign w:val="center"/>
          </w:tcPr>
          <w:p>
            <w:pPr>
              <w:spacing w:line="240" w:lineRule="auto"/>
              <w:ind w:firstLine="0" w:firstLineChars="0"/>
              <w:jc w:val="center"/>
              <w:rPr>
                <w:color w:val="000000" w:themeColor="text1"/>
                <w:sz w:val="21"/>
                <w:szCs w:val="21"/>
              </w:rPr>
            </w:pPr>
            <w:r>
              <w:rPr>
                <w:rFonts w:hint="eastAsia"/>
                <w:color w:val="000000" w:themeColor="text1"/>
                <w:sz w:val="21"/>
                <w:szCs w:val="21"/>
              </w:rPr>
              <w:t>序号</w:t>
            </w:r>
          </w:p>
        </w:tc>
        <w:tc>
          <w:tcPr>
            <w:tcW w:w="1222" w:type="dxa"/>
            <w:tcBorders>
              <w:tl2br w:val="nil"/>
              <w:tr2bl w:val="nil"/>
            </w:tcBorders>
            <w:vAlign w:val="center"/>
          </w:tcPr>
          <w:p>
            <w:pPr>
              <w:spacing w:line="240" w:lineRule="auto"/>
              <w:ind w:firstLine="0" w:firstLineChars="0"/>
              <w:jc w:val="center"/>
              <w:rPr>
                <w:color w:val="000000" w:themeColor="text1"/>
                <w:sz w:val="21"/>
                <w:szCs w:val="21"/>
              </w:rPr>
            </w:pPr>
            <w:r>
              <w:rPr>
                <w:rFonts w:hint="eastAsia"/>
                <w:color w:val="000000" w:themeColor="text1"/>
                <w:sz w:val="21"/>
                <w:szCs w:val="21"/>
              </w:rPr>
              <w:t>类别</w:t>
            </w:r>
          </w:p>
        </w:tc>
        <w:tc>
          <w:tcPr>
            <w:tcW w:w="3415" w:type="dxa"/>
            <w:tcBorders>
              <w:tl2br w:val="nil"/>
              <w:tr2bl w:val="nil"/>
            </w:tcBorders>
            <w:vAlign w:val="center"/>
          </w:tcPr>
          <w:p>
            <w:pPr>
              <w:spacing w:line="240" w:lineRule="auto"/>
              <w:ind w:firstLine="0" w:firstLineChars="0"/>
              <w:jc w:val="center"/>
              <w:rPr>
                <w:color w:val="000000" w:themeColor="text1"/>
                <w:sz w:val="21"/>
                <w:szCs w:val="21"/>
              </w:rPr>
            </w:pPr>
            <w:r>
              <w:rPr>
                <w:rFonts w:hint="eastAsia"/>
                <w:color w:val="000000" w:themeColor="text1"/>
                <w:sz w:val="21"/>
                <w:szCs w:val="21"/>
              </w:rPr>
              <w:t>单位名称</w:t>
            </w:r>
          </w:p>
        </w:tc>
        <w:tc>
          <w:tcPr>
            <w:tcW w:w="3027" w:type="dxa"/>
            <w:tcBorders>
              <w:tl2br w:val="nil"/>
              <w:tr2bl w:val="nil"/>
            </w:tcBorders>
            <w:vAlign w:val="center"/>
          </w:tcPr>
          <w:p>
            <w:pPr>
              <w:spacing w:line="240" w:lineRule="auto"/>
              <w:ind w:firstLine="0" w:firstLineChars="0"/>
              <w:jc w:val="center"/>
              <w:rPr>
                <w:color w:val="000000" w:themeColor="text1"/>
                <w:sz w:val="21"/>
                <w:szCs w:val="21"/>
              </w:rPr>
            </w:pPr>
            <w:r>
              <w:rPr>
                <w:rFonts w:hint="eastAsia"/>
                <w:color w:val="000000" w:themeColor="text1"/>
                <w:sz w:val="21"/>
                <w:szCs w:val="21"/>
              </w:rPr>
              <w:t>联系电话</w:t>
            </w:r>
          </w:p>
        </w:tc>
      </w:tr>
      <w:tr>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Layout w:type="fixed"/>
          <w:tblCellMar>
            <w:top w:w="0" w:type="dxa"/>
            <w:left w:w="108" w:type="dxa"/>
            <w:bottom w:w="0" w:type="dxa"/>
            <w:right w:w="108" w:type="dxa"/>
          </w:tblCellMar>
        </w:tblPrEx>
        <w:trPr>
          <w:trHeight w:val="397" w:hRule="atLeast"/>
          <w:jc w:val="center"/>
        </w:trPr>
        <w:tc>
          <w:tcPr>
            <w:tcW w:w="858" w:type="dxa"/>
            <w:tcBorders>
              <w:tl2br w:val="nil"/>
              <w:tr2bl w:val="nil"/>
            </w:tcBorders>
            <w:vAlign w:val="center"/>
          </w:tcPr>
          <w:p>
            <w:pPr>
              <w:spacing w:line="240" w:lineRule="auto"/>
              <w:ind w:firstLine="0" w:firstLineChars="0"/>
              <w:jc w:val="center"/>
              <w:rPr>
                <w:color w:val="000000" w:themeColor="text1"/>
                <w:sz w:val="21"/>
                <w:szCs w:val="21"/>
              </w:rPr>
            </w:pPr>
            <w:r>
              <w:rPr>
                <w:rFonts w:hint="eastAsia"/>
                <w:color w:val="000000" w:themeColor="text1"/>
                <w:sz w:val="21"/>
                <w:szCs w:val="21"/>
              </w:rPr>
              <w:t>1</w:t>
            </w:r>
          </w:p>
        </w:tc>
        <w:tc>
          <w:tcPr>
            <w:tcW w:w="1222" w:type="dxa"/>
            <w:tcBorders>
              <w:tl2br w:val="nil"/>
              <w:tr2bl w:val="nil"/>
            </w:tcBorders>
            <w:vAlign w:val="center"/>
          </w:tcPr>
          <w:p>
            <w:pPr>
              <w:spacing w:line="240" w:lineRule="auto"/>
              <w:ind w:firstLine="0" w:firstLineChars="0"/>
              <w:jc w:val="center"/>
              <w:rPr>
                <w:color w:val="000000" w:themeColor="text1"/>
                <w:sz w:val="21"/>
                <w:szCs w:val="21"/>
              </w:rPr>
            </w:pPr>
            <w:r>
              <w:rPr>
                <w:rFonts w:hint="eastAsia"/>
                <w:color w:val="000000" w:themeColor="text1"/>
                <w:sz w:val="21"/>
                <w:szCs w:val="21"/>
              </w:rPr>
              <w:t>消防</w:t>
            </w:r>
          </w:p>
        </w:tc>
        <w:tc>
          <w:tcPr>
            <w:tcW w:w="3415" w:type="dxa"/>
            <w:tcBorders>
              <w:tl2br w:val="nil"/>
              <w:tr2bl w:val="nil"/>
            </w:tcBorders>
            <w:vAlign w:val="center"/>
          </w:tcPr>
          <w:p>
            <w:pPr>
              <w:spacing w:line="240" w:lineRule="auto"/>
              <w:ind w:firstLine="0" w:firstLineChars="0"/>
              <w:jc w:val="center"/>
              <w:rPr>
                <w:color w:val="000000" w:themeColor="text1"/>
                <w:sz w:val="21"/>
                <w:szCs w:val="21"/>
              </w:rPr>
            </w:pPr>
            <w:r>
              <w:rPr>
                <w:rFonts w:hint="eastAsia"/>
                <w:color w:val="000000" w:themeColor="text1"/>
                <w:sz w:val="21"/>
                <w:szCs w:val="21"/>
              </w:rPr>
              <w:t>岳阳市消防大队</w:t>
            </w:r>
          </w:p>
        </w:tc>
        <w:tc>
          <w:tcPr>
            <w:tcW w:w="3027" w:type="dxa"/>
            <w:tcBorders>
              <w:tl2br w:val="nil"/>
              <w:tr2bl w:val="nil"/>
            </w:tcBorders>
            <w:vAlign w:val="center"/>
          </w:tcPr>
          <w:p>
            <w:pPr>
              <w:spacing w:line="240" w:lineRule="auto"/>
              <w:ind w:firstLine="0" w:firstLineChars="0"/>
              <w:jc w:val="center"/>
              <w:rPr>
                <w:color w:val="000000" w:themeColor="text1"/>
                <w:sz w:val="21"/>
                <w:szCs w:val="21"/>
              </w:rPr>
            </w:pPr>
            <w:r>
              <w:rPr>
                <w:rFonts w:hint="eastAsia"/>
                <w:color w:val="000000" w:themeColor="text1"/>
                <w:sz w:val="21"/>
                <w:szCs w:val="21"/>
              </w:rPr>
              <w:t>119</w:t>
            </w:r>
          </w:p>
        </w:tc>
      </w:tr>
      <w:tr>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Layout w:type="fixed"/>
          <w:tblCellMar>
            <w:top w:w="0" w:type="dxa"/>
            <w:left w:w="108" w:type="dxa"/>
            <w:bottom w:w="0" w:type="dxa"/>
            <w:right w:w="108" w:type="dxa"/>
          </w:tblCellMar>
        </w:tblPrEx>
        <w:trPr>
          <w:trHeight w:val="397" w:hRule="atLeast"/>
          <w:jc w:val="center"/>
        </w:trPr>
        <w:tc>
          <w:tcPr>
            <w:tcW w:w="858" w:type="dxa"/>
            <w:tcBorders>
              <w:tl2br w:val="nil"/>
              <w:tr2bl w:val="nil"/>
            </w:tcBorders>
            <w:vAlign w:val="center"/>
          </w:tcPr>
          <w:p>
            <w:pPr>
              <w:spacing w:line="240" w:lineRule="auto"/>
              <w:ind w:firstLine="0" w:firstLineChars="0"/>
              <w:jc w:val="center"/>
              <w:rPr>
                <w:color w:val="000000" w:themeColor="text1"/>
                <w:sz w:val="21"/>
                <w:szCs w:val="21"/>
              </w:rPr>
            </w:pPr>
            <w:r>
              <w:rPr>
                <w:rFonts w:hint="eastAsia"/>
                <w:color w:val="000000" w:themeColor="text1"/>
                <w:sz w:val="21"/>
                <w:szCs w:val="21"/>
              </w:rPr>
              <w:t>2</w:t>
            </w:r>
          </w:p>
        </w:tc>
        <w:tc>
          <w:tcPr>
            <w:tcW w:w="1222" w:type="dxa"/>
            <w:vMerge w:val="restart"/>
            <w:tcBorders>
              <w:tl2br w:val="nil"/>
              <w:tr2bl w:val="nil"/>
            </w:tcBorders>
            <w:vAlign w:val="center"/>
          </w:tcPr>
          <w:p>
            <w:pPr>
              <w:spacing w:line="240" w:lineRule="auto"/>
              <w:ind w:firstLine="0" w:firstLineChars="0"/>
              <w:jc w:val="center"/>
              <w:rPr>
                <w:color w:val="000000" w:themeColor="text1"/>
                <w:sz w:val="21"/>
                <w:szCs w:val="21"/>
              </w:rPr>
            </w:pPr>
            <w:r>
              <w:rPr>
                <w:rFonts w:hint="eastAsia"/>
                <w:color w:val="000000" w:themeColor="text1"/>
                <w:sz w:val="21"/>
                <w:szCs w:val="21"/>
              </w:rPr>
              <w:t>医疗</w:t>
            </w:r>
          </w:p>
        </w:tc>
        <w:tc>
          <w:tcPr>
            <w:tcW w:w="3415" w:type="dxa"/>
            <w:tcBorders>
              <w:tl2br w:val="nil"/>
              <w:tr2bl w:val="nil"/>
            </w:tcBorders>
            <w:vAlign w:val="center"/>
          </w:tcPr>
          <w:p>
            <w:pPr>
              <w:spacing w:line="240" w:lineRule="auto"/>
              <w:ind w:firstLine="0" w:firstLineChars="0"/>
              <w:jc w:val="center"/>
              <w:rPr>
                <w:color w:val="000000" w:themeColor="text1"/>
                <w:sz w:val="21"/>
                <w:szCs w:val="21"/>
              </w:rPr>
            </w:pPr>
            <w:r>
              <w:rPr>
                <w:rFonts w:hint="eastAsia"/>
                <w:color w:val="000000" w:themeColor="text1"/>
                <w:sz w:val="21"/>
                <w:szCs w:val="21"/>
              </w:rPr>
              <w:t>医疗急救中心</w:t>
            </w:r>
          </w:p>
        </w:tc>
        <w:tc>
          <w:tcPr>
            <w:tcW w:w="3027" w:type="dxa"/>
            <w:tcBorders>
              <w:tl2br w:val="nil"/>
              <w:tr2bl w:val="nil"/>
            </w:tcBorders>
            <w:vAlign w:val="center"/>
          </w:tcPr>
          <w:p>
            <w:pPr>
              <w:spacing w:line="240" w:lineRule="auto"/>
              <w:ind w:firstLine="0" w:firstLineChars="0"/>
              <w:jc w:val="center"/>
              <w:rPr>
                <w:color w:val="000000" w:themeColor="text1"/>
                <w:sz w:val="21"/>
                <w:szCs w:val="21"/>
              </w:rPr>
            </w:pPr>
            <w:r>
              <w:rPr>
                <w:rFonts w:hint="eastAsia"/>
                <w:color w:val="000000" w:themeColor="text1"/>
                <w:sz w:val="21"/>
                <w:szCs w:val="21"/>
              </w:rPr>
              <w:t>120</w:t>
            </w:r>
          </w:p>
        </w:tc>
      </w:tr>
      <w:tr>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Layout w:type="fixed"/>
          <w:tblCellMar>
            <w:top w:w="0" w:type="dxa"/>
            <w:left w:w="108" w:type="dxa"/>
            <w:bottom w:w="0" w:type="dxa"/>
            <w:right w:w="108" w:type="dxa"/>
          </w:tblCellMar>
        </w:tblPrEx>
        <w:trPr>
          <w:trHeight w:val="397" w:hRule="atLeast"/>
          <w:jc w:val="center"/>
        </w:trPr>
        <w:tc>
          <w:tcPr>
            <w:tcW w:w="858" w:type="dxa"/>
            <w:tcBorders>
              <w:tl2br w:val="nil"/>
              <w:tr2bl w:val="nil"/>
            </w:tcBorders>
            <w:vAlign w:val="center"/>
          </w:tcPr>
          <w:p>
            <w:pPr>
              <w:spacing w:line="240" w:lineRule="auto"/>
              <w:ind w:firstLine="0" w:firstLineChars="0"/>
              <w:jc w:val="center"/>
              <w:rPr>
                <w:color w:val="000000" w:themeColor="text1"/>
                <w:sz w:val="21"/>
                <w:szCs w:val="21"/>
              </w:rPr>
            </w:pPr>
            <w:r>
              <w:rPr>
                <w:rFonts w:hint="eastAsia"/>
                <w:color w:val="000000" w:themeColor="text1"/>
                <w:sz w:val="21"/>
                <w:szCs w:val="21"/>
              </w:rPr>
              <w:t>3</w:t>
            </w:r>
          </w:p>
        </w:tc>
        <w:tc>
          <w:tcPr>
            <w:tcW w:w="1222" w:type="dxa"/>
            <w:vMerge w:val="continue"/>
            <w:tcBorders>
              <w:tl2br w:val="nil"/>
              <w:tr2bl w:val="nil"/>
            </w:tcBorders>
            <w:vAlign w:val="center"/>
          </w:tcPr>
          <w:p>
            <w:pPr>
              <w:spacing w:line="240" w:lineRule="auto"/>
              <w:ind w:firstLine="0" w:firstLineChars="0"/>
              <w:jc w:val="center"/>
              <w:rPr>
                <w:color w:val="000000" w:themeColor="text1"/>
                <w:sz w:val="21"/>
                <w:szCs w:val="21"/>
              </w:rPr>
            </w:pPr>
          </w:p>
        </w:tc>
        <w:tc>
          <w:tcPr>
            <w:tcW w:w="3415" w:type="dxa"/>
            <w:tcBorders>
              <w:tl2br w:val="nil"/>
              <w:tr2bl w:val="nil"/>
            </w:tcBorders>
            <w:vAlign w:val="center"/>
          </w:tcPr>
          <w:p>
            <w:pPr>
              <w:spacing w:line="240" w:lineRule="auto"/>
              <w:ind w:firstLine="0" w:firstLineChars="0"/>
              <w:jc w:val="center"/>
              <w:rPr>
                <w:color w:val="000000" w:themeColor="text1"/>
                <w:sz w:val="21"/>
                <w:szCs w:val="21"/>
              </w:rPr>
            </w:pPr>
            <w:r>
              <w:rPr>
                <w:rFonts w:hint="eastAsia"/>
                <w:color w:val="000000" w:themeColor="text1"/>
                <w:sz w:val="21"/>
                <w:szCs w:val="21"/>
              </w:rPr>
              <w:t>岳阳市一人民医院</w:t>
            </w:r>
          </w:p>
        </w:tc>
        <w:tc>
          <w:tcPr>
            <w:tcW w:w="3027" w:type="dxa"/>
            <w:tcBorders>
              <w:tl2br w:val="nil"/>
              <w:tr2bl w:val="nil"/>
            </w:tcBorders>
            <w:vAlign w:val="center"/>
          </w:tcPr>
          <w:p>
            <w:pPr>
              <w:spacing w:line="240" w:lineRule="auto"/>
              <w:ind w:firstLine="0" w:firstLineChars="0"/>
              <w:jc w:val="center"/>
              <w:rPr>
                <w:color w:val="000000" w:themeColor="text1"/>
                <w:sz w:val="21"/>
                <w:szCs w:val="21"/>
              </w:rPr>
            </w:pPr>
            <w:r>
              <w:rPr>
                <w:rFonts w:hint="eastAsia"/>
                <w:color w:val="000000" w:themeColor="text1"/>
                <w:sz w:val="21"/>
                <w:szCs w:val="21"/>
              </w:rPr>
              <w:t>8246724</w:t>
            </w:r>
          </w:p>
        </w:tc>
      </w:tr>
      <w:tr>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Layout w:type="fixed"/>
          <w:tblCellMar>
            <w:top w:w="0" w:type="dxa"/>
            <w:left w:w="108" w:type="dxa"/>
            <w:bottom w:w="0" w:type="dxa"/>
            <w:right w:w="108" w:type="dxa"/>
          </w:tblCellMar>
        </w:tblPrEx>
        <w:trPr>
          <w:trHeight w:val="397" w:hRule="atLeast"/>
          <w:jc w:val="center"/>
        </w:trPr>
        <w:tc>
          <w:tcPr>
            <w:tcW w:w="858" w:type="dxa"/>
            <w:tcBorders>
              <w:tl2br w:val="nil"/>
              <w:tr2bl w:val="nil"/>
            </w:tcBorders>
            <w:vAlign w:val="center"/>
          </w:tcPr>
          <w:p>
            <w:pPr>
              <w:spacing w:line="240" w:lineRule="auto"/>
              <w:ind w:firstLine="0" w:firstLineChars="0"/>
              <w:jc w:val="center"/>
              <w:rPr>
                <w:color w:val="000000" w:themeColor="text1"/>
                <w:sz w:val="21"/>
                <w:szCs w:val="21"/>
              </w:rPr>
            </w:pPr>
            <w:r>
              <w:rPr>
                <w:rFonts w:hint="eastAsia"/>
                <w:color w:val="000000" w:themeColor="text1"/>
                <w:sz w:val="21"/>
                <w:szCs w:val="21"/>
              </w:rPr>
              <w:t>4</w:t>
            </w:r>
          </w:p>
        </w:tc>
        <w:tc>
          <w:tcPr>
            <w:tcW w:w="1222" w:type="dxa"/>
            <w:vMerge w:val="continue"/>
            <w:tcBorders>
              <w:tl2br w:val="nil"/>
              <w:tr2bl w:val="nil"/>
            </w:tcBorders>
            <w:vAlign w:val="center"/>
          </w:tcPr>
          <w:p>
            <w:pPr>
              <w:spacing w:line="240" w:lineRule="auto"/>
              <w:ind w:firstLine="0" w:firstLineChars="0"/>
              <w:jc w:val="center"/>
              <w:rPr>
                <w:color w:val="000000" w:themeColor="text1"/>
                <w:sz w:val="21"/>
                <w:szCs w:val="21"/>
              </w:rPr>
            </w:pPr>
          </w:p>
        </w:tc>
        <w:tc>
          <w:tcPr>
            <w:tcW w:w="3415" w:type="dxa"/>
            <w:tcBorders>
              <w:tl2br w:val="nil"/>
              <w:tr2bl w:val="nil"/>
            </w:tcBorders>
            <w:vAlign w:val="center"/>
          </w:tcPr>
          <w:p>
            <w:pPr>
              <w:spacing w:line="240" w:lineRule="auto"/>
              <w:ind w:firstLine="0" w:firstLineChars="0"/>
              <w:jc w:val="center"/>
              <w:rPr>
                <w:color w:val="000000" w:themeColor="text1"/>
                <w:sz w:val="21"/>
                <w:szCs w:val="21"/>
              </w:rPr>
            </w:pPr>
            <w:r>
              <w:rPr>
                <w:rFonts w:hint="eastAsia"/>
                <w:color w:val="000000" w:themeColor="text1"/>
                <w:sz w:val="21"/>
                <w:szCs w:val="21"/>
              </w:rPr>
              <w:t>岳阳市中医院</w:t>
            </w:r>
          </w:p>
        </w:tc>
        <w:tc>
          <w:tcPr>
            <w:tcW w:w="3027" w:type="dxa"/>
            <w:tcBorders>
              <w:tl2br w:val="nil"/>
              <w:tr2bl w:val="nil"/>
            </w:tcBorders>
            <w:vAlign w:val="center"/>
          </w:tcPr>
          <w:p>
            <w:pPr>
              <w:spacing w:line="240" w:lineRule="auto"/>
              <w:ind w:firstLine="0" w:firstLineChars="0"/>
              <w:jc w:val="center"/>
              <w:rPr>
                <w:color w:val="000000" w:themeColor="text1"/>
                <w:sz w:val="21"/>
                <w:szCs w:val="21"/>
              </w:rPr>
            </w:pPr>
            <w:r>
              <w:rPr>
                <w:rFonts w:hint="eastAsia"/>
                <w:color w:val="000000" w:themeColor="text1"/>
                <w:sz w:val="21"/>
                <w:szCs w:val="21"/>
              </w:rPr>
              <w:t>8831700</w:t>
            </w:r>
          </w:p>
        </w:tc>
      </w:tr>
      <w:tr>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Layout w:type="fixed"/>
          <w:tblCellMar>
            <w:top w:w="0" w:type="dxa"/>
            <w:left w:w="108" w:type="dxa"/>
            <w:bottom w:w="0" w:type="dxa"/>
            <w:right w:w="108" w:type="dxa"/>
          </w:tblCellMar>
        </w:tblPrEx>
        <w:trPr>
          <w:trHeight w:val="397" w:hRule="atLeast"/>
          <w:jc w:val="center"/>
        </w:trPr>
        <w:tc>
          <w:tcPr>
            <w:tcW w:w="858" w:type="dxa"/>
            <w:tcBorders>
              <w:tl2br w:val="nil"/>
              <w:tr2bl w:val="nil"/>
            </w:tcBorders>
            <w:vAlign w:val="center"/>
          </w:tcPr>
          <w:p>
            <w:pPr>
              <w:spacing w:line="240" w:lineRule="auto"/>
              <w:ind w:firstLine="0" w:firstLineChars="0"/>
              <w:jc w:val="center"/>
              <w:rPr>
                <w:color w:val="000000" w:themeColor="text1"/>
                <w:sz w:val="21"/>
                <w:szCs w:val="21"/>
              </w:rPr>
            </w:pPr>
            <w:r>
              <w:rPr>
                <w:rFonts w:hint="eastAsia"/>
                <w:color w:val="000000" w:themeColor="text1"/>
                <w:sz w:val="21"/>
                <w:szCs w:val="21"/>
              </w:rPr>
              <w:t>5</w:t>
            </w:r>
          </w:p>
        </w:tc>
        <w:tc>
          <w:tcPr>
            <w:tcW w:w="1222" w:type="dxa"/>
            <w:tcBorders>
              <w:tl2br w:val="nil"/>
              <w:tr2bl w:val="nil"/>
            </w:tcBorders>
            <w:vAlign w:val="center"/>
          </w:tcPr>
          <w:p>
            <w:pPr>
              <w:spacing w:line="240" w:lineRule="auto"/>
              <w:ind w:firstLine="0" w:firstLineChars="0"/>
              <w:jc w:val="center"/>
              <w:rPr>
                <w:color w:val="000000" w:themeColor="text1"/>
                <w:sz w:val="21"/>
                <w:szCs w:val="21"/>
              </w:rPr>
            </w:pPr>
            <w:r>
              <w:rPr>
                <w:rFonts w:hint="eastAsia"/>
                <w:color w:val="000000" w:themeColor="text1"/>
                <w:sz w:val="21"/>
                <w:szCs w:val="21"/>
              </w:rPr>
              <w:t>应急监测</w:t>
            </w:r>
          </w:p>
        </w:tc>
        <w:tc>
          <w:tcPr>
            <w:tcW w:w="3415" w:type="dxa"/>
            <w:tcBorders>
              <w:tl2br w:val="nil"/>
              <w:tr2bl w:val="nil"/>
            </w:tcBorders>
            <w:vAlign w:val="center"/>
          </w:tcPr>
          <w:p>
            <w:pPr>
              <w:spacing w:line="240" w:lineRule="auto"/>
              <w:ind w:firstLine="0" w:firstLineChars="0"/>
              <w:jc w:val="center"/>
              <w:rPr>
                <w:color w:val="000000" w:themeColor="text1"/>
                <w:sz w:val="21"/>
                <w:szCs w:val="21"/>
              </w:rPr>
            </w:pPr>
            <w:r>
              <w:rPr>
                <w:rFonts w:hint="eastAsia"/>
                <w:color w:val="000000" w:themeColor="text1"/>
                <w:sz w:val="21"/>
                <w:szCs w:val="21"/>
              </w:rPr>
              <w:t>岳阳市环境保护监测站</w:t>
            </w:r>
          </w:p>
        </w:tc>
        <w:tc>
          <w:tcPr>
            <w:tcW w:w="3027" w:type="dxa"/>
            <w:tcBorders>
              <w:tl2br w:val="nil"/>
              <w:tr2bl w:val="nil"/>
            </w:tcBorders>
            <w:vAlign w:val="center"/>
          </w:tcPr>
          <w:p>
            <w:pPr>
              <w:spacing w:line="240" w:lineRule="auto"/>
              <w:ind w:firstLine="0" w:firstLineChars="0"/>
              <w:jc w:val="center"/>
              <w:rPr>
                <w:color w:val="000000" w:themeColor="text1"/>
                <w:sz w:val="21"/>
                <w:szCs w:val="21"/>
              </w:rPr>
            </w:pPr>
            <w:r>
              <w:rPr>
                <w:rFonts w:hint="eastAsia"/>
                <w:color w:val="000000" w:themeColor="text1"/>
                <w:sz w:val="21"/>
                <w:szCs w:val="21"/>
              </w:rPr>
              <w:t>8879805</w:t>
            </w:r>
          </w:p>
        </w:tc>
      </w:tr>
      <w:tr>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Layout w:type="fixed"/>
          <w:tblCellMar>
            <w:top w:w="0" w:type="dxa"/>
            <w:left w:w="108" w:type="dxa"/>
            <w:bottom w:w="0" w:type="dxa"/>
            <w:right w:w="108" w:type="dxa"/>
          </w:tblCellMar>
        </w:tblPrEx>
        <w:trPr>
          <w:trHeight w:val="397" w:hRule="atLeast"/>
          <w:jc w:val="center"/>
        </w:trPr>
        <w:tc>
          <w:tcPr>
            <w:tcW w:w="858" w:type="dxa"/>
            <w:tcBorders>
              <w:tl2br w:val="nil"/>
              <w:tr2bl w:val="nil"/>
            </w:tcBorders>
            <w:vAlign w:val="center"/>
          </w:tcPr>
          <w:p>
            <w:pPr>
              <w:spacing w:line="240" w:lineRule="auto"/>
              <w:ind w:firstLine="0" w:firstLineChars="0"/>
              <w:jc w:val="center"/>
              <w:rPr>
                <w:color w:val="000000" w:themeColor="text1"/>
                <w:sz w:val="21"/>
                <w:szCs w:val="21"/>
              </w:rPr>
            </w:pPr>
            <w:r>
              <w:rPr>
                <w:rFonts w:hint="eastAsia"/>
                <w:color w:val="000000" w:themeColor="text1"/>
                <w:sz w:val="21"/>
                <w:szCs w:val="21"/>
              </w:rPr>
              <w:t>6</w:t>
            </w:r>
          </w:p>
        </w:tc>
        <w:tc>
          <w:tcPr>
            <w:tcW w:w="1222" w:type="dxa"/>
            <w:vMerge w:val="restart"/>
            <w:tcBorders>
              <w:tl2br w:val="nil"/>
              <w:tr2bl w:val="nil"/>
            </w:tcBorders>
            <w:vAlign w:val="center"/>
          </w:tcPr>
          <w:p>
            <w:pPr>
              <w:spacing w:line="240" w:lineRule="auto"/>
              <w:ind w:firstLine="0" w:firstLineChars="0"/>
              <w:jc w:val="center"/>
              <w:rPr>
                <w:color w:val="000000" w:themeColor="text1"/>
                <w:sz w:val="21"/>
                <w:szCs w:val="21"/>
              </w:rPr>
            </w:pPr>
            <w:r>
              <w:rPr>
                <w:rFonts w:hint="eastAsia"/>
                <w:color w:val="000000" w:themeColor="text1"/>
                <w:sz w:val="21"/>
                <w:szCs w:val="21"/>
              </w:rPr>
              <w:t>政府部门</w:t>
            </w:r>
          </w:p>
        </w:tc>
        <w:tc>
          <w:tcPr>
            <w:tcW w:w="3415" w:type="dxa"/>
            <w:tcBorders>
              <w:tl2br w:val="nil"/>
              <w:tr2bl w:val="nil"/>
            </w:tcBorders>
            <w:vAlign w:val="center"/>
          </w:tcPr>
          <w:p>
            <w:pPr>
              <w:spacing w:line="240" w:lineRule="auto"/>
              <w:ind w:firstLine="0" w:firstLineChars="0"/>
              <w:jc w:val="center"/>
              <w:rPr>
                <w:color w:val="000000" w:themeColor="text1"/>
                <w:sz w:val="21"/>
                <w:szCs w:val="21"/>
              </w:rPr>
            </w:pPr>
            <w:r>
              <w:rPr>
                <w:rFonts w:hint="eastAsia"/>
                <w:color w:val="000000" w:themeColor="text1"/>
                <w:sz w:val="21"/>
                <w:szCs w:val="21"/>
              </w:rPr>
              <w:t>岳阳市环保局</w:t>
            </w:r>
          </w:p>
        </w:tc>
        <w:tc>
          <w:tcPr>
            <w:tcW w:w="3027" w:type="dxa"/>
            <w:tcBorders>
              <w:tl2br w:val="nil"/>
              <w:tr2bl w:val="nil"/>
            </w:tcBorders>
            <w:vAlign w:val="center"/>
          </w:tcPr>
          <w:p>
            <w:pPr>
              <w:spacing w:line="240" w:lineRule="auto"/>
              <w:ind w:firstLine="0" w:firstLineChars="0"/>
              <w:jc w:val="center"/>
              <w:rPr>
                <w:color w:val="000000" w:themeColor="text1"/>
                <w:sz w:val="21"/>
                <w:szCs w:val="21"/>
              </w:rPr>
            </w:pPr>
            <w:r>
              <w:rPr>
                <w:rFonts w:hint="eastAsia"/>
                <w:color w:val="000000" w:themeColor="text1"/>
                <w:sz w:val="21"/>
                <w:szCs w:val="21"/>
              </w:rPr>
              <w:t>8879800</w:t>
            </w:r>
          </w:p>
        </w:tc>
      </w:tr>
      <w:tr>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Layout w:type="fixed"/>
          <w:tblCellMar>
            <w:top w:w="0" w:type="dxa"/>
            <w:left w:w="108" w:type="dxa"/>
            <w:bottom w:w="0" w:type="dxa"/>
            <w:right w:w="108" w:type="dxa"/>
          </w:tblCellMar>
        </w:tblPrEx>
        <w:trPr>
          <w:trHeight w:val="397" w:hRule="atLeast"/>
          <w:jc w:val="center"/>
        </w:trPr>
        <w:tc>
          <w:tcPr>
            <w:tcW w:w="858" w:type="dxa"/>
            <w:tcBorders>
              <w:tl2br w:val="nil"/>
              <w:tr2bl w:val="nil"/>
            </w:tcBorders>
            <w:vAlign w:val="center"/>
          </w:tcPr>
          <w:p>
            <w:pPr>
              <w:spacing w:line="240" w:lineRule="auto"/>
              <w:ind w:firstLine="0" w:firstLineChars="0"/>
              <w:jc w:val="center"/>
              <w:rPr>
                <w:color w:val="000000" w:themeColor="text1"/>
                <w:sz w:val="21"/>
                <w:szCs w:val="21"/>
              </w:rPr>
            </w:pPr>
            <w:r>
              <w:rPr>
                <w:rFonts w:hint="eastAsia"/>
                <w:color w:val="000000" w:themeColor="text1"/>
                <w:sz w:val="21"/>
                <w:szCs w:val="21"/>
              </w:rPr>
              <w:t>7</w:t>
            </w:r>
          </w:p>
        </w:tc>
        <w:tc>
          <w:tcPr>
            <w:tcW w:w="1222" w:type="dxa"/>
            <w:vMerge w:val="continue"/>
            <w:tcBorders>
              <w:tl2br w:val="nil"/>
              <w:tr2bl w:val="nil"/>
            </w:tcBorders>
            <w:vAlign w:val="center"/>
          </w:tcPr>
          <w:p>
            <w:pPr>
              <w:spacing w:line="240" w:lineRule="auto"/>
              <w:ind w:firstLine="0" w:firstLineChars="0"/>
              <w:jc w:val="center"/>
              <w:rPr>
                <w:color w:val="000000" w:themeColor="text1"/>
                <w:sz w:val="21"/>
                <w:szCs w:val="21"/>
              </w:rPr>
            </w:pPr>
          </w:p>
        </w:tc>
        <w:tc>
          <w:tcPr>
            <w:tcW w:w="3415" w:type="dxa"/>
            <w:tcBorders>
              <w:tl2br w:val="nil"/>
              <w:tr2bl w:val="nil"/>
            </w:tcBorders>
            <w:vAlign w:val="center"/>
          </w:tcPr>
          <w:p>
            <w:pPr>
              <w:spacing w:line="240" w:lineRule="auto"/>
              <w:ind w:firstLine="0" w:firstLineChars="0"/>
              <w:jc w:val="center"/>
              <w:rPr>
                <w:color w:val="000000" w:themeColor="text1"/>
                <w:sz w:val="21"/>
                <w:szCs w:val="21"/>
              </w:rPr>
            </w:pPr>
            <w:r>
              <w:rPr>
                <w:rFonts w:hint="eastAsia"/>
                <w:color w:val="000000" w:themeColor="text1"/>
                <w:sz w:val="21"/>
                <w:szCs w:val="21"/>
              </w:rPr>
              <w:t>岳阳市安监局</w:t>
            </w:r>
          </w:p>
        </w:tc>
        <w:tc>
          <w:tcPr>
            <w:tcW w:w="3027" w:type="dxa"/>
            <w:tcBorders>
              <w:tl2br w:val="nil"/>
              <w:tr2bl w:val="nil"/>
            </w:tcBorders>
            <w:vAlign w:val="center"/>
          </w:tcPr>
          <w:p>
            <w:pPr>
              <w:spacing w:line="240" w:lineRule="auto"/>
              <w:ind w:firstLine="0" w:firstLineChars="0"/>
              <w:jc w:val="center"/>
              <w:rPr>
                <w:color w:val="000000" w:themeColor="text1"/>
                <w:sz w:val="21"/>
                <w:szCs w:val="21"/>
              </w:rPr>
            </w:pPr>
            <w:r>
              <w:rPr>
                <w:rFonts w:hint="eastAsia"/>
                <w:color w:val="000000" w:themeColor="text1"/>
                <w:sz w:val="21"/>
                <w:szCs w:val="21"/>
              </w:rPr>
              <w:t>8788526</w:t>
            </w:r>
          </w:p>
        </w:tc>
      </w:tr>
      <w:tr>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Layout w:type="fixed"/>
          <w:tblCellMar>
            <w:top w:w="0" w:type="dxa"/>
            <w:left w:w="108" w:type="dxa"/>
            <w:bottom w:w="0" w:type="dxa"/>
            <w:right w:w="108" w:type="dxa"/>
          </w:tblCellMar>
        </w:tblPrEx>
        <w:trPr>
          <w:trHeight w:val="397" w:hRule="atLeast"/>
          <w:jc w:val="center"/>
        </w:trPr>
        <w:tc>
          <w:tcPr>
            <w:tcW w:w="858" w:type="dxa"/>
            <w:tcBorders>
              <w:tl2br w:val="nil"/>
              <w:tr2bl w:val="nil"/>
            </w:tcBorders>
            <w:vAlign w:val="center"/>
          </w:tcPr>
          <w:p>
            <w:pPr>
              <w:spacing w:line="240" w:lineRule="auto"/>
              <w:ind w:firstLine="0" w:firstLineChars="0"/>
              <w:jc w:val="center"/>
              <w:rPr>
                <w:color w:val="000000" w:themeColor="text1"/>
                <w:sz w:val="21"/>
                <w:szCs w:val="21"/>
              </w:rPr>
            </w:pPr>
            <w:r>
              <w:rPr>
                <w:rFonts w:hint="eastAsia"/>
                <w:color w:val="000000" w:themeColor="text1"/>
                <w:sz w:val="21"/>
                <w:szCs w:val="21"/>
              </w:rPr>
              <w:t>8</w:t>
            </w:r>
          </w:p>
        </w:tc>
        <w:tc>
          <w:tcPr>
            <w:tcW w:w="1222" w:type="dxa"/>
            <w:vMerge w:val="continue"/>
            <w:tcBorders>
              <w:tl2br w:val="nil"/>
              <w:tr2bl w:val="nil"/>
            </w:tcBorders>
            <w:vAlign w:val="center"/>
          </w:tcPr>
          <w:p>
            <w:pPr>
              <w:spacing w:line="240" w:lineRule="auto"/>
              <w:ind w:firstLine="0" w:firstLineChars="0"/>
              <w:jc w:val="center"/>
              <w:rPr>
                <w:color w:val="000000" w:themeColor="text1"/>
                <w:sz w:val="21"/>
                <w:szCs w:val="21"/>
              </w:rPr>
            </w:pPr>
          </w:p>
        </w:tc>
        <w:tc>
          <w:tcPr>
            <w:tcW w:w="3415" w:type="dxa"/>
            <w:tcBorders>
              <w:tl2br w:val="nil"/>
              <w:tr2bl w:val="nil"/>
            </w:tcBorders>
            <w:vAlign w:val="center"/>
          </w:tcPr>
          <w:p>
            <w:pPr>
              <w:spacing w:line="240" w:lineRule="auto"/>
              <w:ind w:firstLine="0" w:firstLineChars="0"/>
              <w:jc w:val="center"/>
              <w:rPr>
                <w:color w:val="000000" w:themeColor="text1"/>
                <w:sz w:val="21"/>
                <w:szCs w:val="21"/>
              </w:rPr>
            </w:pPr>
            <w:r>
              <w:rPr>
                <w:rFonts w:hint="eastAsia"/>
                <w:color w:val="000000" w:themeColor="text1"/>
                <w:sz w:val="21"/>
                <w:szCs w:val="21"/>
              </w:rPr>
              <w:t>岳阳市安监局危化科</w:t>
            </w:r>
          </w:p>
        </w:tc>
        <w:tc>
          <w:tcPr>
            <w:tcW w:w="3027" w:type="dxa"/>
            <w:tcBorders>
              <w:tl2br w:val="nil"/>
              <w:tr2bl w:val="nil"/>
            </w:tcBorders>
            <w:vAlign w:val="center"/>
          </w:tcPr>
          <w:p>
            <w:pPr>
              <w:spacing w:line="240" w:lineRule="auto"/>
              <w:ind w:firstLine="0" w:firstLineChars="0"/>
              <w:jc w:val="center"/>
              <w:rPr>
                <w:color w:val="000000" w:themeColor="text1"/>
                <w:sz w:val="21"/>
                <w:szCs w:val="21"/>
              </w:rPr>
            </w:pPr>
            <w:r>
              <w:rPr>
                <w:rFonts w:hint="eastAsia"/>
                <w:color w:val="000000" w:themeColor="text1"/>
                <w:sz w:val="21"/>
                <w:szCs w:val="21"/>
              </w:rPr>
              <w:t>8788521</w:t>
            </w:r>
          </w:p>
        </w:tc>
      </w:tr>
      <w:tr>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Layout w:type="fixed"/>
          <w:tblCellMar>
            <w:top w:w="0" w:type="dxa"/>
            <w:left w:w="108" w:type="dxa"/>
            <w:bottom w:w="0" w:type="dxa"/>
            <w:right w:w="108" w:type="dxa"/>
          </w:tblCellMar>
        </w:tblPrEx>
        <w:trPr>
          <w:trHeight w:val="397" w:hRule="atLeast"/>
          <w:jc w:val="center"/>
        </w:trPr>
        <w:tc>
          <w:tcPr>
            <w:tcW w:w="858" w:type="dxa"/>
            <w:tcBorders>
              <w:tl2br w:val="nil"/>
              <w:tr2bl w:val="nil"/>
            </w:tcBorders>
            <w:vAlign w:val="center"/>
          </w:tcPr>
          <w:p>
            <w:pPr>
              <w:spacing w:line="240" w:lineRule="auto"/>
              <w:ind w:firstLine="0" w:firstLineChars="0"/>
              <w:jc w:val="center"/>
              <w:rPr>
                <w:color w:val="000000" w:themeColor="text1"/>
                <w:sz w:val="21"/>
                <w:szCs w:val="21"/>
              </w:rPr>
            </w:pPr>
            <w:r>
              <w:rPr>
                <w:rFonts w:hint="eastAsia"/>
                <w:color w:val="000000" w:themeColor="text1"/>
                <w:sz w:val="21"/>
                <w:szCs w:val="21"/>
              </w:rPr>
              <w:t>9</w:t>
            </w:r>
          </w:p>
        </w:tc>
        <w:tc>
          <w:tcPr>
            <w:tcW w:w="1222" w:type="dxa"/>
            <w:vMerge w:val="continue"/>
            <w:tcBorders>
              <w:tl2br w:val="nil"/>
              <w:tr2bl w:val="nil"/>
            </w:tcBorders>
            <w:vAlign w:val="center"/>
          </w:tcPr>
          <w:p>
            <w:pPr>
              <w:spacing w:line="240" w:lineRule="auto"/>
              <w:ind w:firstLine="0" w:firstLineChars="0"/>
              <w:jc w:val="center"/>
              <w:rPr>
                <w:color w:val="000000" w:themeColor="text1"/>
                <w:sz w:val="21"/>
                <w:szCs w:val="21"/>
              </w:rPr>
            </w:pPr>
          </w:p>
        </w:tc>
        <w:tc>
          <w:tcPr>
            <w:tcW w:w="3415" w:type="dxa"/>
            <w:tcBorders>
              <w:tl2br w:val="nil"/>
              <w:tr2bl w:val="nil"/>
            </w:tcBorders>
            <w:vAlign w:val="center"/>
          </w:tcPr>
          <w:p>
            <w:pPr>
              <w:spacing w:line="240" w:lineRule="auto"/>
              <w:ind w:firstLine="0" w:firstLineChars="0"/>
              <w:jc w:val="center"/>
              <w:rPr>
                <w:color w:val="000000" w:themeColor="text1"/>
                <w:sz w:val="21"/>
                <w:szCs w:val="21"/>
              </w:rPr>
            </w:pPr>
            <w:r>
              <w:rPr>
                <w:rFonts w:hint="eastAsia"/>
                <w:color w:val="000000" w:themeColor="text1"/>
                <w:sz w:val="21"/>
                <w:szCs w:val="21"/>
              </w:rPr>
              <w:t>岳阳市人民政府应急办</w:t>
            </w:r>
          </w:p>
        </w:tc>
        <w:tc>
          <w:tcPr>
            <w:tcW w:w="3027" w:type="dxa"/>
            <w:tcBorders>
              <w:tl2br w:val="nil"/>
              <w:tr2bl w:val="nil"/>
            </w:tcBorders>
            <w:vAlign w:val="center"/>
          </w:tcPr>
          <w:p>
            <w:pPr>
              <w:spacing w:line="240" w:lineRule="auto"/>
              <w:ind w:firstLine="0" w:firstLineChars="0"/>
              <w:jc w:val="center"/>
              <w:rPr>
                <w:color w:val="000000" w:themeColor="text1"/>
                <w:sz w:val="21"/>
                <w:szCs w:val="21"/>
              </w:rPr>
            </w:pPr>
            <w:r>
              <w:rPr>
                <w:rFonts w:hint="eastAsia"/>
                <w:color w:val="000000" w:themeColor="text1"/>
                <w:sz w:val="21"/>
                <w:szCs w:val="21"/>
              </w:rPr>
              <w:t>8880225</w:t>
            </w:r>
          </w:p>
        </w:tc>
      </w:tr>
      <w:tr>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Layout w:type="fixed"/>
          <w:tblCellMar>
            <w:top w:w="0" w:type="dxa"/>
            <w:left w:w="108" w:type="dxa"/>
            <w:bottom w:w="0" w:type="dxa"/>
            <w:right w:w="108" w:type="dxa"/>
          </w:tblCellMar>
        </w:tblPrEx>
        <w:trPr>
          <w:trHeight w:val="397" w:hRule="atLeast"/>
          <w:jc w:val="center"/>
        </w:trPr>
        <w:tc>
          <w:tcPr>
            <w:tcW w:w="858" w:type="dxa"/>
            <w:tcBorders>
              <w:tl2br w:val="nil"/>
              <w:tr2bl w:val="nil"/>
            </w:tcBorders>
            <w:vAlign w:val="center"/>
          </w:tcPr>
          <w:p>
            <w:pPr>
              <w:spacing w:line="240" w:lineRule="auto"/>
              <w:ind w:firstLine="0" w:firstLineChars="0"/>
              <w:jc w:val="center"/>
              <w:rPr>
                <w:color w:val="000000" w:themeColor="text1"/>
                <w:sz w:val="21"/>
                <w:szCs w:val="21"/>
              </w:rPr>
            </w:pPr>
            <w:r>
              <w:rPr>
                <w:rFonts w:hint="eastAsia"/>
                <w:color w:val="000000" w:themeColor="text1"/>
                <w:sz w:val="21"/>
                <w:szCs w:val="21"/>
              </w:rPr>
              <w:t>10</w:t>
            </w:r>
          </w:p>
        </w:tc>
        <w:tc>
          <w:tcPr>
            <w:tcW w:w="1222" w:type="dxa"/>
            <w:vMerge w:val="continue"/>
            <w:tcBorders>
              <w:tl2br w:val="nil"/>
              <w:tr2bl w:val="nil"/>
            </w:tcBorders>
            <w:vAlign w:val="center"/>
          </w:tcPr>
          <w:p>
            <w:pPr>
              <w:spacing w:line="240" w:lineRule="auto"/>
              <w:ind w:firstLine="0" w:firstLineChars="0"/>
              <w:jc w:val="center"/>
              <w:rPr>
                <w:color w:val="000000" w:themeColor="text1"/>
                <w:sz w:val="21"/>
                <w:szCs w:val="21"/>
              </w:rPr>
            </w:pPr>
          </w:p>
        </w:tc>
        <w:tc>
          <w:tcPr>
            <w:tcW w:w="3415" w:type="dxa"/>
            <w:tcBorders>
              <w:tl2br w:val="nil"/>
              <w:tr2bl w:val="nil"/>
            </w:tcBorders>
            <w:vAlign w:val="center"/>
          </w:tcPr>
          <w:p>
            <w:pPr>
              <w:spacing w:line="240" w:lineRule="auto"/>
              <w:ind w:firstLine="0" w:firstLineChars="0"/>
              <w:jc w:val="center"/>
              <w:rPr>
                <w:color w:val="000000" w:themeColor="text1"/>
                <w:sz w:val="21"/>
                <w:szCs w:val="21"/>
              </w:rPr>
            </w:pPr>
            <w:r>
              <w:rPr>
                <w:rFonts w:hint="eastAsia"/>
                <w:color w:val="000000" w:themeColor="text1"/>
                <w:sz w:val="21"/>
                <w:szCs w:val="21"/>
              </w:rPr>
              <w:t>湖南省环境应急与事故调查中心</w:t>
            </w:r>
          </w:p>
        </w:tc>
        <w:tc>
          <w:tcPr>
            <w:tcW w:w="3027" w:type="dxa"/>
            <w:tcBorders>
              <w:tl2br w:val="nil"/>
              <w:tr2bl w:val="nil"/>
            </w:tcBorders>
            <w:vAlign w:val="center"/>
          </w:tcPr>
          <w:p>
            <w:pPr>
              <w:spacing w:line="240" w:lineRule="auto"/>
              <w:ind w:firstLine="0" w:firstLineChars="0"/>
              <w:jc w:val="center"/>
              <w:rPr>
                <w:color w:val="000000" w:themeColor="text1"/>
                <w:sz w:val="21"/>
                <w:szCs w:val="21"/>
              </w:rPr>
            </w:pPr>
            <w:r>
              <w:rPr>
                <w:rFonts w:hint="eastAsia"/>
                <w:color w:val="000000" w:themeColor="text1"/>
                <w:sz w:val="21"/>
                <w:szCs w:val="21"/>
              </w:rPr>
              <w:t>0731-85698115/0731-85698052</w:t>
            </w:r>
          </w:p>
        </w:tc>
      </w:tr>
      <w:tr>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Layout w:type="fixed"/>
          <w:tblCellMar>
            <w:top w:w="0" w:type="dxa"/>
            <w:left w:w="108" w:type="dxa"/>
            <w:bottom w:w="0" w:type="dxa"/>
            <w:right w:w="108" w:type="dxa"/>
          </w:tblCellMar>
        </w:tblPrEx>
        <w:trPr>
          <w:trHeight w:val="397" w:hRule="atLeast"/>
          <w:jc w:val="center"/>
        </w:trPr>
        <w:tc>
          <w:tcPr>
            <w:tcW w:w="858" w:type="dxa"/>
            <w:tcBorders>
              <w:tl2br w:val="nil"/>
              <w:tr2bl w:val="nil"/>
            </w:tcBorders>
            <w:vAlign w:val="center"/>
          </w:tcPr>
          <w:p>
            <w:pPr>
              <w:spacing w:line="240" w:lineRule="auto"/>
              <w:ind w:firstLine="0" w:firstLineChars="0"/>
              <w:jc w:val="center"/>
              <w:rPr>
                <w:color w:val="000000" w:themeColor="text1"/>
                <w:sz w:val="21"/>
                <w:szCs w:val="21"/>
              </w:rPr>
            </w:pPr>
            <w:r>
              <w:rPr>
                <w:rFonts w:hint="eastAsia"/>
                <w:color w:val="000000" w:themeColor="text1"/>
                <w:sz w:val="21"/>
                <w:szCs w:val="21"/>
              </w:rPr>
              <w:t>11</w:t>
            </w:r>
          </w:p>
        </w:tc>
        <w:tc>
          <w:tcPr>
            <w:tcW w:w="1222" w:type="dxa"/>
            <w:vMerge w:val="continue"/>
            <w:tcBorders>
              <w:tl2br w:val="nil"/>
              <w:tr2bl w:val="nil"/>
            </w:tcBorders>
            <w:vAlign w:val="center"/>
          </w:tcPr>
          <w:p>
            <w:pPr>
              <w:spacing w:line="240" w:lineRule="auto"/>
              <w:ind w:firstLine="0" w:firstLineChars="0"/>
              <w:jc w:val="center"/>
              <w:rPr>
                <w:color w:val="000000" w:themeColor="text1"/>
                <w:sz w:val="21"/>
                <w:szCs w:val="21"/>
              </w:rPr>
            </w:pPr>
          </w:p>
        </w:tc>
        <w:tc>
          <w:tcPr>
            <w:tcW w:w="3415" w:type="dxa"/>
            <w:tcBorders>
              <w:tl2br w:val="nil"/>
              <w:tr2bl w:val="nil"/>
            </w:tcBorders>
            <w:vAlign w:val="center"/>
          </w:tcPr>
          <w:p>
            <w:pPr>
              <w:spacing w:line="240" w:lineRule="auto"/>
              <w:ind w:firstLine="0" w:firstLineChars="0"/>
              <w:jc w:val="center"/>
              <w:rPr>
                <w:color w:val="000000" w:themeColor="text1"/>
                <w:sz w:val="21"/>
                <w:szCs w:val="21"/>
              </w:rPr>
            </w:pPr>
            <w:r>
              <w:rPr>
                <w:rFonts w:hint="eastAsia"/>
                <w:color w:val="000000" w:themeColor="text1"/>
                <w:sz w:val="21"/>
                <w:szCs w:val="21"/>
              </w:rPr>
              <w:t>湖南省政府值班室</w:t>
            </w:r>
          </w:p>
        </w:tc>
        <w:tc>
          <w:tcPr>
            <w:tcW w:w="3027" w:type="dxa"/>
            <w:tcBorders>
              <w:tl2br w:val="nil"/>
              <w:tr2bl w:val="nil"/>
            </w:tcBorders>
            <w:vAlign w:val="center"/>
          </w:tcPr>
          <w:p>
            <w:pPr>
              <w:spacing w:line="240" w:lineRule="auto"/>
              <w:ind w:firstLine="0" w:firstLineChars="0"/>
              <w:jc w:val="center"/>
              <w:rPr>
                <w:color w:val="000000" w:themeColor="text1"/>
                <w:sz w:val="21"/>
                <w:szCs w:val="21"/>
              </w:rPr>
            </w:pPr>
            <w:r>
              <w:rPr>
                <w:rFonts w:hint="eastAsia"/>
                <w:color w:val="000000" w:themeColor="text1"/>
                <w:sz w:val="21"/>
                <w:szCs w:val="21"/>
              </w:rPr>
              <w:t>0731-89990001</w:t>
            </w:r>
          </w:p>
        </w:tc>
      </w:tr>
    </w:tbl>
    <w:p>
      <w:pPr>
        <w:pStyle w:val="3"/>
        <w:rPr>
          <w:color w:val="000000" w:themeColor="text1"/>
        </w:rPr>
      </w:pPr>
      <w:bookmarkStart w:id="324" w:name="_Toc535851349"/>
      <w:bookmarkStart w:id="325" w:name="_Toc24989"/>
      <w:bookmarkStart w:id="326" w:name="_Toc485201145"/>
      <w:r>
        <w:rPr>
          <w:rFonts w:hint="eastAsia"/>
          <w:color w:val="000000" w:themeColor="text1"/>
        </w:rPr>
        <w:t>5.2</w:t>
      </w:r>
      <w:r>
        <w:rPr>
          <w:color w:val="000000" w:themeColor="text1"/>
        </w:rPr>
        <w:t>环境应急装备及物资调查</w:t>
      </w:r>
      <w:bookmarkEnd w:id="324"/>
      <w:bookmarkEnd w:id="325"/>
      <w:bookmarkEnd w:id="326"/>
    </w:p>
    <w:p>
      <w:pPr>
        <w:rPr>
          <w:color w:val="000000" w:themeColor="text1"/>
        </w:rPr>
      </w:pPr>
      <w:r>
        <w:rPr>
          <w:rFonts w:hint="eastAsia"/>
          <w:color w:val="000000" w:themeColor="text1"/>
        </w:rPr>
        <w:t>根据《岳阳市自来水公司》突发环境事件应急预案中关于公司目前已储备的应急物资情况，结合岳阳市饮用水源保护区（铁山水库-北干渠-金凤水库）实际情况，本次预案要求岳阳市铁山供水工程管理局准备</w:t>
      </w:r>
      <w:r>
        <w:rPr>
          <w:rFonts w:hint="eastAsia"/>
          <w:color w:val="000000" w:themeColor="text1"/>
          <w:szCs w:val="24"/>
        </w:rPr>
        <w:t>应急物资如下</w:t>
      </w:r>
      <w:r>
        <w:rPr>
          <w:color w:val="000000" w:themeColor="text1"/>
        </w:rPr>
        <w:t>表</w:t>
      </w:r>
      <w:r>
        <w:rPr>
          <w:rFonts w:hint="eastAsia"/>
          <w:color w:val="000000" w:themeColor="text1"/>
        </w:rPr>
        <w:t>5-2</w:t>
      </w:r>
      <w:r>
        <w:rPr>
          <w:color w:val="000000" w:themeColor="text1"/>
        </w:rPr>
        <w:t>。</w:t>
      </w:r>
    </w:p>
    <w:p>
      <w:pPr>
        <w:pStyle w:val="17"/>
        <w:ind w:firstLine="0" w:firstLineChars="0"/>
        <w:jc w:val="center"/>
        <w:rPr>
          <w:rFonts w:ascii="Times New Roman" w:hAnsi="Times New Roman" w:cs="Times New Roman"/>
          <w:b/>
          <w:color w:val="000000" w:themeColor="text1"/>
          <w:sz w:val="21"/>
        </w:rPr>
      </w:pPr>
      <w:r>
        <w:rPr>
          <w:rFonts w:hint="eastAsia" w:ascii="Times New Roman" w:hAnsi="Times New Roman" w:cs="Times New Roman"/>
          <w:b/>
          <w:color w:val="000000" w:themeColor="text1"/>
          <w:sz w:val="21"/>
        </w:rPr>
        <w:t>表5-2     需要准备的应急物资一览表</w:t>
      </w:r>
    </w:p>
    <w:tbl>
      <w:tblPr>
        <w:tblStyle w:val="47"/>
        <w:tblW w:w="8522"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064"/>
        <w:gridCol w:w="2417"/>
        <w:gridCol w:w="1822"/>
        <w:gridCol w:w="1362"/>
        <w:gridCol w:w="185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54" w:hRule="atLeast"/>
          <w:jc w:val="center"/>
        </w:trPr>
        <w:tc>
          <w:tcPr>
            <w:tcW w:w="1064" w:type="dxa"/>
            <w:tcBorders>
              <w:top w:val="single" w:color="auto" w:sz="4" w:space="0"/>
              <w:left w:val="single" w:color="auto" w:sz="4" w:space="0"/>
              <w:bottom w:val="single" w:color="auto" w:sz="4" w:space="0"/>
              <w:right w:val="single" w:color="auto" w:sz="4" w:space="0"/>
            </w:tcBorders>
            <w:shd w:val="clear" w:color="auto" w:fill="auto"/>
            <w:vAlign w:val="center"/>
          </w:tcPr>
          <w:p>
            <w:pPr>
              <w:spacing w:line="240" w:lineRule="auto"/>
              <w:ind w:firstLine="0" w:firstLineChars="0"/>
              <w:jc w:val="center"/>
              <w:rPr>
                <w:bCs/>
                <w:color w:val="000000"/>
                <w:sz w:val="22"/>
              </w:rPr>
            </w:pPr>
            <w:r>
              <w:rPr>
                <w:rFonts w:hint="eastAsia" w:cs="宋体"/>
                <w:bCs/>
                <w:color w:val="000000"/>
                <w:sz w:val="22"/>
              </w:rPr>
              <w:t>序号</w:t>
            </w:r>
          </w:p>
        </w:tc>
        <w:tc>
          <w:tcPr>
            <w:tcW w:w="2417" w:type="dxa"/>
            <w:tcBorders>
              <w:top w:val="single" w:color="auto" w:sz="4" w:space="0"/>
              <w:left w:val="single" w:color="auto" w:sz="4" w:space="0"/>
              <w:bottom w:val="single" w:color="auto" w:sz="4" w:space="0"/>
              <w:right w:val="single" w:color="auto" w:sz="4" w:space="0"/>
            </w:tcBorders>
            <w:shd w:val="clear" w:color="auto" w:fill="auto"/>
            <w:vAlign w:val="center"/>
          </w:tcPr>
          <w:p>
            <w:pPr>
              <w:spacing w:line="240" w:lineRule="auto"/>
              <w:ind w:firstLine="0" w:firstLineChars="0"/>
              <w:jc w:val="center"/>
              <w:rPr>
                <w:bCs/>
                <w:color w:val="000000"/>
                <w:sz w:val="22"/>
              </w:rPr>
            </w:pPr>
            <w:r>
              <w:rPr>
                <w:rFonts w:hint="eastAsia" w:cs="宋体"/>
                <w:bCs/>
                <w:color w:val="000000"/>
                <w:sz w:val="22"/>
              </w:rPr>
              <w:t>物资名称</w:t>
            </w:r>
          </w:p>
        </w:tc>
        <w:tc>
          <w:tcPr>
            <w:tcW w:w="1822" w:type="dxa"/>
            <w:tcBorders>
              <w:top w:val="single" w:color="auto" w:sz="4" w:space="0"/>
              <w:left w:val="single" w:color="auto" w:sz="4" w:space="0"/>
              <w:bottom w:val="single" w:color="auto" w:sz="4" w:space="0"/>
              <w:right w:val="single" w:color="auto" w:sz="4" w:space="0"/>
            </w:tcBorders>
            <w:shd w:val="clear" w:color="auto" w:fill="auto"/>
            <w:vAlign w:val="center"/>
          </w:tcPr>
          <w:p>
            <w:pPr>
              <w:spacing w:line="240" w:lineRule="auto"/>
              <w:ind w:firstLine="0" w:firstLineChars="0"/>
              <w:jc w:val="center"/>
              <w:rPr>
                <w:bCs/>
                <w:color w:val="000000"/>
                <w:sz w:val="22"/>
              </w:rPr>
            </w:pPr>
            <w:r>
              <w:rPr>
                <w:rFonts w:hint="eastAsia" w:cs="宋体"/>
                <w:bCs/>
                <w:color w:val="000000"/>
                <w:sz w:val="22"/>
              </w:rPr>
              <w:t>储量</w:t>
            </w:r>
          </w:p>
        </w:tc>
        <w:tc>
          <w:tcPr>
            <w:tcW w:w="1362" w:type="dxa"/>
            <w:tcBorders>
              <w:top w:val="single" w:color="auto" w:sz="4" w:space="0"/>
              <w:left w:val="single" w:color="auto" w:sz="4" w:space="0"/>
              <w:bottom w:val="single" w:color="auto" w:sz="4" w:space="0"/>
              <w:right w:val="single" w:color="auto" w:sz="4" w:space="0"/>
            </w:tcBorders>
            <w:shd w:val="clear" w:color="auto" w:fill="auto"/>
            <w:vAlign w:val="center"/>
          </w:tcPr>
          <w:p>
            <w:pPr>
              <w:spacing w:line="240" w:lineRule="auto"/>
              <w:ind w:firstLine="0" w:firstLineChars="0"/>
              <w:jc w:val="center"/>
              <w:rPr>
                <w:bCs/>
                <w:color w:val="000000"/>
                <w:sz w:val="22"/>
              </w:rPr>
            </w:pPr>
            <w:r>
              <w:rPr>
                <w:rFonts w:hint="eastAsia" w:cs="宋体"/>
                <w:bCs/>
                <w:color w:val="000000"/>
                <w:sz w:val="22"/>
              </w:rPr>
              <w:t>单位</w:t>
            </w:r>
          </w:p>
        </w:tc>
        <w:tc>
          <w:tcPr>
            <w:tcW w:w="1857" w:type="dxa"/>
            <w:tcBorders>
              <w:top w:val="single" w:color="auto" w:sz="4" w:space="0"/>
              <w:left w:val="single" w:color="auto" w:sz="4" w:space="0"/>
              <w:bottom w:val="single" w:color="auto" w:sz="4" w:space="0"/>
              <w:right w:val="single" w:color="auto" w:sz="4" w:space="0"/>
            </w:tcBorders>
            <w:shd w:val="clear" w:color="auto" w:fill="auto"/>
            <w:vAlign w:val="center"/>
          </w:tcPr>
          <w:p>
            <w:pPr>
              <w:spacing w:line="240" w:lineRule="auto"/>
              <w:ind w:firstLine="0" w:firstLineChars="0"/>
              <w:jc w:val="left"/>
              <w:rPr>
                <w:bCs/>
                <w:color w:val="000000"/>
                <w:sz w:val="22"/>
              </w:rPr>
            </w:pPr>
            <w:r>
              <w:rPr>
                <w:rFonts w:hint="eastAsia" w:cs="宋体"/>
                <w:bCs/>
                <w:color w:val="000000"/>
                <w:sz w:val="22"/>
              </w:rPr>
              <w:t>存放位置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1064" w:type="dxa"/>
            <w:tcBorders>
              <w:top w:val="single" w:color="auto" w:sz="4" w:space="0"/>
              <w:left w:val="single" w:color="auto" w:sz="4" w:space="0"/>
              <w:bottom w:val="single" w:color="auto" w:sz="4" w:space="0"/>
              <w:right w:val="single" w:color="auto" w:sz="4" w:space="0"/>
            </w:tcBorders>
            <w:shd w:val="clear" w:color="auto" w:fill="auto"/>
            <w:vAlign w:val="center"/>
          </w:tcPr>
          <w:p>
            <w:pPr>
              <w:spacing w:line="240" w:lineRule="auto"/>
              <w:ind w:firstLine="0" w:firstLineChars="0"/>
              <w:jc w:val="center"/>
              <w:rPr>
                <w:bCs/>
                <w:color w:val="000000"/>
                <w:sz w:val="22"/>
              </w:rPr>
            </w:pPr>
            <w:r>
              <w:rPr>
                <w:bCs/>
                <w:color w:val="000000"/>
                <w:sz w:val="22"/>
              </w:rPr>
              <w:t>1</w:t>
            </w:r>
          </w:p>
        </w:tc>
        <w:tc>
          <w:tcPr>
            <w:tcW w:w="2417" w:type="dxa"/>
            <w:tcBorders>
              <w:top w:val="single" w:color="auto" w:sz="4" w:space="0"/>
              <w:left w:val="single" w:color="auto" w:sz="4" w:space="0"/>
              <w:bottom w:val="single" w:color="auto" w:sz="4" w:space="0"/>
              <w:right w:val="single" w:color="auto" w:sz="4" w:space="0"/>
            </w:tcBorders>
            <w:shd w:val="clear" w:color="auto" w:fill="auto"/>
            <w:vAlign w:val="center"/>
          </w:tcPr>
          <w:p>
            <w:pPr>
              <w:spacing w:line="240" w:lineRule="auto"/>
              <w:ind w:firstLine="0" w:firstLineChars="0"/>
              <w:jc w:val="center"/>
              <w:rPr>
                <w:bCs/>
                <w:color w:val="000000"/>
                <w:sz w:val="22"/>
              </w:rPr>
            </w:pPr>
            <w:r>
              <w:rPr>
                <w:rFonts w:hint="eastAsia" w:cs="宋体"/>
                <w:bCs/>
                <w:color w:val="000000"/>
                <w:sz w:val="22"/>
              </w:rPr>
              <w:t>编织袋</w:t>
            </w:r>
          </w:p>
        </w:tc>
        <w:tc>
          <w:tcPr>
            <w:tcW w:w="1822" w:type="dxa"/>
            <w:tcBorders>
              <w:top w:val="single" w:color="auto" w:sz="4" w:space="0"/>
              <w:left w:val="single" w:color="auto" w:sz="4" w:space="0"/>
              <w:bottom w:val="single" w:color="auto" w:sz="4" w:space="0"/>
              <w:right w:val="single" w:color="auto" w:sz="4" w:space="0"/>
            </w:tcBorders>
            <w:shd w:val="clear" w:color="auto" w:fill="auto"/>
            <w:vAlign w:val="center"/>
          </w:tcPr>
          <w:p>
            <w:pPr>
              <w:spacing w:line="240" w:lineRule="auto"/>
              <w:ind w:firstLine="0" w:firstLineChars="0"/>
              <w:jc w:val="center"/>
              <w:rPr>
                <w:bCs/>
                <w:color w:val="000000"/>
                <w:sz w:val="22"/>
              </w:rPr>
            </w:pPr>
            <w:r>
              <w:rPr>
                <w:rFonts w:hint="eastAsia"/>
                <w:bCs/>
                <w:color w:val="000000"/>
                <w:sz w:val="22"/>
              </w:rPr>
              <w:t>1</w:t>
            </w:r>
            <w:r>
              <w:rPr>
                <w:bCs/>
                <w:color w:val="000000"/>
                <w:sz w:val="22"/>
              </w:rPr>
              <w:t>000</w:t>
            </w:r>
          </w:p>
        </w:tc>
        <w:tc>
          <w:tcPr>
            <w:tcW w:w="1362" w:type="dxa"/>
            <w:tcBorders>
              <w:top w:val="single" w:color="auto" w:sz="4" w:space="0"/>
              <w:left w:val="single" w:color="auto" w:sz="4" w:space="0"/>
              <w:bottom w:val="single" w:color="auto" w:sz="4" w:space="0"/>
              <w:right w:val="single" w:color="auto" w:sz="4" w:space="0"/>
            </w:tcBorders>
            <w:shd w:val="clear" w:color="auto" w:fill="auto"/>
            <w:vAlign w:val="center"/>
          </w:tcPr>
          <w:p>
            <w:pPr>
              <w:spacing w:line="240" w:lineRule="auto"/>
              <w:ind w:firstLine="0" w:firstLineChars="0"/>
              <w:jc w:val="center"/>
              <w:rPr>
                <w:bCs/>
                <w:color w:val="000000"/>
                <w:sz w:val="22"/>
              </w:rPr>
            </w:pPr>
            <w:r>
              <w:rPr>
                <w:rFonts w:hint="eastAsia" w:cs="宋体"/>
                <w:bCs/>
                <w:color w:val="000000"/>
                <w:sz w:val="22"/>
              </w:rPr>
              <w:t>条</w:t>
            </w:r>
          </w:p>
        </w:tc>
        <w:tc>
          <w:tcPr>
            <w:tcW w:w="1857" w:type="dxa"/>
            <w:vMerge w:val="restart"/>
            <w:tcBorders>
              <w:top w:val="single" w:color="auto" w:sz="4" w:space="0"/>
              <w:left w:val="single" w:color="auto" w:sz="4" w:space="0"/>
              <w:bottom w:val="single" w:color="auto" w:sz="4" w:space="0"/>
              <w:right w:val="single" w:color="auto" w:sz="4" w:space="0"/>
            </w:tcBorders>
            <w:shd w:val="clear" w:color="auto" w:fill="auto"/>
            <w:vAlign w:val="center"/>
          </w:tcPr>
          <w:p>
            <w:pPr>
              <w:spacing w:line="240" w:lineRule="auto"/>
              <w:ind w:firstLine="0" w:firstLineChars="0"/>
              <w:jc w:val="center"/>
              <w:rPr>
                <w:bCs/>
                <w:color w:val="000000"/>
                <w:sz w:val="22"/>
                <w:highlight w:val="yellow"/>
              </w:rPr>
            </w:pPr>
            <w:r>
              <w:rPr>
                <w:rFonts w:hint="eastAsia"/>
                <w:bCs/>
                <w:color w:val="000000"/>
                <w:sz w:val="22"/>
              </w:rPr>
              <w:t>应急品仓库</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1064" w:type="dxa"/>
            <w:tcBorders>
              <w:top w:val="single" w:color="auto" w:sz="4" w:space="0"/>
              <w:left w:val="single" w:color="auto" w:sz="4" w:space="0"/>
              <w:bottom w:val="single" w:color="auto" w:sz="4" w:space="0"/>
              <w:right w:val="single" w:color="auto" w:sz="4" w:space="0"/>
            </w:tcBorders>
            <w:shd w:val="clear" w:color="auto" w:fill="auto"/>
            <w:vAlign w:val="center"/>
          </w:tcPr>
          <w:p>
            <w:pPr>
              <w:spacing w:line="240" w:lineRule="auto"/>
              <w:ind w:firstLine="0" w:firstLineChars="0"/>
              <w:jc w:val="center"/>
              <w:rPr>
                <w:bCs/>
                <w:color w:val="000000"/>
                <w:sz w:val="22"/>
              </w:rPr>
            </w:pPr>
            <w:r>
              <w:rPr>
                <w:bCs/>
                <w:color w:val="000000"/>
                <w:sz w:val="22"/>
              </w:rPr>
              <w:t>2</w:t>
            </w:r>
          </w:p>
        </w:tc>
        <w:tc>
          <w:tcPr>
            <w:tcW w:w="2417" w:type="dxa"/>
            <w:tcBorders>
              <w:top w:val="single" w:color="auto" w:sz="4" w:space="0"/>
              <w:left w:val="single" w:color="auto" w:sz="4" w:space="0"/>
              <w:bottom w:val="single" w:color="auto" w:sz="4" w:space="0"/>
              <w:right w:val="single" w:color="auto" w:sz="4" w:space="0"/>
            </w:tcBorders>
            <w:shd w:val="clear" w:color="auto" w:fill="auto"/>
            <w:vAlign w:val="center"/>
          </w:tcPr>
          <w:p>
            <w:pPr>
              <w:spacing w:line="240" w:lineRule="auto"/>
              <w:ind w:firstLine="0" w:firstLineChars="0"/>
              <w:jc w:val="center"/>
              <w:rPr>
                <w:bCs/>
                <w:color w:val="000000"/>
                <w:sz w:val="22"/>
              </w:rPr>
            </w:pPr>
            <w:r>
              <w:rPr>
                <w:rFonts w:hint="eastAsia" w:cs="宋体"/>
                <w:bCs/>
                <w:color w:val="000000"/>
                <w:sz w:val="22"/>
              </w:rPr>
              <w:t>袋针</w:t>
            </w:r>
          </w:p>
        </w:tc>
        <w:tc>
          <w:tcPr>
            <w:tcW w:w="1822" w:type="dxa"/>
            <w:tcBorders>
              <w:top w:val="single" w:color="auto" w:sz="4" w:space="0"/>
              <w:left w:val="single" w:color="auto" w:sz="4" w:space="0"/>
              <w:bottom w:val="single" w:color="auto" w:sz="4" w:space="0"/>
              <w:right w:val="single" w:color="auto" w:sz="4" w:space="0"/>
            </w:tcBorders>
            <w:shd w:val="clear" w:color="auto" w:fill="auto"/>
            <w:vAlign w:val="center"/>
          </w:tcPr>
          <w:p>
            <w:pPr>
              <w:spacing w:line="240" w:lineRule="auto"/>
              <w:ind w:firstLine="0" w:firstLineChars="0"/>
              <w:jc w:val="center"/>
              <w:rPr>
                <w:bCs/>
                <w:color w:val="000000"/>
                <w:sz w:val="22"/>
              </w:rPr>
            </w:pPr>
            <w:r>
              <w:rPr>
                <w:bCs/>
                <w:color w:val="000000"/>
                <w:sz w:val="22"/>
              </w:rPr>
              <w:t>100</w:t>
            </w:r>
          </w:p>
        </w:tc>
        <w:tc>
          <w:tcPr>
            <w:tcW w:w="1362" w:type="dxa"/>
            <w:tcBorders>
              <w:top w:val="single" w:color="auto" w:sz="4" w:space="0"/>
              <w:left w:val="single" w:color="auto" w:sz="4" w:space="0"/>
              <w:bottom w:val="single" w:color="auto" w:sz="4" w:space="0"/>
              <w:right w:val="single" w:color="auto" w:sz="4" w:space="0"/>
            </w:tcBorders>
            <w:shd w:val="clear" w:color="auto" w:fill="auto"/>
            <w:vAlign w:val="center"/>
          </w:tcPr>
          <w:p>
            <w:pPr>
              <w:spacing w:line="240" w:lineRule="auto"/>
              <w:ind w:firstLine="0" w:firstLineChars="0"/>
              <w:jc w:val="center"/>
              <w:rPr>
                <w:bCs/>
                <w:color w:val="000000"/>
                <w:sz w:val="22"/>
              </w:rPr>
            </w:pPr>
            <w:r>
              <w:rPr>
                <w:rFonts w:hint="eastAsia" w:cs="宋体"/>
                <w:bCs/>
                <w:color w:val="000000"/>
                <w:sz w:val="22"/>
              </w:rPr>
              <w:t>支</w:t>
            </w:r>
          </w:p>
        </w:tc>
        <w:tc>
          <w:tcPr>
            <w:tcW w:w="1857" w:type="dxa"/>
            <w:vMerge w:val="continue"/>
            <w:tcBorders>
              <w:top w:val="single" w:color="auto" w:sz="4" w:space="0"/>
              <w:left w:val="single" w:color="auto" w:sz="4" w:space="0"/>
              <w:bottom w:val="single" w:color="auto" w:sz="4" w:space="0"/>
              <w:right w:val="single" w:color="auto" w:sz="4" w:space="0"/>
            </w:tcBorders>
            <w:shd w:val="clear" w:color="auto" w:fill="auto"/>
            <w:vAlign w:val="center"/>
          </w:tcPr>
          <w:p>
            <w:pPr>
              <w:spacing w:line="240" w:lineRule="auto"/>
              <w:ind w:firstLine="0" w:firstLineChars="0"/>
              <w:rPr>
                <w:rFonts w:ascii="Calibri" w:hAnsi="Calibri"/>
                <w:sz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1064" w:type="dxa"/>
            <w:tcBorders>
              <w:top w:val="single" w:color="auto" w:sz="4" w:space="0"/>
              <w:left w:val="single" w:color="auto" w:sz="4" w:space="0"/>
              <w:bottom w:val="single" w:color="auto" w:sz="4" w:space="0"/>
              <w:right w:val="single" w:color="auto" w:sz="4" w:space="0"/>
            </w:tcBorders>
            <w:shd w:val="clear" w:color="auto" w:fill="auto"/>
            <w:vAlign w:val="center"/>
          </w:tcPr>
          <w:p>
            <w:pPr>
              <w:spacing w:line="240" w:lineRule="auto"/>
              <w:ind w:firstLine="0" w:firstLineChars="0"/>
              <w:jc w:val="center"/>
              <w:rPr>
                <w:bCs/>
                <w:color w:val="000000"/>
                <w:sz w:val="22"/>
              </w:rPr>
            </w:pPr>
            <w:r>
              <w:rPr>
                <w:rFonts w:hint="eastAsia"/>
                <w:bCs/>
                <w:color w:val="000000"/>
                <w:sz w:val="22"/>
              </w:rPr>
              <w:t>3</w:t>
            </w:r>
          </w:p>
        </w:tc>
        <w:tc>
          <w:tcPr>
            <w:tcW w:w="2417" w:type="dxa"/>
            <w:tcBorders>
              <w:top w:val="single" w:color="auto" w:sz="4" w:space="0"/>
              <w:left w:val="single" w:color="auto" w:sz="4" w:space="0"/>
              <w:bottom w:val="single" w:color="auto" w:sz="4" w:space="0"/>
              <w:right w:val="single" w:color="auto" w:sz="4" w:space="0"/>
            </w:tcBorders>
            <w:shd w:val="clear" w:color="auto" w:fill="auto"/>
            <w:vAlign w:val="center"/>
          </w:tcPr>
          <w:p>
            <w:pPr>
              <w:spacing w:line="240" w:lineRule="auto"/>
              <w:ind w:firstLine="0" w:firstLineChars="0"/>
              <w:jc w:val="center"/>
              <w:rPr>
                <w:bCs/>
                <w:color w:val="000000"/>
                <w:sz w:val="22"/>
              </w:rPr>
            </w:pPr>
            <w:r>
              <w:rPr>
                <w:rFonts w:hint="eastAsia" w:cs="宋体"/>
                <w:bCs/>
                <w:color w:val="000000"/>
                <w:sz w:val="22"/>
              </w:rPr>
              <w:t>麻绳</w:t>
            </w:r>
          </w:p>
        </w:tc>
        <w:tc>
          <w:tcPr>
            <w:tcW w:w="1822" w:type="dxa"/>
            <w:tcBorders>
              <w:top w:val="single" w:color="auto" w:sz="4" w:space="0"/>
              <w:left w:val="single" w:color="auto" w:sz="4" w:space="0"/>
              <w:bottom w:val="single" w:color="auto" w:sz="4" w:space="0"/>
              <w:right w:val="single" w:color="auto" w:sz="4" w:space="0"/>
            </w:tcBorders>
            <w:shd w:val="clear" w:color="auto" w:fill="auto"/>
            <w:vAlign w:val="center"/>
          </w:tcPr>
          <w:p>
            <w:pPr>
              <w:spacing w:line="240" w:lineRule="auto"/>
              <w:ind w:firstLine="0" w:firstLineChars="0"/>
              <w:jc w:val="center"/>
              <w:rPr>
                <w:bCs/>
                <w:color w:val="000000"/>
                <w:sz w:val="22"/>
              </w:rPr>
            </w:pPr>
            <w:r>
              <w:rPr>
                <w:bCs/>
                <w:color w:val="000000"/>
                <w:sz w:val="22"/>
              </w:rPr>
              <w:t>150</w:t>
            </w:r>
          </w:p>
        </w:tc>
        <w:tc>
          <w:tcPr>
            <w:tcW w:w="1362" w:type="dxa"/>
            <w:tcBorders>
              <w:top w:val="single" w:color="auto" w:sz="4" w:space="0"/>
              <w:left w:val="single" w:color="auto" w:sz="4" w:space="0"/>
              <w:bottom w:val="single" w:color="auto" w:sz="4" w:space="0"/>
              <w:right w:val="single" w:color="auto" w:sz="4" w:space="0"/>
            </w:tcBorders>
            <w:shd w:val="clear" w:color="auto" w:fill="auto"/>
            <w:vAlign w:val="center"/>
          </w:tcPr>
          <w:p>
            <w:pPr>
              <w:spacing w:line="240" w:lineRule="auto"/>
              <w:ind w:firstLine="0" w:firstLineChars="0"/>
              <w:jc w:val="center"/>
              <w:rPr>
                <w:bCs/>
                <w:color w:val="000000"/>
                <w:sz w:val="22"/>
              </w:rPr>
            </w:pPr>
            <w:r>
              <w:rPr>
                <w:rFonts w:hint="eastAsia" w:cs="宋体"/>
                <w:bCs/>
                <w:color w:val="000000"/>
                <w:sz w:val="22"/>
              </w:rPr>
              <w:t>条</w:t>
            </w:r>
          </w:p>
        </w:tc>
        <w:tc>
          <w:tcPr>
            <w:tcW w:w="1857" w:type="dxa"/>
            <w:vMerge w:val="continue"/>
            <w:tcBorders>
              <w:top w:val="single" w:color="auto" w:sz="4" w:space="0"/>
              <w:left w:val="single" w:color="auto" w:sz="4" w:space="0"/>
              <w:bottom w:val="single" w:color="auto" w:sz="4" w:space="0"/>
              <w:right w:val="single" w:color="auto" w:sz="4" w:space="0"/>
            </w:tcBorders>
            <w:shd w:val="clear" w:color="auto" w:fill="auto"/>
            <w:vAlign w:val="center"/>
          </w:tcPr>
          <w:p>
            <w:pPr>
              <w:spacing w:line="240" w:lineRule="auto"/>
              <w:ind w:firstLine="0" w:firstLineChars="0"/>
              <w:rPr>
                <w:rFonts w:ascii="Calibri" w:hAnsi="Calibri"/>
                <w:sz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1064" w:type="dxa"/>
            <w:tcBorders>
              <w:top w:val="single" w:color="auto" w:sz="4" w:space="0"/>
              <w:left w:val="single" w:color="auto" w:sz="4" w:space="0"/>
              <w:bottom w:val="single" w:color="auto" w:sz="4" w:space="0"/>
              <w:right w:val="single" w:color="auto" w:sz="4" w:space="0"/>
            </w:tcBorders>
            <w:shd w:val="clear" w:color="auto" w:fill="auto"/>
            <w:vAlign w:val="center"/>
          </w:tcPr>
          <w:p>
            <w:pPr>
              <w:spacing w:line="240" w:lineRule="auto"/>
              <w:ind w:firstLine="0" w:firstLineChars="0"/>
              <w:jc w:val="center"/>
              <w:rPr>
                <w:bCs/>
                <w:color w:val="000000"/>
                <w:sz w:val="22"/>
              </w:rPr>
            </w:pPr>
            <w:r>
              <w:rPr>
                <w:rFonts w:hint="eastAsia"/>
                <w:bCs/>
                <w:color w:val="000000"/>
                <w:sz w:val="22"/>
              </w:rPr>
              <w:t>4</w:t>
            </w:r>
          </w:p>
        </w:tc>
        <w:tc>
          <w:tcPr>
            <w:tcW w:w="2417" w:type="dxa"/>
            <w:tcBorders>
              <w:top w:val="single" w:color="auto" w:sz="4" w:space="0"/>
              <w:left w:val="single" w:color="auto" w:sz="4" w:space="0"/>
              <w:bottom w:val="single" w:color="auto" w:sz="4" w:space="0"/>
              <w:right w:val="single" w:color="auto" w:sz="4" w:space="0"/>
            </w:tcBorders>
            <w:shd w:val="clear" w:color="auto" w:fill="auto"/>
            <w:vAlign w:val="center"/>
          </w:tcPr>
          <w:p>
            <w:pPr>
              <w:spacing w:line="240" w:lineRule="auto"/>
              <w:ind w:firstLine="0" w:firstLineChars="0"/>
              <w:jc w:val="center"/>
              <w:rPr>
                <w:bCs/>
                <w:color w:val="000000"/>
                <w:sz w:val="22"/>
              </w:rPr>
            </w:pPr>
            <w:r>
              <w:rPr>
                <w:bCs/>
                <w:color w:val="000000"/>
                <w:sz w:val="22"/>
              </w:rPr>
              <w:t>12#-14#</w:t>
            </w:r>
            <w:r>
              <w:rPr>
                <w:rFonts w:hint="eastAsia" w:cs="宋体"/>
                <w:bCs/>
                <w:color w:val="000000"/>
                <w:sz w:val="22"/>
              </w:rPr>
              <w:t>铁丝</w:t>
            </w:r>
          </w:p>
        </w:tc>
        <w:tc>
          <w:tcPr>
            <w:tcW w:w="1822" w:type="dxa"/>
            <w:tcBorders>
              <w:top w:val="single" w:color="auto" w:sz="4" w:space="0"/>
              <w:left w:val="single" w:color="auto" w:sz="4" w:space="0"/>
              <w:bottom w:val="single" w:color="auto" w:sz="4" w:space="0"/>
              <w:right w:val="single" w:color="auto" w:sz="4" w:space="0"/>
            </w:tcBorders>
            <w:shd w:val="clear" w:color="auto" w:fill="auto"/>
            <w:vAlign w:val="center"/>
          </w:tcPr>
          <w:p>
            <w:pPr>
              <w:spacing w:line="240" w:lineRule="auto"/>
              <w:ind w:firstLine="0" w:firstLineChars="0"/>
              <w:jc w:val="center"/>
              <w:rPr>
                <w:bCs/>
                <w:color w:val="000000"/>
                <w:sz w:val="22"/>
              </w:rPr>
            </w:pPr>
            <w:r>
              <w:rPr>
                <w:rFonts w:hint="eastAsia"/>
                <w:bCs/>
                <w:color w:val="000000"/>
                <w:sz w:val="22"/>
              </w:rPr>
              <w:t>5</w:t>
            </w:r>
            <w:r>
              <w:rPr>
                <w:bCs/>
                <w:color w:val="000000"/>
                <w:sz w:val="22"/>
              </w:rPr>
              <w:t>0</w:t>
            </w:r>
          </w:p>
        </w:tc>
        <w:tc>
          <w:tcPr>
            <w:tcW w:w="1362" w:type="dxa"/>
            <w:tcBorders>
              <w:top w:val="single" w:color="auto" w:sz="4" w:space="0"/>
              <w:left w:val="single" w:color="auto" w:sz="4" w:space="0"/>
              <w:bottom w:val="single" w:color="auto" w:sz="4" w:space="0"/>
              <w:right w:val="single" w:color="auto" w:sz="4" w:space="0"/>
            </w:tcBorders>
            <w:shd w:val="clear" w:color="auto" w:fill="auto"/>
            <w:vAlign w:val="center"/>
          </w:tcPr>
          <w:p>
            <w:pPr>
              <w:spacing w:line="240" w:lineRule="auto"/>
              <w:ind w:firstLine="0" w:firstLineChars="0"/>
              <w:jc w:val="center"/>
              <w:rPr>
                <w:bCs/>
                <w:color w:val="000000"/>
                <w:sz w:val="22"/>
              </w:rPr>
            </w:pPr>
            <w:r>
              <w:rPr>
                <w:bCs/>
                <w:color w:val="000000"/>
                <w:sz w:val="22"/>
              </w:rPr>
              <w:t>kg</w:t>
            </w:r>
          </w:p>
        </w:tc>
        <w:tc>
          <w:tcPr>
            <w:tcW w:w="1857" w:type="dxa"/>
            <w:vMerge w:val="continue"/>
            <w:tcBorders>
              <w:top w:val="single" w:color="auto" w:sz="4" w:space="0"/>
              <w:left w:val="single" w:color="auto" w:sz="4" w:space="0"/>
              <w:bottom w:val="single" w:color="auto" w:sz="4" w:space="0"/>
              <w:right w:val="single" w:color="auto" w:sz="4" w:space="0"/>
            </w:tcBorders>
            <w:shd w:val="clear" w:color="auto" w:fill="auto"/>
            <w:vAlign w:val="center"/>
          </w:tcPr>
          <w:p>
            <w:pPr>
              <w:spacing w:line="240" w:lineRule="auto"/>
              <w:ind w:firstLine="0" w:firstLineChars="0"/>
              <w:rPr>
                <w:rFonts w:ascii="Calibri" w:hAnsi="Calibri"/>
                <w:sz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1064" w:type="dxa"/>
            <w:tcBorders>
              <w:top w:val="single" w:color="auto" w:sz="4" w:space="0"/>
              <w:left w:val="single" w:color="auto" w:sz="4" w:space="0"/>
              <w:bottom w:val="single" w:color="auto" w:sz="4" w:space="0"/>
              <w:right w:val="single" w:color="auto" w:sz="4" w:space="0"/>
            </w:tcBorders>
            <w:shd w:val="clear" w:color="auto" w:fill="auto"/>
            <w:vAlign w:val="center"/>
          </w:tcPr>
          <w:p>
            <w:pPr>
              <w:spacing w:line="240" w:lineRule="auto"/>
              <w:ind w:firstLine="0" w:firstLineChars="0"/>
              <w:jc w:val="center"/>
              <w:rPr>
                <w:bCs/>
                <w:color w:val="000000"/>
                <w:sz w:val="22"/>
              </w:rPr>
            </w:pPr>
            <w:r>
              <w:rPr>
                <w:rFonts w:hint="eastAsia"/>
                <w:bCs/>
                <w:color w:val="000000"/>
                <w:sz w:val="22"/>
              </w:rPr>
              <w:t>5</w:t>
            </w:r>
          </w:p>
        </w:tc>
        <w:tc>
          <w:tcPr>
            <w:tcW w:w="2417" w:type="dxa"/>
            <w:tcBorders>
              <w:top w:val="single" w:color="auto" w:sz="4" w:space="0"/>
              <w:left w:val="single" w:color="auto" w:sz="4" w:space="0"/>
              <w:bottom w:val="single" w:color="auto" w:sz="4" w:space="0"/>
              <w:right w:val="single" w:color="auto" w:sz="4" w:space="0"/>
            </w:tcBorders>
            <w:shd w:val="clear" w:color="auto" w:fill="auto"/>
            <w:vAlign w:val="center"/>
          </w:tcPr>
          <w:p>
            <w:pPr>
              <w:spacing w:line="240" w:lineRule="auto"/>
              <w:ind w:firstLine="0" w:firstLineChars="0"/>
              <w:jc w:val="center"/>
              <w:rPr>
                <w:bCs/>
                <w:color w:val="000000"/>
                <w:sz w:val="22"/>
              </w:rPr>
            </w:pPr>
            <w:r>
              <w:rPr>
                <w:rFonts w:hint="eastAsia" w:cs="宋体"/>
                <w:bCs/>
                <w:color w:val="000000"/>
                <w:sz w:val="22"/>
              </w:rPr>
              <w:t>救生衣</w:t>
            </w:r>
          </w:p>
        </w:tc>
        <w:tc>
          <w:tcPr>
            <w:tcW w:w="1822" w:type="dxa"/>
            <w:tcBorders>
              <w:top w:val="single" w:color="auto" w:sz="4" w:space="0"/>
              <w:left w:val="single" w:color="auto" w:sz="4" w:space="0"/>
              <w:bottom w:val="single" w:color="auto" w:sz="4" w:space="0"/>
              <w:right w:val="single" w:color="auto" w:sz="4" w:space="0"/>
            </w:tcBorders>
            <w:shd w:val="clear" w:color="auto" w:fill="auto"/>
            <w:vAlign w:val="center"/>
          </w:tcPr>
          <w:p>
            <w:pPr>
              <w:spacing w:line="240" w:lineRule="auto"/>
              <w:ind w:firstLine="0" w:firstLineChars="0"/>
              <w:jc w:val="center"/>
              <w:rPr>
                <w:bCs/>
                <w:color w:val="000000"/>
                <w:sz w:val="22"/>
              </w:rPr>
            </w:pPr>
            <w:r>
              <w:rPr>
                <w:bCs/>
                <w:color w:val="000000"/>
                <w:sz w:val="22"/>
              </w:rPr>
              <w:t>30</w:t>
            </w:r>
          </w:p>
        </w:tc>
        <w:tc>
          <w:tcPr>
            <w:tcW w:w="1362" w:type="dxa"/>
            <w:tcBorders>
              <w:top w:val="single" w:color="auto" w:sz="4" w:space="0"/>
              <w:left w:val="single" w:color="auto" w:sz="4" w:space="0"/>
              <w:bottom w:val="single" w:color="auto" w:sz="4" w:space="0"/>
              <w:right w:val="single" w:color="auto" w:sz="4" w:space="0"/>
            </w:tcBorders>
            <w:shd w:val="clear" w:color="auto" w:fill="auto"/>
            <w:vAlign w:val="center"/>
          </w:tcPr>
          <w:p>
            <w:pPr>
              <w:spacing w:line="240" w:lineRule="auto"/>
              <w:ind w:firstLine="0" w:firstLineChars="0"/>
              <w:jc w:val="center"/>
              <w:rPr>
                <w:bCs/>
                <w:color w:val="000000"/>
                <w:sz w:val="22"/>
              </w:rPr>
            </w:pPr>
            <w:r>
              <w:rPr>
                <w:rFonts w:hint="eastAsia" w:cs="宋体"/>
                <w:bCs/>
                <w:color w:val="000000"/>
                <w:sz w:val="22"/>
              </w:rPr>
              <w:t>件</w:t>
            </w:r>
          </w:p>
        </w:tc>
        <w:tc>
          <w:tcPr>
            <w:tcW w:w="1857" w:type="dxa"/>
            <w:vMerge w:val="continue"/>
            <w:tcBorders>
              <w:top w:val="single" w:color="auto" w:sz="4" w:space="0"/>
              <w:left w:val="single" w:color="auto" w:sz="4" w:space="0"/>
              <w:bottom w:val="single" w:color="auto" w:sz="4" w:space="0"/>
              <w:right w:val="single" w:color="auto" w:sz="4" w:space="0"/>
            </w:tcBorders>
            <w:shd w:val="clear" w:color="auto" w:fill="auto"/>
            <w:vAlign w:val="center"/>
          </w:tcPr>
          <w:p>
            <w:pPr>
              <w:spacing w:line="240" w:lineRule="auto"/>
              <w:ind w:firstLine="0" w:firstLineChars="0"/>
              <w:rPr>
                <w:rFonts w:ascii="Calibri" w:hAnsi="Calibri"/>
                <w:sz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1064" w:type="dxa"/>
            <w:tcBorders>
              <w:top w:val="single" w:color="auto" w:sz="4" w:space="0"/>
              <w:left w:val="single" w:color="auto" w:sz="4" w:space="0"/>
              <w:bottom w:val="single" w:color="auto" w:sz="4" w:space="0"/>
              <w:right w:val="single" w:color="auto" w:sz="4" w:space="0"/>
            </w:tcBorders>
            <w:shd w:val="clear" w:color="auto" w:fill="auto"/>
            <w:vAlign w:val="center"/>
          </w:tcPr>
          <w:p>
            <w:pPr>
              <w:spacing w:line="240" w:lineRule="auto"/>
              <w:ind w:firstLine="0" w:firstLineChars="0"/>
              <w:jc w:val="center"/>
              <w:rPr>
                <w:bCs/>
                <w:color w:val="000000"/>
                <w:sz w:val="22"/>
              </w:rPr>
            </w:pPr>
            <w:r>
              <w:rPr>
                <w:rFonts w:hint="eastAsia"/>
                <w:bCs/>
                <w:color w:val="000000"/>
                <w:sz w:val="22"/>
              </w:rPr>
              <w:t>6</w:t>
            </w:r>
          </w:p>
        </w:tc>
        <w:tc>
          <w:tcPr>
            <w:tcW w:w="2417" w:type="dxa"/>
            <w:tcBorders>
              <w:top w:val="single" w:color="auto" w:sz="4" w:space="0"/>
              <w:left w:val="single" w:color="auto" w:sz="4" w:space="0"/>
              <w:bottom w:val="single" w:color="auto" w:sz="4" w:space="0"/>
              <w:right w:val="single" w:color="auto" w:sz="4" w:space="0"/>
            </w:tcBorders>
            <w:shd w:val="clear" w:color="auto" w:fill="auto"/>
            <w:vAlign w:val="center"/>
          </w:tcPr>
          <w:p>
            <w:pPr>
              <w:spacing w:line="240" w:lineRule="auto"/>
              <w:ind w:firstLine="0" w:firstLineChars="0"/>
              <w:jc w:val="center"/>
              <w:rPr>
                <w:bCs/>
                <w:color w:val="000000"/>
                <w:sz w:val="22"/>
              </w:rPr>
            </w:pPr>
            <w:r>
              <w:rPr>
                <w:rFonts w:hint="eastAsia" w:cs="宋体"/>
                <w:bCs/>
                <w:color w:val="000000"/>
                <w:sz w:val="22"/>
              </w:rPr>
              <w:t>救生圈</w:t>
            </w:r>
          </w:p>
        </w:tc>
        <w:tc>
          <w:tcPr>
            <w:tcW w:w="1822" w:type="dxa"/>
            <w:tcBorders>
              <w:top w:val="single" w:color="auto" w:sz="4" w:space="0"/>
              <w:left w:val="single" w:color="auto" w:sz="4" w:space="0"/>
              <w:bottom w:val="single" w:color="auto" w:sz="4" w:space="0"/>
              <w:right w:val="single" w:color="auto" w:sz="4" w:space="0"/>
            </w:tcBorders>
            <w:shd w:val="clear" w:color="auto" w:fill="auto"/>
            <w:vAlign w:val="center"/>
          </w:tcPr>
          <w:p>
            <w:pPr>
              <w:spacing w:line="240" w:lineRule="auto"/>
              <w:ind w:firstLine="0" w:firstLineChars="0"/>
              <w:jc w:val="center"/>
              <w:rPr>
                <w:bCs/>
                <w:color w:val="000000"/>
                <w:sz w:val="22"/>
              </w:rPr>
            </w:pPr>
            <w:r>
              <w:rPr>
                <w:bCs/>
                <w:color w:val="000000"/>
                <w:sz w:val="22"/>
              </w:rPr>
              <w:t>10</w:t>
            </w:r>
          </w:p>
        </w:tc>
        <w:tc>
          <w:tcPr>
            <w:tcW w:w="1362" w:type="dxa"/>
            <w:tcBorders>
              <w:top w:val="single" w:color="auto" w:sz="4" w:space="0"/>
              <w:left w:val="single" w:color="auto" w:sz="4" w:space="0"/>
              <w:bottom w:val="single" w:color="auto" w:sz="4" w:space="0"/>
              <w:right w:val="single" w:color="auto" w:sz="4" w:space="0"/>
            </w:tcBorders>
            <w:shd w:val="clear" w:color="auto" w:fill="auto"/>
            <w:vAlign w:val="center"/>
          </w:tcPr>
          <w:p>
            <w:pPr>
              <w:spacing w:line="240" w:lineRule="auto"/>
              <w:ind w:firstLine="0" w:firstLineChars="0"/>
              <w:jc w:val="center"/>
              <w:rPr>
                <w:bCs/>
                <w:color w:val="000000"/>
                <w:sz w:val="22"/>
              </w:rPr>
            </w:pPr>
            <w:r>
              <w:rPr>
                <w:rFonts w:hint="eastAsia" w:cs="宋体"/>
                <w:bCs/>
                <w:color w:val="000000"/>
                <w:sz w:val="22"/>
              </w:rPr>
              <w:t>个</w:t>
            </w:r>
          </w:p>
        </w:tc>
        <w:tc>
          <w:tcPr>
            <w:tcW w:w="1857" w:type="dxa"/>
            <w:vMerge w:val="continue"/>
            <w:tcBorders>
              <w:top w:val="single" w:color="auto" w:sz="4" w:space="0"/>
              <w:left w:val="single" w:color="auto" w:sz="4" w:space="0"/>
              <w:bottom w:val="single" w:color="auto" w:sz="4" w:space="0"/>
              <w:right w:val="single" w:color="auto" w:sz="4" w:space="0"/>
            </w:tcBorders>
            <w:shd w:val="clear" w:color="auto" w:fill="auto"/>
            <w:vAlign w:val="center"/>
          </w:tcPr>
          <w:p>
            <w:pPr>
              <w:spacing w:line="240" w:lineRule="auto"/>
              <w:ind w:firstLine="0" w:firstLineChars="0"/>
              <w:rPr>
                <w:rFonts w:ascii="Calibri" w:hAnsi="Calibri"/>
                <w:sz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1064" w:type="dxa"/>
            <w:tcBorders>
              <w:top w:val="single" w:color="auto" w:sz="4" w:space="0"/>
              <w:left w:val="single" w:color="auto" w:sz="4" w:space="0"/>
              <w:bottom w:val="single" w:color="auto" w:sz="4" w:space="0"/>
              <w:right w:val="single" w:color="auto" w:sz="4" w:space="0"/>
            </w:tcBorders>
            <w:shd w:val="clear" w:color="auto" w:fill="auto"/>
            <w:vAlign w:val="center"/>
          </w:tcPr>
          <w:p>
            <w:pPr>
              <w:spacing w:line="240" w:lineRule="auto"/>
              <w:ind w:firstLine="0" w:firstLineChars="0"/>
              <w:jc w:val="center"/>
              <w:rPr>
                <w:bCs/>
                <w:color w:val="000000"/>
                <w:sz w:val="22"/>
              </w:rPr>
            </w:pPr>
            <w:r>
              <w:rPr>
                <w:rFonts w:hint="eastAsia"/>
                <w:bCs/>
                <w:color w:val="000000"/>
                <w:sz w:val="22"/>
              </w:rPr>
              <w:t>7</w:t>
            </w:r>
          </w:p>
        </w:tc>
        <w:tc>
          <w:tcPr>
            <w:tcW w:w="2417" w:type="dxa"/>
            <w:tcBorders>
              <w:top w:val="single" w:color="auto" w:sz="4" w:space="0"/>
              <w:left w:val="single" w:color="auto" w:sz="4" w:space="0"/>
              <w:bottom w:val="single" w:color="auto" w:sz="4" w:space="0"/>
              <w:right w:val="single" w:color="auto" w:sz="4" w:space="0"/>
            </w:tcBorders>
            <w:shd w:val="clear" w:color="auto" w:fill="auto"/>
            <w:vAlign w:val="center"/>
          </w:tcPr>
          <w:p>
            <w:pPr>
              <w:spacing w:line="240" w:lineRule="auto"/>
              <w:ind w:firstLine="0" w:firstLineChars="0"/>
              <w:jc w:val="center"/>
              <w:rPr>
                <w:bCs/>
                <w:color w:val="000000"/>
                <w:sz w:val="22"/>
              </w:rPr>
            </w:pPr>
            <w:r>
              <w:rPr>
                <w:rFonts w:hint="eastAsia" w:cs="宋体"/>
                <w:bCs/>
                <w:color w:val="000000"/>
                <w:sz w:val="22"/>
              </w:rPr>
              <w:t>手摇报警器</w:t>
            </w:r>
          </w:p>
        </w:tc>
        <w:tc>
          <w:tcPr>
            <w:tcW w:w="1822" w:type="dxa"/>
            <w:tcBorders>
              <w:top w:val="single" w:color="auto" w:sz="4" w:space="0"/>
              <w:left w:val="single" w:color="auto" w:sz="4" w:space="0"/>
              <w:bottom w:val="single" w:color="auto" w:sz="4" w:space="0"/>
              <w:right w:val="single" w:color="auto" w:sz="4" w:space="0"/>
            </w:tcBorders>
            <w:shd w:val="clear" w:color="auto" w:fill="auto"/>
            <w:vAlign w:val="center"/>
          </w:tcPr>
          <w:p>
            <w:pPr>
              <w:spacing w:line="240" w:lineRule="auto"/>
              <w:ind w:firstLine="0" w:firstLineChars="0"/>
              <w:jc w:val="center"/>
              <w:rPr>
                <w:bCs/>
                <w:color w:val="000000"/>
                <w:sz w:val="22"/>
              </w:rPr>
            </w:pPr>
            <w:r>
              <w:rPr>
                <w:bCs/>
                <w:color w:val="000000"/>
                <w:sz w:val="22"/>
              </w:rPr>
              <w:t>1</w:t>
            </w:r>
          </w:p>
        </w:tc>
        <w:tc>
          <w:tcPr>
            <w:tcW w:w="1362" w:type="dxa"/>
            <w:tcBorders>
              <w:top w:val="single" w:color="auto" w:sz="4" w:space="0"/>
              <w:left w:val="single" w:color="auto" w:sz="4" w:space="0"/>
              <w:bottom w:val="single" w:color="auto" w:sz="4" w:space="0"/>
              <w:right w:val="single" w:color="auto" w:sz="4" w:space="0"/>
            </w:tcBorders>
            <w:shd w:val="clear" w:color="auto" w:fill="auto"/>
            <w:vAlign w:val="center"/>
          </w:tcPr>
          <w:p>
            <w:pPr>
              <w:spacing w:line="240" w:lineRule="auto"/>
              <w:ind w:firstLine="0" w:firstLineChars="0"/>
              <w:jc w:val="center"/>
              <w:rPr>
                <w:bCs/>
                <w:color w:val="000000"/>
                <w:sz w:val="22"/>
              </w:rPr>
            </w:pPr>
            <w:r>
              <w:rPr>
                <w:rFonts w:hint="eastAsia" w:cs="宋体"/>
                <w:bCs/>
                <w:color w:val="000000"/>
                <w:sz w:val="22"/>
              </w:rPr>
              <w:t>台</w:t>
            </w:r>
          </w:p>
        </w:tc>
        <w:tc>
          <w:tcPr>
            <w:tcW w:w="1857" w:type="dxa"/>
            <w:vMerge w:val="continue"/>
            <w:tcBorders>
              <w:top w:val="single" w:color="auto" w:sz="4" w:space="0"/>
              <w:left w:val="single" w:color="auto" w:sz="4" w:space="0"/>
              <w:bottom w:val="single" w:color="auto" w:sz="4" w:space="0"/>
              <w:right w:val="single" w:color="auto" w:sz="4" w:space="0"/>
            </w:tcBorders>
            <w:shd w:val="clear" w:color="auto" w:fill="auto"/>
            <w:vAlign w:val="center"/>
          </w:tcPr>
          <w:p>
            <w:pPr>
              <w:spacing w:line="240" w:lineRule="auto"/>
              <w:ind w:firstLine="0" w:firstLineChars="0"/>
              <w:rPr>
                <w:rFonts w:ascii="Calibri" w:hAnsi="Calibri"/>
                <w:sz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1064" w:type="dxa"/>
            <w:tcBorders>
              <w:top w:val="single" w:color="auto" w:sz="4" w:space="0"/>
              <w:left w:val="single" w:color="auto" w:sz="4" w:space="0"/>
              <w:bottom w:val="single" w:color="auto" w:sz="4" w:space="0"/>
              <w:right w:val="single" w:color="auto" w:sz="4" w:space="0"/>
            </w:tcBorders>
            <w:shd w:val="clear" w:color="auto" w:fill="auto"/>
            <w:vAlign w:val="center"/>
          </w:tcPr>
          <w:p>
            <w:pPr>
              <w:spacing w:line="240" w:lineRule="auto"/>
              <w:ind w:firstLine="0" w:firstLineChars="0"/>
              <w:jc w:val="center"/>
              <w:rPr>
                <w:bCs/>
                <w:color w:val="000000"/>
                <w:sz w:val="22"/>
              </w:rPr>
            </w:pPr>
            <w:r>
              <w:rPr>
                <w:rFonts w:hint="eastAsia"/>
                <w:bCs/>
                <w:color w:val="000000"/>
                <w:sz w:val="22"/>
              </w:rPr>
              <w:t>8</w:t>
            </w:r>
          </w:p>
        </w:tc>
        <w:tc>
          <w:tcPr>
            <w:tcW w:w="2417" w:type="dxa"/>
            <w:tcBorders>
              <w:top w:val="single" w:color="auto" w:sz="4" w:space="0"/>
              <w:left w:val="single" w:color="auto" w:sz="4" w:space="0"/>
              <w:bottom w:val="single" w:color="auto" w:sz="4" w:space="0"/>
              <w:right w:val="single" w:color="auto" w:sz="4" w:space="0"/>
            </w:tcBorders>
            <w:shd w:val="clear" w:color="auto" w:fill="auto"/>
            <w:vAlign w:val="center"/>
          </w:tcPr>
          <w:p>
            <w:pPr>
              <w:spacing w:line="240" w:lineRule="auto"/>
              <w:ind w:firstLine="0" w:firstLineChars="0"/>
              <w:jc w:val="center"/>
              <w:rPr>
                <w:bCs/>
                <w:color w:val="000000"/>
                <w:sz w:val="22"/>
              </w:rPr>
            </w:pPr>
            <w:r>
              <w:rPr>
                <w:rFonts w:hint="eastAsia" w:cs="宋体"/>
                <w:bCs/>
                <w:color w:val="000000"/>
                <w:sz w:val="22"/>
              </w:rPr>
              <w:t>手提喇叭</w:t>
            </w:r>
          </w:p>
        </w:tc>
        <w:tc>
          <w:tcPr>
            <w:tcW w:w="1822" w:type="dxa"/>
            <w:tcBorders>
              <w:top w:val="single" w:color="auto" w:sz="4" w:space="0"/>
              <w:left w:val="single" w:color="auto" w:sz="4" w:space="0"/>
              <w:bottom w:val="single" w:color="auto" w:sz="4" w:space="0"/>
              <w:right w:val="single" w:color="auto" w:sz="4" w:space="0"/>
            </w:tcBorders>
            <w:shd w:val="clear" w:color="auto" w:fill="auto"/>
            <w:vAlign w:val="center"/>
          </w:tcPr>
          <w:p>
            <w:pPr>
              <w:spacing w:line="240" w:lineRule="auto"/>
              <w:ind w:firstLine="0" w:firstLineChars="0"/>
              <w:jc w:val="center"/>
              <w:rPr>
                <w:bCs/>
                <w:color w:val="000000"/>
                <w:sz w:val="22"/>
              </w:rPr>
            </w:pPr>
            <w:r>
              <w:rPr>
                <w:bCs/>
                <w:color w:val="000000"/>
                <w:sz w:val="22"/>
              </w:rPr>
              <w:t>7</w:t>
            </w:r>
          </w:p>
        </w:tc>
        <w:tc>
          <w:tcPr>
            <w:tcW w:w="1362" w:type="dxa"/>
            <w:tcBorders>
              <w:top w:val="single" w:color="auto" w:sz="4" w:space="0"/>
              <w:left w:val="single" w:color="auto" w:sz="4" w:space="0"/>
              <w:bottom w:val="single" w:color="auto" w:sz="4" w:space="0"/>
              <w:right w:val="single" w:color="auto" w:sz="4" w:space="0"/>
            </w:tcBorders>
            <w:shd w:val="clear" w:color="auto" w:fill="auto"/>
            <w:vAlign w:val="center"/>
          </w:tcPr>
          <w:p>
            <w:pPr>
              <w:spacing w:line="240" w:lineRule="auto"/>
              <w:ind w:firstLine="0" w:firstLineChars="0"/>
              <w:jc w:val="center"/>
              <w:rPr>
                <w:bCs/>
                <w:color w:val="000000"/>
                <w:sz w:val="22"/>
              </w:rPr>
            </w:pPr>
            <w:r>
              <w:rPr>
                <w:rFonts w:hint="eastAsia" w:cs="宋体"/>
                <w:bCs/>
                <w:color w:val="000000"/>
                <w:sz w:val="22"/>
              </w:rPr>
              <w:t>个</w:t>
            </w:r>
          </w:p>
        </w:tc>
        <w:tc>
          <w:tcPr>
            <w:tcW w:w="1857" w:type="dxa"/>
            <w:vMerge w:val="continue"/>
            <w:tcBorders>
              <w:top w:val="single" w:color="auto" w:sz="4" w:space="0"/>
              <w:left w:val="single" w:color="auto" w:sz="4" w:space="0"/>
              <w:bottom w:val="single" w:color="auto" w:sz="4" w:space="0"/>
              <w:right w:val="single" w:color="auto" w:sz="4" w:space="0"/>
            </w:tcBorders>
            <w:shd w:val="clear" w:color="auto" w:fill="auto"/>
            <w:vAlign w:val="center"/>
          </w:tcPr>
          <w:p>
            <w:pPr>
              <w:spacing w:line="240" w:lineRule="auto"/>
              <w:ind w:firstLine="0" w:firstLineChars="0"/>
              <w:rPr>
                <w:rFonts w:ascii="Calibri" w:hAnsi="Calibri"/>
                <w:sz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1064" w:type="dxa"/>
            <w:tcBorders>
              <w:top w:val="single" w:color="auto" w:sz="4" w:space="0"/>
              <w:left w:val="single" w:color="auto" w:sz="4" w:space="0"/>
              <w:bottom w:val="single" w:color="auto" w:sz="4" w:space="0"/>
              <w:right w:val="single" w:color="auto" w:sz="4" w:space="0"/>
            </w:tcBorders>
            <w:shd w:val="clear" w:color="auto" w:fill="auto"/>
            <w:vAlign w:val="center"/>
          </w:tcPr>
          <w:p>
            <w:pPr>
              <w:spacing w:line="240" w:lineRule="auto"/>
              <w:ind w:firstLine="0" w:firstLineChars="0"/>
              <w:jc w:val="center"/>
              <w:rPr>
                <w:bCs/>
                <w:color w:val="000000"/>
                <w:sz w:val="22"/>
              </w:rPr>
            </w:pPr>
            <w:r>
              <w:rPr>
                <w:rFonts w:hint="eastAsia"/>
                <w:bCs/>
                <w:color w:val="000000"/>
                <w:sz w:val="22"/>
              </w:rPr>
              <w:t>9</w:t>
            </w:r>
          </w:p>
        </w:tc>
        <w:tc>
          <w:tcPr>
            <w:tcW w:w="2417" w:type="dxa"/>
            <w:tcBorders>
              <w:top w:val="single" w:color="auto" w:sz="4" w:space="0"/>
              <w:left w:val="single" w:color="auto" w:sz="4" w:space="0"/>
              <w:bottom w:val="single" w:color="auto" w:sz="4" w:space="0"/>
              <w:right w:val="single" w:color="auto" w:sz="4" w:space="0"/>
            </w:tcBorders>
            <w:shd w:val="clear" w:color="auto" w:fill="auto"/>
            <w:vAlign w:val="center"/>
          </w:tcPr>
          <w:p>
            <w:pPr>
              <w:spacing w:line="240" w:lineRule="auto"/>
              <w:ind w:firstLine="0" w:firstLineChars="0"/>
              <w:jc w:val="center"/>
              <w:rPr>
                <w:bCs/>
                <w:color w:val="000000"/>
                <w:sz w:val="22"/>
              </w:rPr>
            </w:pPr>
            <w:r>
              <w:rPr>
                <w:bCs/>
                <w:color w:val="000000"/>
                <w:sz w:val="22"/>
              </w:rPr>
              <w:t>5kw</w:t>
            </w:r>
            <w:r>
              <w:rPr>
                <w:rFonts w:hint="eastAsia" w:cs="宋体"/>
                <w:bCs/>
                <w:color w:val="000000"/>
                <w:sz w:val="22"/>
              </w:rPr>
              <w:t>发电机组</w:t>
            </w:r>
          </w:p>
        </w:tc>
        <w:tc>
          <w:tcPr>
            <w:tcW w:w="1822" w:type="dxa"/>
            <w:tcBorders>
              <w:top w:val="single" w:color="auto" w:sz="4" w:space="0"/>
              <w:left w:val="single" w:color="auto" w:sz="4" w:space="0"/>
              <w:bottom w:val="single" w:color="auto" w:sz="4" w:space="0"/>
              <w:right w:val="single" w:color="auto" w:sz="4" w:space="0"/>
            </w:tcBorders>
            <w:shd w:val="clear" w:color="auto" w:fill="auto"/>
            <w:vAlign w:val="center"/>
          </w:tcPr>
          <w:p>
            <w:pPr>
              <w:spacing w:line="240" w:lineRule="auto"/>
              <w:ind w:firstLine="0" w:firstLineChars="0"/>
              <w:jc w:val="center"/>
              <w:rPr>
                <w:bCs/>
                <w:color w:val="000000"/>
                <w:sz w:val="22"/>
              </w:rPr>
            </w:pPr>
            <w:r>
              <w:rPr>
                <w:bCs/>
                <w:color w:val="000000"/>
                <w:sz w:val="22"/>
              </w:rPr>
              <w:t>1</w:t>
            </w:r>
          </w:p>
        </w:tc>
        <w:tc>
          <w:tcPr>
            <w:tcW w:w="1362" w:type="dxa"/>
            <w:tcBorders>
              <w:top w:val="single" w:color="auto" w:sz="4" w:space="0"/>
              <w:left w:val="single" w:color="auto" w:sz="4" w:space="0"/>
              <w:bottom w:val="single" w:color="auto" w:sz="4" w:space="0"/>
              <w:right w:val="single" w:color="auto" w:sz="4" w:space="0"/>
            </w:tcBorders>
            <w:shd w:val="clear" w:color="auto" w:fill="auto"/>
            <w:vAlign w:val="center"/>
          </w:tcPr>
          <w:p>
            <w:pPr>
              <w:spacing w:line="240" w:lineRule="auto"/>
              <w:ind w:firstLine="0" w:firstLineChars="0"/>
              <w:jc w:val="center"/>
              <w:rPr>
                <w:bCs/>
                <w:color w:val="000000"/>
                <w:sz w:val="22"/>
              </w:rPr>
            </w:pPr>
            <w:r>
              <w:rPr>
                <w:rFonts w:hint="eastAsia" w:cs="宋体"/>
                <w:bCs/>
                <w:color w:val="000000"/>
                <w:sz w:val="22"/>
              </w:rPr>
              <w:t>台</w:t>
            </w:r>
          </w:p>
        </w:tc>
        <w:tc>
          <w:tcPr>
            <w:tcW w:w="1857" w:type="dxa"/>
            <w:vMerge w:val="continue"/>
            <w:tcBorders>
              <w:top w:val="single" w:color="auto" w:sz="4" w:space="0"/>
              <w:left w:val="single" w:color="auto" w:sz="4" w:space="0"/>
              <w:bottom w:val="single" w:color="auto" w:sz="4" w:space="0"/>
              <w:right w:val="single" w:color="auto" w:sz="4" w:space="0"/>
            </w:tcBorders>
            <w:shd w:val="clear" w:color="auto" w:fill="auto"/>
            <w:vAlign w:val="center"/>
          </w:tcPr>
          <w:p>
            <w:pPr>
              <w:spacing w:line="240" w:lineRule="auto"/>
              <w:ind w:firstLine="0" w:firstLineChars="0"/>
              <w:rPr>
                <w:rFonts w:ascii="Calibri" w:hAnsi="Calibri"/>
                <w:sz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1064" w:type="dxa"/>
            <w:tcBorders>
              <w:top w:val="single" w:color="auto" w:sz="4" w:space="0"/>
              <w:left w:val="single" w:color="auto" w:sz="4" w:space="0"/>
              <w:bottom w:val="single" w:color="auto" w:sz="4" w:space="0"/>
              <w:right w:val="single" w:color="auto" w:sz="4" w:space="0"/>
            </w:tcBorders>
            <w:shd w:val="clear" w:color="auto" w:fill="auto"/>
            <w:vAlign w:val="center"/>
          </w:tcPr>
          <w:p>
            <w:pPr>
              <w:spacing w:line="240" w:lineRule="auto"/>
              <w:ind w:firstLine="0" w:firstLineChars="0"/>
              <w:jc w:val="center"/>
              <w:rPr>
                <w:bCs/>
                <w:color w:val="000000"/>
                <w:sz w:val="22"/>
              </w:rPr>
            </w:pPr>
            <w:r>
              <w:rPr>
                <w:rFonts w:hint="eastAsia"/>
                <w:bCs/>
                <w:color w:val="000000"/>
                <w:sz w:val="22"/>
              </w:rPr>
              <w:t>10</w:t>
            </w:r>
          </w:p>
        </w:tc>
        <w:tc>
          <w:tcPr>
            <w:tcW w:w="2417" w:type="dxa"/>
            <w:tcBorders>
              <w:top w:val="single" w:color="auto" w:sz="4" w:space="0"/>
              <w:left w:val="single" w:color="auto" w:sz="4" w:space="0"/>
              <w:bottom w:val="single" w:color="auto" w:sz="4" w:space="0"/>
              <w:right w:val="single" w:color="auto" w:sz="4" w:space="0"/>
            </w:tcBorders>
            <w:shd w:val="clear" w:color="auto" w:fill="auto"/>
            <w:vAlign w:val="center"/>
          </w:tcPr>
          <w:p>
            <w:pPr>
              <w:spacing w:line="240" w:lineRule="auto"/>
              <w:ind w:firstLine="0" w:firstLineChars="0"/>
              <w:jc w:val="center"/>
              <w:rPr>
                <w:bCs/>
                <w:color w:val="000000"/>
                <w:sz w:val="22"/>
              </w:rPr>
            </w:pPr>
            <w:r>
              <w:rPr>
                <w:rFonts w:hint="eastAsia" w:cs="宋体"/>
                <w:bCs/>
                <w:color w:val="000000"/>
                <w:sz w:val="22"/>
              </w:rPr>
              <w:t>抽水泵</w:t>
            </w:r>
            <w:r>
              <w:rPr>
                <w:bCs/>
                <w:color w:val="000000"/>
                <w:sz w:val="22"/>
              </w:rPr>
              <w:t>1.1kw</w:t>
            </w:r>
          </w:p>
        </w:tc>
        <w:tc>
          <w:tcPr>
            <w:tcW w:w="1822" w:type="dxa"/>
            <w:tcBorders>
              <w:top w:val="single" w:color="auto" w:sz="4" w:space="0"/>
              <w:left w:val="single" w:color="auto" w:sz="4" w:space="0"/>
              <w:bottom w:val="single" w:color="auto" w:sz="4" w:space="0"/>
              <w:right w:val="single" w:color="auto" w:sz="4" w:space="0"/>
            </w:tcBorders>
            <w:shd w:val="clear" w:color="auto" w:fill="auto"/>
            <w:vAlign w:val="center"/>
          </w:tcPr>
          <w:p>
            <w:pPr>
              <w:spacing w:line="240" w:lineRule="auto"/>
              <w:ind w:firstLine="0" w:firstLineChars="0"/>
              <w:jc w:val="center"/>
              <w:rPr>
                <w:bCs/>
                <w:color w:val="000000"/>
                <w:sz w:val="22"/>
              </w:rPr>
            </w:pPr>
            <w:r>
              <w:rPr>
                <w:rFonts w:hint="eastAsia"/>
                <w:bCs/>
                <w:color w:val="000000"/>
                <w:sz w:val="22"/>
              </w:rPr>
              <w:t>2</w:t>
            </w:r>
          </w:p>
        </w:tc>
        <w:tc>
          <w:tcPr>
            <w:tcW w:w="1362" w:type="dxa"/>
            <w:tcBorders>
              <w:top w:val="single" w:color="auto" w:sz="4" w:space="0"/>
              <w:left w:val="single" w:color="auto" w:sz="4" w:space="0"/>
              <w:bottom w:val="single" w:color="auto" w:sz="4" w:space="0"/>
              <w:right w:val="single" w:color="auto" w:sz="4" w:space="0"/>
            </w:tcBorders>
            <w:shd w:val="clear" w:color="auto" w:fill="auto"/>
            <w:vAlign w:val="center"/>
          </w:tcPr>
          <w:p>
            <w:pPr>
              <w:spacing w:line="240" w:lineRule="auto"/>
              <w:ind w:firstLine="0" w:firstLineChars="0"/>
              <w:jc w:val="center"/>
              <w:rPr>
                <w:bCs/>
                <w:color w:val="000000"/>
                <w:sz w:val="22"/>
                <w:szCs w:val="20"/>
              </w:rPr>
            </w:pPr>
            <w:r>
              <w:rPr>
                <w:rFonts w:hint="eastAsia" w:cs="宋体"/>
                <w:bCs/>
                <w:color w:val="000000"/>
                <w:sz w:val="22"/>
                <w:szCs w:val="20"/>
              </w:rPr>
              <w:t>台</w:t>
            </w:r>
          </w:p>
        </w:tc>
        <w:tc>
          <w:tcPr>
            <w:tcW w:w="1857" w:type="dxa"/>
            <w:vMerge w:val="continue"/>
            <w:tcBorders>
              <w:top w:val="single" w:color="auto" w:sz="4" w:space="0"/>
              <w:left w:val="single" w:color="auto" w:sz="4" w:space="0"/>
              <w:bottom w:val="single" w:color="auto" w:sz="4" w:space="0"/>
              <w:right w:val="single" w:color="auto" w:sz="4" w:space="0"/>
            </w:tcBorders>
            <w:shd w:val="clear" w:color="auto" w:fill="auto"/>
            <w:vAlign w:val="center"/>
          </w:tcPr>
          <w:p>
            <w:pPr>
              <w:spacing w:line="240" w:lineRule="auto"/>
              <w:ind w:firstLine="0" w:firstLineChars="0"/>
              <w:rPr>
                <w:rFonts w:ascii="Calibri" w:hAnsi="Calibri"/>
                <w:sz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1064" w:type="dxa"/>
            <w:tcBorders>
              <w:top w:val="single" w:color="auto" w:sz="4" w:space="0"/>
              <w:left w:val="single" w:color="auto" w:sz="4" w:space="0"/>
              <w:bottom w:val="single" w:color="auto" w:sz="4" w:space="0"/>
              <w:right w:val="single" w:color="auto" w:sz="4" w:space="0"/>
            </w:tcBorders>
            <w:shd w:val="clear" w:color="auto" w:fill="auto"/>
            <w:vAlign w:val="center"/>
          </w:tcPr>
          <w:p>
            <w:pPr>
              <w:spacing w:line="240" w:lineRule="auto"/>
              <w:ind w:firstLine="0" w:firstLineChars="0"/>
              <w:jc w:val="center"/>
              <w:rPr>
                <w:bCs/>
                <w:color w:val="000000"/>
                <w:sz w:val="22"/>
              </w:rPr>
            </w:pPr>
            <w:r>
              <w:rPr>
                <w:rFonts w:hint="eastAsia"/>
                <w:bCs/>
                <w:color w:val="000000"/>
                <w:sz w:val="22"/>
              </w:rPr>
              <w:t>11</w:t>
            </w:r>
          </w:p>
        </w:tc>
        <w:tc>
          <w:tcPr>
            <w:tcW w:w="2417" w:type="dxa"/>
            <w:tcBorders>
              <w:top w:val="single" w:color="auto" w:sz="4" w:space="0"/>
              <w:left w:val="single" w:color="auto" w:sz="4" w:space="0"/>
              <w:bottom w:val="single" w:color="auto" w:sz="4" w:space="0"/>
              <w:right w:val="single" w:color="auto" w:sz="4" w:space="0"/>
            </w:tcBorders>
            <w:shd w:val="clear" w:color="auto" w:fill="auto"/>
            <w:vAlign w:val="center"/>
          </w:tcPr>
          <w:p>
            <w:pPr>
              <w:spacing w:line="240" w:lineRule="auto"/>
              <w:ind w:firstLine="0" w:firstLineChars="0"/>
              <w:jc w:val="center"/>
              <w:rPr>
                <w:bCs/>
                <w:color w:val="000000"/>
                <w:sz w:val="22"/>
              </w:rPr>
            </w:pPr>
            <w:r>
              <w:rPr>
                <w:bCs/>
                <w:color w:val="000000"/>
                <w:sz w:val="22"/>
              </w:rPr>
              <w:t>500-1000w</w:t>
            </w:r>
            <w:r>
              <w:rPr>
                <w:rFonts w:hint="eastAsia" w:cs="宋体"/>
                <w:bCs/>
                <w:color w:val="000000"/>
                <w:sz w:val="22"/>
              </w:rPr>
              <w:t>灯具</w:t>
            </w:r>
          </w:p>
        </w:tc>
        <w:tc>
          <w:tcPr>
            <w:tcW w:w="1822" w:type="dxa"/>
            <w:tcBorders>
              <w:top w:val="single" w:color="auto" w:sz="4" w:space="0"/>
              <w:left w:val="single" w:color="auto" w:sz="4" w:space="0"/>
              <w:bottom w:val="single" w:color="auto" w:sz="4" w:space="0"/>
              <w:right w:val="single" w:color="auto" w:sz="4" w:space="0"/>
            </w:tcBorders>
            <w:shd w:val="clear" w:color="auto" w:fill="auto"/>
            <w:vAlign w:val="center"/>
          </w:tcPr>
          <w:p>
            <w:pPr>
              <w:spacing w:line="240" w:lineRule="auto"/>
              <w:ind w:firstLine="0" w:firstLineChars="0"/>
              <w:jc w:val="center"/>
              <w:rPr>
                <w:bCs/>
                <w:color w:val="000000"/>
                <w:sz w:val="22"/>
              </w:rPr>
            </w:pPr>
            <w:r>
              <w:rPr>
                <w:bCs/>
                <w:color w:val="000000"/>
                <w:sz w:val="22"/>
              </w:rPr>
              <w:t>5</w:t>
            </w:r>
          </w:p>
        </w:tc>
        <w:tc>
          <w:tcPr>
            <w:tcW w:w="1362" w:type="dxa"/>
            <w:tcBorders>
              <w:top w:val="single" w:color="auto" w:sz="4" w:space="0"/>
              <w:left w:val="single" w:color="auto" w:sz="4" w:space="0"/>
              <w:bottom w:val="single" w:color="auto" w:sz="4" w:space="0"/>
              <w:right w:val="single" w:color="auto" w:sz="4" w:space="0"/>
            </w:tcBorders>
            <w:shd w:val="clear" w:color="auto" w:fill="auto"/>
            <w:vAlign w:val="center"/>
          </w:tcPr>
          <w:p>
            <w:pPr>
              <w:spacing w:line="240" w:lineRule="auto"/>
              <w:ind w:firstLine="0" w:firstLineChars="0"/>
              <w:jc w:val="center"/>
              <w:rPr>
                <w:bCs/>
                <w:color w:val="000000"/>
                <w:sz w:val="22"/>
                <w:szCs w:val="20"/>
              </w:rPr>
            </w:pPr>
            <w:r>
              <w:rPr>
                <w:rFonts w:hint="eastAsia" w:cs="宋体"/>
                <w:bCs/>
                <w:color w:val="000000"/>
                <w:sz w:val="22"/>
                <w:szCs w:val="20"/>
              </w:rPr>
              <w:t>盏</w:t>
            </w:r>
          </w:p>
        </w:tc>
        <w:tc>
          <w:tcPr>
            <w:tcW w:w="1857" w:type="dxa"/>
            <w:vMerge w:val="continue"/>
            <w:tcBorders>
              <w:top w:val="single" w:color="auto" w:sz="4" w:space="0"/>
              <w:left w:val="single" w:color="auto" w:sz="4" w:space="0"/>
              <w:bottom w:val="single" w:color="auto" w:sz="4" w:space="0"/>
              <w:right w:val="single" w:color="auto" w:sz="4" w:space="0"/>
            </w:tcBorders>
            <w:shd w:val="clear" w:color="auto" w:fill="auto"/>
            <w:vAlign w:val="center"/>
          </w:tcPr>
          <w:p>
            <w:pPr>
              <w:spacing w:line="240" w:lineRule="auto"/>
              <w:ind w:firstLine="0" w:firstLineChars="0"/>
              <w:rPr>
                <w:rFonts w:ascii="Calibri" w:hAnsi="Calibri"/>
                <w:sz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1064" w:type="dxa"/>
            <w:tcBorders>
              <w:top w:val="single" w:color="auto" w:sz="4" w:space="0"/>
              <w:left w:val="single" w:color="auto" w:sz="4" w:space="0"/>
              <w:bottom w:val="single" w:color="auto" w:sz="4" w:space="0"/>
              <w:right w:val="single" w:color="auto" w:sz="4" w:space="0"/>
            </w:tcBorders>
            <w:shd w:val="clear" w:color="auto" w:fill="auto"/>
            <w:vAlign w:val="center"/>
          </w:tcPr>
          <w:p>
            <w:pPr>
              <w:spacing w:line="240" w:lineRule="auto"/>
              <w:ind w:firstLine="0" w:firstLineChars="0"/>
              <w:jc w:val="center"/>
              <w:rPr>
                <w:bCs/>
                <w:color w:val="000000"/>
                <w:sz w:val="22"/>
              </w:rPr>
            </w:pPr>
            <w:r>
              <w:rPr>
                <w:rFonts w:hint="eastAsia"/>
                <w:bCs/>
                <w:color w:val="000000"/>
                <w:sz w:val="22"/>
              </w:rPr>
              <w:t>12</w:t>
            </w:r>
          </w:p>
        </w:tc>
        <w:tc>
          <w:tcPr>
            <w:tcW w:w="2417" w:type="dxa"/>
            <w:tcBorders>
              <w:top w:val="single" w:color="auto" w:sz="4" w:space="0"/>
              <w:left w:val="single" w:color="auto" w:sz="4" w:space="0"/>
              <w:bottom w:val="single" w:color="auto" w:sz="4" w:space="0"/>
              <w:right w:val="single" w:color="auto" w:sz="4" w:space="0"/>
            </w:tcBorders>
            <w:shd w:val="clear" w:color="auto" w:fill="auto"/>
            <w:vAlign w:val="center"/>
          </w:tcPr>
          <w:p>
            <w:pPr>
              <w:spacing w:line="240" w:lineRule="auto"/>
              <w:ind w:firstLine="0" w:firstLineChars="0"/>
              <w:jc w:val="center"/>
              <w:rPr>
                <w:bCs/>
                <w:color w:val="000000"/>
                <w:sz w:val="22"/>
              </w:rPr>
            </w:pPr>
            <w:r>
              <w:rPr>
                <w:rFonts w:hint="eastAsia" w:cs="宋体"/>
                <w:bCs/>
                <w:color w:val="000000"/>
                <w:sz w:val="22"/>
              </w:rPr>
              <w:t>电缆线</w:t>
            </w:r>
          </w:p>
        </w:tc>
        <w:tc>
          <w:tcPr>
            <w:tcW w:w="1822" w:type="dxa"/>
            <w:tcBorders>
              <w:top w:val="single" w:color="auto" w:sz="4" w:space="0"/>
              <w:left w:val="single" w:color="auto" w:sz="4" w:space="0"/>
              <w:bottom w:val="single" w:color="auto" w:sz="4" w:space="0"/>
              <w:right w:val="single" w:color="auto" w:sz="4" w:space="0"/>
            </w:tcBorders>
            <w:shd w:val="clear" w:color="auto" w:fill="auto"/>
            <w:vAlign w:val="center"/>
          </w:tcPr>
          <w:p>
            <w:pPr>
              <w:spacing w:line="240" w:lineRule="auto"/>
              <w:ind w:firstLine="0" w:firstLineChars="0"/>
              <w:jc w:val="center"/>
              <w:rPr>
                <w:bCs/>
                <w:color w:val="000000"/>
                <w:sz w:val="22"/>
              </w:rPr>
            </w:pPr>
            <w:r>
              <w:rPr>
                <w:bCs/>
                <w:color w:val="000000"/>
                <w:sz w:val="22"/>
              </w:rPr>
              <w:t>300</w:t>
            </w:r>
          </w:p>
        </w:tc>
        <w:tc>
          <w:tcPr>
            <w:tcW w:w="1362" w:type="dxa"/>
            <w:tcBorders>
              <w:top w:val="single" w:color="auto" w:sz="4" w:space="0"/>
              <w:left w:val="single" w:color="auto" w:sz="4" w:space="0"/>
              <w:bottom w:val="single" w:color="auto" w:sz="4" w:space="0"/>
              <w:right w:val="single" w:color="auto" w:sz="4" w:space="0"/>
            </w:tcBorders>
            <w:shd w:val="clear" w:color="auto" w:fill="auto"/>
            <w:vAlign w:val="center"/>
          </w:tcPr>
          <w:p>
            <w:pPr>
              <w:spacing w:line="240" w:lineRule="auto"/>
              <w:ind w:firstLine="0" w:firstLineChars="0"/>
              <w:jc w:val="center"/>
              <w:rPr>
                <w:bCs/>
                <w:color w:val="000000"/>
                <w:sz w:val="22"/>
                <w:szCs w:val="20"/>
              </w:rPr>
            </w:pPr>
            <w:r>
              <w:rPr>
                <w:bCs/>
                <w:color w:val="000000"/>
                <w:sz w:val="22"/>
                <w:szCs w:val="20"/>
              </w:rPr>
              <w:t>m</w:t>
            </w:r>
          </w:p>
        </w:tc>
        <w:tc>
          <w:tcPr>
            <w:tcW w:w="1857" w:type="dxa"/>
            <w:vMerge w:val="continue"/>
            <w:tcBorders>
              <w:top w:val="single" w:color="auto" w:sz="4" w:space="0"/>
              <w:left w:val="single" w:color="auto" w:sz="4" w:space="0"/>
              <w:bottom w:val="single" w:color="auto" w:sz="4" w:space="0"/>
              <w:right w:val="single" w:color="auto" w:sz="4" w:space="0"/>
            </w:tcBorders>
            <w:shd w:val="clear" w:color="auto" w:fill="auto"/>
            <w:vAlign w:val="center"/>
          </w:tcPr>
          <w:p>
            <w:pPr>
              <w:spacing w:line="240" w:lineRule="auto"/>
              <w:ind w:firstLine="0" w:firstLineChars="0"/>
              <w:rPr>
                <w:rFonts w:ascii="Calibri" w:hAnsi="Calibri"/>
                <w:sz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1064" w:type="dxa"/>
            <w:tcBorders>
              <w:top w:val="single" w:color="auto" w:sz="4" w:space="0"/>
              <w:left w:val="single" w:color="auto" w:sz="4" w:space="0"/>
              <w:bottom w:val="single" w:color="auto" w:sz="4" w:space="0"/>
              <w:right w:val="single" w:color="auto" w:sz="4" w:space="0"/>
            </w:tcBorders>
            <w:shd w:val="clear" w:color="auto" w:fill="auto"/>
            <w:vAlign w:val="center"/>
          </w:tcPr>
          <w:p>
            <w:pPr>
              <w:spacing w:line="240" w:lineRule="auto"/>
              <w:ind w:firstLine="0" w:firstLineChars="0"/>
              <w:jc w:val="center"/>
              <w:rPr>
                <w:bCs/>
                <w:color w:val="000000"/>
                <w:sz w:val="22"/>
              </w:rPr>
            </w:pPr>
            <w:r>
              <w:rPr>
                <w:rFonts w:hint="eastAsia"/>
                <w:bCs/>
                <w:color w:val="000000"/>
                <w:sz w:val="22"/>
              </w:rPr>
              <w:t>13</w:t>
            </w:r>
          </w:p>
        </w:tc>
        <w:tc>
          <w:tcPr>
            <w:tcW w:w="2417" w:type="dxa"/>
            <w:tcBorders>
              <w:top w:val="single" w:color="auto" w:sz="4" w:space="0"/>
              <w:left w:val="single" w:color="auto" w:sz="4" w:space="0"/>
              <w:bottom w:val="single" w:color="auto" w:sz="4" w:space="0"/>
              <w:right w:val="single" w:color="auto" w:sz="4" w:space="0"/>
            </w:tcBorders>
            <w:shd w:val="clear" w:color="auto" w:fill="auto"/>
            <w:vAlign w:val="center"/>
          </w:tcPr>
          <w:p>
            <w:pPr>
              <w:spacing w:line="240" w:lineRule="auto"/>
              <w:ind w:firstLine="0" w:firstLineChars="0"/>
              <w:jc w:val="center"/>
              <w:rPr>
                <w:bCs/>
                <w:color w:val="000000"/>
                <w:sz w:val="22"/>
              </w:rPr>
            </w:pPr>
            <w:r>
              <w:rPr>
                <w:rFonts w:hint="eastAsia" w:cs="宋体"/>
                <w:bCs/>
                <w:color w:val="000000"/>
                <w:sz w:val="22"/>
              </w:rPr>
              <w:t>便携照明灯</w:t>
            </w:r>
          </w:p>
        </w:tc>
        <w:tc>
          <w:tcPr>
            <w:tcW w:w="1822" w:type="dxa"/>
            <w:tcBorders>
              <w:top w:val="single" w:color="auto" w:sz="4" w:space="0"/>
              <w:left w:val="single" w:color="auto" w:sz="4" w:space="0"/>
              <w:bottom w:val="single" w:color="auto" w:sz="4" w:space="0"/>
              <w:right w:val="single" w:color="auto" w:sz="4" w:space="0"/>
            </w:tcBorders>
            <w:shd w:val="clear" w:color="auto" w:fill="auto"/>
            <w:vAlign w:val="center"/>
          </w:tcPr>
          <w:p>
            <w:pPr>
              <w:spacing w:line="240" w:lineRule="auto"/>
              <w:ind w:firstLine="0" w:firstLineChars="0"/>
              <w:jc w:val="center"/>
              <w:rPr>
                <w:bCs/>
                <w:color w:val="000000"/>
                <w:sz w:val="22"/>
              </w:rPr>
            </w:pPr>
            <w:r>
              <w:rPr>
                <w:rFonts w:hint="eastAsia"/>
                <w:bCs/>
                <w:color w:val="000000"/>
                <w:sz w:val="22"/>
              </w:rPr>
              <w:t>2</w:t>
            </w:r>
            <w:r>
              <w:rPr>
                <w:bCs/>
                <w:color w:val="000000"/>
                <w:sz w:val="22"/>
              </w:rPr>
              <w:t>0</w:t>
            </w:r>
          </w:p>
        </w:tc>
        <w:tc>
          <w:tcPr>
            <w:tcW w:w="1362" w:type="dxa"/>
            <w:tcBorders>
              <w:top w:val="single" w:color="auto" w:sz="4" w:space="0"/>
              <w:left w:val="single" w:color="auto" w:sz="4" w:space="0"/>
              <w:bottom w:val="single" w:color="auto" w:sz="4" w:space="0"/>
              <w:right w:val="single" w:color="auto" w:sz="4" w:space="0"/>
            </w:tcBorders>
            <w:shd w:val="clear" w:color="auto" w:fill="auto"/>
            <w:vAlign w:val="center"/>
          </w:tcPr>
          <w:p>
            <w:pPr>
              <w:spacing w:line="240" w:lineRule="auto"/>
              <w:ind w:firstLine="0" w:firstLineChars="0"/>
              <w:jc w:val="center"/>
              <w:rPr>
                <w:bCs/>
                <w:color w:val="000000"/>
                <w:sz w:val="22"/>
                <w:szCs w:val="20"/>
              </w:rPr>
            </w:pPr>
            <w:r>
              <w:rPr>
                <w:rFonts w:hint="eastAsia" w:cs="宋体"/>
                <w:bCs/>
                <w:color w:val="000000"/>
                <w:sz w:val="22"/>
                <w:szCs w:val="20"/>
              </w:rPr>
              <w:t>盏</w:t>
            </w:r>
          </w:p>
        </w:tc>
        <w:tc>
          <w:tcPr>
            <w:tcW w:w="1857" w:type="dxa"/>
            <w:vMerge w:val="continue"/>
            <w:tcBorders>
              <w:top w:val="single" w:color="auto" w:sz="4" w:space="0"/>
              <w:left w:val="single" w:color="auto" w:sz="4" w:space="0"/>
              <w:bottom w:val="single" w:color="auto" w:sz="4" w:space="0"/>
              <w:right w:val="single" w:color="auto" w:sz="4" w:space="0"/>
            </w:tcBorders>
            <w:shd w:val="clear" w:color="auto" w:fill="auto"/>
            <w:vAlign w:val="center"/>
          </w:tcPr>
          <w:p>
            <w:pPr>
              <w:spacing w:line="240" w:lineRule="auto"/>
              <w:ind w:firstLine="0" w:firstLineChars="0"/>
              <w:rPr>
                <w:rFonts w:ascii="Calibri" w:hAnsi="Calibri"/>
                <w:sz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1064" w:type="dxa"/>
            <w:tcBorders>
              <w:top w:val="single" w:color="auto" w:sz="4" w:space="0"/>
              <w:left w:val="single" w:color="auto" w:sz="4" w:space="0"/>
              <w:bottom w:val="single" w:color="auto" w:sz="4" w:space="0"/>
              <w:right w:val="single" w:color="auto" w:sz="4" w:space="0"/>
            </w:tcBorders>
            <w:shd w:val="clear" w:color="auto" w:fill="auto"/>
            <w:vAlign w:val="center"/>
          </w:tcPr>
          <w:p>
            <w:pPr>
              <w:spacing w:line="240" w:lineRule="auto"/>
              <w:ind w:firstLine="0" w:firstLineChars="0"/>
              <w:jc w:val="center"/>
              <w:rPr>
                <w:bCs/>
                <w:color w:val="000000"/>
                <w:sz w:val="22"/>
              </w:rPr>
            </w:pPr>
            <w:r>
              <w:rPr>
                <w:rFonts w:hint="eastAsia"/>
                <w:bCs/>
                <w:color w:val="000000"/>
                <w:sz w:val="22"/>
              </w:rPr>
              <w:t>14</w:t>
            </w:r>
          </w:p>
        </w:tc>
        <w:tc>
          <w:tcPr>
            <w:tcW w:w="2417" w:type="dxa"/>
            <w:tcBorders>
              <w:top w:val="single" w:color="auto" w:sz="4" w:space="0"/>
              <w:left w:val="single" w:color="auto" w:sz="4" w:space="0"/>
              <w:bottom w:val="single" w:color="auto" w:sz="4" w:space="0"/>
              <w:right w:val="single" w:color="auto" w:sz="4" w:space="0"/>
            </w:tcBorders>
            <w:shd w:val="clear" w:color="auto" w:fill="auto"/>
            <w:vAlign w:val="center"/>
          </w:tcPr>
          <w:p>
            <w:pPr>
              <w:spacing w:line="240" w:lineRule="auto"/>
              <w:ind w:firstLine="0" w:firstLineChars="0"/>
              <w:jc w:val="center"/>
              <w:rPr>
                <w:bCs/>
                <w:color w:val="000000"/>
                <w:sz w:val="22"/>
              </w:rPr>
            </w:pPr>
            <w:r>
              <w:rPr>
                <w:rFonts w:hint="eastAsia" w:cs="宋体"/>
                <w:bCs/>
                <w:color w:val="000000"/>
                <w:sz w:val="22"/>
              </w:rPr>
              <w:t>洋镐</w:t>
            </w:r>
          </w:p>
        </w:tc>
        <w:tc>
          <w:tcPr>
            <w:tcW w:w="1822" w:type="dxa"/>
            <w:tcBorders>
              <w:top w:val="single" w:color="auto" w:sz="4" w:space="0"/>
              <w:left w:val="single" w:color="auto" w:sz="4" w:space="0"/>
              <w:bottom w:val="single" w:color="auto" w:sz="4" w:space="0"/>
              <w:right w:val="single" w:color="auto" w:sz="4" w:space="0"/>
            </w:tcBorders>
            <w:shd w:val="clear" w:color="auto" w:fill="auto"/>
            <w:vAlign w:val="center"/>
          </w:tcPr>
          <w:p>
            <w:pPr>
              <w:spacing w:line="240" w:lineRule="auto"/>
              <w:ind w:firstLine="0" w:firstLineChars="0"/>
              <w:jc w:val="center"/>
              <w:rPr>
                <w:bCs/>
                <w:color w:val="000000"/>
                <w:sz w:val="22"/>
              </w:rPr>
            </w:pPr>
            <w:r>
              <w:rPr>
                <w:rFonts w:hint="eastAsia"/>
                <w:bCs/>
                <w:color w:val="000000"/>
                <w:sz w:val="22"/>
              </w:rPr>
              <w:t>10</w:t>
            </w:r>
          </w:p>
        </w:tc>
        <w:tc>
          <w:tcPr>
            <w:tcW w:w="1362" w:type="dxa"/>
            <w:tcBorders>
              <w:top w:val="single" w:color="auto" w:sz="4" w:space="0"/>
              <w:left w:val="single" w:color="auto" w:sz="4" w:space="0"/>
              <w:bottom w:val="single" w:color="auto" w:sz="4" w:space="0"/>
              <w:right w:val="single" w:color="auto" w:sz="4" w:space="0"/>
            </w:tcBorders>
            <w:shd w:val="clear" w:color="auto" w:fill="auto"/>
            <w:vAlign w:val="center"/>
          </w:tcPr>
          <w:p>
            <w:pPr>
              <w:spacing w:line="240" w:lineRule="auto"/>
              <w:ind w:firstLine="0" w:firstLineChars="0"/>
              <w:jc w:val="center"/>
              <w:rPr>
                <w:bCs/>
                <w:color w:val="000000"/>
                <w:sz w:val="22"/>
                <w:szCs w:val="20"/>
              </w:rPr>
            </w:pPr>
            <w:r>
              <w:rPr>
                <w:rFonts w:hint="eastAsia" w:cs="宋体"/>
                <w:bCs/>
                <w:color w:val="000000"/>
                <w:sz w:val="22"/>
                <w:szCs w:val="20"/>
              </w:rPr>
              <w:t>把</w:t>
            </w:r>
          </w:p>
        </w:tc>
        <w:tc>
          <w:tcPr>
            <w:tcW w:w="1857" w:type="dxa"/>
            <w:vMerge w:val="continue"/>
            <w:tcBorders>
              <w:top w:val="single" w:color="auto" w:sz="4" w:space="0"/>
              <w:left w:val="single" w:color="auto" w:sz="4" w:space="0"/>
              <w:bottom w:val="single" w:color="auto" w:sz="4" w:space="0"/>
              <w:right w:val="single" w:color="auto" w:sz="4" w:space="0"/>
            </w:tcBorders>
            <w:shd w:val="clear" w:color="auto" w:fill="auto"/>
            <w:vAlign w:val="center"/>
          </w:tcPr>
          <w:p>
            <w:pPr>
              <w:spacing w:line="240" w:lineRule="auto"/>
              <w:ind w:firstLine="0" w:firstLineChars="0"/>
              <w:rPr>
                <w:rFonts w:ascii="Calibri" w:hAnsi="Calibri"/>
                <w:sz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1064" w:type="dxa"/>
            <w:tcBorders>
              <w:top w:val="single" w:color="auto" w:sz="4" w:space="0"/>
              <w:left w:val="single" w:color="auto" w:sz="4" w:space="0"/>
              <w:bottom w:val="single" w:color="auto" w:sz="4" w:space="0"/>
              <w:right w:val="single" w:color="auto" w:sz="4" w:space="0"/>
            </w:tcBorders>
            <w:shd w:val="clear" w:color="auto" w:fill="auto"/>
            <w:vAlign w:val="center"/>
          </w:tcPr>
          <w:p>
            <w:pPr>
              <w:spacing w:line="240" w:lineRule="auto"/>
              <w:ind w:firstLine="0" w:firstLineChars="0"/>
              <w:jc w:val="center"/>
              <w:rPr>
                <w:bCs/>
                <w:color w:val="000000"/>
                <w:sz w:val="22"/>
              </w:rPr>
            </w:pPr>
            <w:r>
              <w:rPr>
                <w:rFonts w:hint="eastAsia"/>
                <w:bCs/>
                <w:color w:val="000000"/>
                <w:sz w:val="22"/>
              </w:rPr>
              <w:t>15</w:t>
            </w:r>
          </w:p>
        </w:tc>
        <w:tc>
          <w:tcPr>
            <w:tcW w:w="2417" w:type="dxa"/>
            <w:tcBorders>
              <w:top w:val="single" w:color="auto" w:sz="4" w:space="0"/>
              <w:left w:val="single" w:color="auto" w:sz="4" w:space="0"/>
              <w:bottom w:val="single" w:color="auto" w:sz="4" w:space="0"/>
              <w:right w:val="single" w:color="auto" w:sz="4" w:space="0"/>
            </w:tcBorders>
            <w:shd w:val="clear" w:color="auto" w:fill="auto"/>
            <w:vAlign w:val="center"/>
          </w:tcPr>
          <w:p>
            <w:pPr>
              <w:spacing w:line="240" w:lineRule="auto"/>
              <w:ind w:firstLine="0" w:firstLineChars="0"/>
              <w:jc w:val="center"/>
              <w:rPr>
                <w:bCs/>
                <w:color w:val="000000"/>
                <w:sz w:val="22"/>
              </w:rPr>
            </w:pPr>
            <w:r>
              <w:rPr>
                <w:rFonts w:hint="eastAsia" w:cs="宋体"/>
                <w:bCs/>
                <w:color w:val="000000"/>
                <w:sz w:val="22"/>
              </w:rPr>
              <w:t>锄头</w:t>
            </w:r>
          </w:p>
        </w:tc>
        <w:tc>
          <w:tcPr>
            <w:tcW w:w="1822" w:type="dxa"/>
            <w:tcBorders>
              <w:top w:val="single" w:color="auto" w:sz="4" w:space="0"/>
              <w:left w:val="single" w:color="auto" w:sz="4" w:space="0"/>
              <w:bottom w:val="single" w:color="auto" w:sz="4" w:space="0"/>
              <w:right w:val="single" w:color="auto" w:sz="4" w:space="0"/>
            </w:tcBorders>
            <w:shd w:val="clear" w:color="auto" w:fill="auto"/>
            <w:vAlign w:val="center"/>
          </w:tcPr>
          <w:p>
            <w:pPr>
              <w:spacing w:line="240" w:lineRule="auto"/>
              <w:ind w:firstLine="0" w:firstLineChars="0"/>
              <w:jc w:val="center"/>
              <w:rPr>
                <w:bCs/>
                <w:color w:val="000000"/>
                <w:sz w:val="22"/>
              </w:rPr>
            </w:pPr>
            <w:r>
              <w:rPr>
                <w:bCs/>
                <w:color w:val="000000"/>
                <w:sz w:val="22"/>
              </w:rPr>
              <w:t>2</w:t>
            </w:r>
            <w:r>
              <w:rPr>
                <w:rFonts w:hint="eastAsia"/>
                <w:bCs/>
                <w:color w:val="000000"/>
                <w:sz w:val="22"/>
              </w:rPr>
              <w:t>0</w:t>
            </w:r>
          </w:p>
        </w:tc>
        <w:tc>
          <w:tcPr>
            <w:tcW w:w="1362" w:type="dxa"/>
            <w:tcBorders>
              <w:top w:val="single" w:color="auto" w:sz="4" w:space="0"/>
              <w:left w:val="single" w:color="auto" w:sz="4" w:space="0"/>
              <w:bottom w:val="single" w:color="auto" w:sz="4" w:space="0"/>
              <w:right w:val="single" w:color="auto" w:sz="4" w:space="0"/>
            </w:tcBorders>
            <w:shd w:val="clear" w:color="auto" w:fill="auto"/>
            <w:vAlign w:val="center"/>
          </w:tcPr>
          <w:p>
            <w:pPr>
              <w:spacing w:line="240" w:lineRule="auto"/>
              <w:ind w:firstLine="0" w:firstLineChars="0"/>
              <w:jc w:val="center"/>
              <w:rPr>
                <w:bCs/>
                <w:color w:val="000000"/>
                <w:sz w:val="22"/>
                <w:szCs w:val="20"/>
              </w:rPr>
            </w:pPr>
            <w:r>
              <w:rPr>
                <w:rFonts w:hint="eastAsia" w:cs="宋体"/>
                <w:bCs/>
                <w:color w:val="000000"/>
                <w:sz w:val="22"/>
                <w:szCs w:val="20"/>
              </w:rPr>
              <w:t>把</w:t>
            </w:r>
          </w:p>
        </w:tc>
        <w:tc>
          <w:tcPr>
            <w:tcW w:w="1857" w:type="dxa"/>
            <w:vMerge w:val="continue"/>
            <w:tcBorders>
              <w:top w:val="single" w:color="auto" w:sz="4" w:space="0"/>
              <w:left w:val="single" w:color="auto" w:sz="4" w:space="0"/>
              <w:bottom w:val="single" w:color="auto" w:sz="4" w:space="0"/>
              <w:right w:val="single" w:color="auto" w:sz="4" w:space="0"/>
            </w:tcBorders>
            <w:shd w:val="clear" w:color="auto" w:fill="auto"/>
            <w:vAlign w:val="center"/>
          </w:tcPr>
          <w:p>
            <w:pPr>
              <w:spacing w:line="240" w:lineRule="auto"/>
              <w:ind w:firstLine="0" w:firstLineChars="0"/>
              <w:rPr>
                <w:rFonts w:ascii="Calibri" w:hAnsi="Calibri"/>
                <w:sz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1064" w:type="dxa"/>
            <w:tcBorders>
              <w:top w:val="single" w:color="auto" w:sz="4" w:space="0"/>
              <w:left w:val="single" w:color="auto" w:sz="4" w:space="0"/>
              <w:bottom w:val="single" w:color="auto" w:sz="4" w:space="0"/>
              <w:right w:val="single" w:color="auto" w:sz="4" w:space="0"/>
            </w:tcBorders>
            <w:shd w:val="clear" w:color="auto" w:fill="auto"/>
            <w:vAlign w:val="center"/>
          </w:tcPr>
          <w:p>
            <w:pPr>
              <w:spacing w:line="240" w:lineRule="auto"/>
              <w:ind w:firstLine="0" w:firstLineChars="0"/>
              <w:jc w:val="center"/>
              <w:rPr>
                <w:bCs/>
                <w:color w:val="000000"/>
                <w:sz w:val="22"/>
              </w:rPr>
            </w:pPr>
            <w:r>
              <w:rPr>
                <w:rFonts w:hint="eastAsia"/>
                <w:bCs/>
                <w:color w:val="000000"/>
                <w:sz w:val="22"/>
              </w:rPr>
              <w:t>16</w:t>
            </w:r>
          </w:p>
        </w:tc>
        <w:tc>
          <w:tcPr>
            <w:tcW w:w="2417" w:type="dxa"/>
            <w:tcBorders>
              <w:top w:val="single" w:color="auto" w:sz="4" w:space="0"/>
              <w:left w:val="single" w:color="auto" w:sz="4" w:space="0"/>
              <w:bottom w:val="single" w:color="auto" w:sz="4" w:space="0"/>
              <w:right w:val="single" w:color="auto" w:sz="4" w:space="0"/>
            </w:tcBorders>
            <w:shd w:val="clear" w:color="auto" w:fill="auto"/>
            <w:vAlign w:val="center"/>
          </w:tcPr>
          <w:p>
            <w:pPr>
              <w:spacing w:line="240" w:lineRule="auto"/>
              <w:ind w:firstLine="0" w:firstLineChars="0"/>
              <w:jc w:val="center"/>
              <w:rPr>
                <w:bCs/>
                <w:color w:val="000000"/>
                <w:sz w:val="22"/>
              </w:rPr>
            </w:pPr>
            <w:r>
              <w:rPr>
                <w:rFonts w:hint="eastAsia" w:cs="宋体"/>
                <w:bCs/>
                <w:color w:val="000000"/>
                <w:sz w:val="22"/>
              </w:rPr>
              <w:t>铁铲</w:t>
            </w:r>
          </w:p>
        </w:tc>
        <w:tc>
          <w:tcPr>
            <w:tcW w:w="1822" w:type="dxa"/>
            <w:tcBorders>
              <w:top w:val="single" w:color="auto" w:sz="4" w:space="0"/>
              <w:left w:val="single" w:color="auto" w:sz="4" w:space="0"/>
              <w:bottom w:val="single" w:color="auto" w:sz="4" w:space="0"/>
              <w:right w:val="single" w:color="auto" w:sz="4" w:space="0"/>
            </w:tcBorders>
            <w:shd w:val="clear" w:color="auto" w:fill="auto"/>
            <w:vAlign w:val="center"/>
          </w:tcPr>
          <w:p>
            <w:pPr>
              <w:spacing w:line="240" w:lineRule="auto"/>
              <w:ind w:firstLine="0" w:firstLineChars="0"/>
              <w:jc w:val="center"/>
              <w:rPr>
                <w:bCs/>
                <w:color w:val="000000"/>
                <w:sz w:val="22"/>
              </w:rPr>
            </w:pPr>
            <w:r>
              <w:rPr>
                <w:rFonts w:hint="eastAsia"/>
                <w:bCs/>
                <w:color w:val="000000"/>
                <w:sz w:val="22"/>
              </w:rPr>
              <w:t>50</w:t>
            </w:r>
          </w:p>
        </w:tc>
        <w:tc>
          <w:tcPr>
            <w:tcW w:w="1362" w:type="dxa"/>
            <w:tcBorders>
              <w:top w:val="single" w:color="auto" w:sz="4" w:space="0"/>
              <w:left w:val="single" w:color="auto" w:sz="4" w:space="0"/>
              <w:bottom w:val="single" w:color="auto" w:sz="4" w:space="0"/>
              <w:right w:val="single" w:color="auto" w:sz="4" w:space="0"/>
            </w:tcBorders>
            <w:shd w:val="clear" w:color="auto" w:fill="auto"/>
            <w:vAlign w:val="center"/>
          </w:tcPr>
          <w:p>
            <w:pPr>
              <w:spacing w:line="240" w:lineRule="auto"/>
              <w:ind w:firstLine="0" w:firstLineChars="0"/>
              <w:jc w:val="center"/>
              <w:rPr>
                <w:bCs/>
                <w:color w:val="000000"/>
                <w:sz w:val="22"/>
                <w:szCs w:val="20"/>
              </w:rPr>
            </w:pPr>
            <w:r>
              <w:rPr>
                <w:rFonts w:hint="eastAsia" w:cs="宋体"/>
                <w:bCs/>
                <w:color w:val="000000"/>
                <w:sz w:val="22"/>
                <w:szCs w:val="20"/>
              </w:rPr>
              <w:t>把</w:t>
            </w:r>
          </w:p>
        </w:tc>
        <w:tc>
          <w:tcPr>
            <w:tcW w:w="1857" w:type="dxa"/>
            <w:vMerge w:val="continue"/>
            <w:tcBorders>
              <w:top w:val="single" w:color="auto" w:sz="4" w:space="0"/>
              <w:left w:val="single" w:color="auto" w:sz="4" w:space="0"/>
              <w:bottom w:val="single" w:color="auto" w:sz="4" w:space="0"/>
              <w:right w:val="single" w:color="auto" w:sz="4" w:space="0"/>
            </w:tcBorders>
            <w:shd w:val="clear" w:color="auto" w:fill="auto"/>
            <w:vAlign w:val="center"/>
          </w:tcPr>
          <w:p>
            <w:pPr>
              <w:spacing w:line="240" w:lineRule="auto"/>
              <w:ind w:firstLine="0" w:firstLineChars="0"/>
              <w:rPr>
                <w:rFonts w:ascii="Calibri" w:hAnsi="Calibri"/>
                <w:sz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1064" w:type="dxa"/>
            <w:tcBorders>
              <w:top w:val="single" w:color="auto" w:sz="4" w:space="0"/>
              <w:left w:val="single" w:color="auto" w:sz="4" w:space="0"/>
              <w:bottom w:val="single" w:color="auto" w:sz="4" w:space="0"/>
              <w:right w:val="single" w:color="auto" w:sz="4" w:space="0"/>
            </w:tcBorders>
            <w:shd w:val="clear" w:color="auto" w:fill="auto"/>
            <w:vAlign w:val="center"/>
          </w:tcPr>
          <w:p>
            <w:pPr>
              <w:spacing w:line="240" w:lineRule="auto"/>
              <w:ind w:firstLine="0" w:firstLineChars="0"/>
              <w:jc w:val="center"/>
              <w:rPr>
                <w:bCs/>
                <w:color w:val="000000"/>
                <w:sz w:val="22"/>
              </w:rPr>
            </w:pPr>
            <w:r>
              <w:rPr>
                <w:rFonts w:hint="eastAsia"/>
                <w:bCs/>
                <w:color w:val="000000"/>
                <w:sz w:val="22"/>
              </w:rPr>
              <w:t>17</w:t>
            </w:r>
          </w:p>
        </w:tc>
        <w:tc>
          <w:tcPr>
            <w:tcW w:w="2417" w:type="dxa"/>
            <w:tcBorders>
              <w:top w:val="single" w:color="auto" w:sz="4" w:space="0"/>
              <w:left w:val="single" w:color="auto" w:sz="4" w:space="0"/>
              <w:bottom w:val="single" w:color="auto" w:sz="4" w:space="0"/>
              <w:right w:val="single" w:color="auto" w:sz="4" w:space="0"/>
            </w:tcBorders>
            <w:shd w:val="clear" w:color="auto" w:fill="auto"/>
            <w:vAlign w:val="center"/>
          </w:tcPr>
          <w:p>
            <w:pPr>
              <w:spacing w:line="240" w:lineRule="auto"/>
              <w:ind w:firstLine="0" w:firstLineChars="0"/>
              <w:jc w:val="center"/>
              <w:rPr>
                <w:bCs/>
                <w:color w:val="000000"/>
                <w:sz w:val="22"/>
              </w:rPr>
            </w:pPr>
            <w:r>
              <w:rPr>
                <w:rFonts w:hint="eastAsia" w:cs="宋体"/>
                <w:bCs/>
                <w:color w:val="000000"/>
                <w:sz w:val="22"/>
              </w:rPr>
              <w:t>畚箕</w:t>
            </w:r>
          </w:p>
        </w:tc>
        <w:tc>
          <w:tcPr>
            <w:tcW w:w="1822" w:type="dxa"/>
            <w:tcBorders>
              <w:top w:val="single" w:color="auto" w:sz="4" w:space="0"/>
              <w:left w:val="single" w:color="auto" w:sz="4" w:space="0"/>
              <w:bottom w:val="single" w:color="auto" w:sz="4" w:space="0"/>
              <w:right w:val="single" w:color="auto" w:sz="4" w:space="0"/>
            </w:tcBorders>
            <w:shd w:val="clear" w:color="auto" w:fill="auto"/>
            <w:vAlign w:val="center"/>
          </w:tcPr>
          <w:p>
            <w:pPr>
              <w:spacing w:line="240" w:lineRule="auto"/>
              <w:ind w:firstLine="0" w:firstLineChars="0"/>
              <w:jc w:val="center"/>
              <w:rPr>
                <w:bCs/>
                <w:color w:val="000000"/>
                <w:sz w:val="22"/>
              </w:rPr>
            </w:pPr>
            <w:r>
              <w:rPr>
                <w:bCs/>
                <w:color w:val="000000"/>
                <w:sz w:val="22"/>
              </w:rPr>
              <w:t>25</w:t>
            </w:r>
          </w:p>
        </w:tc>
        <w:tc>
          <w:tcPr>
            <w:tcW w:w="1362" w:type="dxa"/>
            <w:tcBorders>
              <w:top w:val="single" w:color="auto" w:sz="4" w:space="0"/>
              <w:left w:val="single" w:color="auto" w:sz="4" w:space="0"/>
              <w:bottom w:val="single" w:color="auto" w:sz="4" w:space="0"/>
              <w:right w:val="single" w:color="auto" w:sz="4" w:space="0"/>
            </w:tcBorders>
            <w:shd w:val="clear" w:color="auto" w:fill="auto"/>
            <w:vAlign w:val="center"/>
          </w:tcPr>
          <w:p>
            <w:pPr>
              <w:spacing w:line="240" w:lineRule="auto"/>
              <w:ind w:firstLine="0" w:firstLineChars="0"/>
              <w:jc w:val="center"/>
              <w:rPr>
                <w:bCs/>
                <w:color w:val="000000"/>
                <w:sz w:val="22"/>
                <w:szCs w:val="20"/>
              </w:rPr>
            </w:pPr>
            <w:r>
              <w:rPr>
                <w:rFonts w:hint="eastAsia" w:cs="宋体"/>
                <w:bCs/>
                <w:color w:val="000000"/>
                <w:sz w:val="22"/>
                <w:szCs w:val="20"/>
              </w:rPr>
              <w:t>担</w:t>
            </w:r>
          </w:p>
        </w:tc>
        <w:tc>
          <w:tcPr>
            <w:tcW w:w="1857" w:type="dxa"/>
            <w:vMerge w:val="continue"/>
            <w:tcBorders>
              <w:top w:val="single" w:color="auto" w:sz="4" w:space="0"/>
              <w:left w:val="single" w:color="auto" w:sz="4" w:space="0"/>
              <w:bottom w:val="single" w:color="auto" w:sz="4" w:space="0"/>
              <w:right w:val="single" w:color="auto" w:sz="4" w:space="0"/>
            </w:tcBorders>
            <w:shd w:val="clear" w:color="auto" w:fill="auto"/>
            <w:vAlign w:val="center"/>
          </w:tcPr>
          <w:p>
            <w:pPr>
              <w:spacing w:line="240" w:lineRule="auto"/>
              <w:ind w:firstLine="0" w:firstLineChars="0"/>
              <w:rPr>
                <w:rFonts w:ascii="Calibri" w:hAnsi="Calibri"/>
                <w:sz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54" w:hRule="atLeast"/>
          <w:jc w:val="center"/>
        </w:trPr>
        <w:tc>
          <w:tcPr>
            <w:tcW w:w="1064" w:type="dxa"/>
            <w:tcBorders>
              <w:top w:val="single" w:color="auto" w:sz="4" w:space="0"/>
              <w:left w:val="single" w:color="auto" w:sz="4" w:space="0"/>
              <w:bottom w:val="single" w:color="auto" w:sz="4" w:space="0"/>
              <w:right w:val="single" w:color="auto" w:sz="4" w:space="0"/>
            </w:tcBorders>
            <w:shd w:val="clear" w:color="auto" w:fill="auto"/>
            <w:vAlign w:val="center"/>
          </w:tcPr>
          <w:p>
            <w:pPr>
              <w:spacing w:line="240" w:lineRule="auto"/>
              <w:ind w:firstLine="0" w:firstLineChars="0"/>
              <w:jc w:val="center"/>
              <w:rPr>
                <w:bCs/>
                <w:color w:val="000000"/>
                <w:sz w:val="22"/>
              </w:rPr>
            </w:pPr>
            <w:r>
              <w:rPr>
                <w:rFonts w:hint="eastAsia"/>
                <w:bCs/>
                <w:color w:val="000000"/>
                <w:sz w:val="22"/>
              </w:rPr>
              <w:t>18</w:t>
            </w:r>
          </w:p>
        </w:tc>
        <w:tc>
          <w:tcPr>
            <w:tcW w:w="2417" w:type="dxa"/>
            <w:tcBorders>
              <w:top w:val="single" w:color="auto" w:sz="4" w:space="0"/>
              <w:left w:val="single" w:color="auto" w:sz="4" w:space="0"/>
              <w:bottom w:val="single" w:color="auto" w:sz="4" w:space="0"/>
              <w:right w:val="single" w:color="auto" w:sz="4" w:space="0"/>
            </w:tcBorders>
            <w:shd w:val="clear" w:color="auto" w:fill="auto"/>
            <w:vAlign w:val="center"/>
          </w:tcPr>
          <w:p>
            <w:pPr>
              <w:spacing w:line="240" w:lineRule="auto"/>
              <w:ind w:firstLine="0" w:firstLineChars="0"/>
              <w:jc w:val="center"/>
              <w:rPr>
                <w:bCs/>
                <w:color w:val="000000"/>
                <w:sz w:val="22"/>
              </w:rPr>
            </w:pPr>
            <w:r>
              <w:rPr>
                <w:rFonts w:hint="eastAsia" w:cs="宋体"/>
                <w:bCs/>
                <w:color w:val="000000"/>
                <w:sz w:val="22"/>
              </w:rPr>
              <w:t>活性碳</w:t>
            </w:r>
          </w:p>
        </w:tc>
        <w:tc>
          <w:tcPr>
            <w:tcW w:w="1822" w:type="dxa"/>
            <w:tcBorders>
              <w:top w:val="single" w:color="auto" w:sz="4" w:space="0"/>
              <w:left w:val="single" w:color="auto" w:sz="4" w:space="0"/>
              <w:bottom w:val="single" w:color="auto" w:sz="4" w:space="0"/>
              <w:right w:val="single" w:color="auto" w:sz="4" w:space="0"/>
            </w:tcBorders>
            <w:shd w:val="clear" w:color="auto" w:fill="auto"/>
            <w:vAlign w:val="center"/>
          </w:tcPr>
          <w:p>
            <w:pPr>
              <w:spacing w:line="240" w:lineRule="auto"/>
              <w:ind w:firstLine="0" w:firstLineChars="0"/>
              <w:jc w:val="center"/>
              <w:rPr>
                <w:bCs/>
                <w:color w:val="000000"/>
                <w:sz w:val="22"/>
              </w:rPr>
            </w:pPr>
            <w:r>
              <w:rPr>
                <w:bCs/>
                <w:color w:val="000000"/>
                <w:sz w:val="22"/>
              </w:rPr>
              <w:t>2</w:t>
            </w:r>
          </w:p>
        </w:tc>
        <w:tc>
          <w:tcPr>
            <w:tcW w:w="1362" w:type="dxa"/>
            <w:tcBorders>
              <w:top w:val="single" w:color="auto" w:sz="4" w:space="0"/>
              <w:left w:val="single" w:color="auto" w:sz="4" w:space="0"/>
              <w:bottom w:val="single" w:color="auto" w:sz="4" w:space="0"/>
              <w:right w:val="single" w:color="auto" w:sz="4" w:space="0"/>
            </w:tcBorders>
            <w:shd w:val="clear" w:color="auto" w:fill="auto"/>
            <w:vAlign w:val="center"/>
          </w:tcPr>
          <w:p>
            <w:pPr>
              <w:spacing w:line="240" w:lineRule="auto"/>
              <w:ind w:firstLine="0" w:firstLineChars="0"/>
              <w:jc w:val="center"/>
              <w:rPr>
                <w:bCs/>
                <w:color w:val="000000"/>
                <w:sz w:val="22"/>
              </w:rPr>
            </w:pPr>
            <w:r>
              <w:rPr>
                <w:rFonts w:hint="eastAsia" w:cs="宋体"/>
                <w:bCs/>
                <w:color w:val="000000"/>
                <w:sz w:val="22"/>
              </w:rPr>
              <w:t>吨</w:t>
            </w:r>
          </w:p>
        </w:tc>
        <w:tc>
          <w:tcPr>
            <w:tcW w:w="1857" w:type="dxa"/>
            <w:vMerge w:val="continue"/>
            <w:tcBorders>
              <w:top w:val="single" w:color="auto" w:sz="4" w:space="0"/>
              <w:left w:val="single" w:color="auto" w:sz="4" w:space="0"/>
              <w:bottom w:val="single" w:color="auto" w:sz="4" w:space="0"/>
              <w:right w:val="single" w:color="auto" w:sz="4" w:space="0"/>
            </w:tcBorders>
            <w:shd w:val="clear" w:color="auto" w:fill="auto"/>
            <w:vAlign w:val="center"/>
          </w:tcPr>
          <w:p>
            <w:pPr>
              <w:spacing w:line="240" w:lineRule="auto"/>
              <w:ind w:firstLine="0" w:firstLineChars="0"/>
              <w:rPr>
                <w:rFonts w:ascii="Calibri" w:hAnsi="Calibri"/>
                <w:sz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54" w:hRule="atLeast"/>
          <w:jc w:val="center"/>
        </w:trPr>
        <w:tc>
          <w:tcPr>
            <w:tcW w:w="1064" w:type="dxa"/>
            <w:tcBorders>
              <w:top w:val="single" w:color="auto" w:sz="4" w:space="0"/>
              <w:left w:val="single" w:color="auto" w:sz="4" w:space="0"/>
              <w:bottom w:val="single" w:color="auto" w:sz="4" w:space="0"/>
              <w:right w:val="single" w:color="auto" w:sz="4" w:space="0"/>
            </w:tcBorders>
            <w:shd w:val="clear" w:color="auto" w:fill="auto"/>
            <w:vAlign w:val="center"/>
          </w:tcPr>
          <w:p>
            <w:pPr>
              <w:spacing w:line="240" w:lineRule="auto"/>
              <w:ind w:firstLine="0" w:firstLineChars="0"/>
              <w:jc w:val="center"/>
              <w:rPr>
                <w:bCs/>
                <w:color w:val="000000"/>
                <w:sz w:val="22"/>
              </w:rPr>
            </w:pPr>
            <w:r>
              <w:rPr>
                <w:rFonts w:hint="eastAsia"/>
                <w:bCs/>
                <w:color w:val="000000"/>
                <w:sz w:val="22"/>
              </w:rPr>
              <w:t>19</w:t>
            </w:r>
          </w:p>
        </w:tc>
        <w:tc>
          <w:tcPr>
            <w:tcW w:w="2417" w:type="dxa"/>
            <w:tcBorders>
              <w:top w:val="single" w:color="auto" w:sz="4" w:space="0"/>
              <w:left w:val="single" w:color="auto" w:sz="4" w:space="0"/>
              <w:bottom w:val="single" w:color="auto" w:sz="4" w:space="0"/>
              <w:right w:val="single" w:color="auto" w:sz="4" w:space="0"/>
            </w:tcBorders>
            <w:shd w:val="clear" w:color="auto" w:fill="auto"/>
            <w:vAlign w:val="center"/>
          </w:tcPr>
          <w:p>
            <w:pPr>
              <w:spacing w:line="240" w:lineRule="auto"/>
              <w:ind w:firstLine="0" w:firstLineChars="0"/>
              <w:jc w:val="center"/>
              <w:rPr>
                <w:bCs/>
                <w:color w:val="000000"/>
                <w:sz w:val="22"/>
              </w:rPr>
            </w:pPr>
            <w:r>
              <w:rPr>
                <w:bCs/>
                <w:color w:val="000000"/>
                <w:sz w:val="22"/>
              </w:rPr>
              <w:t>FT233</w:t>
            </w:r>
            <w:r>
              <w:rPr>
                <w:rFonts w:hint="eastAsia" w:cs="宋体"/>
                <w:bCs/>
                <w:color w:val="000000"/>
                <w:sz w:val="22"/>
              </w:rPr>
              <w:t>围油栏</w:t>
            </w:r>
            <w:r>
              <w:rPr>
                <w:bCs/>
                <w:color w:val="000000"/>
                <w:sz w:val="22"/>
              </w:rPr>
              <w:t>20cm*3m</w:t>
            </w:r>
          </w:p>
        </w:tc>
        <w:tc>
          <w:tcPr>
            <w:tcW w:w="1822" w:type="dxa"/>
            <w:tcBorders>
              <w:top w:val="single" w:color="auto" w:sz="4" w:space="0"/>
              <w:left w:val="single" w:color="auto" w:sz="4" w:space="0"/>
              <w:bottom w:val="single" w:color="auto" w:sz="4" w:space="0"/>
              <w:right w:val="single" w:color="auto" w:sz="4" w:space="0"/>
            </w:tcBorders>
            <w:shd w:val="clear" w:color="auto" w:fill="auto"/>
            <w:vAlign w:val="center"/>
          </w:tcPr>
          <w:p>
            <w:pPr>
              <w:spacing w:line="240" w:lineRule="auto"/>
              <w:ind w:firstLine="0" w:firstLineChars="0"/>
              <w:jc w:val="center"/>
              <w:rPr>
                <w:bCs/>
                <w:color w:val="000000"/>
                <w:sz w:val="22"/>
              </w:rPr>
            </w:pPr>
            <w:r>
              <w:rPr>
                <w:bCs/>
                <w:color w:val="000000"/>
                <w:sz w:val="22"/>
              </w:rPr>
              <w:t>30</w:t>
            </w:r>
          </w:p>
        </w:tc>
        <w:tc>
          <w:tcPr>
            <w:tcW w:w="1362" w:type="dxa"/>
            <w:tcBorders>
              <w:top w:val="single" w:color="auto" w:sz="4" w:space="0"/>
              <w:left w:val="single" w:color="auto" w:sz="4" w:space="0"/>
              <w:bottom w:val="single" w:color="auto" w:sz="4" w:space="0"/>
              <w:right w:val="single" w:color="auto" w:sz="4" w:space="0"/>
            </w:tcBorders>
            <w:shd w:val="clear" w:color="auto" w:fill="auto"/>
            <w:vAlign w:val="center"/>
          </w:tcPr>
          <w:p>
            <w:pPr>
              <w:spacing w:line="240" w:lineRule="auto"/>
              <w:ind w:firstLine="0" w:firstLineChars="0"/>
              <w:jc w:val="center"/>
              <w:rPr>
                <w:bCs/>
                <w:color w:val="000000"/>
                <w:sz w:val="22"/>
              </w:rPr>
            </w:pPr>
            <w:r>
              <w:rPr>
                <w:rFonts w:hint="eastAsia" w:cs="宋体"/>
                <w:bCs/>
                <w:color w:val="000000"/>
                <w:sz w:val="22"/>
              </w:rPr>
              <w:t>条</w:t>
            </w:r>
          </w:p>
        </w:tc>
        <w:tc>
          <w:tcPr>
            <w:tcW w:w="1857" w:type="dxa"/>
            <w:vMerge w:val="continue"/>
            <w:tcBorders>
              <w:top w:val="single" w:color="auto" w:sz="4" w:space="0"/>
              <w:left w:val="single" w:color="auto" w:sz="4" w:space="0"/>
              <w:bottom w:val="single" w:color="auto" w:sz="4" w:space="0"/>
              <w:right w:val="single" w:color="auto" w:sz="4" w:space="0"/>
            </w:tcBorders>
            <w:shd w:val="clear" w:color="auto" w:fill="auto"/>
            <w:vAlign w:val="center"/>
          </w:tcPr>
          <w:p>
            <w:pPr>
              <w:spacing w:line="240" w:lineRule="auto"/>
              <w:ind w:firstLine="0" w:firstLineChars="0"/>
              <w:rPr>
                <w:rFonts w:ascii="Calibri" w:hAnsi="Calibri"/>
                <w:sz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54" w:hRule="atLeast"/>
          <w:jc w:val="center"/>
        </w:trPr>
        <w:tc>
          <w:tcPr>
            <w:tcW w:w="1064" w:type="dxa"/>
            <w:tcBorders>
              <w:top w:val="single" w:color="auto" w:sz="4" w:space="0"/>
              <w:left w:val="single" w:color="auto" w:sz="4" w:space="0"/>
              <w:bottom w:val="single" w:color="auto" w:sz="4" w:space="0"/>
              <w:right w:val="single" w:color="auto" w:sz="4" w:space="0"/>
            </w:tcBorders>
            <w:shd w:val="clear" w:color="auto" w:fill="auto"/>
            <w:vAlign w:val="center"/>
          </w:tcPr>
          <w:p>
            <w:pPr>
              <w:spacing w:line="240" w:lineRule="auto"/>
              <w:ind w:firstLine="0" w:firstLineChars="0"/>
              <w:jc w:val="center"/>
              <w:rPr>
                <w:bCs/>
                <w:color w:val="000000"/>
                <w:sz w:val="22"/>
              </w:rPr>
            </w:pPr>
            <w:r>
              <w:rPr>
                <w:rFonts w:hint="eastAsia"/>
                <w:bCs/>
                <w:color w:val="000000"/>
                <w:sz w:val="22"/>
              </w:rPr>
              <w:t>20</w:t>
            </w:r>
          </w:p>
        </w:tc>
        <w:tc>
          <w:tcPr>
            <w:tcW w:w="2417" w:type="dxa"/>
            <w:tcBorders>
              <w:top w:val="single" w:color="auto" w:sz="4" w:space="0"/>
              <w:left w:val="single" w:color="auto" w:sz="4" w:space="0"/>
              <w:bottom w:val="single" w:color="auto" w:sz="4" w:space="0"/>
              <w:right w:val="single" w:color="auto" w:sz="4" w:space="0"/>
            </w:tcBorders>
            <w:shd w:val="clear" w:color="auto" w:fill="auto"/>
            <w:vAlign w:val="center"/>
          </w:tcPr>
          <w:p>
            <w:pPr>
              <w:spacing w:line="240" w:lineRule="auto"/>
              <w:ind w:firstLine="0" w:firstLineChars="0"/>
              <w:jc w:val="center"/>
              <w:rPr>
                <w:bCs/>
                <w:color w:val="000000"/>
                <w:sz w:val="22"/>
              </w:rPr>
            </w:pPr>
            <w:r>
              <w:rPr>
                <w:bCs/>
                <w:color w:val="000000"/>
                <w:sz w:val="22"/>
              </w:rPr>
              <w:t>PP-2</w:t>
            </w:r>
            <w:r>
              <w:rPr>
                <w:rFonts w:hint="eastAsia" w:cs="宋体"/>
                <w:bCs/>
                <w:color w:val="000000"/>
                <w:sz w:val="22"/>
              </w:rPr>
              <w:t>吸油棉</w:t>
            </w:r>
          </w:p>
        </w:tc>
        <w:tc>
          <w:tcPr>
            <w:tcW w:w="1822" w:type="dxa"/>
            <w:tcBorders>
              <w:top w:val="single" w:color="auto" w:sz="4" w:space="0"/>
              <w:left w:val="single" w:color="auto" w:sz="4" w:space="0"/>
              <w:bottom w:val="single" w:color="auto" w:sz="4" w:space="0"/>
              <w:right w:val="single" w:color="auto" w:sz="4" w:space="0"/>
            </w:tcBorders>
            <w:shd w:val="clear" w:color="auto" w:fill="auto"/>
            <w:vAlign w:val="center"/>
          </w:tcPr>
          <w:p>
            <w:pPr>
              <w:spacing w:line="240" w:lineRule="auto"/>
              <w:ind w:firstLine="0" w:firstLineChars="0"/>
              <w:jc w:val="center"/>
              <w:rPr>
                <w:bCs/>
                <w:color w:val="000000"/>
                <w:sz w:val="22"/>
              </w:rPr>
            </w:pPr>
            <w:r>
              <w:rPr>
                <w:bCs/>
                <w:color w:val="000000"/>
                <w:sz w:val="22"/>
              </w:rPr>
              <w:t>100</w:t>
            </w:r>
          </w:p>
        </w:tc>
        <w:tc>
          <w:tcPr>
            <w:tcW w:w="1362" w:type="dxa"/>
            <w:tcBorders>
              <w:top w:val="single" w:color="auto" w:sz="4" w:space="0"/>
              <w:left w:val="single" w:color="auto" w:sz="4" w:space="0"/>
              <w:bottom w:val="single" w:color="auto" w:sz="4" w:space="0"/>
              <w:right w:val="single" w:color="auto" w:sz="4" w:space="0"/>
            </w:tcBorders>
            <w:shd w:val="clear" w:color="auto" w:fill="auto"/>
            <w:vAlign w:val="center"/>
          </w:tcPr>
          <w:p>
            <w:pPr>
              <w:spacing w:line="240" w:lineRule="auto"/>
              <w:ind w:firstLine="0" w:firstLineChars="0"/>
              <w:jc w:val="center"/>
              <w:rPr>
                <w:bCs/>
                <w:color w:val="000000"/>
                <w:sz w:val="22"/>
              </w:rPr>
            </w:pPr>
            <w:r>
              <w:rPr>
                <w:rFonts w:hint="eastAsia" w:cs="宋体"/>
                <w:bCs/>
                <w:color w:val="000000"/>
                <w:sz w:val="22"/>
              </w:rPr>
              <w:t>千克</w:t>
            </w:r>
          </w:p>
        </w:tc>
        <w:tc>
          <w:tcPr>
            <w:tcW w:w="1857" w:type="dxa"/>
            <w:vMerge w:val="continue"/>
            <w:tcBorders>
              <w:top w:val="single" w:color="auto" w:sz="4" w:space="0"/>
              <w:left w:val="single" w:color="auto" w:sz="4" w:space="0"/>
              <w:bottom w:val="single" w:color="auto" w:sz="4" w:space="0"/>
              <w:right w:val="single" w:color="auto" w:sz="4" w:space="0"/>
            </w:tcBorders>
            <w:shd w:val="clear" w:color="auto" w:fill="auto"/>
            <w:vAlign w:val="center"/>
          </w:tcPr>
          <w:p>
            <w:pPr>
              <w:spacing w:line="240" w:lineRule="auto"/>
              <w:ind w:firstLine="0" w:firstLineChars="0"/>
              <w:rPr>
                <w:rFonts w:ascii="Calibri" w:hAnsi="Calibri"/>
                <w:sz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54" w:hRule="atLeast"/>
          <w:jc w:val="center"/>
        </w:trPr>
        <w:tc>
          <w:tcPr>
            <w:tcW w:w="1064" w:type="dxa"/>
            <w:tcBorders>
              <w:top w:val="single" w:color="auto" w:sz="4" w:space="0"/>
              <w:left w:val="single" w:color="auto" w:sz="4" w:space="0"/>
              <w:bottom w:val="single" w:color="auto" w:sz="4" w:space="0"/>
              <w:right w:val="single" w:color="auto" w:sz="4" w:space="0"/>
            </w:tcBorders>
            <w:shd w:val="clear" w:color="auto" w:fill="auto"/>
            <w:vAlign w:val="center"/>
          </w:tcPr>
          <w:p>
            <w:pPr>
              <w:spacing w:line="240" w:lineRule="auto"/>
              <w:ind w:firstLine="0" w:firstLineChars="0"/>
              <w:jc w:val="center"/>
              <w:rPr>
                <w:bCs/>
                <w:color w:val="000000"/>
                <w:sz w:val="22"/>
              </w:rPr>
            </w:pPr>
            <w:r>
              <w:rPr>
                <w:rFonts w:hint="eastAsia"/>
                <w:bCs/>
                <w:color w:val="000000"/>
                <w:sz w:val="22"/>
              </w:rPr>
              <w:t>21</w:t>
            </w:r>
          </w:p>
        </w:tc>
        <w:tc>
          <w:tcPr>
            <w:tcW w:w="2417" w:type="dxa"/>
            <w:tcBorders>
              <w:top w:val="single" w:color="auto" w:sz="4" w:space="0"/>
              <w:left w:val="single" w:color="auto" w:sz="4" w:space="0"/>
              <w:bottom w:val="single" w:color="auto" w:sz="4" w:space="0"/>
              <w:right w:val="single" w:color="auto" w:sz="4" w:space="0"/>
            </w:tcBorders>
            <w:shd w:val="clear" w:color="auto" w:fill="auto"/>
            <w:vAlign w:val="center"/>
          </w:tcPr>
          <w:p>
            <w:pPr>
              <w:spacing w:line="240" w:lineRule="auto"/>
              <w:ind w:firstLine="0" w:firstLineChars="0"/>
              <w:jc w:val="center"/>
              <w:rPr>
                <w:bCs/>
                <w:color w:val="000000"/>
                <w:sz w:val="22"/>
              </w:rPr>
            </w:pPr>
            <w:r>
              <w:rPr>
                <w:rFonts w:hint="eastAsia" w:cs="宋体"/>
                <w:bCs/>
                <w:color w:val="000000"/>
                <w:sz w:val="22"/>
              </w:rPr>
              <w:t>打捞工具</w:t>
            </w:r>
          </w:p>
        </w:tc>
        <w:tc>
          <w:tcPr>
            <w:tcW w:w="1822" w:type="dxa"/>
            <w:tcBorders>
              <w:top w:val="single" w:color="auto" w:sz="4" w:space="0"/>
              <w:left w:val="single" w:color="auto" w:sz="4" w:space="0"/>
              <w:bottom w:val="single" w:color="auto" w:sz="4" w:space="0"/>
              <w:right w:val="single" w:color="auto" w:sz="4" w:space="0"/>
            </w:tcBorders>
            <w:shd w:val="clear" w:color="auto" w:fill="auto"/>
            <w:vAlign w:val="center"/>
          </w:tcPr>
          <w:p>
            <w:pPr>
              <w:spacing w:line="240" w:lineRule="auto"/>
              <w:ind w:firstLine="0" w:firstLineChars="0"/>
              <w:jc w:val="center"/>
              <w:rPr>
                <w:bCs/>
                <w:color w:val="000000"/>
                <w:sz w:val="22"/>
              </w:rPr>
            </w:pPr>
            <w:r>
              <w:rPr>
                <w:bCs/>
                <w:color w:val="000000"/>
                <w:sz w:val="22"/>
              </w:rPr>
              <w:t>10</w:t>
            </w:r>
          </w:p>
        </w:tc>
        <w:tc>
          <w:tcPr>
            <w:tcW w:w="1362" w:type="dxa"/>
            <w:tcBorders>
              <w:top w:val="single" w:color="auto" w:sz="4" w:space="0"/>
              <w:left w:val="single" w:color="auto" w:sz="4" w:space="0"/>
              <w:bottom w:val="single" w:color="auto" w:sz="4" w:space="0"/>
              <w:right w:val="single" w:color="auto" w:sz="4" w:space="0"/>
            </w:tcBorders>
            <w:shd w:val="clear" w:color="auto" w:fill="auto"/>
            <w:vAlign w:val="center"/>
          </w:tcPr>
          <w:p>
            <w:pPr>
              <w:spacing w:line="240" w:lineRule="auto"/>
              <w:ind w:firstLine="0" w:firstLineChars="0"/>
              <w:jc w:val="center"/>
              <w:rPr>
                <w:bCs/>
                <w:color w:val="000000"/>
                <w:sz w:val="22"/>
                <w:szCs w:val="20"/>
              </w:rPr>
            </w:pPr>
            <w:r>
              <w:rPr>
                <w:rFonts w:hint="eastAsia" w:cs="宋体"/>
                <w:bCs/>
                <w:color w:val="000000"/>
                <w:sz w:val="22"/>
                <w:szCs w:val="20"/>
              </w:rPr>
              <w:t>套</w:t>
            </w:r>
          </w:p>
        </w:tc>
        <w:tc>
          <w:tcPr>
            <w:tcW w:w="1857" w:type="dxa"/>
            <w:vMerge w:val="continue"/>
            <w:tcBorders>
              <w:top w:val="single" w:color="auto" w:sz="4" w:space="0"/>
              <w:left w:val="single" w:color="auto" w:sz="4" w:space="0"/>
              <w:bottom w:val="single" w:color="auto" w:sz="4" w:space="0"/>
              <w:right w:val="single" w:color="auto" w:sz="4" w:space="0"/>
            </w:tcBorders>
            <w:shd w:val="clear" w:color="auto" w:fill="auto"/>
            <w:vAlign w:val="center"/>
          </w:tcPr>
          <w:p>
            <w:pPr>
              <w:spacing w:line="240" w:lineRule="auto"/>
              <w:ind w:firstLine="0" w:firstLineChars="0"/>
              <w:rPr>
                <w:rFonts w:ascii="Calibri" w:hAnsi="Calibri"/>
                <w:sz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54" w:hRule="atLeast"/>
          <w:jc w:val="center"/>
        </w:trPr>
        <w:tc>
          <w:tcPr>
            <w:tcW w:w="1064" w:type="dxa"/>
            <w:tcBorders>
              <w:top w:val="single" w:color="auto" w:sz="4" w:space="0"/>
              <w:left w:val="single" w:color="auto" w:sz="4" w:space="0"/>
              <w:bottom w:val="single" w:color="auto" w:sz="4" w:space="0"/>
              <w:right w:val="single" w:color="auto" w:sz="4" w:space="0"/>
            </w:tcBorders>
            <w:shd w:val="clear" w:color="auto" w:fill="auto"/>
            <w:vAlign w:val="center"/>
          </w:tcPr>
          <w:p>
            <w:pPr>
              <w:spacing w:line="240" w:lineRule="auto"/>
              <w:ind w:firstLine="0" w:firstLineChars="0"/>
              <w:jc w:val="center"/>
              <w:rPr>
                <w:bCs/>
                <w:color w:val="000000"/>
                <w:sz w:val="22"/>
              </w:rPr>
            </w:pPr>
            <w:r>
              <w:rPr>
                <w:rFonts w:hint="eastAsia"/>
                <w:bCs/>
                <w:color w:val="000000"/>
                <w:sz w:val="22"/>
              </w:rPr>
              <w:t>22</w:t>
            </w:r>
          </w:p>
        </w:tc>
        <w:tc>
          <w:tcPr>
            <w:tcW w:w="2417" w:type="dxa"/>
            <w:tcBorders>
              <w:top w:val="single" w:color="auto" w:sz="4" w:space="0"/>
              <w:left w:val="single" w:color="auto" w:sz="4" w:space="0"/>
              <w:bottom w:val="single" w:color="auto" w:sz="4" w:space="0"/>
              <w:right w:val="single" w:color="auto" w:sz="4" w:space="0"/>
            </w:tcBorders>
            <w:shd w:val="clear" w:color="auto" w:fill="auto"/>
            <w:vAlign w:val="center"/>
          </w:tcPr>
          <w:p>
            <w:pPr>
              <w:spacing w:line="240" w:lineRule="auto"/>
              <w:ind w:firstLine="0" w:firstLineChars="0"/>
              <w:jc w:val="center"/>
              <w:rPr>
                <w:bCs/>
                <w:color w:val="000000"/>
                <w:sz w:val="22"/>
              </w:rPr>
            </w:pPr>
            <w:r>
              <w:rPr>
                <w:rFonts w:hint="eastAsia" w:cs="宋体"/>
                <w:bCs/>
                <w:color w:val="000000"/>
                <w:sz w:val="22"/>
              </w:rPr>
              <w:t>应急监测设备</w:t>
            </w:r>
          </w:p>
        </w:tc>
        <w:tc>
          <w:tcPr>
            <w:tcW w:w="1822" w:type="dxa"/>
            <w:tcBorders>
              <w:top w:val="single" w:color="auto" w:sz="4" w:space="0"/>
              <w:left w:val="single" w:color="auto" w:sz="4" w:space="0"/>
              <w:bottom w:val="single" w:color="auto" w:sz="4" w:space="0"/>
              <w:right w:val="single" w:color="auto" w:sz="4" w:space="0"/>
            </w:tcBorders>
            <w:shd w:val="clear" w:color="auto" w:fill="auto"/>
            <w:vAlign w:val="center"/>
          </w:tcPr>
          <w:p>
            <w:pPr>
              <w:spacing w:line="240" w:lineRule="auto"/>
              <w:ind w:firstLine="0" w:firstLineChars="0"/>
              <w:jc w:val="center"/>
              <w:rPr>
                <w:bCs/>
                <w:color w:val="000000"/>
                <w:sz w:val="22"/>
              </w:rPr>
            </w:pPr>
            <w:r>
              <w:rPr>
                <w:bCs/>
                <w:color w:val="000000"/>
                <w:sz w:val="22"/>
              </w:rPr>
              <w:t>——</w:t>
            </w:r>
          </w:p>
        </w:tc>
        <w:tc>
          <w:tcPr>
            <w:tcW w:w="1362" w:type="dxa"/>
            <w:tcBorders>
              <w:top w:val="single" w:color="auto" w:sz="4" w:space="0"/>
              <w:left w:val="single" w:color="auto" w:sz="4" w:space="0"/>
              <w:bottom w:val="single" w:color="auto" w:sz="4" w:space="0"/>
              <w:right w:val="single" w:color="auto" w:sz="4" w:space="0"/>
            </w:tcBorders>
            <w:shd w:val="clear" w:color="auto" w:fill="auto"/>
            <w:vAlign w:val="center"/>
          </w:tcPr>
          <w:p>
            <w:pPr>
              <w:spacing w:line="240" w:lineRule="auto"/>
              <w:ind w:firstLine="0" w:firstLineChars="0"/>
              <w:jc w:val="center"/>
              <w:rPr>
                <w:bCs/>
                <w:color w:val="000000"/>
                <w:sz w:val="22"/>
              </w:rPr>
            </w:pPr>
            <w:r>
              <w:rPr>
                <w:bCs/>
                <w:color w:val="000000"/>
                <w:sz w:val="22"/>
              </w:rPr>
              <w:t>——</w:t>
            </w:r>
          </w:p>
        </w:tc>
        <w:tc>
          <w:tcPr>
            <w:tcW w:w="1857" w:type="dxa"/>
            <w:tcBorders>
              <w:top w:val="single" w:color="auto" w:sz="4" w:space="0"/>
              <w:left w:val="single" w:color="auto" w:sz="4" w:space="0"/>
              <w:bottom w:val="single" w:color="auto" w:sz="4" w:space="0"/>
              <w:right w:val="single" w:color="auto" w:sz="4" w:space="0"/>
            </w:tcBorders>
            <w:shd w:val="clear" w:color="auto" w:fill="auto"/>
            <w:vAlign w:val="center"/>
          </w:tcPr>
          <w:p>
            <w:pPr>
              <w:spacing w:line="240" w:lineRule="auto"/>
              <w:ind w:firstLine="0" w:firstLineChars="0"/>
              <w:jc w:val="center"/>
              <w:rPr>
                <w:bCs/>
                <w:color w:val="000000"/>
                <w:sz w:val="22"/>
                <w:highlight w:val="yellow"/>
              </w:rPr>
            </w:pPr>
            <w:r>
              <w:rPr>
                <w:rFonts w:hint="eastAsia" w:cs="宋体"/>
                <w:bCs/>
                <w:color w:val="000000"/>
                <w:sz w:val="22"/>
              </w:rPr>
              <w:t>由岳阳市环境监测站提供</w:t>
            </w:r>
          </w:p>
        </w:tc>
      </w:tr>
    </w:tbl>
    <w:p>
      <w:pPr>
        <w:pStyle w:val="17"/>
        <w:ind w:firstLine="0" w:firstLineChars="0"/>
        <w:jc w:val="center"/>
        <w:rPr>
          <w:rFonts w:ascii="Times New Roman" w:hAnsi="Times New Roman" w:cs="Times New Roman"/>
          <w:b/>
          <w:color w:val="000000" w:themeColor="text1"/>
          <w:sz w:val="21"/>
        </w:rPr>
      </w:pPr>
    </w:p>
    <w:p>
      <w:pPr>
        <w:pStyle w:val="3"/>
        <w:rPr>
          <w:color w:val="000000" w:themeColor="text1"/>
        </w:rPr>
      </w:pPr>
      <w:bookmarkStart w:id="327" w:name="_Toc535851350"/>
      <w:r>
        <w:rPr>
          <w:rFonts w:hint="eastAsia"/>
          <w:color w:val="000000" w:themeColor="text1"/>
        </w:rPr>
        <w:t>5.3应急工程设施调查</w:t>
      </w:r>
      <w:bookmarkEnd w:id="327"/>
    </w:p>
    <w:p>
      <w:pPr>
        <w:pStyle w:val="4"/>
        <w:ind w:firstLine="480"/>
      </w:pPr>
      <w:r>
        <w:rPr>
          <w:rFonts w:hint="eastAsia"/>
        </w:rPr>
        <w:t>铁山水库溢洪道位于大坝左岸天然低垭处，堰顶设也10*9.3m弧形钢闸门；北干渠共布置泄洪闸10处，渠尾退水闸1处。</w:t>
      </w:r>
    </w:p>
    <w:p>
      <w:pPr>
        <w:pStyle w:val="3"/>
        <w:rPr>
          <w:color w:val="000000" w:themeColor="text1"/>
        </w:rPr>
      </w:pPr>
      <w:bookmarkStart w:id="328" w:name="_Toc535851351"/>
      <w:r>
        <w:rPr>
          <w:rFonts w:hint="eastAsia"/>
          <w:color w:val="000000" w:themeColor="text1"/>
        </w:rPr>
        <w:t>5.4应急预案调查</w:t>
      </w:r>
      <w:bookmarkEnd w:id="328"/>
    </w:p>
    <w:p>
      <w:pPr>
        <w:pStyle w:val="32"/>
        <w:widowControl w:val="0"/>
        <w:adjustRightInd w:val="0"/>
        <w:snapToGrid w:val="0"/>
        <w:spacing w:before="0" w:beforeAutospacing="0" w:after="0" w:afterAutospacing="0" w:line="360" w:lineRule="auto"/>
        <w:ind w:firstLine="480" w:firstLineChars="200"/>
        <w:jc w:val="both"/>
        <w:rPr>
          <w:szCs w:val="22"/>
        </w:rPr>
      </w:pPr>
      <w:r>
        <w:rPr>
          <w:rFonts w:hint="eastAsia" w:ascii="Times New Roman" w:hAnsi="Times New Roman"/>
        </w:rPr>
        <w:t>本应急预案编写过程中调查了《湖南省突发环境事件应急预案》、</w:t>
      </w:r>
      <w:r>
        <w:rPr>
          <w:rFonts w:hint="eastAsia" w:cs="Times New Roman"/>
          <w:color w:val="000000"/>
        </w:rPr>
        <w:t>《</w:t>
      </w:r>
      <w:r>
        <w:rPr>
          <w:rStyle w:val="123"/>
          <w:rFonts w:hint="eastAsia" w:ascii="宋体" w:hAnsi="宋体" w:cs="宋体"/>
          <w:color w:val="000000"/>
          <w:sz w:val="24"/>
          <w:szCs w:val="24"/>
        </w:rPr>
        <w:t>岳阳市突发事件总体应急预案》</w:t>
      </w:r>
      <w:r>
        <w:rPr>
          <w:rStyle w:val="123"/>
          <w:rFonts w:hint="eastAsia" w:cs="宋体"/>
          <w:color w:val="000000"/>
          <w:sz w:val="24"/>
          <w:szCs w:val="24"/>
        </w:rPr>
        <w:t>、</w:t>
      </w:r>
      <w:r>
        <w:rPr>
          <w:rFonts w:hint="eastAsia" w:ascii="Times New Roman" w:hAnsi="Times New Roman"/>
        </w:rPr>
        <w:t>《</w:t>
      </w:r>
      <w:r>
        <w:rPr>
          <w:rFonts w:hint="eastAsia"/>
          <w:color w:val="000000"/>
        </w:rPr>
        <w:t>岳阳市环境污染突发事件应急预案》</w:t>
      </w:r>
      <w:r>
        <w:rPr>
          <w:rStyle w:val="123"/>
          <w:rFonts w:hint="eastAsia" w:cs="宋体"/>
          <w:color w:val="000000"/>
          <w:sz w:val="24"/>
          <w:szCs w:val="24"/>
        </w:rPr>
        <w:t>、《</w:t>
      </w:r>
      <w:r>
        <w:rPr>
          <w:rFonts w:hint="eastAsia" w:cs="Times New Roman"/>
          <w:color w:val="000000"/>
        </w:rPr>
        <w:t>岳阳市城市供水事故应急预案</w:t>
      </w:r>
      <w:r>
        <w:rPr>
          <w:rStyle w:val="123"/>
          <w:rFonts w:hint="eastAsia" w:ascii="宋体" w:hAnsi="宋体" w:cs="宋体"/>
          <w:color w:val="000000"/>
          <w:sz w:val="24"/>
          <w:szCs w:val="24"/>
        </w:rPr>
        <w:t>》</w:t>
      </w:r>
      <w:r>
        <w:rPr>
          <w:rFonts w:hint="eastAsia" w:ascii="Times New Roman" w:hAnsi="Times New Roman"/>
          <w:szCs w:val="22"/>
        </w:rPr>
        <w:t>。</w:t>
      </w:r>
    </w:p>
    <w:p>
      <w:pPr>
        <w:widowControl/>
        <w:shd w:val="clear" w:color="auto" w:fill="FFFFFF"/>
        <w:rPr>
          <w:rFonts w:ascii="ˎ̥" w:hAnsi="ˎ̥" w:eastAsia="ˎ̥" w:cs="宋体"/>
          <w:color w:val="333333"/>
          <w:kern w:val="0"/>
          <w:szCs w:val="24"/>
          <w:shd w:val="clear" w:color="auto" w:fill="FFFFFF"/>
        </w:rPr>
      </w:pPr>
      <w:r>
        <w:rPr>
          <w:rFonts w:hint="eastAsia" w:cs="宋体"/>
          <w:kern w:val="0"/>
        </w:rPr>
        <w:t>政府方面应急预案均分为四个响应级别，对应不同的应急处置方式，应急指挥体系具有关联性。</w:t>
      </w:r>
      <w:r>
        <w:rPr>
          <w:rFonts w:hint="eastAsia" w:ascii="宋体" w:hAnsi="宋体"/>
          <w:color w:val="000000"/>
          <w:szCs w:val="24"/>
        </w:rPr>
        <w:t>岳阳市城市供水事故应急预案</w:t>
      </w:r>
      <w:r>
        <w:rPr>
          <w:rFonts w:hint="eastAsia" w:cs="宋体"/>
          <w:kern w:val="0"/>
        </w:rPr>
        <w:t>分为四级响应。</w:t>
      </w:r>
      <w:r>
        <w:rPr>
          <w:rFonts w:ascii="ˎ̥" w:hAnsi="ˎ̥" w:eastAsia="ˎ̥" w:cs="宋体"/>
          <w:color w:val="333333"/>
          <w:szCs w:val="24"/>
        </w:rPr>
        <w:t>一般城市供水事故发生后，县、市、区城市供水事故应急指挥部决定启动城市供水事故应急预案，组织有关部门单位开展应急救援工作。</w:t>
      </w:r>
      <w:r>
        <w:rPr>
          <w:rFonts w:ascii="ˎ̥" w:hAnsi="ˎ̥" w:eastAsia="ˎ̥" w:cs="宋体"/>
          <w:color w:val="333333"/>
          <w:kern w:val="0"/>
          <w:szCs w:val="24"/>
          <w:shd w:val="clear" w:color="auto" w:fill="FFFFFF"/>
        </w:rPr>
        <w:t>较大城市供水事故发生后，市供水事故应急指挥部决定启动城市供水事故应急预案，领导和指挥城市供水事故应急处置工作，并及时向省供水事故应急指挥部和市人民政府报告有关情况。</w:t>
      </w:r>
      <w:r>
        <w:rPr>
          <w:rFonts w:ascii="ˎ̥" w:hAnsi="ˎ̥" w:eastAsia="ˎ̥" w:cs="宋体"/>
          <w:color w:val="333333"/>
          <w:szCs w:val="24"/>
        </w:rPr>
        <w:t>重大、特别重大城市供水事故发生后，由省供水事故应急指挥部决定启动城市供水事故应急预案。市供水事故应急指挥部办公室和事发地县、市、区城市供水事故应急指挥部按照应急预案先期组织救援，并及时向省人民政府及有关部门、省供水事故应急指挥部报告救援工作情况。</w:t>
      </w:r>
    </w:p>
    <w:p>
      <w:pPr>
        <w:pStyle w:val="4"/>
        <w:ind w:firstLine="480"/>
      </w:pPr>
    </w:p>
    <w:p>
      <w:pPr>
        <w:autoSpaceDE w:val="0"/>
        <w:autoSpaceDN w:val="0"/>
        <w:adjustRightInd w:val="0"/>
        <w:spacing w:line="480" w:lineRule="exact"/>
        <w:ind w:firstLine="0" w:firstLineChars="0"/>
        <w:rPr>
          <w:color w:val="000000" w:themeColor="text1"/>
          <w:kern w:val="0"/>
          <w:highlight w:val="yellow"/>
        </w:rPr>
      </w:pPr>
    </w:p>
    <w:p>
      <w:pPr>
        <w:autoSpaceDE w:val="0"/>
        <w:autoSpaceDN w:val="0"/>
        <w:adjustRightInd w:val="0"/>
        <w:spacing w:line="480" w:lineRule="exact"/>
        <w:ind w:firstLine="0" w:firstLineChars="0"/>
        <w:rPr>
          <w:color w:val="000000" w:themeColor="text1"/>
          <w:kern w:val="0"/>
          <w:highlight w:val="yellow"/>
        </w:rPr>
        <w:sectPr>
          <w:footerReference r:id="rId17" w:type="default"/>
          <w:pgSz w:w="11906" w:h="16838"/>
          <w:pgMar w:top="1440" w:right="1800" w:bottom="1440" w:left="1800" w:header="851" w:footer="992" w:gutter="0"/>
          <w:cols w:space="425" w:num="1"/>
          <w:docGrid w:type="lines" w:linePitch="312" w:charSpace="0"/>
        </w:sectPr>
      </w:pPr>
    </w:p>
    <w:p>
      <w:pPr>
        <w:autoSpaceDE w:val="0"/>
        <w:autoSpaceDN w:val="0"/>
        <w:adjustRightInd w:val="0"/>
        <w:spacing w:line="480" w:lineRule="exact"/>
        <w:ind w:firstLine="0" w:firstLineChars="0"/>
        <w:rPr>
          <w:color w:val="000000" w:themeColor="text1"/>
          <w:kern w:val="0"/>
          <w:highlight w:val="yellow"/>
        </w:rPr>
      </w:pPr>
    </w:p>
    <w:p>
      <w:pPr>
        <w:pStyle w:val="2"/>
        <w:ind w:firstLine="883"/>
      </w:pPr>
    </w:p>
    <w:p>
      <w:pPr>
        <w:pStyle w:val="2"/>
        <w:ind w:firstLine="883"/>
      </w:pPr>
    </w:p>
    <w:p/>
    <w:p/>
    <w:p/>
    <w:p>
      <w:pPr>
        <w:jc w:val="center"/>
        <w:outlineLvl w:val="0"/>
      </w:pPr>
    </w:p>
    <w:p>
      <w:pPr>
        <w:pStyle w:val="2"/>
        <w:ind w:firstLine="0" w:firstLineChars="0"/>
        <w:jc w:val="center"/>
      </w:pPr>
      <w:bookmarkStart w:id="329" w:name="_Toc535851352"/>
      <w:r>
        <w:rPr>
          <w:rFonts w:hint="eastAsia"/>
        </w:rPr>
        <w:t>第四部分  应急防控体系建设</w:t>
      </w:r>
      <w:bookmarkEnd w:id="329"/>
    </w:p>
    <w:p>
      <w:pPr>
        <w:autoSpaceDE w:val="0"/>
        <w:autoSpaceDN w:val="0"/>
        <w:adjustRightInd w:val="0"/>
        <w:ind w:firstLine="0" w:firstLineChars="0"/>
        <w:jc w:val="center"/>
        <w:rPr>
          <w:rFonts w:ascii="宋体" w:hAnsi="宋体" w:cs="宋体"/>
          <w:b/>
          <w:color w:val="000000" w:themeColor="text1"/>
          <w:sz w:val="52"/>
          <w:szCs w:val="52"/>
        </w:rPr>
      </w:pPr>
      <w:r>
        <w:rPr>
          <w:rFonts w:hint="eastAsia" w:ascii="宋体" w:hAnsi="宋体" w:cs="宋体"/>
          <w:b/>
          <w:color w:val="000000" w:themeColor="text1"/>
          <w:sz w:val="52"/>
          <w:szCs w:val="52"/>
        </w:rPr>
        <w:br w:type="page"/>
      </w:r>
    </w:p>
    <w:p>
      <w:pPr>
        <w:pStyle w:val="3"/>
      </w:pPr>
      <w:bookmarkStart w:id="330" w:name="_Toc535851353"/>
      <w:r>
        <w:rPr>
          <w:rFonts w:hint="eastAsia"/>
        </w:rPr>
        <w:t>1、现有应急能力情况说明</w:t>
      </w:r>
      <w:bookmarkEnd w:id="330"/>
    </w:p>
    <w:p>
      <w:pPr>
        <w:rPr>
          <w:color w:val="000000"/>
          <w:szCs w:val="24"/>
        </w:rPr>
      </w:pPr>
      <w:r>
        <w:rPr>
          <w:rFonts w:hint="eastAsia" w:cs="宋体"/>
          <w:color w:val="000000"/>
          <w:szCs w:val="24"/>
        </w:rPr>
        <w:t>（</w:t>
      </w:r>
      <w:r>
        <w:rPr>
          <w:color w:val="000000"/>
          <w:szCs w:val="24"/>
        </w:rPr>
        <w:t>1</w:t>
      </w:r>
      <w:r>
        <w:rPr>
          <w:rFonts w:hint="eastAsia" w:cs="宋体"/>
          <w:color w:val="000000"/>
          <w:szCs w:val="24"/>
        </w:rPr>
        <w:t>）根据现场调查，岳阳市人民政府在</w:t>
      </w:r>
      <w:r>
        <w:rPr>
          <w:rFonts w:hint="eastAsia" w:cs="宋体"/>
          <w:bCs/>
          <w:color w:val="000000"/>
          <w:szCs w:val="24"/>
          <w:lang w:val="zh-CN"/>
        </w:rPr>
        <w:t>岳阳市饮用水源保护区（铁山水库-北干渠-金凤水库）</w:t>
      </w:r>
      <w:r>
        <w:rPr>
          <w:rFonts w:hint="eastAsia" w:cs="宋体"/>
          <w:color w:val="000000"/>
          <w:szCs w:val="24"/>
        </w:rPr>
        <w:t>设立了相关的饮用水水源保护区标示；</w:t>
      </w:r>
    </w:p>
    <w:p>
      <w:pPr>
        <w:pStyle w:val="120"/>
        <w:widowControl/>
        <w:ind w:firstLine="480"/>
        <w:rPr>
          <w:sz w:val="24"/>
          <w:szCs w:val="24"/>
        </w:rPr>
      </w:pPr>
      <w:r>
        <w:rPr>
          <w:rFonts w:hint="eastAsia" w:cs="宋体"/>
          <w:color w:val="000000"/>
          <w:sz w:val="24"/>
          <w:szCs w:val="24"/>
        </w:rPr>
        <w:t>（</w:t>
      </w:r>
      <w:r>
        <w:rPr>
          <w:color w:val="000000"/>
          <w:sz w:val="24"/>
          <w:szCs w:val="24"/>
        </w:rPr>
        <w:t>2</w:t>
      </w:r>
      <w:r>
        <w:rPr>
          <w:rFonts w:hint="eastAsia" w:cs="宋体"/>
          <w:color w:val="000000"/>
          <w:sz w:val="24"/>
          <w:szCs w:val="24"/>
        </w:rPr>
        <w:t>）</w:t>
      </w:r>
      <w:r>
        <w:rPr>
          <w:rFonts w:hint="eastAsia" w:cs="宋体"/>
          <w:sz w:val="24"/>
          <w:szCs w:val="24"/>
        </w:rPr>
        <w:t>岳阳市人民政府设置了湖长、河长公示牌及界碑、警示牌、宣传牌等。</w:t>
      </w:r>
    </w:p>
    <w:p>
      <w:pPr>
        <w:rPr>
          <w:rFonts w:cs="宋体"/>
          <w:color w:val="000000"/>
          <w:szCs w:val="24"/>
        </w:rPr>
      </w:pPr>
      <w:r>
        <w:rPr>
          <w:rFonts w:hint="eastAsia" w:cs="宋体"/>
          <w:color w:val="000000"/>
          <w:szCs w:val="24"/>
        </w:rPr>
        <w:t>（</w:t>
      </w:r>
      <w:r>
        <w:rPr>
          <w:color w:val="000000"/>
          <w:szCs w:val="24"/>
        </w:rPr>
        <w:t>3</w:t>
      </w:r>
      <w:r>
        <w:rPr>
          <w:rFonts w:hint="eastAsia" w:cs="宋体"/>
          <w:color w:val="000000"/>
          <w:szCs w:val="24"/>
        </w:rPr>
        <w:t>）岳阳市自来水公司已编制突发环境事件应急预案，且配套有相关的应急储备物资。对原水发生水质突发事件时，采取应急措施，并与岳阳市自来水公司采取联动措施。根据相关单位提供的资料可知，目前岳阳市备用水源为市一水厂原洞庭湖取水口。</w:t>
      </w:r>
    </w:p>
    <w:p>
      <w:pPr>
        <w:rPr>
          <w:rFonts w:cs="宋体"/>
          <w:szCs w:val="24"/>
        </w:rPr>
      </w:pPr>
      <w:r>
        <w:rPr>
          <w:rFonts w:hint="eastAsia" w:cs="宋体"/>
          <w:color w:val="000000"/>
          <w:szCs w:val="24"/>
        </w:rPr>
        <w:t>（4）</w:t>
      </w:r>
      <w:r>
        <w:rPr>
          <w:color w:val="000000"/>
          <w:szCs w:val="24"/>
        </w:rPr>
        <w:t>X034</w:t>
      </w:r>
      <w:r>
        <w:rPr>
          <w:rFonts w:hint="eastAsia" w:cs="宋体"/>
          <w:color w:val="000000"/>
          <w:szCs w:val="24"/>
        </w:rPr>
        <w:t>上跨北干渠</w:t>
      </w:r>
      <w:r>
        <w:rPr>
          <w:rFonts w:hint="eastAsia" w:cs="宋体"/>
          <w:szCs w:val="24"/>
        </w:rPr>
        <w:t>设置了防撞护栏及桥面径流导流措施。</w:t>
      </w:r>
    </w:p>
    <w:p>
      <w:pPr>
        <w:rPr>
          <w:rFonts w:cs="宋体"/>
          <w:szCs w:val="24"/>
        </w:rPr>
      </w:pPr>
      <w:r>
        <w:rPr>
          <w:rFonts w:hint="eastAsia" w:cs="宋体"/>
          <w:szCs w:val="24"/>
        </w:rPr>
        <w:t>（5）</w:t>
      </w:r>
      <w:r>
        <w:rPr>
          <w:rFonts w:hint="eastAsia" w:cs="宋体"/>
          <w:color w:val="000000"/>
          <w:szCs w:val="24"/>
        </w:rPr>
        <w:t>北干渠正昌矿业段由</w:t>
      </w:r>
      <w:r>
        <w:rPr>
          <w:rFonts w:hint="eastAsia" w:cs="宋体"/>
          <w:szCs w:val="24"/>
        </w:rPr>
        <w:t>明渠改为暗渠，确保正昌矿业周边地表水不流入北干渠。</w:t>
      </w:r>
    </w:p>
    <w:p>
      <w:pPr>
        <w:rPr>
          <w:rFonts w:cs="宋体"/>
          <w:szCs w:val="24"/>
        </w:rPr>
      </w:pPr>
      <w:r>
        <w:rPr>
          <w:rFonts w:hint="eastAsia" w:cs="宋体"/>
          <w:szCs w:val="24"/>
        </w:rPr>
        <w:t>（6）</w:t>
      </w:r>
      <w:r>
        <w:rPr>
          <w:rFonts w:hint="eastAsia" w:cs="宋体"/>
          <w:color w:val="000000"/>
          <w:szCs w:val="24"/>
        </w:rPr>
        <w:t>金凤水库东面居民点旁边</w:t>
      </w:r>
      <w:r>
        <w:rPr>
          <w:rFonts w:hint="eastAsia" w:cs="宋体"/>
          <w:szCs w:val="24"/>
        </w:rPr>
        <w:t>修建实体围墙及截排水沟，将保护区与居民分离。</w:t>
      </w:r>
    </w:p>
    <w:p>
      <w:pPr>
        <w:rPr>
          <w:rFonts w:cs="宋体"/>
          <w:szCs w:val="24"/>
        </w:rPr>
      </w:pPr>
      <w:r>
        <w:rPr>
          <w:rFonts w:hint="eastAsia" w:cs="宋体"/>
          <w:szCs w:val="24"/>
        </w:rPr>
        <w:t>（7）金凤水库保护区范围全部安装防护网或围墙，铁山水库一级保护区范围内安装防护网，北干渠部分已安装防护网或修建实体围墙。</w:t>
      </w:r>
    </w:p>
    <w:p>
      <w:pPr>
        <w:pStyle w:val="32"/>
        <w:widowControl w:val="0"/>
        <w:spacing w:before="0" w:beforeAutospacing="0" w:after="0" w:afterAutospacing="0" w:line="360" w:lineRule="auto"/>
        <w:ind w:firstLine="480" w:firstLineChars="200"/>
        <w:jc w:val="both"/>
        <w:rPr>
          <w:rFonts w:ascii="Times New Roman" w:hAnsi="Times New Roman"/>
          <w:kern w:val="2"/>
        </w:rPr>
      </w:pPr>
      <w:r>
        <w:rPr>
          <w:rFonts w:hint="eastAsia"/>
          <w:kern w:val="2"/>
        </w:rPr>
        <w:t>（8）近几年，岳阳县环境监测站加强了对饮用水源地监测体系建设，</w:t>
      </w:r>
      <w:r>
        <w:rPr>
          <w:rFonts w:hint="eastAsia" w:ascii="Times New Roman" w:hAnsi="Times New Roman"/>
          <w:color w:val="000000"/>
          <w:kern w:val="2"/>
        </w:rPr>
        <w:t>根据铁山水库水环境功能要求，结合铁山水库来水、供水和周边环境情况，按照地表水环境监测规范，在月田河、毛田河、南、北干渠取水口等地方共设置了7个监测点位，每月监测1次</w:t>
      </w:r>
      <w:r>
        <w:rPr>
          <w:rFonts w:hint="eastAsia"/>
          <w:color w:val="000000"/>
          <w:kern w:val="2"/>
        </w:rPr>
        <w:t>，监测项目达到29个。每半年由</w:t>
      </w:r>
      <w:r>
        <w:rPr>
          <w:rFonts w:hint="eastAsia" w:ascii="Times New Roman" w:hAnsi="Times New Roman"/>
          <w:kern w:val="2"/>
        </w:rPr>
        <w:t>开展一次</w:t>
      </w:r>
      <w:r>
        <w:rPr>
          <w:rFonts w:ascii="Times New Roman" w:hAnsi="Times New Roman" w:cs="Times New Roman"/>
          <w:kern w:val="2"/>
        </w:rPr>
        <w:t>109</w:t>
      </w:r>
      <w:r>
        <w:rPr>
          <w:rFonts w:hint="eastAsia" w:ascii="Times New Roman" w:hAnsi="Times New Roman"/>
          <w:kern w:val="2"/>
        </w:rPr>
        <w:t>项全分析（《地表水环境质量标准》（</w:t>
      </w:r>
      <w:r>
        <w:rPr>
          <w:rFonts w:ascii="Times New Roman" w:hAnsi="Times New Roman" w:cs="Times New Roman"/>
          <w:kern w:val="2"/>
        </w:rPr>
        <w:t>GB3838-2002</w:t>
      </w:r>
      <w:r>
        <w:rPr>
          <w:rFonts w:hint="eastAsia" w:ascii="Times New Roman" w:hAnsi="Times New Roman"/>
          <w:kern w:val="2"/>
        </w:rPr>
        <w:t>）中基本项目表</w:t>
      </w:r>
      <w:r>
        <w:rPr>
          <w:rFonts w:ascii="Times New Roman" w:hAnsi="Times New Roman" w:cs="Times New Roman"/>
          <w:kern w:val="2"/>
        </w:rPr>
        <w:t>1</w:t>
      </w:r>
      <w:r>
        <w:rPr>
          <w:rFonts w:hint="eastAsia" w:ascii="Times New Roman" w:hAnsi="Times New Roman"/>
          <w:kern w:val="2"/>
        </w:rPr>
        <w:t>的</w:t>
      </w:r>
      <w:r>
        <w:rPr>
          <w:rFonts w:ascii="Times New Roman" w:hAnsi="Times New Roman" w:cs="Times New Roman"/>
          <w:kern w:val="2"/>
        </w:rPr>
        <w:t>24</w:t>
      </w:r>
      <w:r>
        <w:rPr>
          <w:rFonts w:hint="eastAsia" w:ascii="Times New Roman" w:hAnsi="Times New Roman"/>
          <w:kern w:val="2"/>
        </w:rPr>
        <w:t>项，补充和特定项目表</w:t>
      </w:r>
      <w:r>
        <w:rPr>
          <w:rFonts w:ascii="Times New Roman" w:hAnsi="Times New Roman" w:cs="Times New Roman"/>
          <w:kern w:val="2"/>
        </w:rPr>
        <w:t>2</w:t>
      </w:r>
      <w:r>
        <w:rPr>
          <w:rFonts w:hint="eastAsia" w:ascii="Times New Roman" w:hAnsi="Times New Roman"/>
          <w:kern w:val="2"/>
        </w:rPr>
        <w:t>的</w:t>
      </w:r>
      <w:r>
        <w:rPr>
          <w:rFonts w:ascii="Times New Roman" w:hAnsi="Times New Roman" w:cs="Times New Roman"/>
          <w:kern w:val="2"/>
        </w:rPr>
        <w:t>5</w:t>
      </w:r>
      <w:r>
        <w:rPr>
          <w:rFonts w:hint="eastAsia" w:ascii="Times New Roman" w:hAnsi="Times New Roman"/>
          <w:kern w:val="2"/>
        </w:rPr>
        <w:t>项、表</w:t>
      </w:r>
      <w:r>
        <w:rPr>
          <w:rFonts w:ascii="Times New Roman" w:hAnsi="Times New Roman" w:cs="Times New Roman"/>
          <w:kern w:val="2"/>
        </w:rPr>
        <w:t>3</w:t>
      </w:r>
      <w:r>
        <w:rPr>
          <w:rFonts w:hint="eastAsia" w:ascii="Times New Roman" w:hAnsi="Times New Roman"/>
          <w:kern w:val="2"/>
        </w:rPr>
        <w:t>的</w:t>
      </w:r>
      <w:r>
        <w:rPr>
          <w:rFonts w:ascii="Times New Roman" w:hAnsi="Times New Roman" w:cs="Times New Roman"/>
          <w:kern w:val="2"/>
        </w:rPr>
        <w:t>80</w:t>
      </w:r>
      <w:r>
        <w:rPr>
          <w:rFonts w:hint="eastAsia" w:ascii="Times New Roman" w:hAnsi="Times New Roman"/>
          <w:kern w:val="2"/>
        </w:rPr>
        <w:t>项，共计</w:t>
      </w:r>
      <w:r>
        <w:rPr>
          <w:rFonts w:ascii="Times New Roman" w:hAnsi="Times New Roman" w:cs="Times New Roman"/>
          <w:kern w:val="2"/>
        </w:rPr>
        <w:t>109</w:t>
      </w:r>
      <w:r>
        <w:rPr>
          <w:rFonts w:hint="eastAsia" w:ascii="Times New Roman" w:hAnsi="Times New Roman"/>
          <w:kern w:val="2"/>
        </w:rPr>
        <w:t>项），及时将监测数据上报至市站、省中心站和国家总站并网上公布水质状况。</w:t>
      </w:r>
    </w:p>
    <w:p>
      <w:pPr>
        <w:pStyle w:val="32"/>
        <w:widowControl w:val="0"/>
        <w:spacing w:before="0" w:beforeAutospacing="0" w:after="0" w:afterAutospacing="0" w:line="360" w:lineRule="auto"/>
        <w:ind w:firstLine="480" w:firstLineChars="200"/>
        <w:jc w:val="both"/>
        <w:rPr>
          <w:rFonts w:ascii="Times New Roman" w:hAnsi="Times New Roman"/>
          <w:kern w:val="2"/>
          <w:u w:val="single"/>
        </w:rPr>
      </w:pPr>
      <w:r>
        <w:rPr>
          <w:rFonts w:hint="eastAsia" w:ascii="Times New Roman" w:hAnsi="Times New Roman"/>
          <w:kern w:val="2"/>
          <w:u w:val="single"/>
        </w:rPr>
        <w:t>（9）中央专项检查提出的问题落实情况</w:t>
      </w:r>
    </w:p>
    <w:p>
      <w:pPr>
        <w:pStyle w:val="32"/>
        <w:widowControl w:val="0"/>
        <w:spacing w:before="0" w:beforeAutospacing="0" w:after="0" w:afterAutospacing="0" w:line="360" w:lineRule="auto"/>
        <w:ind w:firstLine="480" w:firstLineChars="200"/>
        <w:jc w:val="both"/>
        <w:rPr>
          <w:rFonts w:ascii="Times New Roman" w:hAnsi="Times New Roman" w:cs="Times New Roman"/>
          <w:kern w:val="2"/>
          <w:u w:val="single"/>
        </w:rPr>
      </w:pPr>
      <w:r>
        <w:rPr>
          <w:rFonts w:hint="eastAsia" w:ascii="Times New Roman" w:hAnsi="Times New Roman" w:cs="Times New Roman"/>
          <w:kern w:val="2"/>
          <w:u w:val="single"/>
        </w:rPr>
        <w:t>北干渠沿线有三个企业（两家矿场与一家加工企业）需要整治到位，具体为岳阳县广发采石场、临湘市正昌矿业有限公司、经开区岳阳远大预制构件有限公司，具体问题及落实情况见下表。</w:t>
      </w:r>
    </w:p>
    <w:p>
      <w:pPr>
        <w:pStyle w:val="32"/>
        <w:widowControl w:val="0"/>
        <w:spacing w:before="0" w:beforeAutospacing="0" w:after="0" w:afterAutospacing="0" w:line="360" w:lineRule="auto"/>
        <w:ind w:firstLine="480" w:firstLineChars="200"/>
        <w:jc w:val="both"/>
        <w:rPr>
          <w:rFonts w:ascii="Times New Roman" w:hAnsi="Times New Roman" w:cs="Times New Roman"/>
          <w:kern w:val="2"/>
        </w:rPr>
      </w:pPr>
    </w:p>
    <w:p>
      <w:pPr>
        <w:pStyle w:val="32"/>
        <w:widowControl w:val="0"/>
        <w:spacing w:before="0" w:beforeAutospacing="0" w:after="0" w:afterAutospacing="0" w:line="360" w:lineRule="auto"/>
        <w:ind w:firstLine="480" w:firstLineChars="200"/>
        <w:jc w:val="both"/>
        <w:rPr>
          <w:rFonts w:ascii="Times New Roman" w:hAnsi="Times New Roman" w:cs="Times New Roman"/>
          <w:kern w:val="2"/>
        </w:rPr>
      </w:pPr>
    </w:p>
    <w:p>
      <w:pPr>
        <w:pStyle w:val="32"/>
        <w:widowControl w:val="0"/>
        <w:spacing w:before="0" w:beforeAutospacing="0" w:after="0" w:afterAutospacing="0" w:line="360" w:lineRule="auto"/>
        <w:ind w:firstLine="480" w:firstLineChars="200"/>
        <w:jc w:val="both"/>
        <w:rPr>
          <w:rFonts w:ascii="Times New Roman" w:hAnsi="Times New Roman" w:cs="Times New Roman"/>
          <w:kern w:val="2"/>
        </w:rPr>
      </w:pPr>
    </w:p>
    <w:tbl>
      <w:tblPr>
        <w:tblStyle w:val="48"/>
        <w:tblW w:w="852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359"/>
        <w:gridCol w:w="1815"/>
        <w:gridCol w:w="2085"/>
        <w:gridCol w:w="326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trPr>
        <w:tc>
          <w:tcPr>
            <w:tcW w:w="1359" w:type="dxa"/>
          </w:tcPr>
          <w:p>
            <w:pPr>
              <w:pStyle w:val="65"/>
              <w:widowControl w:val="0"/>
              <w:rPr>
                <w:u w:val="single"/>
              </w:rPr>
            </w:pPr>
            <w:r>
              <w:rPr>
                <w:rFonts w:hint="eastAsia"/>
                <w:u w:val="single"/>
              </w:rPr>
              <w:t>企业名称</w:t>
            </w:r>
          </w:p>
        </w:tc>
        <w:tc>
          <w:tcPr>
            <w:tcW w:w="1815" w:type="dxa"/>
          </w:tcPr>
          <w:p>
            <w:pPr>
              <w:pStyle w:val="65"/>
              <w:widowControl w:val="0"/>
              <w:rPr>
                <w:u w:val="single"/>
              </w:rPr>
            </w:pPr>
            <w:r>
              <w:rPr>
                <w:rFonts w:hint="eastAsia"/>
                <w:u w:val="single"/>
              </w:rPr>
              <w:t>地点</w:t>
            </w:r>
          </w:p>
        </w:tc>
        <w:tc>
          <w:tcPr>
            <w:tcW w:w="2085" w:type="dxa"/>
          </w:tcPr>
          <w:p>
            <w:pPr>
              <w:pStyle w:val="65"/>
              <w:widowControl w:val="0"/>
              <w:rPr>
                <w:u w:val="single"/>
              </w:rPr>
            </w:pPr>
            <w:r>
              <w:rPr>
                <w:rFonts w:hint="eastAsia"/>
                <w:u w:val="single"/>
              </w:rPr>
              <w:t>问题</w:t>
            </w:r>
          </w:p>
        </w:tc>
        <w:tc>
          <w:tcPr>
            <w:tcW w:w="3261" w:type="dxa"/>
          </w:tcPr>
          <w:p>
            <w:pPr>
              <w:pStyle w:val="65"/>
              <w:widowControl w:val="0"/>
              <w:rPr>
                <w:u w:val="single"/>
              </w:rPr>
            </w:pPr>
            <w:r>
              <w:rPr>
                <w:rFonts w:hint="eastAsia"/>
                <w:u w:val="single"/>
              </w:rPr>
              <w:t>整改措施</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trPr>
        <w:tc>
          <w:tcPr>
            <w:tcW w:w="1359" w:type="dxa"/>
            <w:vAlign w:val="center"/>
          </w:tcPr>
          <w:p>
            <w:pPr>
              <w:pStyle w:val="65"/>
              <w:widowControl w:val="0"/>
              <w:rPr>
                <w:u w:val="single"/>
              </w:rPr>
            </w:pPr>
            <w:r>
              <w:rPr>
                <w:rFonts w:hint="eastAsia"/>
                <w:u w:val="single"/>
              </w:rPr>
              <w:t>岳阳县广发采石场（原岳阳县鹏程采石场）</w:t>
            </w:r>
          </w:p>
        </w:tc>
        <w:tc>
          <w:tcPr>
            <w:tcW w:w="1815" w:type="dxa"/>
            <w:vAlign w:val="center"/>
          </w:tcPr>
          <w:p>
            <w:pPr>
              <w:pStyle w:val="65"/>
              <w:widowControl w:val="0"/>
              <w:rPr>
                <w:u w:val="single"/>
              </w:rPr>
            </w:pPr>
            <w:r>
              <w:rPr>
                <w:rFonts w:hint="eastAsia"/>
                <w:u w:val="single"/>
              </w:rPr>
              <w:t>岳阳县甘田乡甘田村</w:t>
            </w:r>
          </w:p>
        </w:tc>
        <w:tc>
          <w:tcPr>
            <w:tcW w:w="2085" w:type="dxa"/>
            <w:vAlign w:val="center"/>
          </w:tcPr>
          <w:p>
            <w:pPr>
              <w:pStyle w:val="65"/>
              <w:widowControl w:val="0"/>
              <w:rPr>
                <w:u w:val="single"/>
              </w:rPr>
            </w:pPr>
            <w:r>
              <w:rPr>
                <w:rFonts w:hint="eastAsia"/>
                <w:u w:val="single"/>
              </w:rPr>
              <w:t>雨水通过北干渠地下涵管排放，弃土、地表水可能冲刷排放到北干渠内，对水质造成一定影响</w:t>
            </w:r>
          </w:p>
        </w:tc>
        <w:tc>
          <w:tcPr>
            <w:tcW w:w="3261" w:type="dxa"/>
          </w:tcPr>
          <w:p>
            <w:pPr>
              <w:pStyle w:val="65"/>
              <w:widowControl w:val="0"/>
              <w:rPr>
                <w:u w:val="single"/>
              </w:rPr>
            </w:pPr>
            <w:r>
              <w:rPr>
                <w:rFonts w:hint="eastAsia"/>
                <w:u w:val="single"/>
              </w:rPr>
              <w:t>截止到2018年6月30日，岳阳县广发采石场共完成封闭渠道321米，渠段进行了填土复绿，并设置交通警示牌，拆除了保护区内所有建筑物，对北干渠段上游裸露矿区进行了复绿，面积3万多平方米，完成了整改任务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trPr>
        <w:tc>
          <w:tcPr>
            <w:tcW w:w="1359" w:type="dxa"/>
            <w:vAlign w:val="center"/>
          </w:tcPr>
          <w:p>
            <w:pPr>
              <w:pStyle w:val="65"/>
              <w:widowControl w:val="0"/>
              <w:rPr>
                <w:u w:val="single"/>
              </w:rPr>
            </w:pPr>
            <w:r>
              <w:rPr>
                <w:rFonts w:hint="eastAsia"/>
                <w:u w:val="single"/>
              </w:rPr>
              <w:t>正昌矿业有限公司</w:t>
            </w:r>
          </w:p>
        </w:tc>
        <w:tc>
          <w:tcPr>
            <w:tcW w:w="1815" w:type="dxa"/>
            <w:vAlign w:val="center"/>
          </w:tcPr>
          <w:p>
            <w:pPr>
              <w:pStyle w:val="65"/>
              <w:widowControl w:val="0"/>
              <w:rPr>
                <w:u w:val="single"/>
              </w:rPr>
            </w:pPr>
            <w:r>
              <w:rPr>
                <w:rFonts w:hint="eastAsia"/>
                <w:u w:val="single"/>
              </w:rPr>
              <w:t>临湘市长塘镇，北干渠穿越该公司（部分为隧道）</w:t>
            </w:r>
          </w:p>
        </w:tc>
        <w:tc>
          <w:tcPr>
            <w:tcW w:w="2085" w:type="dxa"/>
            <w:vAlign w:val="center"/>
          </w:tcPr>
          <w:p>
            <w:pPr>
              <w:pStyle w:val="65"/>
              <w:widowControl w:val="0"/>
              <w:rPr>
                <w:u w:val="single"/>
              </w:rPr>
            </w:pPr>
            <w:r>
              <w:rPr>
                <w:rFonts w:hint="eastAsia"/>
                <w:u w:val="single"/>
              </w:rPr>
              <w:t>厂区雨水及泥沙对干渠造成一定隐患</w:t>
            </w:r>
          </w:p>
        </w:tc>
        <w:tc>
          <w:tcPr>
            <w:tcW w:w="3261" w:type="dxa"/>
          </w:tcPr>
          <w:p>
            <w:pPr>
              <w:pStyle w:val="65"/>
              <w:widowControl w:val="0"/>
              <w:rPr>
                <w:u w:val="single"/>
              </w:rPr>
            </w:pPr>
            <w:r>
              <w:rPr>
                <w:rFonts w:hint="eastAsia"/>
                <w:u w:val="single"/>
              </w:rPr>
              <w:t>截止到2018年6月30日，临湘市正昌矿业已全面完成渠段封闭300米，并对渠段进行填土复绿，投入近200万元修筑了排水沟，设置了隔离拦网和警示标牌，拆除了原保护区内所有建筑物，完成了整改任务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trPr>
        <w:tc>
          <w:tcPr>
            <w:tcW w:w="1359" w:type="dxa"/>
            <w:vAlign w:val="center"/>
          </w:tcPr>
          <w:p>
            <w:pPr>
              <w:pStyle w:val="65"/>
              <w:widowControl w:val="0"/>
              <w:rPr>
                <w:u w:val="single"/>
              </w:rPr>
            </w:pPr>
            <w:r>
              <w:rPr>
                <w:rFonts w:hint="eastAsia"/>
                <w:u w:val="single"/>
              </w:rPr>
              <w:t>远大预制构件有限公司</w:t>
            </w:r>
          </w:p>
        </w:tc>
        <w:tc>
          <w:tcPr>
            <w:tcW w:w="1815" w:type="dxa"/>
            <w:vAlign w:val="center"/>
          </w:tcPr>
          <w:p>
            <w:pPr>
              <w:pStyle w:val="65"/>
              <w:widowControl w:val="0"/>
              <w:rPr>
                <w:u w:val="single"/>
              </w:rPr>
            </w:pPr>
            <w:r>
              <w:rPr>
                <w:rFonts w:hint="eastAsia"/>
                <w:u w:val="single"/>
              </w:rPr>
              <w:t>经开区岳阳</w:t>
            </w:r>
          </w:p>
        </w:tc>
        <w:tc>
          <w:tcPr>
            <w:tcW w:w="2085" w:type="dxa"/>
            <w:vAlign w:val="center"/>
          </w:tcPr>
          <w:p>
            <w:pPr>
              <w:pStyle w:val="65"/>
              <w:widowControl w:val="0"/>
              <w:rPr>
                <w:u w:val="single"/>
              </w:rPr>
            </w:pPr>
            <w:r>
              <w:rPr>
                <w:rFonts w:hint="eastAsia"/>
                <w:u w:val="single"/>
              </w:rPr>
              <w:t>项目无任何合法手续，并且还有一栋厂房的一部分（20米左右）在饮用水源地50米范围内</w:t>
            </w:r>
          </w:p>
        </w:tc>
        <w:tc>
          <w:tcPr>
            <w:tcW w:w="3261" w:type="dxa"/>
          </w:tcPr>
          <w:p>
            <w:pPr>
              <w:pStyle w:val="65"/>
              <w:widowControl w:val="0"/>
              <w:rPr>
                <w:u w:val="single"/>
              </w:rPr>
            </w:pPr>
            <w:r>
              <w:rPr>
                <w:rFonts w:hint="eastAsia"/>
                <w:u w:val="single"/>
              </w:rPr>
              <w:t>截止到2018年4月10日，经开区金凤桥管理处已对北干渠梅溪支渠126米渠道全部进行了“明改暗”工程，并对已封闭渠段填土复绿种植草皮，对未封闭段全部实施护栏隔离，对460米渠段砌做了60厘米高挡水墙，保护区范围设置了交通警示和水源地保护标识牌，清除了构件厂保护区周边所有建筑物，疏通了排水管道，确保厂区集雨范围雨水不流入渠道，完成了整改任务。</w:t>
            </w:r>
          </w:p>
        </w:tc>
      </w:tr>
    </w:tbl>
    <w:p>
      <w:pPr>
        <w:pStyle w:val="3"/>
      </w:pPr>
      <w:bookmarkStart w:id="331" w:name="_Toc535851354"/>
      <w:r>
        <w:rPr>
          <w:rFonts w:hint="eastAsia"/>
        </w:rPr>
        <w:t>2、风险源应急防控</w:t>
      </w:r>
      <w:bookmarkEnd w:id="331"/>
    </w:p>
    <w:p>
      <w:pPr>
        <w:rPr>
          <w:rFonts w:cs="宋体"/>
          <w:color w:val="000000"/>
          <w:szCs w:val="24"/>
        </w:rPr>
      </w:pPr>
      <w:r>
        <w:rPr>
          <w:rFonts w:hint="eastAsia" w:cs="宋体"/>
          <w:color w:val="000000"/>
          <w:szCs w:val="24"/>
        </w:rPr>
        <w:t>2.1固定风险源环境风险防控能力分析</w:t>
      </w:r>
    </w:p>
    <w:p>
      <w:pPr>
        <w:rPr>
          <w:rFonts w:cs="宋体"/>
          <w:color w:val="000000"/>
          <w:szCs w:val="24"/>
        </w:rPr>
      </w:pPr>
      <w:r>
        <w:rPr>
          <w:rFonts w:hint="eastAsia" w:ascii="宋体" w:cs="宋体"/>
          <w:color w:val="000000"/>
          <w:szCs w:val="24"/>
        </w:rPr>
        <w:t>根据现场调研，</w:t>
      </w:r>
      <w:r>
        <w:rPr>
          <w:rFonts w:hint="eastAsia"/>
          <w:bCs/>
          <w:color w:val="000000"/>
          <w:szCs w:val="24"/>
          <w:lang w:val="zh-CN"/>
        </w:rPr>
        <w:t>岳阳市饮用水源保护区（铁山水库-北干渠-金凤水库）固定风险源主要为铁山水库准级保护区内的四座加油站及二座污水处理厂，以及金凤水库一级保护区内的金凤水库管理所。</w:t>
      </w:r>
    </w:p>
    <w:p>
      <w:pPr>
        <w:pStyle w:val="32"/>
        <w:widowControl w:val="0"/>
        <w:spacing w:before="0" w:beforeAutospacing="0" w:after="0" w:afterAutospacing="0" w:line="360" w:lineRule="auto"/>
        <w:ind w:firstLine="480" w:firstLineChars="200"/>
        <w:jc w:val="both"/>
        <w:rPr>
          <w:rFonts w:ascii="Times New Roman" w:hAnsi="Times New Roman"/>
          <w:kern w:val="2"/>
        </w:rPr>
      </w:pPr>
      <w:r>
        <w:rPr>
          <w:rFonts w:hint="eastAsia" w:ascii="Times New Roman" w:hAnsi="Times New Roman"/>
          <w:kern w:val="2"/>
        </w:rPr>
        <w:t>金凤水库一级保护区内有金凤水库管理所，虽然生活污水通过管道引至库区外排放，但根据《中华人民共和国水污染防治法》第五十八条，禁止在饮用水水源一级保护区内新建、改建、扩建与供水设施和保护水源无关的建设项目；已建成的与供水设施和保护水源无关的建设项目，由县级以上人民政府责令拆除或者关闭。</w:t>
      </w:r>
    </w:p>
    <w:p>
      <w:pPr>
        <w:rPr>
          <w:rFonts w:cs="宋体"/>
          <w:color w:val="000000"/>
          <w:szCs w:val="24"/>
        </w:rPr>
      </w:pPr>
      <w:r>
        <w:rPr>
          <w:rFonts w:hint="eastAsia" w:cs="宋体"/>
          <w:color w:val="000000"/>
          <w:szCs w:val="24"/>
        </w:rPr>
        <w:t>整改建议：将金凤水库管理所搬迁至水源保护区外。</w:t>
      </w:r>
    </w:p>
    <w:p>
      <w:pPr>
        <w:rPr>
          <w:rFonts w:cs="宋体"/>
          <w:color w:val="000000"/>
          <w:szCs w:val="24"/>
        </w:rPr>
      </w:pPr>
      <w:r>
        <w:rPr>
          <w:rFonts w:hint="eastAsia" w:cs="宋体"/>
          <w:color w:val="000000"/>
          <w:szCs w:val="24"/>
        </w:rPr>
        <w:t>铁山水库准保护区内加油站一旦发生油品泄漏，可能会流入铁山水库影响水质。</w:t>
      </w:r>
    </w:p>
    <w:p>
      <w:pPr>
        <w:rPr>
          <w:rFonts w:cs="宋体"/>
          <w:color w:val="000000"/>
          <w:szCs w:val="24"/>
        </w:rPr>
      </w:pPr>
      <w:r>
        <w:rPr>
          <w:rFonts w:hint="eastAsia" w:cs="宋体"/>
          <w:color w:val="000000"/>
          <w:szCs w:val="24"/>
        </w:rPr>
        <w:t>整改建议：责令加油站做好突发环境事件应急预案，设置事故池，降低油品泄漏排入水库的可能，岳阳市环保局应联合岳阳县环保局及铁山供水工程管理局定期检查企业环境风险防控措施的运行情况、应急物资储备情况。</w:t>
      </w:r>
    </w:p>
    <w:p>
      <w:pPr>
        <w:rPr>
          <w:rFonts w:cs="宋体"/>
          <w:szCs w:val="24"/>
        </w:rPr>
      </w:pPr>
      <w:r>
        <w:rPr>
          <w:rFonts w:hint="eastAsia" w:cs="宋体"/>
          <w:color w:val="000000"/>
          <w:szCs w:val="24"/>
        </w:rPr>
        <w:t>2.2流动风险源环境风险防控能力分析</w:t>
      </w:r>
    </w:p>
    <w:p>
      <w:pPr>
        <w:rPr>
          <w:color w:val="000000"/>
        </w:rPr>
      </w:pPr>
      <w:r>
        <w:rPr>
          <w:rFonts w:hint="eastAsia" w:cs="宋体"/>
          <w:color w:val="000000"/>
        </w:rPr>
        <w:t>在</w:t>
      </w:r>
      <w:r>
        <w:rPr>
          <w:rFonts w:hint="eastAsia" w:cs="宋体"/>
          <w:bCs/>
          <w:color w:val="000000"/>
          <w:szCs w:val="24"/>
          <w:lang w:val="zh-CN"/>
        </w:rPr>
        <w:t>岳阳市饮用水源保护区（铁山水库-北干渠-金凤水库）</w:t>
      </w:r>
      <w:r>
        <w:rPr>
          <w:color w:val="000000"/>
        </w:rPr>
        <w:t>S61</w:t>
      </w:r>
      <w:r>
        <w:rPr>
          <w:rFonts w:hint="eastAsia" w:cs="宋体"/>
          <w:color w:val="000000"/>
        </w:rPr>
        <w:t>（岳临高速）上跨北干渠段，</w:t>
      </w:r>
      <w:r>
        <w:rPr>
          <w:rFonts w:hint="eastAsia" w:cs="宋体"/>
          <w:bCs/>
          <w:color w:val="000000"/>
        </w:rPr>
        <w:t>通过现场调查可知，穿越北干渠段无桥面径流收集系统，若发生危险物质泄漏时容易泄漏进</w:t>
      </w:r>
      <w:r>
        <w:rPr>
          <w:rFonts w:hint="eastAsia" w:cs="宋体"/>
          <w:bCs/>
          <w:color w:val="000000"/>
          <w:szCs w:val="24"/>
        </w:rPr>
        <w:t>入水体，桥头设置有饮用水源保护区标志，但不够醒目；</w:t>
      </w:r>
      <w:r>
        <w:rPr>
          <w:rFonts w:hint="eastAsia" w:cs="宋体"/>
          <w:color w:val="000000"/>
          <w:szCs w:val="24"/>
        </w:rPr>
        <w:t>在</w:t>
      </w:r>
      <w:r>
        <w:rPr>
          <w:rFonts w:hint="eastAsia" w:cs="宋体"/>
          <w:bCs/>
          <w:color w:val="000000"/>
          <w:szCs w:val="24"/>
          <w:lang w:val="zh-CN"/>
        </w:rPr>
        <w:t>岳阳市饮用水源保护区（铁山水库-北干渠-金凤水库）</w:t>
      </w:r>
      <w:r>
        <w:rPr>
          <w:kern w:val="0"/>
          <w:szCs w:val="24"/>
        </w:rPr>
        <w:t>X034</w:t>
      </w:r>
      <w:r>
        <w:rPr>
          <w:rFonts w:hint="eastAsia" w:ascii="宋体" w:hAnsi="宋体" w:cs="宋体"/>
          <w:kern w:val="0"/>
          <w:szCs w:val="24"/>
        </w:rPr>
        <w:t>和</w:t>
      </w:r>
      <w:r>
        <w:rPr>
          <w:kern w:val="0"/>
          <w:szCs w:val="24"/>
        </w:rPr>
        <w:t>X306</w:t>
      </w:r>
      <w:r>
        <w:rPr>
          <w:rFonts w:hint="eastAsia" w:ascii="宋体" w:hAnsi="宋体" w:cs="宋体"/>
          <w:kern w:val="0"/>
          <w:szCs w:val="24"/>
        </w:rPr>
        <w:t>穿过铁山水库二级保护区，</w:t>
      </w:r>
      <w:r>
        <w:rPr>
          <w:rFonts w:hint="eastAsia" w:cs="宋体"/>
          <w:color w:val="000000"/>
          <w:szCs w:val="24"/>
        </w:rPr>
        <w:t>尚未建设事故导流槽、雨水收集系统和应急池等设施，</w:t>
      </w:r>
      <w:r>
        <w:rPr>
          <w:rFonts w:hint="eastAsia" w:cs="宋体"/>
          <w:bCs/>
          <w:color w:val="000000"/>
          <w:szCs w:val="24"/>
        </w:rPr>
        <w:t>若发生危险物质泄漏时容易泄漏进入水体。</w:t>
      </w:r>
    </w:p>
    <w:p>
      <w:pPr>
        <w:rPr>
          <w:bCs/>
          <w:color w:val="000000"/>
        </w:rPr>
      </w:pPr>
      <w:r>
        <w:rPr>
          <w:rFonts w:hint="eastAsia" w:cs="宋体"/>
          <w:bCs/>
          <w:color w:val="000000"/>
        </w:rPr>
        <w:t>鉴于以上情况，建议采取以下防控措施：</w:t>
      </w:r>
    </w:p>
    <w:p>
      <w:pPr>
        <w:rPr>
          <w:bCs/>
          <w:color w:val="000000"/>
        </w:rPr>
      </w:pPr>
      <w:r>
        <w:rPr>
          <w:rFonts w:hint="eastAsia" w:cs="宋体"/>
          <w:bCs/>
          <w:color w:val="000000"/>
        </w:rPr>
        <w:t>（</w:t>
      </w:r>
      <w:r>
        <w:rPr>
          <w:bCs/>
          <w:color w:val="000000"/>
        </w:rPr>
        <w:t>1</w:t>
      </w:r>
      <w:r>
        <w:rPr>
          <w:rFonts w:hint="eastAsia" w:cs="宋体"/>
          <w:bCs/>
          <w:color w:val="000000"/>
        </w:rPr>
        <w:t>）环保、安全、交通等相关部门根据职责，加强岳阳市饮用水源保护区（铁山水库-北干渠-金凤水库）流动风险源管理，在水源保护区应设立检测管理点，对进入保护区的车辆及物品进行检查，防止车辆漏油、物品散落等。</w:t>
      </w:r>
    </w:p>
    <w:p>
      <w:pPr>
        <w:rPr>
          <w:bCs/>
          <w:color w:val="000000"/>
        </w:rPr>
      </w:pPr>
      <w:r>
        <w:rPr>
          <w:rFonts w:hint="eastAsia" w:cs="宋体"/>
          <w:bCs/>
          <w:color w:val="000000"/>
        </w:rPr>
        <w:t>（</w:t>
      </w:r>
      <w:r>
        <w:rPr>
          <w:bCs/>
          <w:color w:val="000000"/>
        </w:rPr>
        <w:t>2</w:t>
      </w:r>
      <w:r>
        <w:rPr>
          <w:rFonts w:hint="eastAsia" w:cs="宋体"/>
          <w:bCs/>
          <w:color w:val="000000"/>
        </w:rPr>
        <w:t>）严格控制运输危险化学品、危险废物及其他影响饮用水水源安全的车辆进入铁山水库水源保护区，进入车辆应申请并经有关部门批准、登记，并设置防渗、防溢、防漏等设施。</w:t>
      </w:r>
    </w:p>
    <w:p>
      <w:pPr>
        <w:widowControl/>
        <w:jc w:val="left"/>
        <w:rPr>
          <w:bCs/>
          <w:color w:val="000000"/>
        </w:rPr>
      </w:pPr>
      <w:r>
        <w:rPr>
          <w:rFonts w:hint="eastAsia"/>
          <w:bCs/>
          <w:color w:val="000000"/>
        </w:rPr>
        <w:t>（</w:t>
      </w:r>
      <w:r>
        <w:rPr>
          <w:bCs/>
          <w:color w:val="000000"/>
        </w:rPr>
        <w:t>3</w:t>
      </w:r>
      <w:r>
        <w:rPr>
          <w:rFonts w:hint="eastAsia"/>
          <w:bCs/>
          <w:color w:val="000000"/>
        </w:rPr>
        <w:t>）联系S61公路桥的责任单位，督促其完善落实桥面雨水径流导排措施，设置应急事故池，在进入饮用水源保护区前200米、100米分别设置警示标志，在驶出饮用水源保护区位置设置提示标志，设置醒目的饮用水源保护区标志并核实饮用水源边界范围，采用加强型防撞护栏，设置限速标志。</w:t>
      </w:r>
    </w:p>
    <w:p>
      <w:pPr>
        <w:widowControl/>
        <w:jc w:val="left"/>
        <w:rPr>
          <w:bCs/>
          <w:color w:val="000000"/>
        </w:rPr>
      </w:pPr>
      <w:r>
        <w:rPr>
          <w:rFonts w:hint="eastAsia"/>
          <w:bCs/>
          <w:color w:val="000000"/>
        </w:rPr>
        <w:t>（4）建立和完善保护区环境管理制度。</w:t>
      </w:r>
    </w:p>
    <w:p>
      <w:pPr>
        <w:widowControl/>
        <w:jc w:val="left"/>
        <w:rPr>
          <w:szCs w:val="24"/>
        </w:rPr>
      </w:pPr>
      <w:r>
        <w:rPr>
          <w:rFonts w:hint="eastAsia"/>
          <w:bCs/>
          <w:color w:val="000000"/>
        </w:rPr>
        <w:t>（5）</w:t>
      </w:r>
      <w:r>
        <w:rPr>
          <w:rFonts w:hint="eastAsia"/>
          <w:szCs w:val="24"/>
        </w:rPr>
        <w:t>设置饮用水源保护通告、禁止规定、限行、限速警示牌。</w:t>
      </w:r>
    </w:p>
    <w:p>
      <w:pPr>
        <w:widowControl/>
        <w:jc w:val="left"/>
        <w:rPr>
          <w:szCs w:val="24"/>
          <w:u w:val="single"/>
        </w:rPr>
      </w:pPr>
      <w:r>
        <w:rPr>
          <w:rFonts w:hint="eastAsia"/>
          <w:szCs w:val="24"/>
          <w:u w:val="single"/>
        </w:rPr>
        <w:t>（6）对临近S61两侧明渠改为暗渠，并完善S61及临近北干渠的雨水径流导排措施。</w:t>
      </w:r>
    </w:p>
    <w:p>
      <w:pPr>
        <w:widowControl/>
        <w:jc w:val="left"/>
        <w:rPr>
          <w:szCs w:val="24"/>
          <w:u w:val="single"/>
        </w:rPr>
      </w:pPr>
      <w:r>
        <w:rPr>
          <w:rFonts w:hint="eastAsia"/>
          <w:szCs w:val="24"/>
          <w:u w:val="single"/>
        </w:rPr>
        <w:t>（7）</w:t>
      </w:r>
      <w:r>
        <w:rPr>
          <w:rFonts w:hint="eastAsia" w:ascii="宋体" w:hAnsi="宋体"/>
          <w:szCs w:val="24"/>
          <w:u w:val="single"/>
        </w:rPr>
        <w:t>参照《饮用水水源保护区标志技术要求》（</w:t>
      </w:r>
      <w:r>
        <w:rPr>
          <w:szCs w:val="24"/>
          <w:u w:val="single"/>
        </w:rPr>
        <w:t>HJ/T 433</w:t>
      </w:r>
      <w:r>
        <w:rPr>
          <w:rFonts w:hint="eastAsia" w:ascii="宋体" w:hAnsi="宋体"/>
          <w:szCs w:val="24"/>
          <w:u w:val="single"/>
        </w:rPr>
        <w:t>）完善保护区标志，包括界碑、界标、警示牌、宣传牌（碑）等。</w:t>
      </w:r>
    </w:p>
    <w:p>
      <w:pPr>
        <w:pStyle w:val="3"/>
      </w:pPr>
      <w:bookmarkStart w:id="332" w:name="_Toc535851355"/>
      <w:r>
        <w:rPr>
          <w:rFonts w:hint="eastAsia"/>
        </w:rPr>
        <w:t>3、连接水体的应急防控</w:t>
      </w:r>
      <w:bookmarkEnd w:id="332"/>
    </w:p>
    <w:p>
      <w:pPr>
        <w:pStyle w:val="32"/>
        <w:widowControl w:val="0"/>
        <w:adjustRightInd w:val="0"/>
        <w:snapToGrid w:val="0"/>
        <w:spacing w:before="0" w:beforeAutospacing="0" w:after="0" w:afterAutospacing="0" w:line="360" w:lineRule="auto"/>
        <w:ind w:firstLine="480" w:firstLineChars="200"/>
        <w:jc w:val="both"/>
        <w:rPr>
          <w:u w:val="single"/>
        </w:rPr>
      </w:pPr>
      <w:r>
        <w:rPr>
          <w:rFonts w:hint="eastAsia" w:ascii="Times New Roman" w:hAnsi="Times New Roman" w:cs="Times New Roman"/>
          <w:szCs w:val="20"/>
        </w:rPr>
        <w:t>（1）</w:t>
      </w:r>
      <w:r>
        <w:rPr>
          <w:rFonts w:hint="eastAsia" w:ascii="Times New Roman" w:hAnsi="Times New Roman"/>
          <w:szCs w:val="20"/>
        </w:rPr>
        <w:t>结合</w:t>
      </w:r>
      <w:r>
        <w:rPr>
          <w:rFonts w:hint="eastAsia"/>
        </w:rPr>
        <w:t>岳阳市饮用水源保护区（铁山水库-北干渠-金凤水库）</w:t>
      </w:r>
      <w:r>
        <w:rPr>
          <w:rFonts w:hint="eastAsia" w:ascii="Times New Roman" w:hAnsi="Times New Roman"/>
          <w:szCs w:val="20"/>
        </w:rPr>
        <w:t>基础状况调查和风险评估结果，加强风险预警监控，</w:t>
      </w:r>
      <w:r>
        <w:rPr>
          <w:rFonts w:hint="eastAsia" w:cs="Times New Roman"/>
          <w:u w:val="single"/>
        </w:rPr>
        <w:t>按《集中式饮用水水源地规范化建设环境保护技术要求》</w:t>
      </w:r>
      <w:r>
        <w:rPr>
          <w:rFonts w:hint="eastAsia" w:ascii="Times New Roman" w:hAnsi="Times New Roman"/>
          <w:szCs w:val="20"/>
          <w:u w:val="single"/>
        </w:rPr>
        <w:t>优化连接水体的预警断面布设和预警监控指标。</w:t>
      </w:r>
    </w:p>
    <w:p>
      <w:pPr>
        <w:pStyle w:val="32"/>
        <w:widowControl w:val="0"/>
        <w:adjustRightInd w:val="0"/>
        <w:snapToGrid w:val="0"/>
        <w:spacing w:before="0" w:beforeAutospacing="0" w:after="0" w:afterAutospacing="0" w:line="360" w:lineRule="auto"/>
        <w:ind w:firstLine="480" w:firstLineChars="200"/>
        <w:jc w:val="both"/>
      </w:pPr>
      <w:r>
        <w:rPr>
          <w:rFonts w:hint="eastAsia" w:ascii="Times New Roman" w:hAnsi="Times New Roman"/>
          <w:szCs w:val="20"/>
        </w:rPr>
        <w:t>预警断面设置，采取风险源分类监控、风险源影响的快速警示、应急响应时间缓冲、经济技术可行等原则。</w:t>
      </w:r>
    </w:p>
    <w:p>
      <w:pPr>
        <w:pStyle w:val="32"/>
        <w:widowControl w:val="0"/>
        <w:adjustRightInd w:val="0"/>
        <w:snapToGrid w:val="0"/>
        <w:spacing w:before="0" w:beforeAutospacing="0" w:after="0" w:afterAutospacing="0" w:line="360" w:lineRule="auto"/>
        <w:ind w:firstLine="480" w:firstLineChars="200"/>
        <w:jc w:val="both"/>
        <w:rPr>
          <w:u w:val="single"/>
        </w:rPr>
      </w:pPr>
      <w:r>
        <w:rPr>
          <w:rFonts w:hint="eastAsia" w:ascii="Times New Roman" w:hAnsi="Times New Roman"/>
          <w:szCs w:val="20"/>
          <w:u w:val="single"/>
        </w:rPr>
        <w:t>结合风险源调查评估结果，在铁山水库各入库河口、二级保护区边界设置预警监测断面。</w:t>
      </w:r>
    </w:p>
    <w:p>
      <w:pPr>
        <w:pStyle w:val="32"/>
        <w:widowControl w:val="0"/>
        <w:adjustRightInd w:val="0"/>
        <w:snapToGrid w:val="0"/>
        <w:spacing w:before="0" w:beforeAutospacing="0" w:after="0" w:afterAutospacing="0" w:line="360" w:lineRule="auto"/>
        <w:ind w:firstLine="480" w:firstLineChars="200"/>
        <w:jc w:val="both"/>
      </w:pPr>
      <w:r>
        <w:rPr>
          <w:rFonts w:hint="eastAsia" w:ascii="Times New Roman" w:hAnsi="Times New Roman" w:cs="Times New Roman"/>
          <w:szCs w:val="20"/>
        </w:rPr>
        <w:t>（2</w:t>
      </w:r>
      <w:r>
        <w:rPr>
          <w:rFonts w:hint="eastAsia" w:ascii="Times New Roman" w:hAnsi="Times New Roman"/>
          <w:szCs w:val="20"/>
        </w:rPr>
        <w:t>）结合水源地基础状况调查，设置连接水体应急防控工程，为应急响应提供支撑。</w:t>
      </w:r>
    </w:p>
    <w:p>
      <w:pPr>
        <w:pStyle w:val="32"/>
        <w:widowControl w:val="0"/>
        <w:adjustRightInd w:val="0"/>
        <w:snapToGrid w:val="0"/>
        <w:spacing w:before="0" w:beforeAutospacing="0" w:after="0" w:afterAutospacing="0" w:line="360" w:lineRule="auto"/>
        <w:ind w:firstLine="480" w:firstLineChars="200"/>
        <w:jc w:val="both"/>
        <w:rPr>
          <w:rFonts w:ascii="Times New Roman" w:hAnsi="Times New Roman"/>
          <w:szCs w:val="20"/>
        </w:rPr>
      </w:pPr>
      <w:r>
        <w:rPr>
          <w:rFonts w:hint="eastAsia" w:ascii="Times New Roman" w:hAnsi="Times New Roman"/>
          <w:szCs w:val="20"/>
        </w:rPr>
        <w:t>在连接水体的现有水利工程基础上，提前规划拦污坝、节制闸、导流渠、分流沟、蓄污湿地等工程设施。</w:t>
      </w:r>
    </w:p>
    <w:p>
      <w:pPr>
        <w:pStyle w:val="3"/>
      </w:pPr>
      <w:bookmarkStart w:id="333" w:name="_Toc535851356"/>
      <w:r>
        <w:rPr>
          <w:rFonts w:hint="eastAsia"/>
        </w:rPr>
        <w:t>4、取水口的应急防控</w:t>
      </w:r>
      <w:bookmarkEnd w:id="333"/>
    </w:p>
    <w:p>
      <w:pPr>
        <w:jc w:val="left"/>
      </w:pPr>
      <w:r>
        <w:rPr>
          <w:rFonts w:hint="eastAsia"/>
          <w:kern w:val="0"/>
          <w:szCs w:val="20"/>
        </w:rPr>
        <w:t>（1）</w:t>
      </w:r>
      <w:r>
        <w:rPr>
          <w:rFonts w:hint="eastAsia" w:cs="宋体"/>
          <w:kern w:val="0"/>
          <w:szCs w:val="20"/>
        </w:rPr>
        <w:t>结合保护区基础状况调查和风险评估结果，加强取水口的自动监控。可采用生物毒性综合预警手段实现对重金属、有机污染物等有毒有害物质的实时监控。</w:t>
      </w:r>
    </w:p>
    <w:p>
      <w:pPr>
        <w:pStyle w:val="32"/>
        <w:widowControl w:val="0"/>
        <w:adjustRightInd w:val="0"/>
        <w:snapToGrid w:val="0"/>
        <w:spacing w:before="0" w:beforeAutospacing="0" w:after="0" w:afterAutospacing="0" w:line="360" w:lineRule="auto"/>
        <w:ind w:firstLine="480" w:firstLineChars="200"/>
        <w:jc w:val="both"/>
        <w:rPr>
          <w:u w:val="single"/>
        </w:rPr>
      </w:pPr>
      <w:r>
        <w:rPr>
          <w:rFonts w:hint="eastAsia" w:ascii="Times New Roman" w:hAnsi="Times New Roman" w:cs="Times New Roman"/>
          <w:szCs w:val="20"/>
          <w:u w:val="single"/>
        </w:rPr>
        <w:t>（2</w:t>
      </w:r>
      <w:r>
        <w:rPr>
          <w:rFonts w:hint="eastAsia" w:ascii="Times New Roman" w:hAnsi="Times New Roman"/>
          <w:szCs w:val="20"/>
          <w:u w:val="single"/>
        </w:rPr>
        <w:t>）结合保护区基础状况调查和风险评估结果，设置取水口应急工程，加强备用取水口管理，确保在紧急情况下可以随时启用，加强北干渠节制闸管理，确保在紧急情况可以随时开闸放水。</w:t>
      </w:r>
    </w:p>
    <w:p>
      <w:pPr>
        <w:pStyle w:val="3"/>
      </w:pPr>
      <w:bookmarkStart w:id="334" w:name="_Toc535851357"/>
      <w:r>
        <w:rPr>
          <w:rFonts w:hint="eastAsia"/>
        </w:rPr>
        <w:t>5、特殊时期污染风险防控能力分析</w:t>
      </w:r>
      <w:bookmarkEnd w:id="334"/>
    </w:p>
    <w:p>
      <w:pPr>
        <w:adjustRightInd w:val="0"/>
        <w:snapToGrid w:val="0"/>
        <w:rPr>
          <w:color w:val="000000"/>
        </w:rPr>
      </w:pPr>
      <w:r>
        <w:rPr>
          <w:rFonts w:hint="eastAsia" w:cs="宋体"/>
          <w:color w:val="000000"/>
        </w:rPr>
        <w:t>在汛期、旱期、雨雪冰冻等特殊时期，岳阳市饮用水源保护区（铁山水库-北干渠-金凤水库）的直接管理部门应及时向岳阳市人民政府、岳阳市自来水公司、岳阳市环境保护局等相关单位和部门提出提升特殊时期环境风险防控能力工作建议和对策，具体防范措施如下：</w:t>
      </w:r>
    </w:p>
    <w:p>
      <w:pPr>
        <w:adjustRightInd w:val="0"/>
        <w:snapToGrid w:val="0"/>
        <w:rPr>
          <w:color w:val="000000"/>
        </w:rPr>
      </w:pPr>
      <w:r>
        <w:rPr>
          <w:rFonts w:hint="eastAsia" w:cs="宋体"/>
          <w:color w:val="000000"/>
        </w:rPr>
        <w:t>（</w:t>
      </w:r>
      <w:r>
        <w:rPr>
          <w:color w:val="000000"/>
        </w:rPr>
        <w:t>1</w:t>
      </w:r>
      <w:r>
        <w:rPr>
          <w:rFonts w:hint="eastAsia" w:cs="宋体"/>
          <w:color w:val="000000"/>
        </w:rPr>
        <w:t>）汛期</w:t>
      </w:r>
    </w:p>
    <w:p>
      <w:pPr>
        <w:adjustRightInd w:val="0"/>
        <w:snapToGrid w:val="0"/>
        <w:rPr>
          <w:color w:val="000000"/>
        </w:rPr>
      </w:pPr>
      <w:r>
        <w:rPr>
          <w:rFonts w:hint="eastAsia" w:cs="宋体"/>
          <w:color w:val="000000"/>
        </w:rPr>
        <w:t>针对重大汛情，岳阳市环保部门应组织对水源地沿线周边的污染源进行全面排查，重点监控、防范企业趁汛期偷排超标污水；增加企业监测频次；对水利工程调蓄方式提出建议，避免对水质造成大的影响；联合卫生等部门加强水源地水质监测工作，重点监测细菌总数、大肠菌群、浊度、重金属等。</w:t>
      </w:r>
    </w:p>
    <w:p>
      <w:pPr>
        <w:adjustRightInd w:val="0"/>
        <w:snapToGrid w:val="0"/>
        <w:rPr>
          <w:color w:val="000000"/>
        </w:rPr>
      </w:pPr>
      <w:r>
        <w:rPr>
          <w:rFonts w:hint="eastAsia" w:cs="宋体"/>
          <w:color w:val="000000"/>
        </w:rPr>
        <w:t>汛期饮用水异常，判断可能是水源被污染时，岳阳市饮用水源保护区（铁山水库-北干渠-金凤水库）直接管理单位应及时有效查找原因并科学应对，通过设立警示牌、清除主要污染源、建设治污截污工程、强化环境监管等措施，保障水源地的水质安全。</w:t>
      </w:r>
    </w:p>
    <w:p>
      <w:pPr>
        <w:adjustRightInd w:val="0"/>
        <w:snapToGrid w:val="0"/>
        <w:rPr>
          <w:color w:val="000000"/>
        </w:rPr>
      </w:pPr>
      <w:r>
        <w:rPr>
          <w:rFonts w:hint="eastAsia" w:cs="宋体"/>
          <w:color w:val="000000"/>
        </w:rPr>
        <w:t>（</w:t>
      </w:r>
      <w:r>
        <w:rPr>
          <w:color w:val="000000"/>
        </w:rPr>
        <w:t>2</w:t>
      </w:r>
      <w:r>
        <w:rPr>
          <w:rFonts w:hint="eastAsia" w:cs="宋体"/>
          <w:color w:val="000000"/>
        </w:rPr>
        <w:t>）重大旱情</w:t>
      </w:r>
    </w:p>
    <w:p>
      <w:pPr>
        <w:adjustRightInd w:val="0"/>
        <w:snapToGrid w:val="0"/>
        <w:rPr>
          <w:color w:val="000000"/>
        </w:rPr>
      </w:pPr>
      <w:r>
        <w:rPr>
          <w:rFonts w:hint="eastAsia" w:cs="宋体"/>
          <w:color w:val="000000"/>
        </w:rPr>
        <w:t>严密监控水质变化。在重大旱情时期，岳阳市饮用水源保护区（铁山水库-北干渠-金凤水库）直接管理单位应加大与岳阳市水务局、岳阳市自来水公司、岳阳市环保局、岳阳市卫计委、岳阳市自来水公司等部门的沟通联系，对水质加密监测，及时掌握水质变化情况。</w:t>
      </w:r>
    </w:p>
    <w:p>
      <w:pPr>
        <w:adjustRightInd w:val="0"/>
        <w:snapToGrid w:val="0"/>
        <w:rPr>
          <w:color w:val="000000"/>
        </w:rPr>
      </w:pPr>
      <w:r>
        <w:rPr>
          <w:rFonts w:hint="eastAsia" w:cs="宋体"/>
          <w:color w:val="000000"/>
        </w:rPr>
        <w:t>防止新增污染负荷。岳阳市环保部门、岳阳市行政执法部门应集中力量开展水源保护区周边隐患排查工作，对辖区内污染企业、污水处理厂等进行全面排查，督促整改，必要时实施区域减排措施。加强对流动源的监管，减少或避免对水源造成影响。</w:t>
      </w:r>
    </w:p>
    <w:p>
      <w:pPr>
        <w:adjustRightInd w:val="0"/>
        <w:snapToGrid w:val="0"/>
        <w:rPr>
          <w:color w:val="000000"/>
        </w:rPr>
      </w:pPr>
      <w:r>
        <w:rPr>
          <w:rFonts w:hint="eastAsia" w:cs="宋体"/>
          <w:color w:val="000000"/>
        </w:rPr>
        <w:t>保障新增水源水质安全。供水单位积极实施调水工程时，应加强对调水工程沿线的排查力度，以及水源地周边环境及水质监测频次，及时掌握水质变化情况并报告。</w:t>
      </w:r>
    </w:p>
    <w:p>
      <w:pPr>
        <w:adjustRightInd w:val="0"/>
        <w:snapToGrid w:val="0"/>
        <w:rPr>
          <w:color w:val="000000"/>
        </w:rPr>
      </w:pPr>
      <w:r>
        <w:rPr>
          <w:rFonts w:hint="eastAsia" w:cs="宋体"/>
          <w:color w:val="000000"/>
        </w:rPr>
        <w:t>（</w:t>
      </w:r>
      <w:r>
        <w:rPr>
          <w:color w:val="000000"/>
        </w:rPr>
        <w:t>3</w:t>
      </w:r>
      <w:r>
        <w:rPr>
          <w:rFonts w:hint="eastAsia" w:cs="宋体"/>
          <w:color w:val="000000"/>
        </w:rPr>
        <w:t>）雨雪冰冻时期</w:t>
      </w:r>
    </w:p>
    <w:p>
      <w:pPr>
        <w:adjustRightInd w:val="0"/>
        <w:snapToGrid w:val="0"/>
        <w:rPr>
          <w:color w:val="000000"/>
        </w:rPr>
      </w:pPr>
      <w:r>
        <w:rPr>
          <w:rFonts w:hint="eastAsia" w:cs="宋体"/>
          <w:color w:val="000000"/>
        </w:rPr>
        <w:t>积极应对雨雪冰冻灾害。岳阳市饮用水源保护区（铁山水库-北干渠-金凤水库）直接管理单位应同供电、供水、气象等部门加强信息沟通，了解灾害性天气信息。灾害期间，应密切关注融雪剂的使用对水源地的影响。加强对取水口附近地表水的水质监测，增加可溶性盐类和亚硝酸盐的监测。对地表水和水源地在线监测设施采取保护措施，防止因低温发生运行故障；因停电停止运行，供电恢复后要及时恢复运行，按规定校准仪器，各项指标合格后方可正式上报数据。</w:t>
      </w:r>
    </w:p>
    <w:p>
      <w:pPr>
        <w:adjustRightInd w:val="0"/>
        <w:snapToGrid w:val="0"/>
        <w:rPr>
          <w:rFonts w:cs="宋体"/>
          <w:color w:val="000000"/>
        </w:rPr>
      </w:pPr>
      <w:r>
        <w:rPr>
          <w:rFonts w:hint="eastAsia" w:cs="宋体"/>
          <w:color w:val="000000"/>
          <w:u w:val="single"/>
        </w:rPr>
        <w:t>相关企业加强风险防范。岳阳市环保部门应督促沿线环境风险较大的企业做好污水污泥管道、转动设施、在线监测设备以及各种存贮罐体阀门的防冻工作，防止污染处理设施因冰冻损坏或运转不正常；禁止以冰冻为由停止污染治理设施运转，或借雨雪天偷排污染物。危险化学品企业应认真落实安全措施，防范因冰冻造成泄漏。</w:t>
      </w:r>
    </w:p>
    <w:p>
      <w:pPr>
        <w:autoSpaceDE w:val="0"/>
        <w:autoSpaceDN w:val="0"/>
        <w:adjustRightInd w:val="0"/>
        <w:ind w:firstLine="0" w:firstLineChars="0"/>
        <w:jc w:val="center"/>
        <w:rPr>
          <w:rFonts w:cs="宋体"/>
          <w:color w:val="000000"/>
        </w:rPr>
        <w:sectPr>
          <w:pgSz w:w="11906" w:h="16838"/>
          <w:pgMar w:top="1440" w:right="1800" w:bottom="1440" w:left="1800" w:header="851" w:footer="992" w:gutter="0"/>
          <w:cols w:space="425" w:num="1"/>
          <w:docGrid w:type="lines" w:linePitch="312" w:charSpace="0"/>
        </w:sectPr>
      </w:pPr>
    </w:p>
    <w:p>
      <w:pPr>
        <w:pStyle w:val="2"/>
        <w:ind w:firstLine="0" w:firstLineChars="0"/>
        <w:jc w:val="center"/>
      </w:pPr>
      <w:bookmarkStart w:id="335" w:name="_Toc535851358"/>
      <w:r>
        <w:rPr>
          <w:rFonts w:hint="eastAsia"/>
        </w:rPr>
        <w:t>第五部分  附图附件</w:t>
      </w:r>
      <w:bookmarkEnd w:id="335"/>
    </w:p>
    <w:p>
      <w:pPr>
        <w:pStyle w:val="5"/>
      </w:pPr>
      <w:r>
        <w:rPr>
          <w:rFonts w:hint="eastAsia"/>
        </w:rPr>
        <w:t>附图</w:t>
      </w:r>
    </w:p>
    <w:p>
      <w:pPr>
        <w:pStyle w:val="5"/>
        <w:rPr>
          <w:b w:val="0"/>
          <w:bCs w:val="0"/>
        </w:rPr>
      </w:pPr>
      <w:r>
        <w:rPr>
          <w:rFonts w:hint="eastAsia"/>
          <w:b w:val="0"/>
          <w:bCs w:val="0"/>
        </w:rPr>
        <w:t>附图1 现场调查照片</w:t>
      </w:r>
    </w:p>
    <w:p>
      <w:pPr>
        <w:pStyle w:val="5"/>
        <w:rPr>
          <w:b w:val="0"/>
          <w:bCs w:val="0"/>
        </w:rPr>
      </w:pPr>
      <w:r>
        <w:rPr>
          <w:rFonts w:hint="eastAsia"/>
          <w:b w:val="0"/>
          <w:bCs w:val="0"/>
        </w:rPr>
        <w:t>附图2 金凤水库地理位置图</w:t>
      </w:r>
    </w:p>
    <w:p>
      <w:pPr>
        <w:pStyle w:val="5"/>
        <w:rPr>
          <w:b w:val="0"/>
          <w:bCs w:val="0"/>
        </w:rPr>
      </w:pPr>
      <w:r>
        <w:rPr>
          <w:rFonts w:hint="eastAsia"/>
          <w:b w:val="0"/>
          <w:bCs w:val="0"/>
        </w:rPr>
        <w:t>附图3 铁山水库地理位置图</w:t>
      </w:r>
    </w:p>
    <w:p>
      <w:pPr>
        <w:pStyle w:val="5"/>
        <w:rPr>
          <w:b w:val="0"/>
          <w:bCs w:val="0"/>
        </w:rPr>
      </w:pPr>
      <w:r>
        <w:rPr>
          <w:rFonts w:hint="eastAsia"/>
          <w:b w:val="0"/>
          <w:bCs w:val="0"/>
        </w:rPr>
        <w:t>附图4 北干渠与铁山水库、金凤水库位置关系图</w:t>
      </w:r>
    </w:p>
    <w:p>
      <w:pPr>
        <w:pStyle w:val="5"/>
        <w:rPr>
          <w:b w:val="0"/>
          <w:bCs w:val="0"/>
        </w:rPr>
      </w:pPr>
      <w:r>
        <w:rPr>
          <w:rFonts w:hint="eastAsia"/>
          <w:b w:val="0"/>
          <w:bCs w:val="0"/>
        </w:rPr>
        <w:t>附图5 铁山水库饮用水源保护区划分结果shp图</w:t>
      </w:r>
    </w:p>
    <w:p>
      <w:pPr>
        <w:pStyle w:val="5"/>
        <w:rPr>
          <w:b w:val="0"/>
          <w:bCs w:val="0"/>
        </w:rPr>
      </w:pPr>
      <w:r>
        <w:rPr>
          <w:rFonts w:hint="eastAsia"/>
          <w:b w:val="0"/>
          <w:bCs w:val="0"/>
        </w:rPr>
        <w:t>附图6 金凤水库饮用水源保护区划分图</w:t>
      </w:r>
    </w:p>
    <w:p>
      <w:pPr>
        <w:pStyle w:val="5"/>
        <w:rPr>
          <w:b w:val="0"/>
          <w:bCs w:val="0"/>
        </w:rPr>
      </w:pPr>
      <w:r>
        <w:rPr>
          <w:rFonts w:hint="eastAsia"/>
          <w:b w:val="0"/>
          <w:bCs w:val="0"/>
        </w:rPr>
        <w:t>附图7 北干渠一级保护区划分图</w:t>
      </w:r>
    </w:p>
    <w:p>
      <w:pPr>
        <w:pStyle w:val="5"/>
        <w:rPr>
          <w:b w:val="0"/>
          <w:bCs w:val="0"/>
        </w:rPr>
      </w:pPr>
      <w:r>
        <w:rPr>
          <w:rFonts w:hint="eastAsia"/>
          <w:b w:val="0"/>
          <w:bCs w:val="0"/>
        </w:rPr>
        <w:t>附图8 北干渠二级保护区划分图</w:t>
      </w:r>
    </w:p>
    <w:p>
      <w:pPr>
        <w:ind w:firstLine="0" w:firstLineChars="0"/>
      </w:pPr>
      <w:r>
        <w:rPr>
          <w:rFonts w:hint="eastAsia"/>
        </w:rPr>
        <w:t>附图9 调查范围图</w:t>
      </w:r>
    </w:p>
    <w:p>
      <w:pPr>
        <w:ind w:firstLine="0" w:firstLineChars="0"/>
      </w:pPr>
      <w:r>
        <w:rPr>
          <w:rFonts w:hint="eastAsia"/>
        </w:rPr>
        <w:t>附图10 水源保护区环境风险源分布图一</w:t>
      </w:r>
    </w:p>
    <w:p>
      <w:pPr>
        <w:ind w:firstLine="0" w:firstLineChars="0"/>
      </w:pPr>
      <w:r>
        <w:rPr>
          <w:rFonts w:hint="eastAsia"/>
        </w:rPr>
        <w:t>附图11 水源保护区环境风险源分布图二</w:t>
      </w:r>
    </w:p>
    <w:p>
      <w:pPr>
        <w:ind w:firstLine="0" w:firstLineChars="0"/>
      </w:pPr>
      <w:r>
        <w:rPr>
          <w:rFonts w:hint="eastAsia"/>
        </w:rPr>
        <w:t>附图12 事故状态下监测布点图</w:t>
      </w:r>
    </w:p>
    <w:p>
      <w:pPr>
        <w:ind w:firstLine="0" w:firstLineChars="0"/>
      </w:pPr>
      <w:r>
        <w:rPr>
          <w:rFonts w:hint="eastAsia"/>
        </w:rPr>
        <w:t>附图13 应急物质储备图</w:t>
      </w:r>
    </w:p>
    <w:p>
      <w:pPr>
        <w:pStyle w:val="5"/>
      </w:pPr>
      <w:r>
        <w:rPr>
          <w:rFonts w:hint="eastAsia"/>
        </w:rPr>
        <w:t>附件</w:t>
      </w:r>
    </w:p>
    <w:p>
      <w:pPr>
        <w:pStyle w:val="5"/>
        <w:rPr>
          <w:b w:val="0"/>
          <w:bCs w:val="0"/>
        </w:rPr>
      </w:pPr>
      <w:r>
        <w:rPr>
          <w:rFonts w:hint="eastAsia"/>
          <w:b w:val="0"/>
          <w:bCs w:val="0"/>
        </w:rPr>
        <w:t>附件1 评审意见</w:t>
      </w:r>
    </w:p>
    <w:p>
      <w:pPr>
        <w:pStyle w:val="5"/>
        <w:rPr>
          <w:b w:val="0"/>
          <w:bCs w:val="0"/>
        </w:rPr>
      </w:pPr>
      <w:r>
        <w:rPr>
          <w:rFonts w:hint="eastAsia"/>
          <w:b w:val="0"/>
          <w:bCs w:val="0"/>
        </w:rPr>
        <w:t>附件2 政府有关部门联系电话</w:t>
      </w:r>
    </w:p>
    <w:p>
      <w:pPr>
        <w:pStyle w:val="5"/>
        <w:rPr>
          <w:b w:val="0"/>
          <w:bCs w:val="0"/>
        </w:rPr>
      </w:pPr>
      <w:r>
        <w:rPr>
          <w:rFonts w:hint="eastAsia"/>
          <w:b w:val="0"/>
          <w:bCs w:val="0"/>
        </w:rPr>
        <w:t>附件3 主要相关单位和部门职责一览表</w:t>
      </w:r>
    </w:p>
    <w:p>
      <w:pPr>
        <w:pStyle w:val="5"/>
        <w:rPr>
          <w:b w:val="0"/>
          <w:bCs w:val="0"/>
        </w:rPr>
      </w:pPr>
      <w:r>
        <w:rPr>
          <w:rFonts w:hint="eastAsia"/>
          <w:b w:val="0"/>
          <w:bCs w:val="0"/>
        </w:rPr>
        <w:t>附件4 饮用水水源保护区应急队伍数据库</w:t>
      </w:r>
    </w:p>
    <w:p>
      <w:pPr>
        <w:pStyle w:val="5"/>
        <w:rPr>
          <w:b w:val="0"/>
          <w:bCs w:val="0"/>
        </w:rPr>
      </w:pPr>
      <w:r>
        <w:rPr>
          <w:rFonts w:hint="eastAsia"/>
          <w:b w:val="0"/>
          <w:bCs w:val="0"/>
        </w:rPr>
        <w:t>附件5 环境应急救援体系外部救援联系表</w:t>
      </w:r>
    </w:p>
    <w:p>
      <w:pPr>
        <w:pStyle w:val="5"/>
        <w:rPr>
          <w:b w:val="0"/>
          <w:bCs w:val="0"/>
        </w:rPr>
      </w:pPr>
      <w:r>
        <w:rPr>
          <w:rFonts w:hint="eastAsia"/>
          <w:b w:val="0"/>
          <w:bCs w:val="0"/>
        </w:rPr>
        <w:t>附件6 常见化学品引发水污染事故的简要现场处置方法</w:t>
      </w:r>
    </w:p>
    <w:p>
      <w:pPr>
        <w:pStyle w:val="5"/>
        <w:rPr>
          <w:b w:val="0"/>
          <w:bCs w:val="0"/>
        </w:rPr>
      </w:pPr>
      <w:r>
        <w:rPr>
          <w:rFonts w:hint="eastAsia"/>
          <w:b w:val="0"/>
          <w:bCs w:val="0"/>
        </w:rPr>
        <w:t>附件7 突发环境事件应急处置卡</w:t>
      </w:r>
    </w:p>
    <w:p>
      <w:pPr>
        <w:pStyle w:val="3"/>
        <w:jc w:val="center"/>
        <w:rPr>
          <w:color w:val="000000" w:themeColor="text1"/>
          <w:sz w:val="21"/>
          <w:szCs w:val="21"/>
        </w:rPr>
      </w:pPr>
      <w:r>
        <w:rPr>
          <w:rFonts w:hint="eastAsia"/>
          <w:color w:val="000000" w:themeColor="text1"/>
          <w:sz w:val="21"/>
          <w:szCs w:val="21"/>
        </w:rPr>
        <w:br w:type="page"/>
      </w:r>
    </w:p>
    <w:p>
      <w:pPr>
        <w:pStyle w:val="2"/>
        <w:spacing w:before="0" w:after="0" w:line="360" w:lineRule="auto"/>
        <w:ind w:firstLine="0" w:firstLineChars="0"/>
        <w:rPr>
          <w:sz w:val="30"/>
          <w:szCs w:val="30"/>
        </w:rPr>
      </w:pPr>
      <w:bookmarkStart w:id="336" w:name="_Toc535851359"/>
      <w:r>
        <w:rPr>
          <w:rFonts w:hint="eastAsia"/>
          <w:sz w:val="30"/>
          <w:szCs w:val="30"/>
        </w:rPr>
        <w:t>附图</w:t>
      </w:r>
      <w:bookmarkEnd w:id="336"/>
    </w:p>
    <w:p>
      <w:pPr>
        <w:pStyle w:val="3"/>
        <w:jc w:val="center"/>
        <w:rPr>
          <w:sz w:val="21"/>
          <w:szCs w:val="21"/>
        </w:rPr>
      </w:pPr>
      <w:bookmarkStart w:id="337" w:name="_Toc535851360"/>
      <w:r>
        <w:rPr>
          <w:sz w:val="21"/>
          <w:szCs w:val="21"/>
        </w:rPr>
        <w:t>附图1  现场调查照片</w:t>
      </w:r>
      <w:bookmarkEnd w:id="337"/>
    </w:p>
    <w:tbl>
      <w:tblPr>
        <w:tblStyle w:val="47"/>
        <w:tblW w:w="8522"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198"/>
        <w:gridCol w:w="432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54" w:hRule="atLeast"/>
          <w:jc w:val="center"/>
        </w:trPr>
        <w:tc>
          <w:tcPr>
            <w:tcW w:w="4198" w:type="dxa"/>
            <w:vAlign w:val="center"/>
          </w:tcPr>
          <w:p>
            <w:pPr>
              <w:adjustRightInd w:val="0"/>
              <w:snapToGrid w:val="0"/>
              <w:spacing w:line="240" w:lineRule="auto"/>
              <w:ind w:firstLine="0" w:firstLineChars="0"/>
              <w:jc w:val="center"/>
              <w:rPr>
                <w:sz w:val="21"/>
                <w:szCs w:val="21"/>
              </w:rPr>
            </w:pPr>
            <w:r>
              <w:rPr>
                <w:rFonts w:hint="eastAsia"/>
                <w:sz w:val="21"/>
                <w:szCs w:val="21"/>
              </w:rPr>
              <w:drawing>
                <wp:inline distT="0" distB="0" distL="114300" distR="114300">
                  <wp:extent cx="2573020" cy="2002790"/>
                  <wp:effectExtent l="0" t="0" r="17780" b="16510"/>
                  <wp:docPr id="9" name="图片 9" descr="IMG201805101059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IMG20180510105933"/>
                          <pic:cNvPicPr>
                            <a:picLocks noChangeAspect="1"/>
                          </pic:cNvPicPr>
                        </pic:nvPicPr>
                        <pic:blipFill>
                          <a:blip r:embed="rId40" cstate="print"/>
                          <a:stretch>
                            <a:fillRect/>
                          </a:stretch>
                        </pic:blipFill>
                        <pic:spPr>
                          <a:xfrm>
                            <a:off x="0" y="0"/>
                            <a:ext cx="2573020" cy="2002790"/>
                          </a:xfrm>
                          <a:prstGeom prst="rect">
                            <a:avLst/>
                          </a:prstGeom>
                        </pic:spPr>
                      </pic:pic>
                    </a:graphicData>
                  </a:graphic>
                </wp:inline>
              </w:drawing>
            </w:r>
          </w:p>
        </w:tc>
        <w:tc>
          <w:tcPr>
            <w:tcW w:w="4324" w:type="dxa"/>
            <w:vAlign w:val="center"/>
          </w:tcPr>
          <w:p>
            <w:pPr>
              <w:adjustRightInd w:val="0"/>
              <w:snapToGrid w:val="0"/>
              <w:spacing w:line="240" w:lineRule="auto"/>
              <w:ind w:firstLine="0" w:firstLineChars="0"/>
              <w:jc w:val="center"/>
              <w:rPr>
                <w:sz w:val="21"/>
                <w:szCs w:val="21"/>
              </w:rPr>
            </w:pPr>
            <w:r>
              <w:rPr>
                <w:rFonts w:hint="eastAsia"/>
                <w:sz w:val="21"/>
                <w:szCs w:val="21"/>
              </w:rPr>
              <w:drawing>
                <wp:inline distT="0" distB="0" distL="114300" distR="114300">
                  <wp:extent cx="2672715" cy="2004695"/>
                  <wp:effectExtent l="0" t="0" r="13335" b="14605"/>
                  <wp:docPr id="10" name="图片 10" descr="IMG201805101118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IMG20180510111811"/>
                          <pic:cNvPicPr>
                            <a:picLocks noChangeAspect="1"/>
                          </pic:cNvPicPr>
                        </pic:nvPicPr>
                        <pic:blipFill>
                          <a:blip r:embed="rId41" cstate="print"/>
                          <a:stretch>
                            <a:fillRect/>
                          </a:stretch>
                        </pic:blipFill>
                        <pic:spPr>
                          <a:xfrm>
                            <a:off x="0" y="0"/>
                            <a:ext cx="2672715" cy="2004695"/>
                          </a:xfrm>
                          <a:prstGeom prst="rect">
                            <a:avLst/>
                          </a:prstGeom>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54" w:hRule="atLeast"/>
          <w:jc w:val="center"/>
        </w:trPr>
        <w:tc>
          <w:tcPr>
            <w:tcW w:w="4198" w:type="dxa"/>
            <w:vAlign w:val="center"/>
          </w:tcPr>
          <w:p>
            <w:pPr>
              <w:adjustRightInd w:val="0"/>
              <w:snapToGrid w:val="0"/>
              <w:spacing w:line="240" w:lineRule="auto"/>
              <w:ind w:firstLine="0" w:firstLineChars="0"/>
              <w:jc w:val="center"/>
              <w:rPr>
                <w:rFonts w:ascii="宋体" w:hAnsi="宋体"/>
                <w:sz w:val="21"/>
                <w:szCs w:val="21"/>
              </w:rPr>
            </w:pPr>
            <w:r>
              <w:rPr>
                <w:rFonts w:hint="eastAsia" w:ascii="宋体" w:hAnsi="宋体"/>
                <w:sz w:val="21"/>
                <w:szCs w:val="21"/>
              </w:rPr>
              <w:t>准保护区内的加油站</w:t>
            </w:r>
          </w:p>
        </w:tc>
        <w:tc>
          <w:tcPr>
            <w:tcW w:w="4324" w:type="dxa"/>
            <w:vAlign w:val="center"/>
          </w:tcPr>
          <w:p>
            <w:pPr>
              <w:adjustRightInd w:val="0"/>
              <w:snapToGrid w:val="0"/>
              <w:spacing w:line="240" w:lineRule="auto"/>
              <w:ind w:firstLine="0" w:firstLineChars="0"/>
              <w:jc w:val="center"/>
              <w:rPr>
                <w:rFonts w:ascii="宋体" w:hAnsi="宋体"/>
                <w:sz w:val="21"/>
                <w:szCs w:val="21"/>
              </w:rPr>
            </w:pPr>
            <w:r>
              <w:rPr>
                <w:rFonts w:hint="eastAsia" w:ascii="宋体" w:hAnsi="宋体"/>
                <w:sz w:val="21"/>
                <w:szCs w:val="21"/>
              </w:rPr>
              <w:t>准保护区内的加油站</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54" w:hRule="atLeast"/>
          <w:jc w:val="center"/>
        </w:trPr>
        <w:tc>
          <w:tcPr>
            <w:tcW w:w="4198" w:type="dxa"/>
            <w:vAlign w:val="center"/>
          </w:tcPr>
          <w:p>
            <w:pPr>
              <w:adjustRightInd w:val="0"/>
              <w:snapToGrid w:val="0"/>
              <w:spacing w:line="240" w:lineRule="auto"/>
              <w:ind w:firstLine="0" w:firstLineChars="0"/>
              <w:jc w:val="center"/>
              <w:rPr>
                <w:rFonts w:ascii="宋体" w:hAnsi="宋体"/>
                <w:sz w:val="21"/>
                <w:szCs w:val="21"/>
              </w:rPr>
            </w:pPr>
            <w:r>
              <w:rPr>
                <w:rFonts w:hint="eastAsia" w:ascii="宋体" w:hAnsi="宋体"/>
                <w:sz w:val="21"/>
                <w:szCs w:val="21"/>
              </w:rPr>
              <w:drawing>
                <wp:inline distT="0" distB="0" distL="114300" distR="114300">
                  <wp:extent cx="2627630" cy="1958340"/>
                  <wp:effectExtent l="0" t="0" r="1270" b="3810"/>
                  <wp:docPr id="11" name="图片 11" descr="IMG201805101136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IMG20180510113649"/>
                          <pic:cNvPicPr>
                            <a:picLocks noChangeAspect="1"/>
                          </pic:cNvPicPr>
                        </pic:nvPicPr>
                        <pic:blipFill>
                          <a:blip r:embed="rId42" cstate="print"/>
                          <a:srcRect/>
                          <a:stretch>
                            <a:fillRect/>
                          </a:stretch>
                        </pic:blipFill>
                        <pic:spPr>
                          <a:xfrm>
                            <a:off x="0" y="0"/>
                            <a:ext cx="2627630" cy="1958340"/>
                          </a:xfrm>
                          <a:prstGeom prst="rect">
                            <a:avLst/>
                          </a:prstGeom>
                        </pic:spPr>
                      </pic:pic>
                    </a:graphicData>
                  </a:graphic>
                </wp:inline>
              </w:drawing>
            </w:r>
          </w:p>
        </w:tc>
        <w:tc>
          <w:tcPr>
            <w:tcW w:w="4324" w:type="dxa"/>
            <w:vAlign w:val="center"/>
          </w:tcPr>
          <w:p>
            <w:pPr>
              <w:adjustRightInd w:val="0"/>
              <w:snapToGrid w:val="0"/>
              <w:spacing w:line="240" w:lineRule="auto"/>
              <w:ind w:firstLine="0" w:firstLineChars="0"/>
              <w:jc w:val="center"/>
              <w:rPr>
                <w:rFonts w:ascii="宋体" w:hAnsi="宋体"/>
                <w:b/>
                <w:sz w:val="21"/>
                <w:szCs w:val="21"/>
              </w:rPr>
            </w:pPr>
            <w:r>
              <w:rPr>
                <w:rFonts w:hint="eastAsia" w:ascii="宋体" w:hAnsi="宋体"/>
                <w:b/>
                <w:sz w:val="21"/>
                <w:szCs w:val="21"/>
              </w:rPr>
              <w:drawing>
                <wp:inline distT="0" distB="0" distL="114300" distR="114300">
                  <wp:extent cx="2639695" cy="1979930"/>
                  <wp:effectExtent l="0" t="0" r="8255" b="1270"/>
                  <wp:docPr id="12" name="图片 12" descr="IMG_20180510_1415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IMG_20180510_141522"/>
                          <pic:cNvPicPr>
                            <a:picLocks noChangeAspect="1"/>
                          </pic:cNvPicPr>
                        </pic:nvPicPr>
                        <pic:blipFill>
                          <a:blip r:embed="rId43" cstate="print"/>
                          <a:stretch>
                            <a:fillRect/>
                          </a:stretch>
                        </pic:blipFill>
                        <pic:spPr>
                          <a:xfrm>
                            <a:off x="0" y="0"/>
                            <a:ext cx="2639695" cy="1979930"/>
                          </a:xfrm>
                          <a:prstGeom prst="rect">
                            <a:avLst/>
                          </a:prstGeom>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54" w:hRule="atLeast"/>
          <w:jc w:val="center"/>
        </w:trPr>
        <w:tc>
          <w:tcPr>
            <w:tcW w:w="4198" w:type="dxa"/>
            <w:vAlign w:val="center"/>
          </w:tcPr>
          <w:p>
            <w:pPr>
              <w:adjustRightInd w:val="0"/>
              <w:snapToGrid w:val="0"/>
              <w:spacing w:line="240" w:lineRule="auto"/>
              <w:ind w:firstLine="0" w:firstLineChars="0"/>
              <w:jc w:val="center"/>
              <w:rPr>
                <w:rFonts w:ascii="宋体" w:hAnsi="宋体"/>
                <w:sz w:val="21"/>
                <w:szCs w:val="21"/>
              </w:rPr>
            </w:pPr>
            <w:r>
              <w:rPr>
                <w:rFonts w:hint="eastAsia" w:ascii="宋体" w:hAnsi="宋体"/>
                <w:sz w:val="21"/>
                <w:szCs w:val="21"/>
              </w:rPr>
              <w:t>准保护区内的加油站</w:t>
            </w:r>
          </w:p>
        </w:tc>
        <w:tc>
          <w:tcPr>
            <w:tcW w:w="4324" w:type="dxa"/>
            <w:vAlign w:val="center"/>
          </w:tcPr>
          <w:p>
            <w:pPr>
              <w:adjustRightInd w:val="0"/>
              <w:snapToGrid w:val="0"/>
              <w:spacing w:line="240" w:lineRule="auto"/>
              <w:ind w:firstLine="0" w:firstLineChars="0"/>
              <w:jc w:val="center"/>
              <w:rPr>
                <w:rFonts w:ascii="宋体" w:hAnsi="宋体"/>
                <w:sz w:val="21"/>
                <w:szCs w:val="21"/>
              </w:rPr>
            </w:pPr>
            <w:r>
              <w:rPr>
                <w:rFonts w:hint="eastAsia" w:ascii="宋体" w:hAnsi="宋体"/>
                <w:sz w:val="21"/>
                <w:szCs w:val="21"/>
              </w:rPr>
              <w:t>准保护区内的加油站</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54" w:hRule="atLeast"/>
          <w:jc w:val="center"/>
        </w:trPr>
        <w:tc>
          <w:tcPr>
            <w:tcW w:w="4198" w:type="dxa"/>
            <w:vAlign w:val="center"/>
          </w:tcPr>
          <w:p>
            <w:pPr>
              <w:adjustRightInd w:val="0"/>
              <w:snapToGrid w:val="0"/>
              <w:spacing w:line="240" w:lineRule="auto"/>
              <w:ind w:firstLine="0" w:firstLineChars="0"/>
              <w:jc w:val="center"/>
              <w:rPr>
                <w:sz w:val="21"/>
                <w:szCs w:val="21"/>
              </w:rPr>
            </w:pPr>
            <w:r>
              <w:rPr>
                <w:rFonts w:hint="eastAsia"/>
                <w:sz w:val="21"/>
                <w:szCs w:val="21"/>
              </w:rPr>
              <w:drawing>
                <wp:inline distT="0" distB="0" distL="114300" distR="114300">
                  <wp:extent cx="2501265" cy="2446655"/>
                  <wp:effectExtent l="0" t="0" r="13335" b="10795"/>
                  <wp:docPr id="15" name="图片 15" descr="IMG201805101129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descr="IMG20180510112901"/>
                          <pic:cNvPicPr>
                            <a:picLocks noChangeAspect="1"/>
                          </pic:cNvPicPr>
                        </pic:nvPicPr>
                        <pic:blipFill>
                          <a:blip r:embed="rId44"/>
                          <a:srcRect/>
                          <a:stretch>
                            <a:fillRect/>
                          </a:stretch>
                        </pic:blipFill>
                        <pic:spPr>
                          <a:xfrm>
                            <a:off x="0" y="0"/>
                            <a:ext cx="2501265" cy="2446655"/>
                          </a:xfrm>
                          <a:prstGeom prst="rect">
                            <a:avLst/>
                          </a:prstGeom>
                        </pic:spPr>
                      </pic:pic>
                    </a:graphicData>
                  </a:graphic>
                </wp:inline>
              </w:drawing>
            </w:r>
          </w:p>
        </w:tc>
        <w:tc>
          <w:tcPr>
            <w:tcW w:w="4324" w:type="dxa"/>
            <w:vAlign w:val="center"/>
          </w:tcPr>
          <w:p>
            <w:pPr>
              <w:adjustRightInd w:val="0"/>
              <w:snapToGrid w:val="0"/>
              <w:spacing w:line="240" w:lineRule="auto"/>
              <w:ind w:firstLine="0" w:firstLineChars="0"/>
              <w:jc w:val="center"/>
              <w:rPr>
                <w:sz w:val="21"/>
                <w:szCs w:val="21"/>
              </w:rPr>
            </w:pPr>
            <w:r>
              <w:rPr>
                <w:rFonts w:hint="eastAsia"/>
                <w:sz w:val="21"/>
                <w:szCs w:val="21"/>
              </w:rPr>
              <w:drawing>
                <wp:inline distT="0" distB="0" distL="114300" distR="114300">
                  <wp:extent cx="2589530" cy="2404745"/>
                  <wp:effectExtent l="0" t="0" r="1270" b="14605"/>
                  <wp:docPr id="14" name="图片 14" descr="IMG201805101359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descr="IMG20180510135947"/>
                          <pic:cNvPicPr>
                            <a:picLocks noChangeAspect="1"/>
                          </pic:cNvPicPr>
                        </pic:nvPicPr>
                        <pic:blipFill>
                          <a:blip r:embed="rId45" cstate="print"/>
                          <a:srcRect/>
                          <a:stretch>
                            <a:fillRect/>
                          </a:stretch>
                        </pic:blipFill>
                        <pic:spPr>
                          <a:xfrm>
                            <a:off x="0" y="0"/>
                            <a:ext cx="2589530" cy="2404745"/>
                          </a:xfrm>
                          <a:prstGeom prst="rect">
                            <a:avLst/>
                          </a:prstGeom>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54" w:hRule="atLeast"/>
          <w:jc w:val="center"/>
        </w:trPr>
        <w:tc>
          <w:tcPr>
            <w:tcW w:w="4198" w:type="dxa"/>
            <w:vAlign w:val="center"/>
          </w:tcPr>
          <w:p>
            <w:pPr>
              <w:adjustRightInd w:val="0"/>
              <w:snapToGrid w:val="0"/>
              <w:spacing w:line="240" w:lineRule="auto"/>
              <w:ind w:firstLine="0" w:firstLineChars="0"/>
              <w:jc w:val="center"/>
              <w:rPr>
                <w:rFonts w:ascii="宋体" w:hAnsi="宋体"/>
                <w:sz w:val="21"/>
                <w:szCs w:val="21"/>
              </w:rPr>
            </w:pPr>
            <w:r>
              <w:rPr>
                <w:rFonts w:hint="eastAsia" w:ascii="宋体" w:hAnsi="宋体"/>
                <w:sz w:val="21"/>
                <w:szCs w:val="21"/>
              </w:rPr>
              <w:t>准保护区内月田污水处理厂排放口</w:t>
            </w:r>
          </w:p>
        </w:tc>
        <w:tc>
          <w:tcPr>
            <w:tcW w:w="4324" w:type="dxa"/>
            <w:vAlign w:val="center"/>
          </w:tcPr>
          <w:p>
            <w:pPr>
              <w:adjustRightInd w:val="0"/>
              <w:snapToGrid w:val="0"/>
              <w:spacing w:line="240" w:lineRule="auto"/>
              <w:ind w:firstLine="0" w:firstLineChars="0"/>
              <w:jc w:val="center"/>
              <w:rPr>
                <w:rFonts w:ascii="宋体" w:hAnsi="宋体"/>
                <w:sz w:val="21"/>
                <w:szCs w:val="21"/>
              </w:rPr>
            </w:pPr>
            <w:r>
              <w:rPr>
                <w:rFonts w:hint="eastAsia" w:ascii="宋体" w:hAnsi="宋体"/>
                <w:sz w:val="21"/>
                <w:szCs w:val="21"/>
              </w:rPr>
              <w:t>准保护区内毛田污水处理厂排放口</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54" w:hRule="atLeast"/>
          <w:jc w:val="center"/>
        </w:trPr>
        <w:tc>
          <w:tcPr>
            <w:tcW w:w="4198" w:type="dxa"/>
            <w:vAlign w:val="center"/>
          </w:tcPr>
          <w:p>
            <w:pPr>
              <w:adjustRightInd w:val="0"/>
              <w:snapToGrid w:val="0"/>
              <w:spacing w:line="240" w:lineRule="auto"/>
              <w:ind w:firstLine="0" w:firstLineChars="0"/>
              <w:jc w:val="center"/>
              <w:rPr>
                <w:sz w:val="21"/>
                <w:szCs w:val="21"/>
              </w:rPr>
            </w:pPr>
            <w:r>
              <w:rPr>
                <w:rFonts w:hint="eastAsia"/>
                <w:sz w:val="21"/>
                <w:szCs w:val="21"/>
              </w:rPr>
              <w:drawing>
                <wp:inline distT="0" distB="0" distL="114300" distR="114300">
                  <wp:extent cx="2501265" cy="2774315"/>
                  <wp:effectExtent l="0" t="0" r="13335" b="6985"/>
                  <wp:docPr id="16" name="图片 16" descr="IMG201805101205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descr="IMG20180510120540"/>
                          <pic:cNvPicPr>
                            <a:picLocks noChangeAspect="1"/>
                          </pic:cNvPicPr>
                        </pic:nvPicPr>
                        <pic:blipFill>
                          <a:blip r:embed="rId46"/>
                          <a:srcRect/>
                          <a:stretch>
                            <a:fillRect/>
                          </a:stretch>
                        </pic:blipFill>
                        <pic:spPr>
                          <a:xfrm>
                            <a:off x="0" y="0"/>
                            <a:ext cx="2501265" cy="2774315"/>
                          </a:xfrm>
                          <a:prstGeom prst="rect">
                            <a:avLst/>
                          </a:prstGeom>
                        </pic:spPr>
                      </pic:pic>
                    </a:graphicData>
                  </a:graphic>
                </wp:inline>
              </w:drawing>
            </w:r>
          </w:p>
        </w:tc>
        <w:tc>
          <w:tcPr>
            <w:tcW w:w="4324" w:type="dxa"/>
            <w:vAlign w:val="center"/>
          </w:tcPr>
          <w:p>
            <w:pPr>
              <w:adjustRightInd w:val="0"/>
              <w:snapToGrid w:val="0"/>
              <w:spacing w:line="240" w:lineRule="auto"/>
              <w:ind w:firstLine="0" w:firstLineChars="0"/>
              <w:jc w:val="center"/>
              <w:rPr>
                <w:sz w:val="21"/>
                <w:szCs w:val="21"/>
              </w:rPr>
            </w:pPr>
            <w:r>
              <w:rPr>
                <w:rFonts w:hint="eastAsia"/>
                <w:sz w:val="21"/>
                <w:szCs w:val="21"/>
              </w:rPr>
              <w:drawing>
                <wp:inline distT="0" distB="0" distL="114300" distR="114300">
                  <wp:extent cx="2501265" cy="2933065"/>
                  <wp:effectExtent l="0" t="0" r="13335" b="635"/>
                  <wp:docPr id="18" name="图片 18" descr="IMG201805101449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descr="IMG20180510144906"/>
                          <pic:cNvPicPr>
                            <a:picLocks noChangeAspect="1"/>
                          </pic:cNvPicPr>
                        </pic:nvPicPr>
                        <pic:blipFill>
                          <a:blip r:embed="rId47"/>
                          <a:stretch>
                            <a:fillRect/>
                          </a:stretch>
                        </pic:blipFill>
                        <pic:spPr>
                          <a:xfrm>
                            <a:off x="0" y="0"/>
                            <a:ext cx="2501265" cy="2933065"/>
                          </a:xfrm>
                          <a:prstGeom prst="rect">
                            <a:avLst/>
                          </a:prstGeom>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54" w:hRule="atLeast"/>
          <w:jc w:val="center"/>
        </w:trPr>
        <w:tc>
          <w:tcPr>
            <w:tcW w:w="4198" w:type="dxa"/>
            <w:vAlign w:val="center"/>
          </w:tcPr>
          <w:p>
            <w:pPr>
              <w:adjustRightInd w:val="0"/>
              <w:snapToGrid w:val="0"/>
              <w:spacing w:line="240" w:lineRule="auto"/>
              <w:ind w:firstLine="0" w:firstLineChars="0"/>
              <w:jc w:val="center"/>
              <w:rPr>
                <w:rFonts w:ascii="宋体" w:hAnsi="宋体"/>
                <w:sz w:val="21"/>
                <w:szCs w:val="21"/>
              </w:rPr>
            </w:pPr>
            <w:r>
              <w:rPr>
                <w:rFonts w:hint="eastAsia" w:ascii="宋体" w:hAnsi="宋体"/>
                <w:sz w:val="21"/>
                <w:szCs w:val="21"/>
              </w:rPr>
              <w:t>二级保护区内渡口</w:t>
            </w:r>
          </w:p>
        </w:tc>
        <w:tc>
          <w:tcPr>
            <w:tcW w:w="4324" w:type="dxa"/>
            <w:vAlign w:val="center"/>
          </w:tcPr>
          <w:p>
            <w:pPr>
              <w:adjustRightInd w:val="0"/>
              <w:snapToGrid w:val="0"/>
              <w:spacing w:line="240" w:lineRule="auto"/>
              <w:ind w:firstLine="0" w:firstLineChars="0"/>
              <w:jc w:val="center"/>
              <w:rPr>
                <w:rFonts w:ascii="宋体" w:hAnsi="宋体"/>
                <w:sz w:val="21"/>
                <w:szCs w:val="21"/>
              </w:rPr>
            </w:pPr>
            <w:r>
              <w:rPr>
                <w:rFonts w:hint="eastAsia" w:ascii="宋体" w:hAnsi="宋体"/>
                <w:sz w:val="21"/>
                <w:szCs w:val="21"/>
              </w:rPr>
              <w:t>北干渠</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54" w:hRule="atLeast"/>
          <w:jc w:val="center"/>
        </w:trPr>
        <w:tc>
          <w:tcPr>
            <w:tcW w:w="4198" w:type="dxa"/>
            <w:vAlign w:val="center"/>
          </w:tcPr>
          <w:p>
            <w:pPr>
              <w:adjustRightInd w:val="0"/>
              <w:snapToGrid w:val="0"/>
              <w:spacing w:line="240" w:lineRule="auto"/>
              <w:ind w:firstLine="0" w:firstLineChars="0"/>
              <w:jc w:val="center"/>
              <w:rPr>
                <w:sz w:val="21"/>
                <w:szCs w:val="21"/>
              </w:rPr>
            </w:pPr>
            <w:r>
              <w:rPr>
                <w:rFonts w:hint="eastAsia"/>
                <w:sz w:val="21"/>
                <w:szCs w:val="21"/>
              </w:rPr>
              <w:drawing>
                <wp:inline distT="0" distB="0" distL="114300" distR="114300">
                  <wp:extent cx="2687320" cy="2015490"/>
                  <wp:effectExtent l="0" t="0" r="17780" b="3810"/>
                  <wp:docPr id="17" name="图片 17" descr="IMG201805101427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descr="IMG20180510142744"/>
                          <pic:cNvPicPr>
                            <a:picLocks noChangeAspect="1"/>
                          </pic:cNvPicPr>
                        </pic:nvPicPr>
                        <pic:blipFill>
                          <a:blip r:embed="rId48" cstate="print"/>
                          <a:stretch>
                            <a:fillRect/>
                          </a:stretch>
                        </pic:blipFill>
                        <pic:spPr>
                          <a:xfrm>
                            <a:off x="0" y="0"/>
                            <a:ext cx="2687320" cy="2015490"/>
                          </a:xfrm>
                          <a:prstGeom prst="rect">
                            <a:avLst/>
                          </a:prstGeom>
                        </pic:spPr>
                      </pic:pic>
                    </a:graphicData>
                  </a:graphic>
                </wp:inline>
              </w:drawing>
            </w:r>
          </w:p>
        </w:tc>
        <w:tc>
          <w:tcPr>
            <w:tcW w:w="4324" w:type="dxa"/>
            <w:vAlign w:val="center"/>
          </w:tcPr>
          <w:p>
            <w:pPr>
              <w:adjustRightInd w:val="0"/>
              <w:snapToGrid w:val="0"/>
              <w:spacing w:line="240" w:lineRule="auto"/>
              <w:ind w:firstLine="0" w:firstLineChars="0"/>
              <w:jc w:val="center"/>
              <w:rPr>
                <w:sz w:val="21"/>
                <w:szCs w:val="21"/>
              </w:rPr>
            </w:pPr>
            <w:r>
              <w:rPr>
                <w:rFonts w:hint="eastAsia"/>
                <w:sz w:val="21"/>
                <w:szCs w:val="21"/>
              </w:rPr>
              <w:drawing>
                <wp:inline distT="0" distB="0" distL="114300" distR="114300">
                  <wp:extent cx="2574925" cy="1931035"/>
                  <wp:effectExtent l="0" t="0" r="15875" b="12065"/>
                  <wp:docPr id="19" name="图片 19" descr="IMG201805101454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descr="IMG20180510145447"/>
                          <pic:cNvPicPr>
                            <a:picLocks noChangeAspect="1"/>
                          </pic:cNvPicPr>
                        </pic:nvPicPr>
                        <pic:blipFill>
                          <a:blip r:embed="rId49" cstate="print"/>
                          <a:stretch>
                            <a:fillRect/>
                          </a:stretch>
                        </pic:blipFill>
                        <pic:spPr>
                          <a:xfrm>
                            <a:off x="0" y="0"/>
                            <a:ext cx="2574925" cy="1931035"/>
                          </a:xfrm>
                          <a:prstGeom prst="rect">
                            <a:avLst/>
                          </a:prstGeom>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54" w:hRule="atLeast"/>
          <w:jc w:val="center"/>
        </w:trPr>
        <w:tc>
          <w:tcPr>
            <w:tcW w:w="4198" w:type="dxa"/>
            <w:vAlign w:val="center"/>
          </w:tcPr>
          <w:p>
            <w:pPr>
              <w:adjustRightInd w:val="0"/>
              <w:snapToGrid w:val="0"/>
              <w:spacing w:line="240" w:lineRule="auto"/>
              <w:ind w:firstLine="0" w:firstLineChars="0"/>
              <w:jc w:val="center"/>
              <w:rPr>
                <w:rFonts w:ascii="宋体" w:hAnsi="宋体"/>
                <w:sz w:val="21"/>
                <w:szCs w:val="21"/>
              </w:rPr>
            </w:pPr>
            <w:r>
              <w:rPr>
                <w:rFonts w:hint="eastAsia" w:ascii="宋体" w:hAnsi="宋体"/>
                <w:sz w:val="21"/>
                <w:szCs w:val="21"/>
              </w:rPr>
              <w:t>二级保护区内公路</w:t>
            </w:r>
          </w:p>
        </w:tc>
        <w:tc>
          <w:tcPr>
            <w:tcW w:w="4324" w:type="dxa"/>
            <w:vAlign w:val="center"/>
          </w:tcPr>
          <w:p>
            <w:pPr>
              <w:adjustRightInd w:val="0"/>
              <w:snapToGrid w:val="0"/>
              <w:spacing w:line="240" w:lineRule="auto"/>
              <w:ind w:firstLine="0" w:firstLineChars="0"/>
              <w:jc w:val="center"/>
              <w:rPr>
                <w:rFonts w:ascii="宋体" w:hAnsi="宋体"/>
                <w:sz w:val="21"/>
                <w:szCs w:val="21"/>
              </w:rPr>
            </w:pPr>
            <w:r>
              <w:rPr>
                <w:rFonts w:hint="eastAsia" w:ascii="宋体" w:hAnsi="宋体"/>
                <w:sz w:val="21"/>
                <w:szCs w:val="21"/>
              </w:rPr>
              <w:t>上跨北干渠公路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54" w:hRule="atLeast"/>
          <w:jc w:val="center"/>
        </w:trPr>
        <w:tc>
          <w:tcPr>
            <w:tcW w:w="4198" w:type="dxa"/>
            <w:vAlign w:val="center"/>
          </w:tcPr>
          <w:p>
            <w:pPr>
              <w:adjustRightInd w:val="0"/>
              <w:snapToGrid w:val="0"/>
              <w:spacing w:line="240" w:lineRule="auto"/>
              <w:ind w:firstLine="0" w:firstLineChars="0"/>
              <w:jc w:val="center"/>
              <w:rPr>
                <w:sz w:val="21"/>
                <w:szCs w:val="21"/>
              </w:rPr>
            </w:pPr>
            <w:r>
              <w:rPr>
                <w:rFonts w:hint="eastAsia"/>
                <w:sz w:val="21"/>
                <w:szCs w:val="21"/>
              </w:rPr>
              <w:drawing>
                <wp:inline distT="0" distB="0" distL="114300" distR="114300">
                  <wp:extent cx="2501265" cy="2647315"/>
                  <wp:effectExtent l="0" t="0" r="13335" b="635"/>
                  <wp:docPr id="20" name="图片 20" descr="IMG201805101159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descr="IMG20180510115919"/>
                          <pic:cNvPicPr>
                            <a:picLocks noChangeAspect="1"/>
                          </pic:cNvPicPr>
                        </pic:nvPicPr>
                        <pic:blipFill>
                          <a:blip r:embed="rId50" cstate="print"/>
                          <a:srcRect/>
                          <a:stretch>
                            <a:fillRect/>
                          </a:stretch>
                        </pic:blipFill>
                        <pic:spPr>
                          <a:xfrm>
                            <a:off x="0" y="0"/>
                            <a:ext cx="2501265" cy="2647315"/>
                          </a:xfrm>
                          <a:prstGeom prst="rect">
                            <a:avLst/>
                          </a:prstGeom>
                        </pic:spPr>
                      </pic:pic>
                    </a:graphicData>
                  </a:graphic>
                </wp:inline>
              </w:drawing>
            </w:r>
          </w:p>
        </w:tc>
        <w:tc>
          <w:tcPr>
            <w:tcW w:w="4324" w:type="dxa"/>
            <w:vAlign w:val="center"/>
          </w:tcPr>
          <w:p>
            <w:pPr>
              <w:adjustRightInd w:val="0"/>
              <w:snapToGrid w:val="0"/>
              <w:spacing w:line="240" w:lineRule="auto"/>
              <w:ind w:firstLine="0" w:firstLineChars="0"/>
              <w:jc w:val="center"/>
              <w:rPr>
                <w:sz w:val="21"/>
                <w:szCs w:val="21"/>
              </w:rPr>
            </w:pPr>
            <w:r>
              <w:rPr>
                <w:rFonts w:hint="eastAsia"/>
                <w:sz w:val="21"/>
                <w:szCs w:val="21"/>
              </w:rPr>
              <w:drawing>
                <wp:inline distT="0" distB="0" distL="114300" distR="114300">
                  <wp:extent cx="2589530" cy="2637790"/>
                  <wp:effectExtent l="0" t="0" r="1270" b="10160"/>
                  <wp:docPr id="21" name="图片 21" descr="IMG201805101447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descr="IMG20180510144748"/>
                          <pic:cNvPicPr>
                            <a:picLocks noChangeAspect="1"/>
                          </pic:cNvPicPr>
                        </pic:nvPicPr>
                        <pic:blipFill>
                          <a:blip r:embed="rId51" cstate="print"/>
                          <a:srcRect/>
                          <a:stretch>
                            <a:fillRect/>
                          </a:stretch>
                        </pic:blipFill>
                        <pic:spPr>
                          <a:xfrm>
                            <a:off x="0" y="0"/>
                            <a:ext cx="2589530" cy="2637790"/>
                          </a:xfrm>
                          <a:prstGeom prst="rect">
                            <a:avLst/>
                          </a:prstGeom>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54" w:hRule="atLeast"/>
          <w:jc w:val="center"/>
        </w:trPr>
        <w:tc>
          <w:tcPr>
            <w:tcW w:w="4198" w:type="dxa"/>
            <w:vAlign w:val="center"/>
          </w:tcPr>
          <w:p>
            <w:pPr>
              <w:adjustRightInd w:val="0"/>
              <w:snapToGrid w:val="0"/>
              <w:spacing w:line="240" w:lineRule="auto"/>
              <w:ind w:firstLine="0" w:firstLineChars="0"/>
              <w:jc w:val="center"/>
              <w:rPr>
                <w:rFonts w:ascii="宋体" w:hAnsi="宋体"/>
                <w:sz w:val="21"/>
                <w:szCs w:val="21"/>
              </w:rPr>
            </w:pPr>
            <w:r>
              <w:rPr>
                <w:rFonts w:hint="eastAsia" w:ascii="宋体" w:hAnsi="宋体"/>
                <w:sz w:val="21"/>
                <w:szCs w:val="21"/>
              </w:rPr>
              <w:t>二级保护区内桥梁</w:t>
            </w:r>
          </w:p>
        </w:tc>
        <w:tc>
          <w:tcPr>
            <w:tcW w:w="4324" w:type="dxa"/>
            <w:vAlign w:val="center"/>
          </w:tcPr>
          <w:p>
            <w:pPr>
              <w:adjustRightInd w:val="0"/>
              <w:snapToGrid w:val="0"/>
              <w:spacing w:line="240" w:lineRule="auto"/>
              <w:ind w:firstLine="0" w:firstLineChars="0"/>
              <w:jc w:val="center"/>
              <w:rPr>
                <w:rFonts w:ascii="宋体" w:hAnsi="宋体"/>
                <w:sz w:val="21"/>
                <w:szCs w:val="21"/>
              </w:rPr>
            </w:pPr>
            <w:r>
              <w:rPr>
                <w:rFonts w:hint="eastAsia" w:ascii="宋体" w:hAnsi="宋体"/>
                <w:sz w:val="21"/>
                <w:szCs w:val="21"/>
              </w:rPr>
              <w:t>保护区内宣传牌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54" w:hRule="atLeast"/>
          <w:jc w:val="center"/>
        </w:trPr>
        <w:tc>
          <w:tcPr>
            <w:tcW w:w="4198" w:type="dxa"/>
            <w:vAlign w:val="center"/>
          </w:tcPr>
          <w:p>
            <w:pPr>
              <w:adjustRightInd w:val="0"/>
              <w:snapToGrid w:val="0"/>
              <w:spacing w:line="240" w:lineRule="auto"/>
              <w:ind w:firstLine="0" w:firstLineChars="0"/>
              <w:jc w:val="center"/>
              <w:rPr>
                <w:sz w:val="21"/>
                <w:szCs w:val="21"/>
              </w:rPr>
            </w:pPr>
            <w:r>
              <w:rPr>
                <w:rFonts w:hint="eastAsia"/>
                <w:sz w:val="21"/>
                <w:szCs w:val="21"/>
              </w:rPr>
              <w:drawing>
                <wp:inline distT="0" distB="0" distL="114300" distR="114300">
                  <wp:extent cx="2515870" cy="1887220"/>
                  <wp:effectExtent l="0" t="0" r="17780" b="17780"/>
                  <wp:docPr id="26" name="图片 26" descr="IMG201805101427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descr="IMG20180510142733"/>
                          <pic:cNvPicPr>
                            <a:picLocks noChangeAspect="1"/>
                          </pic:cNvPicPr>
                        </pic:nvPicPr>
                        <pic:blipFill>
                          <a:blip r:embed="rId52" cstate="print"/>
                          <a:stretch>
                            <a:fillRect/>
                          </a:stretch>
                        </pic:blipFill>
                        <pic:spPr>
                          <a:xfrm>
                            <a:off x="0" y="0"/>
                            <a:ext cx="2515870" cy="1887220"/>
                          </a:xfrm>
                          <a:prstGeom prst="rect">
                            <a:avLst/>
                          </a:prstGeom>
                        </pic:spPr>
                      </pic:pic>
                    </a:graphicData>
                  </a:graphic>
                </wp:inline>
              </w:drawing>
            </w:r>
          </w:p>
        </w:tc>
        <w:tc>
          <w:tcPr>
            <w:tcW w:w="4324" w:type="dxa"/>
            <w:vAlign w:val="center"/>
          </w:tcPr>
          <w:p>
            <w:pPr>
              <w:adjustRightInd w:val="0"/>
              <w:snapToGrid w:val="0"/>
              <w:spacing w:line="240" w:lineRule="auto"/>
              <w:ind w:firstLine="0" w:firstLineChars="0"/>
              <w:jc w:val="center"/>
              <w:rPr>
                <w:sz w:val="21"/>
                <w:szCs w:val="21"/>
              </w:rPr>
            </w:pPr>
            <w:r>
              <w:rPr>
                <w:rFonts w:hint="eastAsia"/>
                <w:sz w:val="21"/>
                <w:szCs w:val="21"/>
              </w:rPr>
              <w:drawing>
                <wp:inline distT="0" distB="0" distL="114300" distR="114300">
                  <wp:extent cx="2574925" cy="1931035"/>
                  <wp:effectExtent l="0" t="0" r="15875" b="12065"/>
                  <wp:docPr id="27" name="图片 27" descr="IMG201805101428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descr="IMG20180510142802"/>
                          <pic:cNvPicPr>
                            <a:picLocks noChangeAspect="1"/>
                          </pic:cNvPicPr>
                        </pic:nvPicPr>
                        <pic:blipFill>
                          <a:blip r:embed="rId53" cstate="print"/>
                          <a:stretch>
                            <a:fillRect/>
                          </a:stretch>
                        </pic:blipFill>
                        <pic:spPr>
                          <a:xfrm>
                            <a:off x="0" y="0"/>
                            <a:ext cx="2574925" cy="1931035"/>
                          </a:xfrm>
                          <a:prstGeom prst="rect">
                            <a:avLst/>
                          </a:prstGeom>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54" w:hRule="atLeast"/>
          <w:jc w:val="center"/>
        </w:trPr>
        <w:tc>
          <w:tcPr>
            <w:tcW w:w="4198" w:type="dxa"/>
            <w:vAlign w:val="center"/>
          </w:tcPr>
          <w:p>
            <w:pPr>
              <w:adjustRightInd w:val="0"/>
              <w:snapToGrid w:val="0"/>
              <w:spacing w:line="240" w:lineRule="auto"/>
              <w:ind w:firstLine="0" w:firstLineChars="0"/>
              <w:jc w:val="center"/>
              <w:rPr>
                <w:sz w:val="21"/>
                <w:szCs w:val="21"/>
              </w:rPr>
            </w:pPr>
            <w:r>
              <w:rPr>
                <w:rFonts w:hint="eastAsia"/>
                <w:sz w:val="21"/>
                <w:szCs w:val="21"/>
              </w:rPr>
              <w:t>二级保护区内的居民</w:t>
            </w:r>
          </w:p>
        </w:tc>
        <w:tc>
          <w:tcPr>
            <w:tcW w:w="4324" w:type="dxa"/>
            <w:vAlign w:val="center"/>
          </w:tcPr>
          <w:p>
            <w:pPr>
              <w:adjustRightInd w:val="0"/>
              <w:snapToGrid w:val="0"/>
              <w:spacing w:line="240" w:lineRule="auto"/>
              <w:ind w:firstLine="0" w:firstLineChars="0"/>
              <w:jc w:val="center"/>
              <w:rPr>
                <w:sz w:val="21"/>
                <w:szCs w:val="21"/>
              </w:rPr>
            </w:pPr>
            <w:r>
              <w:rPr>
                <w:rFonts w:hint="eastAsia"/>
                <w:sz w:val="21"/>
                <w:szCs w:val="21"/>
              </w:rPr>
              <w:t>二级保护区内的居民</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54" w:hRule="atLeast"/>
          <w:jc w:val="center"/>
        </w:trPr>
        <w:tc>
          <w:tcPr>
            <w:tcW w:w="4198" w:type="dxa"/>
            <w:vAlign w:val="center"/>
          </w:tcPr>
          <w:p>
            <w:pPr>
              <w:adjustRightInd w:val="0"/>
              <w:snapToGrid w:val="0"/>
              <w:spacing w:line="240" w:lineRule="auto"/>
              <w:ind w:firstLine="0" w:firstLineChars="0"/>
              <w:jc w:val="center"/>
              <w:rPr>
                <w:sz w:val="21"/>
                <w:szCs w:val="21"/>
              </w:rPr>
            </w:pPr>
            <w:r>
              <w:rPr>
                <w:rFonts w:hint="eastAsia"/>
                <w:sz w:val="21"/>
                <w:szCs w:val="21"/>
              </w:rPr>
              <w:drawing>
                <wp:inline distT="0" distB="0" distL="114300" distR="114300">
                  <wp:extent cx="2515870" cy="1887220"/>
                  <wp:effectExtent l="0" t="0" r="17780" b="17780"/>
                  <wp:docPr id="22" name="图片 22" descr="IMG201805101626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descr="IMG20180510162635"/>
                          <pic:cNvPicPr>
                            <a:picLocks noChangeAspect="1"/>
                          </pic:cNvPicPr>
                        </pic:nvPicPr>
                        <pic:blipFill>
                          <a:blip r:embed="rId54" cstate="print"/>
                          <a:stretch>
                            <a:fillRect/>
                          </a:stretch>
                        </pic:blipFill>
                        <pic:spPr>
                          <a:xfrm>
                            <a:off x="0" y="0"/>
                            <a:ext cx="2515870" cy="1887220"/>
                          </a:xfrm>
                          <a:prstGeom prst="rect">
                            <a:avLst/>
                          </a:prstGeom>
                        </pic:spPr>
                      </pic:pic>
                    </a:graphicData>
                  </a:graphic>
                </wp:inline>
              </w:drawing>
            </w:r>
          </w:p>
        </w:tc>
        <w:tc>
          <w:tcPr>
            <w:tcW w:w="4324" w:type="dxa"/>
            <w:vAlign w:val="center"/>
          </w:tcPr>
          <w:p>
            <w:pPr>
              <w:adjustRightInd w:val="0"/>
              <w:snapToGrid w:val="0"/>
              <w:spacing w:line="240" w:lineRule="auto"/>
              <w:ind w:firstLine="0" w:firstLineChars="0"/>
              <w:jc w:val="center"/>
              <w:rPr>
                <w:sz w:val="21"/>
                <w:szCs w:val="21"/>
              </w:rPr>
            </w:pPr>
            <w:r>
              <w:rPr>
                <w:rFonts w:hint="eastAsia"/>
                <w:sz w:val="21"/>
                <w:szCs w:val="21"/>
              </w:rPr>
              <w:drawing>
                <wp:inline distT="0" distB="0" distL="114300" distR="114300">
                  <wp:extent cx="2574925" cy="1931035"/>
                  <wp:effectExtent l="0" t="0" r="15875" b="12065"/>
                  <wp:docPr id="23" name="图片 23" descr="IMG20180510163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descr="IMG20180510163302"/>
                          <pic:cNvPicPr>
                            <a:picLocks noChangeAspect="1"/>
                          </pic:cNvPicPr>
                        </pic:nvPicPr>
                        <pic:blipFill>
                          <a:blip r:embed="rId55" cstate="print"/>
                          <a:stretch>
                            <a:fillRect/>
                          </a:stretch>
                        </pic:blipFill>
                        <pic:spPr>
                          <a:xfrm>
                            <a:off x="0" y="0"/>
                            <a:ext cx="2574925" cy="1931035"/>
                          </a:xfrm>
                          <a:prstGeom prst="rect">
                            <a:avLst/>
                          </a:prstGeom>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54" w:hRule="atLeast"/>
          <w:jc w:val="center"/>
        </w:trPr>
        <w:tc>
          <w:tcPr>
            <w:tcW w:w="4198" w:type="dxa"/>
            <w:vAlign w:val="center"/>
          </w:tcPr>
          <w:p>
            <w:pPr>
              <w:adjustRightInd w:val="0"/>
              <w:snapToGrid w:val="0"/>
              <w:spacing w:line="240" w:lineRule="auto"/>
              <w:ind w:firstLine="0" w:firstLineChars="0"/>
              <w:jc w:val="center"/>
              <w:rPr>
                <w:rFonts w:ascii="宋体" w:hAnsi="宋体"/>
                <w:sz w:val="21"/>
                <w:szCs w:val="21"/>
              </w:rPr>
            </w:pPr>
            <w:r>
              <w:rPr>
                <w:rFonts w:hint="eastAsia" w:ascii="宋体" w:hAnsi="宋体"/>
                <w:sz w:val="21"/>
                <w:szCs w:val="21"/>
              </w:rPr>
              <w:t>北干渠渡槽</w:t>
            </w:r>
          </w:p>
        </w:tc>
        <w:tc>
          <w:tcPr>
            <w:tcW w:w="4324" w:type="dxa"/>
            <w:vAlign w:val="center"/>
          </w:tcPr>
          <w:p>
            <w:pPr>
              <w:adjustRightInd w:val="0"/>
              <w:snapToGrid w:val="0"/>
              <w:spacing w:line="240" w:lineRule="auto"/>
              <w:ind w:firstLine="0" w:firstLineChars="0"/>
              <w:jc w:val="center"/>
              <w:rPr>
                <w:rFonts w:ascii="宋体" w:hAnsi="宋体"/>
                <w:sz w:val="21"/>
                <w:szCs w:val="21"/>
              </w:rPr>
            </w:pPr>
            <w:r>
              <w:rPr>
                <w:rFonts w:hint="eastAsia" w:ascii="宋体" w:hAnsi="宋体"/>
                <w:sz w:val="21"/>
                <w:szCs w:val="21"/>
              </w:rPr>
              <w:t>北干渠渡槽</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54" w:hRule="atLeast"/>
          <w:jc w:val="center"/>
        </w:trPr>
        <w:tc>
          <w:tcPr>
            <w:tcW w:w="4198" w:type="dxa"/>
            <w:vAlign w:val="center"/>
          </w:tcPr>
          <w:p>
            <w:pPr>
              <w:adjustRightInd w:val="0"/>
              <w:snapToGrid w:val="0"/>
              <w:spacing w:line="240" w:lineRule="auto"/>
              <w:ind w:firstLine="0" w:firstLineChars="0"/>
              <w:jc w:val="center"/>
              <w:rPr>
                <w:sz w:val="21"/>
                <w:szCs w:val="21"/>
              </w:rPr>
            </w:pPr>
            <w:r>
              <w:rPr>
                <w:rFonts w:hint="eastAsia"/>
                <w:sz w:val="21"/>
                <w:szCs w:val="21"/>
              </w:rPr>
              <w:drawing>
                <wp:inline distT="0" distB="0" distL="114300" distR="114300">
                  <wp:extent cx="2501265" cy="3335020"/>
                  <wp:effectExtent l="0" t="0" r="13335" b="17780"/>
                  <wp:docPr id="24" name="图片 24" descr="IMG20180510155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descr="IMG20180510155832"/>
                          <pic:cNvPicPr>
                            <a:picLocks noChangeAspect="1"/>
                          </pic:cNvPicPr>
                        </pic:nvPicPr>
                        <pic:blipFill>
                          <a:blip r:embed="rId56" cstate="print"/>
                          <a:stretch>
                            <a:fillRect/>
                          </a:stretch>
                        </pic:blipFill>
                        <pic:spPr>
                          <a:xfrm>
                            <a:off x="0" y="0"/>
                            <a:ext cx="2501265" cy="3335020"/>
                          </a:xfrm>
                          <a:prstGeom prst="rect">
                            <a:avLst/>
                          </a:prstGeom>
                        </pic:spPr>
                      </pic:pic>
                    </a:graphicData>
                  </a:graphic>
                </wp:inline>
              </w:drawing>
            </w:r>
          </w:p>
        </w:tc>
        <w:tc>
          <w:tcPr>
            <w:tcW w:w="4324" w:type="dxa"/>
            <w:vAlign w:val="center"/>
          </w:tcPr>
          <w:p>
            <w:pPr>
              <w:adjustRightInd w:val="0"/>
              <w:snapToGrid w:val="0"/>
              <w:spacing w:line="240" w:lineRule="auto"/>
              <w:ind w:firstLine="0" w:firstLineChars="0"/>
              <w:jc w:val="center"/>
              <w:rPr>
                <w:sz w:val="21"/>
                <w:szCs w:val="21"/>
              </w:rPr>
            </w:pPr>
            <w:r>
              <w:rPr>
                <w:rFonts w:hint="eastAsia"/>
                <w:sz w:val="21"/>
                <w:szCs w:val="21"/>
              </w:rPr>
              <w:drawing>
                <wp:inline distT="0" distB="0" distL="114300" distR="114300">
                  <wp:extent cx="2589530" cy="3452495"/>
                  <wp:effectExtent l="0" t="0" r="1270" b="14605"/>
                  <wp:docPr id="25" name="图片 25" descr="IMG20180510160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descr="IMG20180510160341"/>
                          <pic:cNvPicPr>
                            <a:picLocks noChangeAspect="1"/>
                          </pic:cNvPicPr>
                        </pic:nvPicPr>
                        <pic:blipFill>
                          <a:blip r:embed="rId57" cstate="print"/>
                          <a:stretch>
                            <a:fillRect/>
                          </a:stretch>
                        </pic:blipFill>
                        <pic:spPr>
                          <a:xfrm>
                            <a:off x="0" y="0"/>
                            <a:ext cx="2589530" cy="3452495"/>
                          </a:xfrm>
                          <a:prstGeom prst="rect">
                            <a:avLst/>
                          </a:prstGeom>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54" w:hRule="atLeast"/>
          <w:jc w:val="center"/>
        </w:trPr>
        <w:tc>
          <w:tcPr>
            <w:tcW w:w="4198" w:type="dxa"/>
            <w:vAlign w:val="center"/>
          </w:tcPr>
          <w:p>
            <w:pPr>
              <w:adjustRightInd w:val="0"/>
              <w:snapToGrid w:val="0"/>
              <w:spacing w:line="240" w:lineRule="auto"/>
              <w:ind w:firstLine="0" w:firstLineChars="0"/>
              <w:jc w:val="center"/>
              <w:rPr>
                <w:rFonts w:ascii="宋体" w:hAnsi="宋体"/>
                <w:sz w:val="21"/>
                <w:szCs w:val="21"/>
              </w:rPr>
            </w:pPr>
            <w:r>
              <w:rPr>
                <w:rFonts w:hint="eastAsia" w:ascii="宋体" w:hAnsi="宋体"/>
                <w:sz w:val="21"/>
                <w:szCs w:val="21"/>
              </w:rPr>
              <w:t>北干渠泄洪闸</w:t>
            </w:r>
          </w:p>
        </w:tc>
        <w:tc>
          <w:tcPr>
            <w:tcW w:w="4324" w:type="dxa"/>
            <w:vAlign w:val="center"/>
          </w:tcPr>
          <w:p>
            <w:pPr>
              <w:adjustRightInd w:val="0"/>
              <w:snapToGrid w:val="0"/>
              <w:spacing w:line="240" w:lineRule="auto"/>
              <w:ind w:firstLine="0" w:firstLineChars="0"/>
              <w:jc w:val="center"/>
              <w:rPr>
                <w:rFonts w:ascii="宋体" w:hAnsi="宋体"/>
                <w:sz w:val="21"/>
                <w:szCs w:val="21"/>
              </w:rPr>
            </w:pPr>
            <w:r>
              <w:rPr>
                <w:rFonts w:hint="eastAsia" w:ascii="宋体" w:hAnsi="宋体"/>
                <w:sz w:val="21"/>
                <w:szCs w:val="21"/>
              </w:rPr>
              <w:t>北干渠明改暗现场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54" w:hRule="atLeast"/>
          <w:jc w:val="center"/>
        </w:trPr>
        <w:tc>
          <w:tcPr>
            <w:tcW w:w="4198" w:type="dxa"/>
            <w:vAlign w:val="center"/>
          </w:tcPr>
          <w:p>
            <w:pPr>
              <w:adjustRightInd w:val="0"/>
              <w:snapToGrid w:val="0"/>
              <w:spacing w:line="240" w:lineRule="auto"/>
              <w:ind w:firstLine="0" w:firstLineChars="0"/>
              <w:jc w:val="center"/>
              <w:rPr>
                <w:sz w:val="21"/>
                <w:szCs w:val="21"/>
              </w:rPr>
            </w:pPr>
            <w:r>
              <w:rPr>
                <w:rFonts w:hint="eastAsia"/>
                <w:sz w:val="21"/>
                <w:szCs w:val="21"/>
              </w:rPr>
              <w:drawing>
                <wp:inline distT="0" distB="0" distL="114300" distR="114300">
                  <wp:extent cx="2515870" cy="1887220"/>
                  <wp:effectExtent l="0" t="0" r="17780" b="17780"/>
                  <wp:docPr id="28" name="图片 28" descr="IMG20180510155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descr="IMG20180510155434"/>
                          <pic:cNvPicPr>
                            <a:picLocks noChangeAspect="1"/>
                          </pic:cNvPicPr>
                        </pic:nvPicPr>
                        <pic:blipFill>
                          <a:blip r:embed="rId58" cstate="print"/>
                          <a:stretch>
                            <a:fillRect/>
                          </a:stretch>
                        </pic:blipFill>
                        <pic:spPr>
                          <a:xfrm>
                            <a:off x="0" y="0"/>
                            <a:ext cx="2515870" cy="1887220"/>
                          </a:xfrm>
                          <a:prstGeom prst="rect">
                            <a:avLst/>
                          </a:prstGeom>
                        </pic:spPr>
                      </pic:pic>
                    </a:graphicData>
                  </a:graphic>
                </wp:inline>
              </w:drawing>
            </w:r>
          </w:p>
        </w:tc>
        <w:tc>
          <w:tcPr>
            <w:tcW w:w="4324" w:type="dxa"/>
            <w:vAlign w:val="center"/>
          </w:tcPr>
          <w:p>
            <w:pPr>
              <w:adjustRightInd w:val="0"/>
              <w:snapToGrid w:val="0"/>
              <w:spacing w:line="240" w:lineRule="auto"/>
              <w:ind w:firstLine="0" w:firstLineChars="0"/>
              <w:jc w:val="center"/>
              <w:rPr>
                <w:sz w:val="21"/>
                <w:szCs w:val="21"/>
              </w:rPr>
            </w:pPr>
            <w:r>
              <w:rPr>
                <w:rFonts w:hint="eastAsia"/>
              </w:rPr>
              <w:drawing>
                <wp:inline distT="0" distB="0" distL="114300" distR="114300">
                  <wp:extent cx="2588260" cy="1720850"/>
                  <wp:effectExtent l="0" t="0" r="2540" b="1270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59"/>
                          <a:stretch>
                            <a:fillRect/>
                          </a:stretch>
                        </pic:blipFill>
                        <pic:spPr>
                          <a:xfrm>
                            <a:off x="0" y="0"/>
                            <a:ext cx="2588260" cy="1720850"/>
                          </a:xfrm>
                          <a:prstGeom prst="rect">
                            <a:avLst/>
                          </a:prstGeom>
                          <a:noFill/>
                          <a:ln w="9525">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54" w:hRule="atLeast"/>
          <w:jc w:val="center"/>
        </w:trPr>
        <w:tc>
          <w:tcPr>
            <w:tcW w:w="4198" w:type="dxa"/>
            <w:vAlign w:val="center"/>
          </w:tcPr>
          <w:p>
            <w:pPr>
              <w:adjustRightInd w:val="0"/>
              <w:snapToGrid w:val="0"/>
              <w:spacing w:line="240" w:lineRule="auto"/>
              <w:ind w:firstLine="0" w:firstLineChars="0"/>
              <w:jc w:val="center"/>
              <w:rPr>
                <w:rFonts w:ascii="宋体" w:hAnsi="宋体"/>
                <w:sz w:val="21"/>
                <w:szCs w:val="21"/>
              </w:rPr>
            </w:pPr>
            <w:r>
              <w:rPr>
                <w:rFonts w:hint="eastAsia" w:ascii="宋体" w:hAnsi="宋体"/>
                <w:sz w:val="21"/>
                <w:szCs w:val="21"/>
              </w:rPr>
              <w:t>北干渠旁废弃的采石场</w:t>
            </w:r>
          </w:p>
        </w:tc>
        <w:tc>
          <w:tcPr>
            <w:tcW w:w="4324" w:type="dxa"/>
            <w:vAlign w:val="center"/>
          </w:tcPr>
          <w:p>
            <w:pPr>
              <w:adjustRightInd w:val="0"/>
              <w:snapToGrid w:val="0"/>
              <w:spacing w:line="240" w:lineRule="auto"/>
              <w:ind w:firstLine="0" w:firstLineChars="0"/>
              <w:jc w:val="center"/>
              <w:rPr>
                <w:rFonts w:ascii="宋体" w:hAnsi="宋体"/>
                <w:sz w:val="21"/>
                <w:szCs w:val="21"/>
              </w:rPr>
            </w:pPr>
            <w:r>
              <w:rPr>
                <w:rFonts w:hint="eastAsia" w:ascii="宋体" w:hAnsi="宋体"/>
                <w:sz w:val="21"/>
                <w:szCs w:val="21"/>
              </w:rPr>
              <w:t>北干渠周边居民点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54" w:hRule="atLeast"/>
          <w:jc w:val="center"/>
        </w:trPr>
        <w:tc>
          <w:tcPr>
            <w:tcW w:w="4198" w:type="dxa"/>
            <w:vAlign w:val="center"/>
          </w:tcPr>
          <w:p>
            <w:pPr>
              <w:adjustRightInd w:val="0"/>
              <w:snapToGrid w:val="0"/>
              <w:spacing w:line="240" w:lineRule="auto"/>
              <w:ind w:firstLine="0" w:firstLineChars="0"/>
              <w:jc w:val="center"/>
              <w:rPr>
                <w:rFonts w:ascii="宋体" w:hAnsi="宋体"/>
                <w:sz w:val="21"/>
                <w:szCs w:val="21"/>
              </w:rPr>
            </w:pPr>
            <w:r>
              <w:rPr>
                <w:rFonts w:hint="eastAsia"/>
              </w:rPr>
              <w:drawing>
                <wp:inline distT="0" distB="0" distL="114300" distR="114300">
                  <wp:extent cx="2524760" cy="1848485"/>
                  <wp:effectExtent l="0" t="0" r="8890" b="18415"/>
                  <wp:docPr id="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2"/>
                          <pic:cNvPicPr>
                            <a:picLocks noChangeAspect="1"/>
                          </pic:cNvPicPr>
                        </pic:nvPicPr>
                        <pic:blipFill>
                          <a:blip r:embed="rId60"/>
                          <a:stretch>
                            <a:fillRect/>
                          </a:stretch>
                        </pic:blipFill>
                        <pic:spPr>
                          <a:xfrm>
                            <a:off x="0" y="0"/>
                            <a:ext cx="2524760" cy="1848485"/>
                          </a:xfrm>
                          <a:prstGeom prst="rect">
                            <a:avLst/>
                          </a:prstGeom>
                          <a:noFill/>
                          <a:ln w="9525">
                            <a:noFill/>
                          </a:ln>
                        </pic:spPr>
                      </pic:pic>
                    </a:graphicData>
                  </a:graphic>
                </wp:inline>
              </w:drawing>
            </w:r>
          </w:p>
        </w:tc>
        <w:tc>
          <w:tcPr>
            <w:tcW w:w="4324" w:type="dxa"/>
            <w:vAlign w:val="center"/>
          </w:tcPr>
          <w:p>
            <w:pPr>
              <w:adjustRightInd w:val="0"/>
              <w:snapToGrid w:val="0"/>
              <w:spacing w:line="240" w:lineRule="auto"/>
              <w:ind w:firstLine="0" w:firstLineChars="0"/>
              <w:jc w:val="center"/>
              <w:rPr>
                <w:rFonts w:ascii="宋体" w:hAnsi="宋体"/>
                <w:sz w:val="21"/>
                <w:szCs w:val="21"/>
              </w:rPr>
            </w:pPr>
            <w:r>
              <w:rPr>
                <w:rFonts w:hint="eastAsia"/>
                <w:sz w:val="21"/>
                <w:szCs w:val="21"/>
              </w:rPr>
              <w:drawing>
                <wp:inline distT="0" distB="0" distL="114300" distR="114300">
                  <wp:extent cx="2574925" cy="1931035"/>
                  <wp:effectExtent l="0" t="0" r="15875" b="12065"/>
                  <wp:docPr id="32" name="图片 32" descr="IMG201805110949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descr="IMG20180511094909"/>
                          <pic:cNvPicPr>
                            <a:picLocks noChangeAspect="1"/>
                          </pic:cNvPicPr>
                        </pic:nvPicPr>
                        <pic:blipFill>
                          <a:blip r:embed="rId61" cstate="print"/>
                          <a:stretch>
                            <a:fillRect/>
                          </a:stretch>
                        </pic:blipFill>
                        <pic:spPr>
                          <a:xfrm>
                            <a:off x="0" y="0"/>
                            <a:ext cx="2574925" cy="1931035"/>
                          </a:xfrm>
                          <a:prstGeom prst="rect">
                            <a:avLst/>
                          </a:prstGeom>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54" w:hRule="atLeast"/>
          <w:jc w:val="center"/>
        </w:trPr>
        <w:tc>
          <w:tcPr>
            <w:tcW w:w="4198" w:type="dxa"/>
            <w:vAlign w:val="center"/>
          </w:tcPr>
          <w:p>
            <w:pPr>
              <w:adjustRightInd w:val="0"/>
              <w:snapToGrid w:val="0"/>
              <w:spacing w:line="240" w:lineRule="auto"/>
              <w:ind w:firstLine="0" w:firstLineChars="0"/>
              <w:jc w:val="center"/>
              <w:rPr>
                <w:rFonts w:ascii="宋体" w:hAnsi="宋体"/>
                <w:sz w:val="21"/>
                <w:szCs w:val="21"/>
              </w:rPr>
            </w:pPr>
            <w:r>
              <w:rPr>
                <w:rFonts w:hint="eastAsia" w:ascii="宋体" w:hAnsi="宋体"/>
                <w:sz w:val="21"/>
                <w:szCs w:val="21"/>
              </w:rPr>
              <w:t>北干渠保护围栏</w:t>
            </w:r>
          </w:p>
        </w:tc>
        <w:tc>
          <w:tcPr>
            <w:tcW w:w="4324" w:type="dxa"/>
            <w:vAlign w:val="center"/>
          </w:tcPr>
          <w:p>
            <w:pPr>
              <w:adjustRightInd w:val="0"/>
              <w:snapToGrid w:val="0"/>
              <w:spacing w:line="240" w:lineRule="auto"/>
              <w:ind w:firstLine="0" w:firstLineChars="0"/>
              <w:jc w:val="center"/>
              <w:rPr>
                <w:rFonts w:ascii="宋体" w:hAnsi="宋体"/>
                <w:sz w:val="21"/>
                <w:szCs w:val="21"/>
              </w:rPr>
            </w:pPr>
            <w:r>
              <w:rPr>
                <w:rFonts w:hint="eastAsia" w:ascii="宋体" w:hAnsi="宋体"/>
                <w:sz w:val="21"/>
                <w:szCs w:val="21"/>
              </w:rPr>
              <w:t>一级保护区内的金凤水库管理所</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54" w:hRule="atLeast"/>
          <w:jc w:val="center"/>
        </w:trPr>
        <w:tc>
          <w:tcPr>
            <w:tcW w:w="4198" w:type="dxa"/>
            <w:vAlign w:val="center"/>
          </w:tcPr>
          <w:p>
            <w:pPr>
              <w:adjustRightInd w:val="0"/>
              <w:snapToGrid w:val="0"/>
              <w:spacing w:line="240" w:lineRule="auto"/>
              <w:ind w:firstLine="0" w:firstLineChars="0"/>
              <w:jc w:val="center"/>
              <w:rPr>
                <w:sz w:val="21"/>
                <w:szCs w:val="21"/>
              </w:rPr>
            </w:pPr>
            <w:r>
              <w:rPr>
                <w:rFonts w:hint="eastAsia"/>
                <w:sz w:val="21"/>
                <w:szCs w:val="21"/>
              </w:rPr>
              <w:drawing>
                <wp:inline distT="0" distB="0" distL="114300" distR="114300">
                  <wp:extent cx="2501265" cy="3335020"/>
                  <wp:effectExtent l="0" t="0" r="13335" b="17780"/>
                  <wp:docPr id="31" name="图片 31" descr="IMG20180511100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descr="IMG20180511100233"/>
                          <pic:cNvPicPr>
                            <a:picLocks noChangeAspect="1"/>
                          </pic:cNvPicPr>
                        </pic:nvPicPr>
                        <pic:blipFill>
                          <a:blip r:embed="rId62" cstate="print"/>
                          <a:stretch>
                            <a:fillRect/>
                          </a:stretch>
                        </pic:blipFill>
                        <pic:spPr>
                          <a:xfrm>
                            <a:off x="0" y="0"/>
                            <a:ext cx="2501265" cy="3335020"/>
                          </a:xfrm>
                          <a:prstGeom prst="rect">
                            <a:avLst/>
                          </a:prstGeom>
                        </pic:spPr>
                      </pic:pic>
                    </a:graphicData>
                  </a:graphic>
                </wp:inline>
              </w:drawing>
            </w:r>
          </w:p>
        </w:tc>
        <w:tc>
          <w:tcPr>
            <w:tcW w:w="4324" w:type="dxa"/>
            <w:vAlign w:val="center"/>
          </w:tcPr>
          <w:p>
            <w:pPr>
              <w:adjustRightInd w:val="0"/>
              <w:snapToGrid w:val="0"/>
              <w:spacing w:line="240" w:lineRule="auto"/>
              <w:ind w:firstLine="0" w:firstLineChars="0"/>
              <w:jc w:val="center"/>
              <w:rPr>
                <w:sz w:val="21"/>
                <w:szCs w:val="21"/>
              </w:rPr>
            </w:pPr>
            <w:r>
              <w:rPr>
                <w:rFonts w:hint="eastAsia"/>
                <w:sz w:val="21"/>
                <w:szCs w:val="21"/>
              </w:rPr>
              <w:drawing>
                <wp:inline distT="0" distB="0" distL="114300" distR="114300">
                  <wp:extent cx="2589530" cy="3452495"/>
                  <wp:effectExtent l="0" t="0" r="1270" b="14605"/>
                  <wp:docPr id="30" name="图片 30" descr="IMG201805111016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descr="IMG20180511101620"/>
                          <pic:cNvPicPr>
                            <a:picLocks noChangeAspect="1"/>
                          </pic:cNvPicPr>
                        </pic:nvPicPr>
                        <pic:blipFill>
                          <a:blip r:embed="rId63" cstate="print"/>
                          <a:stretch>
                            <a:fillRect/>
                          </a:stretch>
                        </pic:blipFill>
                        <pic:spPr>
                          <a:xfrm>
                            <a:off x="0" y="0"/>
                            <a:ext cx="2589530" cy="3452495"/>
                          </a:xfrm>
                          <a:prstGeom prst="rect">
                            <a:avLst/>
                          </a:prstGeom>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54" w:hRule="atLeast"/>
          <w:jc w:val="center"/>
        </w:trPr>
        <w:tc>
          <w:tcPr>
            <w:tcW w:w="4198" w:type="dxa"/>
            <w:vAlign w:val="center"/>
          </w:tcPr>
          <w:p>
            <w:pPr>
              <w:adjustRightInd w:val="0"/>
              <w:snapToGrid w:val="0"/>
              <w:spacing w:line="240" w:lineRule="auto"/>
              <w:ind w:firstLine="0" w:firstLineChars="0"/>
              <w:jc w:val="center"/>
              <w:rPr>
                <w:rFonts w:ascii="宋体" w:hAnsi="宋体"/>
                <w:sz w:val="21"/>
                <w:szCs w:val="21"/>
              </w:rPr>
            </w:pPr>
            <w:r>
              <w:rPr>
                <w:rFonts w:hint="eastAsia" w:ascii="宋体" w:hAnsi="宋体"/>
                <w:sz w:val="21"/>
                <w:szCs w:val="21"/>
              </w:rPr>
              <w:t>金凤水库一级保护区围栏</w:t>
            </w:r>
          </w:p>
        </w:tc>
        <w:tc>
          <w:tcPr>
            <w:tcW w:w="4324" w:type="dxa"/>
            <w:vAlign w:val="center"/>
          </w:tcPr>
          <w:p>
            <w:pPr>
              <w:adjustRightInd w:val="0"/>
              <w:snapToGrid w:val="0"/>
              <w:spacing w:line="240" w:lineRule="auto"/>
              <w:ind w:firstLine="0" w:firstLineChars="0"/>
              <w:jc w:val="center"/>
              <w:rPr>
                <w:rFonts w:ascii="宋体" w:hAnsi="宋体"/>
                <w:sz w:val="21"/>
                <w:szCs w:val="21"/>
              </w:rPr>
            </w:pPr>
            <w:r>
              <w:rPr>
                <w:rFonts w:hint="eastAsia" w:ascii="宋体" w:hAnsi="宋体"/>
                <w:sz w:val="21"/>
                <w:szCs w:val="21"/>
              </w:rPr>
              <w:t>一级保护区围墙及截排水沟</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54" w:hRule="atLeast"/>
          <w:jc w:val="center"/>
        </w:trPr>
        <w:tc>
          <w:tcPr>
            <w:tcW w:w="4198" w:type="dxa"/>
            <w:vAlign w:val="center"/>
          </w:tcPr>
          <w:p>
            <w:pPr>
              <w:adjustRightInd w:val="0"/>
              <w:snapToGrid w:val="0"/>
              <w:spacing w:line="240" w:lineRule="auto"/>
              <w:ind w:firstLine="0" w:firstLineChars="0"/>
              <w:jc w:val="center"/>
              <w:rPr>
                <w:sz w:val="21"/>
                <w:szCs w:val="21"/>
              </w:rPr>
            </w:pPr>
            <w:r>
              <w:rPr>
                <w:rFonts w:hint="eastAsia"/>
                <w:sz w:val="21"/>
                <w:szCs w:val="21"/>
              </w:rPr>
              <w:drawing>
                <wp:inline distT="0" distB="0" distL="114300" distR="114300">
                  <wp:extent cx="2642235" cy="1982470"/>
                  <wp:effectExtent l="0" t="0" r="5715" b="17780"/>
                  <wp:docPr id="34" name="图片 34" descr="IMG201805101439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4" descr="IMG20180510143909"/>
                          <pic:cNvPicPr>
                            <a:picLocks noChangeAspect="1"/>
                          </pic:cNvPicPr>
                        </pic:nvPicPr>
                        <pic:blipFill>
                          <a:blip r:embed="rId64" cstate="print"/>
                          <a:stretch>
                            <a:fillRect/>
                          </a:stretch>
                        </pic:blipFill>
                        <pic:spPr>
                          <a:xfrm>
                            <a:off x="0" y="0"/>
                            <a:ext cx="2642235" cy="1982470"/>
                          </a:xfrm>
                          <a:prstGeom prst="rect">
                            <a:avLst/>
                          </a:prstGeom>
                        </pic:spPr>
                      </pic:pic>
                    </a:graphicData>
                  </a:graphic>
                </wp:inline>
              </w:drawing>
            </w:r>
          </w:p>
        </w:tc>
        <w:tc>
          <w:tcPr>
            <w:tcW w:w="4324" w:type="dxa"/>
            <w:vAlign w:val="center"/>
          </w:tcPr>
          <w:p>
            <w:pPr>
              <w:tabs>
                <w:tab w:val="left" w:pos="1236"/>
              </w:tabs>
              <w:adjustRightInd w:val="0"/>
              <w:snapToGrid w:val="0"/>
              <w:spacing w:line="240" w:lineRule="auto"/>
              <w:ind w:firstLine="0" w:firstLineChars="0"/>
              <w:jc w:val="left"/>
              <w:rPr>
                <w:sz w:val="21"/>
                <w:szCs w:val="21"/>
              </w:rPr>
            </w:pPr>
            <w:r>
              <w:rPr>
                <w:rFonts w:hint="eastAsia"/>
              </w:rPr>
              <w:drawing>
                <wp:inline distT="0" distB="0" distL="114300" distR="114300">
                  <wp:extent cx="2688590" cy="2075180"/>
                  <wp:effectExtent l="0" t="0" r="16510" b="1270"/>
                  <wp:docPr id="3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1"/>
                          <pic:cNvPicPr>
                            <a:picLocks noChangeAspect="1"/>
                          </pic:cNvPicPr>
                        </pic:nvPicPr>
                        <pic:blipFill>
                          <a:blip r:embed="rId65"/>
                          <a:stretch>
                            <a:fillRect/>
                          </a:stretch>
                        </pic:blipFill>
                        <pic:spPr>
                          <a:xfrm>
                            <a:off x="0" y="0"/>
                            <a:ext cx="2688590" cy="2075180"/>
                          </a:xfrm>
                          <a:prstGeom prst="rect">
                            <a:avLst/>
                          </a:prstGeom>
                          <a:noFill/>
                          <a:ln w="9525">
                            <a:noFill/>
                          </a:ln>
                        </pic:spPr>
                      </pic:pic>
                    </a:graphicData>
                  </a:graphic>
                </wp:inline>
              </w:drawing>
            </w:r>
            <w:r>
              <w:rPr>
                <w:rFonts w:hint="eastAsia"/>
                <w:sz w:val="21"/>
                <w:szCs w:val="21"/>
              </w:rPr>
              <w:tab/>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54" w:hRule="atLeast"/>
          <w:jc w:val="center"/>
        </w:trPr>
        <w:tc>
          <w:tcPr>
            <w:tcW w:w="4198" w:type="dxa"/>
            <w:vAlign w:val="center"/>
          </w:tcPr>
          <w:p>
            <w:pPr>
              <w:adjustRightInd w:val="0"/>
              <w:snapToGrid w:val="0"/>
              <w:spacing w:line="240" w:lineRule="auto"/>
              <w:ind w:firstLine="0" w:firstLineChars="0"/>
              <w:jc w:val="center"/>
              <w:rPr>
                <w:rFonts w:ascii="宋体" w:hAnsi="宋体"/>
                <w:sz w:val="21"/>
                <w:szCs w:val="21"/>
              </w:rPr>
            </w:pPr>
            <w:r>
              <w:rPr>
                <w:rFonts w:hint="eastAsia" w:ascii="宋体" w:hAnsi="宋体"/>
                <w:sz w:val="21"/>
                <w:szCs w:val="21"/>
              </w:rPr>
              <w:t>铁山水库北干渠取水口</w:t>
            </w:r>
          </w:p>
        </w:tc>
        <w:tc>
          <w:tcPr>
            <w:tcW w:w="4324" w:type="dxa"/>
            <w:vAlign w:val="center"/>
          </w:tcPr>
          <w:p>
            <w:pPr>
              <w:adjustRightInd w:val="0"/>
              <w:snapToGrid w:val="0"/>
              <w:spacing w:line="240" w:lineRule="auto"/>
              <w:ind w:firstLine="0" w:firstLineChars="0"/>
              <w:jc w:val="center"/>
              <w:rPr>
                <w:rFonts w:ascii="宋体" w:hAnsi="宋体"/>
                <w:sz w:val="21"/>
                <w:szCs w:val="21"/>
              </w:rPr>
            </w:pPr>
            <w:r>
              <w:rPr>
                <w:rFonts w:hint="eastAsia" w:ascii="宋体" w:hAnsi="宋体"/>
                <w:sz w:val="21"/>
                <w:szCs w:val="21"/>
              </w:rPr>
              <w:t>金凤水库取水口</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54" w:hRule="atLeast"/>
          <w:jc w:val="center"/>
        </w:trPr>
        <w:tc>
          <w:tcPr>
            <w:tcW w:w="4198" w:type="dxa"/>
            <w:vAlign w:val="center"/>
          </w:tcPr>
          <w:p>
            <w:pPr>
              <w:adjustRightInd w:val="0"/>
              <w:snapToGrid w:val="0"/>
              <w:spacing w:line="240" w:lineRule="auto"/>
              <w:ind w:firstLine="0" w:firstLineChars="0"/>
              <w:jc w:val="center"/>
              <w:rPr>
                <w:rFonts w:ascii="宋体" w:hAnsi="宋体"/>
                <w:sz w:val="21"/>
                <w:szCs w:val="21"/>
              </w:rPr>
            </w:pPr>
            <w:r>
              <w:rPr>
                <w:rFonts w:hint="eastAsia" w:ascii="宋体" w:hAnsi="宋体"/>
                <w:sz w:val="21"/>
                <w:szCs w:val="21"/>
              </w:rPr>
              <w:drawing>
                <wp:inline distT="0" distB="0" distL="114300" distR="114300">
                  <wp:extent cx="2523490" cy="1892300"/>
                  <wp:effectExtent l="0" t="0" r="10160" b="12700"/>
                  <wp:docPr id="46" name="图片 46" descr="微信图片_20181015102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46" descr="微信图片_20181015102140"/>
                          <pic:cNvPicPr>
                            <a:picLocks noChangeAspect="1"/>
                          </pic:cNvPicPr>
                        </pic:nvPicPr>
                        <pic:blipFill>
                          <a:blip r:embed="rId66"/>
                          <a:stretch>
                            <a:fillRect/>
                          </a:stretch>
                        </pic:blipFill>
                        <pic:spPr>
                          <a:xfrm>
                            <a:off x="0" y="0"/>
                            <a:ext cx="2523490" cy="1892300"/>
                          </a:xfrm>
                          <a:prstGeom prst="rect">
                            <a:avLst/>
                          </a:prstGeom>
                        </pic:spPr>
                      </pic:pic>
                    </a:graphicData>
                  </a:graphic>
                </wp:inline>
              </w:drawing>
            </w:r>
          </w:p>
        </w:tc>
        <w:tc>
          <w:tcPr>
            <w:tcW w:w="4324" w:type="dxa"/>
            <w:vAlign w:val="center"/>
          </w:tcPr>
          <w:p>
            <w:pPr>
              <w:adjustRightInd w:val="0"/>
              <w:snapToGrid w:val="0"/>
              <w:spacing w:line="240" w:lineRule="auto"/>
              <w:ind w:firstLine="0" w:firstLineChars="0"/>
              <w:jc w:val="center"/>
              <w:rPr>
                <w:rFonts w:ascii="宋体" w:hAnsi="宋体"/>
                <w:sz w:val="21"/>
                <w:szCs w:val="21"/>
              </w:rPr>
            </w:pPr>
            <w:r>
              <w:rPr>
                <w:rFonts w:hint="eastAsia" w:ascii="宋体" w:hAnsi="宋体"/>
                <w:sz w:val="21"/>
                <w:szCs w:val="21"/>
              </w:rPr>
              <w:drawing>
                <wp:inline distT="0" distB="0" distL="114300" distR="114300">
                  <wp:extent cx="2523490" cy="1892300"/>
                  <wp:effectExtent l="0" t="0" r="10160" b="12700"/>
                  <wp:docPr id="47" name="图片 47" descr="QQ图片201810181129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47" descr="QQ图片20181018112954"/>
                          <pic:cNvPicPr>
                            <a:picLocks noChangeAspect="1"/>
                          </pic:cNvPicPr>
                        </pic:nvPicPr>
                        <pic:blipFill>
                          <a:blip r:embed="rId67"/>
                          <a:stretch>
                            <a:fillRect/>
                          </a:stretch>
                        </pic:blipFill>
                        <pic:spPr>
                          <a:xfrm>
                            <a:off x="0" y="0"/>
                            <a:ext cx="2523490" cy="1892300"/>
                          </a:xfrm>
                          <a:prstGeom prst="rect">
                            <a:avLst/>
                          </a:prstGeom>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54" w:hRule="atLeast"/>
          <w:jc w:val="center"/>
        </w:trPr>
        <w:tc>
          <w:tcPr>
            <w:tcW w:w="4198" w:type="dxa"/>
            <w:vAlign w:val="center"/>
          </w:tcPr>
          <w:p>
            <w:pPr>
              <w:adjustRightInd w:val="0"/>
              <w:snapToGrid w:val="0"/>
              <w:spacing w:line="240" w:lineRule="auto"/>
              <w:ind w:firstLine="0" w:firstLineChars="0"/>
              <w:jc w:val="center"/>
              <w:rPr>
                <w:rFonts w:ascii="宋体" w:hAnsi="宋体"/>
                <w:sz w:val="21"/>
                <w:szCs w:val="21"/>
              </w:rPr>
            </w:pPr>
            <w:r>
              <w:rPr>
                <w:rFonts w:hint="eastAsia" w:ascii="宋体" w:hAnsi="宋体"/>
                <w:sz w:val="21"/>
                <w:szCs w:val="21"/>
              </w:rPr>
              <w:t>S61上跨北干渠</w:t>
            </w:r>
          </w:p>
        </w:tc>
        <w:tc>
          <w:tcPr>
            <w:tcW w:w="4324" w:type="dxa"/>
            <w:vAlign w:val="center"/>
          </w:tcPr>
          <w:p>
            <w:pPr>
              <w:adjustRightInd w:val="0"/>
              <w:snapToGrid w:val="0"/>
              <w:spacing w:line="240" w:lineRule="auto"/>
              <w:ind w:firstLine="0" w:firstLineChars="0"/>
              <w:jc w:val="center"/>
              <w:rPr>
                <w:rFonts w:ascii="宋体" w:hAnsi="宋体"/>
                <w:sz w:val="21"/>
                <w:szCs w:val="21"/>
              </w:rPr>
            </w:pPr>
            <w:r>
              <w:rPr>
                <w:rFonts w:hint="eastAsia" w:ascii="宋体" w:hAnsi="宋体"/>
                <w:sz w:val="21"/>
                <w:szCs w:val="21"/>
              </w:rPr>
              <w:t>S61上跨北干渠</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54" w:hRule="atLeast"/>
          <w:jc w:val="center"/>
        </w:trPr>
        <w:tc>
          <w:tcPr>
            <w:tcW w:w="4198" w:type="dxa"/>
            <w:vAlign w:val="center"/>
          </w:tcPr>
          <w:p>
            <w:pPr>
              <w:adjustRightInd w:val="0"/>
              <w:snapToGrid w:val="0"/>
              <w:spacing w:line="240" w:lineRule="auto"/>
              <w:ind w:firstLine="0" w:firstLineChars="0"/>
              <w:jc w:val="center"/>
              <w:rPr>
                <w:rFonts w:ascii="宋体" w:hAnsi="宋体"/>
                <w:sz w:val="21"/>
                <w:szCs w:val="21"/>
              </w:rPr>
            </w:pPr>
            <w:r>
              <w:rPr>
                <w:rFonts w:hint="eastAsia" w:ascii="宋体" w:hAnsi="宋体"/>
                <w:sz w:val="21"/>
                <w:szCs w:val="21"/>
              </w:rPr>
              <w:drawing>
                <wp:inline distT="0" distB="0" distL="114300" distR="114300">
                  <wp:extent cx="2596515" cy="1947545"/>
                  <wp:effectExtent l="0" t="0" r="13335" b="14605"/>
                  <wp:docPr id="3" name="图片 3" descr="QQ图片201810181025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QQ图片20181018102513"/>
                          <pic:cNvPicPr>
                            <a:picLocks noChangeAspect="1"/>
                          </pic:cNvPicPr>
                        </pic:nvPicPr>
                        <pic:blipFill>
                          <a:blip r:embed="rId68"/>
                          <a:stretch>
                            <a:fillRect/>
                          </a:stretch>
                        </pic:blipFill>
                        <pic:spPr>
                          <a:xfrm>
                            <a:off x="0" y="0"/>
                            <a:ext cx="2596515" cy="1947545"/>
                          </a:xfrm>
                          <a:prstGeom prst="rect">
                            <a:avLst/>
                          </a:prstGeom>
                        </pic:spPr>
                      </pic:pic>
                    </a:graphicData>
                  </a:graphic>
                </wp:inline>
              </w:drawing>
            </w:r>
          </w:p>
        </w:tc>
        <w:tc>
          <w:tcPr>
            <w:tcW w:w="4324" w:type="dxa"/>
            <w:vAlign w:val="center"/>
          </w:tcPr>
          <w:p>
            <w:pPr>
              <w:adjustRightInd w:val="0"/>
              <w:snapToGrid w:val="0"/>
              <w:spacing w:line="240" w:lineRule="auto"/>
              <w:ind w:firstLine="0" w:firstLineChars="0"/>
              <w:jc w:val="center"/>
              <w:rPr>
                <w:rFonts w:ascii="宋体" w:hAnsi="宋体"/>
                <w:sz w:val="21"/>
                <w:szCs w:val="21"/>
              </w:rPr>
            </w:pPr>
            <w:r>
              <w:rPr>
                <w:rFonts w:hint="eastAsia" w:ascii="宋体" w:hAnsi="宋体"/>
                <w:sz w:val="21"/>
                <w:szCs w:val="21"/>
              </w:rPr>
              <w:drawing>
                <wp:inline distT="0" distB="0" distL="114300" distR="114300">
                  <wp:extent cx="2596515" cy="1947545"/>
                  <wp:effectExtent l="0" t="0" r="13335" b="14605"/>
                  <wp:docPr id="48" name="图片 48" descr="QQ图片201810181129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48" descr="QQ图片20181018112947"/>
                          <pic:cNvPicPr>
                            <a:picLocks noChangeAspect="1"/>
                          </pic:cNvPicPr>
                        </pic:nvPicPr>
                        <pic:blipFill>
                          <a:blip r:embed="rId69"/>
                          <a:stretch>
                            <a:fillRect/>
                          </a:stretch>
                        </pic:blipFill>
                        <pic:spPr>
                          <a:xfrm>
                            <a:off x="0" y="0"/>
                            <a:ext cx="2596515" cy="1947545"/>
                          </a:xfrm>
                          <a:prstGeom prst="rect">
                            <a:avLst/>
                          </a:prstGeom>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54" w:hRule="atLeast"/>
          <w:jc w:val="center"/>
        </w:trPr>
        <w:tc>
          <w:tcPr>
            <w:tcW w:w="4198" w:type="dxa"/>
            <w:vAlign w:val="center"/>
          </w:tcPr>
          <w:p>
            <w:pPr>
              <w:adjustRightInd w:val="0"/>
              <w:snapToGrid w:val="0"/>
              <w:spacing w:line="240" w:lineRule="auto"/>
              <w:ind w:firstLine="0" w:firstLineChars="0"/>
              <w:jc w:val="center"/>
              <w:rPr>
                <w:rFonts w:ascii="宋体" w:hAnsi="宋体"/>
                <w:sz w:val="21"/>
                <w:szCs w:val="21"/>
              </w:rPr>
            </w:pPr>
            <w:r>
              <w:rPr>
                <w:rFonts w:hint="eastAsia" w:ascii="宋体" w:hAnsi="宋体"/>
                <w:sz w:val="21"/>
                <w:szCs w:val="21"/>
              </w:rPr>
              <w:t>S61上饮用水源标志</w:t>
            </w:r>
          </w:p>
        </w:tc>
        <w:tc>
          <w:tcPr>
            <w:tcW w:w="4324" w:type="dxa"/>
            <w:vAlign w:val="center"/>
          </w:tcPr>
          <w:p>
            <w:pPr>
              <w:adjustRightInd w:val="0"/>
              <w:snapToGrid w:val="0"/>
              <w:spacing w:line="240" w:lineRule="auto"/>
              <w:ind w:firstLine="0" w:firstLineChars="0"/>
              <w:jc w:val="center"/>
              <w:rPr>
                <w:rFonts w:ascii="宋体" w:hAnsi="宋体"/>
                <w:sz w:val="21"/>
                <w:szCs w:val="21"/>
              </w:rPr>
            </w:pPr>
            <w:r>
              <w:rPr>
                <w:rFonts w:hint="eastAsia" w:ascii="宋体" w:hAnsi="宋体"/>
                <w:sz w:val="21"/>
                <w:szCs w:val="21"/>
              </w:rPr>
              <w:t>北干渠保护区围栏及标志</w:t>
            </w:r>
          </w:p>
        </w:tc>
      </w:tr>
    </w:tbl>
    <w:p/>
    <w:p/>
    <w:p>
      <w:pPr>
        <w:tabs>
          <w:tab w:val="left" w:pos="3373"/>
        </w:tabs>
        <w:jc w:val="left"/>
        <w:sectPr>
          <w:pgSz w:w="11906" w:h="16838"/>
          <w:pgMar w:top="1440" w:right="1800" w:bottom="1440" w:left="1800" w:header="851" w:footer="992" w:gutter="0"/>
          <w:cols w:space="425" w:num="1"/>
          <w:docGrid w:type="lines" w:linePitch="312" w:charSpace="0"/>
        </w:sectPr>
      </w:pPr>
      <w:r>
        <w:rPr>
          <w:rFonts w:hint="eastAsia"/>
        </w:rPr>
        <w:tab/>
      </w:r>
    </w:p>
    <w:p>
      <w:pPr>
        <w:pStyle w:val="3"/>
        <w:jc w:val="center"/>
        <w:rPr>
          <w:color w:val="000000" w:themeColor="text1"/>
          <w:sz w:val="21"/>
          <w:szCs w:val="21"/>
        </w:rPr>
      </w:pPr>
      <w:bookmarkStart w:id="338" w:name="_Toc535851361"/>
      <w:r>
        <w:rPr>
          <w:rFonts w:hint="eastAsia"/>
          <w:color w:val="000000" w:themeColor="text1"/>
          <w:sz w:val="21"/>
          <w:szCs w:val="21"/>
        </w:rPr>
        <w:t>附图2  金凤水库地理位置图</w:t>
      </w:r>
      <w:bookmarkEnd w:id="338"/>
    </w:p>
    <w:p>
      <w:pPr>
        <w:ind w:firstLine="0" w:firstLineChars="0"/>
        <w:rPr>
          <w:color w:val="000000" w:themeColor="text1"/>
          <w:sz w:val="21"/>
          <w:szCs w:val="21"/>
        </w:rPr>
        <w:sectPr>
          <w:pgSz w:w="16838" w:h="11906" w:orient="landscape"/>
          <w:pgMar w:top="1440" w:right="1800" w:bottom="1440" w:left="1800" w:header="851" w:footer="992" w:gutter="0"/>
          <w:cols w:space="425" w:num="1"/>
          <w:docGrid w:type="linesAndChars" w:linePitch="312" w:charSpace="0"/>
        </w:sectPr>
      </w:pPr>
      <w:r>
        <w:rPr>
          <w:rFonts w:hint="eastAsia"/>
          <w:color w:val="000000" w:themeColor="text1"/>
          <w:sz w:val="21"/>
          <w:szCs w:val="21"/>
        </w:rPr>
        <w:drawing>
          <wp:inline distT="0" distB="0" distL="114300" distR="114300">
            <wp:extent cx="8396605" cy="4895215"/>
            <wp:effectExtent l="12700" t="12700" r="29845" b="26035"/>
            <wp:docPr id="43" name="图片 43" descr="金凤水库地理位置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43" descr="金凤水库地理位置图"/>
                    <pic:cNvPicPr>
                      <a:picLocks noChangeAspect="1"/>
                    </pic:cNvPicPr>
                  </pic:nvPicPr>
                  <pic:blipFill>
                    <a:blip r:embed="rId70" cstate="print"/>
                    <a:stretch>
                      <a:fillRect/>
                    </a:stretch>
                  </pic:blipFill>
                  <pic:spPr>
                    <a:xfrm>
                      <a:off x="0" y="0"/>
                      <a:ext cx="8396605" cy="4895215"/>
                    </a:xfrm>
                    <a:prstGeom prst="rect">
                      <a:avLst/>
                    </a:prstGeom>
                    <a:ln w="12700" cmpd="sng">
                      <a:solidFill>
                        <a:schemeClr val="tx1"/>
                      </a:solidFill>
                      <a:prstDash val="solid"/>
                    </a:ln>
                  </pic:spPr>
                </pic:pic>
              </a:graphicData>
            </a:graphic>
          </wp:inline>
        </w:drawing>
      </w:r>
      <w:r>
        <w:rPr>
          <w:rFonts w:hint="eastAsia"/>
          <w:color w:val="000000" w:themeColor="text1"/>
          <w:sz w:val="21"/>
          <w:szCs w:val="21"/>
        </w:rPr>
        <w:t xml:space="preserve"> </w:t>
      </w:r>
    </w:p>
    <w:p>
      <w:pPr>
        <w:pStyle w:val="3"/>
        <w:jc w:val="center"/>
        <w:rPr>
          <w:color w:val="000000" w:themeColor="text1"/>
          <w:sz w:val="21"/>
          <w:szCs w:val="21"/>
        </w:rPr>
      </w:pPr>
      <w:bookmarkStart w:id="339" w:name="_Toc535851362"/>
      <w:r>
        <w:rPr>
          <w:rFonts w:hint="eastAsia"/>
          <w:color w:val="000000" w:themeColor="text1"/>
          <w:sz w:val="21"/>
          <w:szCs w:val="21"/>
        </w:rPr>
        <w:t>附图3  铁山水库地理位置图</w:t>
      </w:r>
      <w:bookmarkEnd w:id="339"/>
    </w:p>
    <w:p>
      <w:pPr>
        <w:ind w:firstLine="0" w:firstLineChars="0"/>
        <w:sectPr>
          <w:pgSz w:w="16838" w:h="11906" w:orient="landscape"/>
          <w:pgMar w:top="1440" w:right="1800" w:bottom="1440" w:left="1800" w:header="851" w:footer="992" w:gutter="0"/>
          <w:cols w:space="425" w:num="1"/>
          <w:docGrid w:type="linesAndChars" w:linePitch="312" w:charSpace="0"/>
        </w:sectPr>
      </w:pPr>
      <w:r>
        <w:rPr>
          <w:rFonts w:hint="eastAsia"/>
        </w:rPr>
        <w:drawing>
          <wp:inline distT="0" distB="0" distL="114300" distR="114300">
            <wp:extent cx="8399780" cy="4726305"/>
            <wp:effectExtent l="12700" t="12700" r="26670" b="23495"/>
            <wp:docPr id="44" name="图片 44" descr="铁山水库地理位置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44" descr="铁山水库地理位置图"/>
                    <pic:cNvPicPr>
                      <a:picLocks noChangeAspect="1"/>
                    </pic:cNvPicPr>
                  </pic:nvPicPr>
                  <pic:blipFill>
                    <a:blip r:embed="rId71" cstate="print"/>
                    <a:stretch>
                      <a:fillRect/>
                    </a:stretch>
                  </pic:blipFill>
                  <pic:spPr>
                    <a:xfrm>
                      <a:off x="0" y="0"/>
                      <a:ext cx="8399780" cy="4726305"/>
                    </a:xfrm>
                    <a:prstGeom prst="rect">
                      <a:avLst/>
                    </a:prstGeom>
                    <a:ln w="12700" cmpd="sng">
                      <a:solidFill>
                        <a:schemeClr val="tx1"/>
                      </a:solidFill>
                      <a:prstDash val="solid"/>
                    </a:ln>
                  </pic:spPr>
                </pic:pic>
              </a:graphicData>
            </a:graphic>
          </wp:inline>
        </w:drawing>
      </w:r>
    </w:p>
    <w:p>
      <w:pPr>
        <w:pStyle w:val="3"/>
        <w:jc w:val="center"/>
        <w:rPr>
          <w:color w:val="000000" w:themeColor="text1"/>
          <w:sz w:val="21"/>
          <w:szCs w:val="21"/>
        </w:rPr>
      </w:pPr>
      <w:bookmarkStart w:id="340" w:name="_Toc535851363"/>
      <w:r>
        <w:rPr>
          <w:rFonts w:hint="eastAsia"/>
          <w:color w:val="000000" w:themeColor="text1"/>
          <w:sz w:val="21"/>
          <w:szCs w:val="21"/>
        </w:rPr>
        <w:t>附图4  北干渠与铁山水库、金凤水库位置关系图</w:t>
      </w:r>
      <w:bookmarkEnd w:id="340"/>
    </w:p>
    <w:p>
      <w:pPr>
        <w:ind w:firstLine="0" w:firstLineChars="0"/>
        <w:sectPr>
          <w:pgSz w:w="16838" w:h="11906" w:orient="landscape"/>
          <w:pgMar w:top="1440" w:right="1800" w:bottom="1440" w:left="1800" w:header="851" w:footer="992" w:gutter="0"/>
          <w:cols w:space="425" w:num="1"/>
          <w:docGrid w:type="linesAndChars" w:linePitch="312" w:charSpace="0"/>
        </w:sectPr>
      </w:pPr>
      <w:r>
        <w:drawing>
          <wp:inline distT="0" distB="0" distL="114300" distR="114300">
            <wp:extent cx="8497570" cy="5137785"/>
            <wp:effectExtent l="0" t="0" r="17780" b="5715"/>
            <wp:docPr id="4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1"/>
                    <pic:cNvPicPr>
                      <a:picLocks noChangeAspect="1"/>
                    </pic:cNvPicPr>
                  </pic:nvPicPr>
                  <pic:blipFill>
                    <a:blip r:embed="rId72" cstate="print"/>
                    <a:stretch>
                      <a:fillRect/>
                    </a:stretch>
                  </pic:blipFill>
                  <pic:spPr>
                    <a:xfrm>
                      <a:off x="0" y="0"/>
                      <a:ext cx="8497570" cy="5137785"/>
                    </a:xfrm>
                    <a:prstGeom prst="rect">
                      <a:avLst/>
                    </a:prstGeom>
                    <a:noFill/>
                    <a:ln w="9525">
                      <a:noFill/>
                    </a:ln>
                  </pic:spPr>
                </pic:pic>
              </a:graphicData>
            </a:graphic>
          </wp:inline>
        </w:drawing>
      </w:r>
    </w:p>
    <w:p>
      <w:pPr>
        <w:pStyle w:val="3"/>
        <w:jc w:val="center"/>
        <w:rPr>
          <w:color w:val="000000" w:themeColor="text1"/>
          <w:sz w:val="21"/>
          <w:szCs w:val="21"/>
        </w:rPr>
      </w:pPr>
      <w:bookmarkStart w:id="341" w:name="_Toc535851364"/>
      <w:r>
        <w:rPr>
          <w:rFonts w:hint="eastAsia"/>
          <w:color w:val="000000" w:themeColor="text1"/>
          <w:sz w:val="21"/>
          <w:szCs w:val="21"/>
        </w:rPr>
        <w:t>附图5  铁山水库饮用水源保护区划分结果shp图</w:t>
      </w:r>
      <w:bookmarkEnd w:id="341"/>
    </w:p>
    <w:p>
      <w:pPr>
        <w:ind w:firstLine="0" w:firstLineChars="0"/>
        <w:jc w:val="center"/>
        <w:rPr>
          <w:rFonts w:ascii="仿宋_GB2312" w:eastAsia="仿宋_GB2312"/>
          <w:sz w:val="32"/>
          <w:szCs w:val="32"/>
        </w:rPr>
        <w:sectPr>
          <w:pgSz w:w="11850" w:h="16783"/>
          <w:pgMar w:top="1800" w:right="1440" w:bottom="1800" w:left="1440" w:header="851" w:footer="992" w:gutter="0"/>
          <w:cols w:space="425" w:num="1"/>
          <w:docGrid w:type="linesAndChars" w:linePitch="312" w:charSpace="0"/>
        </w:sectPr>
      </w:pPr>
      <w:r>
        <w:rPr>
          <w:rFonts w:hint="eastAsia" w:ascii="仿宋_GB2312" w:eastAsia="仿宋_GB2312"/>
          <w:sz w:val="32"/>
          <w:szCs w:val="32"/>
        </w:rPr>
        <w:drawing>
          <wp:inline distT="0" distB="0" distL="114300" distR="114300">
            <wp:extent cx="5114925" cy="7353300"/>
            <wp:effectExtent l="0" t="0" r="9525" b="0"/>
            <wp:docPr id="2" name="图片 1" descr="划分结果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descr="划分结果图"/>
                    <pic:cNvPicPr>
                      <a:picLocks noChangeAspect="1"/>
                    </pic:cNvPicPr>
                  </pic:nvPicPr>
                  <pic:blipFill>
                    <a:blip r:embed="rId73"/>
                    <a:srcRect/>
                    <a:stretch>
                      <a:fillRect/>
                    </a:stretch>
                  </pic:blipFill>
                  <pic:spPr>
                    <a:xfrm>
                      <a:off x="0" y="0"/>
                      <a:ext cx="5114925" cy="7353300"/>
                    </a:xfrm>
                    <a:prstGeom prst="rect">
                      <a:avLst/>
                    </a:prstGeom>
                    <a:noFill/>
                    <a:ln w="9525">
                      <a:noFill/>
                    </a:ln>
                  </pic:spPr>
                </pic:pic>
              </a:graphicData>
            </a:graphic>
          </wp:inline>
        </w:drawing>
      </w:r>
    </w:p>
    <w:p>
      <w:pPr>
        <w:pStyle w:val="3"/>
        <w:jc w:val="center"/>
        <w:rPr>
          <w:color w:val="000000" w:themeColor="text1"/>
          <w:sz w:val="21"/>
          <w:szCs w:val="21"/>
        </w:rPr>
      </w:pPr>
      <w:bookmarkStart w:id="342" w:name="_Toc535851365"/>
      <w:r>
        <w:rPr>
          <w:rFonts w:hint="eastAsia"/>
          <w:color w:val="000000" w:themeColor="text1"/>
          <w:sz w:val="21"/>
          <w:szCs w:val="21"/>
        </w:rPr>
        <w:t>附图6  金凤水库饮用水源保护区划分图</w:t>
      </w:r>
      <w:bookmarkEnd w:id="342"/>
    </w:p>
    <w:p>
      <w:pPr>
        <w:pStyle w:val="4"/>
        <w:ind w:firstLine="0" w:firstLineChars="0"/>
        <w:jc w:val="center"/>
        <w:rPr>
          <w:color w:val="000000" w:themeColor="text1"/>
          <w:sz w:val="21"/>
          <w:szCs w:val="21"/>
        </w:rPr>
        <w:sectPr>
          <w:pgSz w:w="23757" w:h="16783" w:orient="landscape"/>
          <w:pgMar w:top="1440" w:right="1800" w:bottom="1440" w:left="1800" w:header="851" w:footer="992" w:gutter="0"/>
          <w:cols w:space="425" w:num="1"/>
          <w:docGrid w:type="linesAndChars" w:linePitch="312" w:charSpace="0"/>
        </w:sectPr>
      </w:pPr>
      <w:r>
        <w:rPr>
          <w:rFonts w:ascii="宋体" w:hAnsi="宋体" w:cs="宋体"/>
          <w:szCs w:val="24"/>
        </w:rPr>
        <w:pict>
          <v:shape id="_x0000_s2086" o:spid="_x0000_s2086" o:spt="61" type="#_x0000_t61" style="position:absolute;left:0pt;margin-left:362.2pt;margin-top:164.35pt;height:24.25pt;width:81.4pt;z-index:251657216;mso-width-relative:page;mso-height-relative:page;" stroked="t" coordsize="21600,21600" adj="14886,40624">
            <v:path/>
            <v:fill focussize="0,0"/>
            <v:stroke weight="1.5pt" color="#FF0000" joinstyle="miter"/>
            <v:imagedata o:title=""/>
            <o:lock v:ext="edit"/>
            <v:textbox>
              <w:txbxContent>
                <w:p>
                  <w:pPr>
                    <w:spacing w:line="240" w:lineRule="auto"/>
                    <w:ind w:firstLine="0" w:firstLineChars="0"/>
                    <w:jc w:val="center"/>
                    <w:rPr>
                      <w:b/>
                    </w:rPr>
                  </w:pPr>
                  <w:r>
                    <w:rPr>
                      <w:rFonts w:hint="eastAsia" w:ascii="Calibri" w:hAnsi="Calibri" w:cs="宋体"/>
                      <w:b/>
                      <w:sz w:val="21"/>
                    </w:rPr>
                    <w:t>水库周边公路</w:t>
                  </w:r>
                </w:p>
              </w:txbxContent>
            </v:textbox>
          </v:shape>
        </w:pict>
      </w:r>
      <w:r>
        <w:rPr>
          <w:rFonts w:ascii="宋体" w:hAnsi="宋体" w:cs="宋体"/>
          <w:szCs w:val="24"/>
        </w:rPr>
        <w:pict>
          <v:shape id="AutoShape 125" o:spid="_x0000_s2087" o:spt="48" type="#_x0000_t48" style="position:absolute;left:0pt;margin-left:639.1pt;margin-top:285.85pt;height:22.45pt;width:139.5pt;z-index:251656192;mso-width-relative:page;mso-height-relative:page;" stroked="t" coordsize="21600,21600" adj="-10452,-6494,-5652,8659,-929,8659">
            <v:path arrowok="t"/>
            <v:fill focussize="0,0"/>
            <v:stroke weight="1.5pt" color="#0000FF" joinstyle="miter"/>
            <v:imagedata o:title=""/>
            <o:lock v:ext="edit"/>
            <v:textbox>
              <w:txbxContent>
                <w:p>
                  <w:pPr>
                    <w:spacing w:line="240" w:lineRule="auto"/>
                    <w:ind w:firstLine="0" w:firstLineChars="0"/>
                    <w:jc w:val="center"/>
                    <w:rPr>
                      <w:b/>
                    </w:rPr>
                  </w:pPr>
                  <w:r>
                    <w:rPr>
                      <w:rFonts w:hint="eastAsia" w:ascii="Calibri" w:hAnsi="Calibri" w:cs="宋体"/>
                      <w:b/>
                      <w:sz w:val="21"/>
                    </w:rPr>
                    <w:t>公路内区域为一级保护区</w:t>
                  </w:r>
                </w:p>
              </w:txbxContent>
            </v:textbox>
          </v:shape>
        </w:pict>
      </w:r>
      <w:r>
        <w:drawing>
          <wp:inline distT="0" distB="0" distL="114300" distR="114300">
            <wp:extent cx="12555855" cy="7876540"/>
            <wp:effectExtent l="0" t="0" r="17145" b="10160"/>
            <wp:docPr id="6"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3"/>
                    <pic:cNvPicPr>
                      <a:picLocks noChangeAspect="1"/>
                    </pic:cNvPicPr>
                  </pic:nvPicPr>
                  <pic:blipFill>
                    <a:blip r:embed="rId74" cstate="print"/>
                    <a:stretch>
                      <a:fillRect/>
                    </a:stretch>
                  </pic:blipFill>
                  <pic:spPr>
                    <a:xfrm>
                      <a:off x="0" y="0"/>
                      <a:ext cx="12555855" cy="7876540"/>
                    </a:xfrm>
                    <a:prstGeom prst="rect">
                      <a:avLst/>
                    </a:prstGeom>
                    <a:noFill/>
                    <a:ln w="9525">
                      <a:noFill/>
                    </a:ln>
                  </pic:spPr>
                </pic:pic>
              </a:graphicData>
            </a:graphic>
          </wp:inline>
        </w:drawing>
      </w:r>
    </w:p>
    <w:p>
      <w:pPr>
        <w:pStyle w:val="3"/>
        <w:jc w:val="center"/>
        <w:rPr>
          <w:color w:val="000000" w:themeColor="text1"/>
          <w:sz w:val="21"/>
          <w:szCs w:val="21"/>
        </w:rPr>
      </w:pPr>
      <w:bookmarkStart w:id="343" w:name="_Toc535851366"/>
      <w:r>
        <w:rPr>
          <w:rFonts w:hint="eastAsia"/>
          <w:color w:val="000000" w:themeColor="text1"/>
          <w:sz w:val="21"/>
          <w:szCs w:val="21"/>
        </w:rPr>
        <w:t>附图7  北干渠一级保护区</w:t>
      </w:r>
      <w:bookmarkEnd w:id="343"/>
    </w:p>
    <w:p>
      <w:pPr>
        <w:jc w:val="center"/>
        <w:sectPr>
          <w:headerReference r:id="rId20" w:type="first"/>
          <w:footerReference r:id="rId22" w:type="first"/>
          <w:headerReference r:id="rId18" w:type="default"/>
          <w:headerReference r:id="rId19" w:type="even"/>
          <w:footerReference r:id="rId21" w:type="even"/>
          <w:pgSz w:w="23757" w:h="16783" w:orient="landscape"/>
          <w:pgMar w:top="1797" w:right="1440" w:bottom="1797" w:left="1440" w:header="851" w:footer="992" w:gutter="0"/>
          <w:cols w:space="425" w:num="1"/>
          <w:docGrid w:linePitch="312" w:charSpace="0"/>
        </w:sectPr>
      </w:pPr>
      <w:r>
        <w:drawing>
          <wp:inline distT="0" distB="0" distL="114300" distR="114300">
            <wp:extent cx="11101070" cy="7869555"/>
            <wp:effectExtent l="0" t="0" r="5080" b="17145"/>
            <wp:docPr id="7"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4"/>
                    <pic:cNvPicPr>
                      <a:picLocks noChangeAspect="1"/>
                    </pic:cNvPicPr>
                  </pic:nvPicPr>
                  <pic:blipFill>
                    <a:blip r:embed="rId75" cstate="print"/>
                    <a:stretch>
                      <a:fillRect/>
                    </a:stretch>
                  </pic:blipFill>
                  <pic:spPr>
                    <a:xfrm>
                      <a:off x="0" y="0"/>
                      <a:ext cx="11101070" cy="7869555"/>
                    </a:xfrm>
                    <a:prstGeom prst="rect">
                      <a:avLst/>
                    </a:prstGeom>
                    <a:noFill/>
                    <a:ln w="9525">
                      <a:noFill/>
                    </a:ln>
                  </pic:spPr>
                </pic:pic>
              </a:graphicData>
            </a:graphic>
          </wp:inline>
        </w:drawing>
      </w:r>
    </w:p>
    <w:p>
      <w:pPr>
        <w:pStyle w:val="3"/>
        <w:jc w:val="center"/>
        <w:rPr>
          <w:color w:val="000000" w:themeColor="text1"/>
          <w:sz w:val="21"/>
          <w:szCs w:val="21"/>
        </w:rPr>
      </w:pPr>
      <w:bookmarkStart w:id="344" w:name="_Toc535851367"/>
      <w:r>
        <w:rPr>
          <w:rFonts w:hint="eastAsia"/>
          <w:color w:val="000000" w:themeColor="text1"/>
          <w:sz w:val="21"/>
          <w:szCs w:val="21"/>
        </w:rPr>
        <w:t>附图8  北干渠二级保护区</w:t>
      </w:r>
      <w:bookmarkEnd w:id="344"/>
    </w:p>
    <w:p>
      <w:pPr>
        <w:ind w:firstLine="0" w:firstLineChars="0"/>
        <w:jc w:val="center"/>
        <w:rPr>
          <w:b/>
          <w:color w:val="000000" w:themeColor="text1"/>
          <w:szCs w:val="24"/>
        </w:rPr>
      </w:pPr>
      <w:r>
        <w:drawing>
          <wp:inline distT="0" distB="0" distL="114300" distR="114300">
            <wp:extent cx="11613515" cy="8046720"/>
            <wp:effectExtent l="0" t="0" r="6985" b="11430"/>
            <wp:docPr id="36"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5"/>
                    <pic:cNvPicPr>
                      <a:picLocks noChangeAspect="1"/>
                    </pic:cNvPicPr>
                  </pic:nvPicPr>
                  <pic:blipFill>
                    <a:blip r:embed="rId76" cstate="print"/>
                    <a:srcRect/>
                    <a:stretch>
                      <a:fillRect/>
                    </a:stretch>
                  </pic:blipFill>
                  <pic:spPr>
                    <a:xfrm>
                      <a:off x="0" y="0"/>
                      <a:ext cx="11613515" cy="8046720"/>
                    </a:xfrm>
                    <a:prstGeom prst="rect">
                      <a:avLst/>
                    </a:prstGeom>
                    <a:noFill/>
                    <a:ln w="9525">
                      <a:noFill/>
                    </a:ln>
                  </pic:spPr>
                </pic:pic>
              </a:graphicData>
            </a:graphic>
          </wp:inline>
        </w:drawing>
      </w:r>
    </w:p>
    <w:p>
      <w:pPr>
        <w:ind w:firstLine="482"/>
        <w:rPr>
          <w:b/>
          <w:color w:val="000000" w:themeColor="text1"/>
          <w:szCs w:val="24"/>
        </w:rPr>
        <w:sectPr>
          <w:pgSz w:w="23757" w:h="16783" w:orient="landscape"/>
          <w:pgMar w:top="1797" w:right="1440" w:bottom="1797" w:left="1440" w:header="851" w:footer="992" w:gutter="0"/>
          <w:cols w:space="425" w:num="1"/>
          <w:docGrid w:linePitch="312" w:charSpace="0"/>
        </w:sectPr>
      </w:pPr>
    </w:p>
    <w:p>
      <w:pPr>
        <w:pStyle w:val="3"/>
        <w:jc w:val="center"/>
        <w:rPr>
          <w:color w:val="000000" w:themeColor="text1"/>
          <w:sz w:val="21"/>
          <w:szCs w:val="21"/>
        </w:rPr>
      </w:pPr>
      <w:bookmarkStart w:id="345" w:name="_Toc535851368"/>
      <w:r>
        <w:rPr>
          <w:rFonts w:hint="eastAsia"/>
          <w:color w:val="000000" w:themeColor="text1"/>
          <w:sz w:val="21"/>
          <w:szCs w:val="21"/>
        </w:rPr>
        <w:t>附图9  调查范围图</w:t>
      </w:r>
      <w:bookmarkEnd w:id="345"/>
    </w:p>
    <w:p>
      <w:pPr>
        <w:pStyle w:val="3"/>
        <w:jc w:val="center"/>
        <w:rPr>
          <w:color w:val="000000" w:themeColor="text1"/>
          <w:sz w:val="21"/>
          <w:szCs w:val="21"/>
        </w:rPr>
        <w:sectPr>
          <w:headerReference r:id="rId23" w:type="default"/>
          <w:pgSz w:w="11906" w:h="16838"/>
          <w:pgMar w:top="1440" w:right="1800" w:bottom="1440" w:left="1800" w:header="851" w:footer="992" w:gutter="0"/>
          <w:cols w:space="0" w:num="1"/>
          <w:docGrid w:type="lines" w:linePitch="315" w:charSpace="0"/>
        </w:sectPr>
      </w:pPr>
      <w:r>
        <w:rPr>
          <w:rFonts w:hint="eastAsia"/>
        </w:rPr>
        <w:drawing>
          <wp:inline distT="0" distB="0" distL="114300" distR="114300">
            <wp:extent cx="5238750" cy="7286625"/>
            <wp:effectExtent l="0" t="0" r="0" b="9525"/>
            <wp:docPr id="56"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4"/>
                    <pic:cNvPicPr>
                      <a:picLocks noChangeAspect="1"/>
                    </pic:cNvPicPr>
                  </pic:nvPicPr>
                  <pic:blipFill>
                    <a:blip r:embed="rId77" r:link="rId78" cstate="print"/>
                    <a:stretch>
                      <a:fillRect/>
                    </a:stretch>
                  </pic:blipFill>
                  <pic:spPr>
                    <a:xfrm>
                      <a:off x="0" y="0"/>
                      <a:ext cx="5238750" cy="7286625"/>
                    </a:xfrm>
                    <a:prstGeom prst="rect">
                      <a:avLst/>
                    </a:prstGeom>
                    <a:noFill/>
                    <a:ln w="9525">
                      <a:noFill/>
                    </a:ln>
                  </pic:spPr>
                </pic:pic>
              </a:graphicData>
            </a:graphic>
          </wp:inline>
        </w:drawing>
      </w:r>
    </w:p>
    <w:p>
      <w:pPr>
        <w:pStyle w:val="3"/>
        <w:jc w:val="center"/>
        <w:rPr>
          <w:color w:val="000000" w:themeColor="text1"/>
          <w:sz w:val="21"/>
          <w:szCs w:val="21"/>
        </w:rPr>
      </w:pPr>
      <w:bookmarkStart w:id="346" w:name="_Toc535851369"/>
      <w:r>
        <w:rPr>
          <w:rFonts w:hint="eastAsia"/>
          <w:color w:val="000000" w:themeColor="text1"/>
          <w:sz w:val="21"/>
          <w:szCs w:val="21"/>
        </w:rPr>
        <w:t>附图10  水源保护区环境风险源分布图一</w:t>
      </w:r>
      <w:bookmarkEnd w:id="346"/>
    </w:p>
    <w:p>
      <w:pPr>
        <w:pStyle w:val="65"/>
        <w:sectPr>
          <w:pgSz w:w="11906" w:h="16838"/>
          <w:pgMar w:top="1440" w:right="1800" w:bottom="1440" w:left="1800" w:header="851" w:footer="992" w:gutter="0"/>
          <w:cols w:space="0" w:num="1"/>
          <w:docGrid w:type="lines" w:linePitch="315" w:charSpace="0"/>
        </w:sectPr>
      </w:pPr>
      <w:r>
        <w:rPr>
          <w:rFonts w:hint="eastAsia"/>
        </w:rPr>
        <w:drawing>
          <wp:inline distT="0" distB="0" distL="114300" distR="114300">
            <wp:extent cx="5210175" cy="7534275"/>
            <wp:effectExtent l="0" t="0" r="9525" b="9525"/>
            <wp:docPr id="54" name="图片 2" descr="污染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2" descr="污染源"/>
                    <pic:cNvPicPr>
                      <a:picLocks noChangeAspect="1"/>
                    </pic:cNvPicPr>
                  </pic:nvPicPr>
                  <pic:blipFill>
                    <a:blip r:embed="rId79"/>
                    <a:srcRect/>
                    <a:stretch>
                      <a:fillRect/>
                    </a:stretch>
                  </pic:blipFill>
                  <pic:spPr>
                    <a:xfrm>
                      <a:off x="0" y="0"/>
                      <a:ext cx="5210175" cy="7534275"/>
                    </a:xfrm>
                    <a:prstGeom prst="rect">
                      <a:avLst/>
                    </a:prstGeom>
                    <a:noFill/>
                    <a:ln w="9525">
                      <a:noFill/>
                    </a:ln>
                  </pic:spPr>
                </pic:pic>
              </a:graphicData>
            </a:graphic>
          </wp:inline>
        </w:drawing>
      </w:r>
    </w:p>
    <w:p>
      <w:pPr>
        <w:pStyle w:val="3"/>
        <w:jc w:val="center"/>
      </w:pPr>
      <w:bookmarkStart w:id="347" w:name="_Toc535851370"/>
      <w:r>
        <w:rPr>
          <w:rFonts w:hint="eastAsia"/>
          <w:color w:val="000000" w:themeColor="text1"/>
          <w:sz w:val="21"/>
          <w:szCs w:val="21"/>
        </w:rPr>
        <w:t>附图11  水源保护区环境风险源分布图二</w:t>
      </w:r>
      <w:bookmarkEnd w:id="347"/>
    </w:p>
    <w:p>
      <w:pPr>
        <w:pStyle w:val="65"/>
        <w:sectPr>
          <w:pgSz w:w="16838" w:h="11906" w:orient="landscape"/>
          <w:pgMar w:top="1800" w:right="1440" w:bottom="1800" w:left="1440" w:header="851" w:footer="992" w:gutter="0"/>
          <w:cols w:space="0" w:num="1"/>
          <w:docGrid w:type="lines" w:linePitch="315" w:charSpace="0"/>
        </w:sectPr>
      </w:pPr>
      <w:r>
        <w:pict>
          <v:rect id="_x0000_s2094" o:spid="_x0000_s2094" o:spt="1" style="position:absolute;left:0pt;margin-left:522.25pt;margin-top:322.7pt;height:32.25pt;width:44.3pt;z-index:251663360;mso-width-relative:page;mso-height-relative:page;" filled="f" stroked="f" coordsize="21600,21600">
            <v:path/>
            <v:fill on="f" focussize="0,0"/>
            <v:stroke on="f"/>
            <v:imagedata o:title=""/>
            <o:lock v:ext="edit"/>
            <v:textbox>
              <w:txbxContent>
                <w:p>
                  <w:pPr>
                    <w:ind w:firstLine="0" w:firstLineChars="0"/>
                    <w:rPr>
                      <w:color w:val="FFFF00"/>
                    </w:rPr>
                  </w:pPr>
                  <w:r>
                    <w:rPr>
                      <w:rFonts w:hint="eastAsia"/>
                      <w:color w:val="FFFF00"/>
                    </w:rPr>
                    <w:t>X034</w:t>
                  </w:r>
                </w:p>
              </w:txbxContent>
            </v:textbox>
          </v:rect>
        </w:pict>
      </w:r>
      <w:r>
        <w:pict>
          <v:shape id="_x0000_s2093" o:spid="_x0000_s2093" style="position:absolute;left:0pt;margin-left:503.95pt;margin-top:274.1pt;height:102.85pt;width:142.5pt;z-index:251662336;mso-width-relative:page;mso-height-relative:page;" filled="f" stroked="t" coordsize="2850,2057" path="m0,2057c23,2012,90,1890,118,1822c146,1754,126,1771,139,1715c152,1659,169,1593,182,1544c195,1495,169,1495,203,1469c237,1443,306,1458,353,1415c400,1372,413,1307,439,1255c465,1203,394,1187,482,1157c570,1127,743,1135,878,1105c1013,1075,1093,1044,1157,1007c1221,970,1181,956,1200,922c1219,888,1234,875,1253,837c1272,799,1257,758,1296,730c1335,702,1367,693,1446,697c1525,701,1616,765,1693,750c1770,735,1785,650,1832,622c1879,594,1892,625,1928,612c1964,599,1984,591,2014,557c2044,523,2022,468,2078,440c2134,412,2237,447,2293,419c2349,391,2321,366,2357,300c2393,234,2430,136,2475,87c2520,38,2507,72,2582,55c2657,38,2781,22,2850,0e">
            <v:path arrowok="t"/>
            <v:fill on="f" focussize="0,0"/>
            <v:stroke color="#FFFF00"/>
            <v:imagedata o:title=""/>
            <o:lock v:ext="edit"/>
          </v:shape>
        </w:pict>
      </w:r>
      <w:r>
        <w:pict>
          <v:rect id="_x0000_s2090" o:spid="_x0000_s2090" o:spt="1" style="position:absolute;left:0pt;margin-left:140.85pt;margin-top:77.15pt;height:32.6pt;width:32.55pt;z-index:251661312;mso-width-relative:page;mso-height-relative:page;" filled="f" stroked="f" coordsize="21600,21600">
            <v:path/>
            <v:fill on="f" focussize="0,0"/>
            <v:stroke on="f"/>
            <v:imagedata o:title=""/>
            <o:lock v:ext="edit"/>
            <v:textbox>
              <w:txbxContent>
                <w:p>
                  <w:pPr>
                    <w:ind w:firstLine="0" w:firstLineChars="0"/>
                    <w:rPr>
                      <w:color w:val="FFFF00"/>
                      <w:sz w:val="21"/>
                      <w:szCs w:val="21"/>
                    </w:rPr>
                  </w:pPr>
                  <w:r>
                    <w:rPr>
                      <w:rFonts w:hint="eastAsia"/>
                      <w:color w:val="FFFF00"/>
                      <w:sz w:val="21"/>
                      <w:szCs w:val="21"/>
                    </w:rPr>
                    <w:t>S61</w:t>
                  </w:r>
                </w:p>
              </w:txbxContent>
            </v:textbox>
          </v:rect>
        </w:pict>
      </w:r>
      <w:r>
        <w:pict>
          <v:shape id="_x0000_s2089" o:spid="_x0000_s2089" o:spt="32" type="#_x0000_t32" style="position:absolute;left:0pt;margin-left:119.45pt;margin-top:46.55pt;height:39.15pt;width:27.5pt;z-index:251660288;mso-width-relative:page;mso-height-relative:page;" filled="t" stroked="t" coordsize="21600,21600">
            <v:path arrowok="t"/>
            <v:fill on="t" focussize="0,0"/>
            <v:stroke color="#FFFF00" startarrow="block"/>
            <v:imagedata o:title=""/>
            <o:lock v:ext="edit"/>
          </v:shape>
        </w:pict>
      </w:r>
      <w:r>
        <w:pict>
          <v:line id="_x0000_s2088" o:spid="_x0000_s2088" o:spt="20" style="position:absolute;left:0pt;flip:x;margin-left:116.1pt;margin-top:32.75pt;height:13.35pt;width:3.35pt;z-index:251659264;mso-width-relative:page;mso-height-relative:page;" filled="t" stroked="t" coordsize="21600,21600">
            <v:path arrowok="t"/>
            <v:fill on="t" focussize="0,0"/>
            <v:stroke weight="1.25pt" color="#FFFF00"/>
            <v:imagedata o:title=""/>
            <o:lock v:ext="edit"/>
          </v:line>
        </w:pict>
      </w:r>
      <w:r>
        <w:drawing>
          <wp:inline distT="0" distB="0" distL="114300" distR="114300">
            <wp:extent cx="8055610" cy="4888230"/>
            <wp:effectExtent l="0" t="0" r="2540" b="7620"/>
            <wp:docPr id="55"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3"/>
                    <pic:cNvPicPr>
                      <a:picLocks noChangeAspect="1"/>
                    </pic:cNvPicPr>
                  </pic:nvPicPr>
                  <pic:blipFill>
                    <a:blip r:embed="rId80" cstate="print"/>
                    <a:stretch>
                      <a:fillRect/>
                    </a:stretch>
                  </pic:blipFill>
                  <pic:spPr>
                    <a:xfrm>
                      <a:off x="0" y="0"/>
                      <a:ext cx="8055610" cy="4888230"/>
                    </a:xfrm>
                    <a:prstGeom prst="rect">
                      <a:avLst/>
                    </a:prstGeom>
                    <a:noFill/>
                    <a:ln w="9525">
                      <a:noFill/>
                    </a:ln>
                  </pic:spPr>
                </pic:pic>
              </a:graphicData>
            </a:graphic>
          </wp:inline>
        </w:drawing>
      </w:r>
    </w:p>
    <w:p>
      <w:pPr>
        <w:pStyle w:val="3"/>
        <w:jc w:val="center"/>
        <w:rPr>
          <w:color w:val="000000" w:themeColor="text1"/>
          <w:sz w:val="21"/>
          <w:szCs w:val="21"/>
        </w:rPr>
      </w:pPr>
      <w:bookmarkStart w:id="348" w:name="_Toc535851371"/>
      <w:r>
        <w:rPr>
          <w:rFonts w:hint="eastAsia"/>
          <w:color w:val="000000" w:themeColor="text1"/>
          <w:sz w:val="21"/>
          <w:szCs w:val="21"/>
        </w:rPr>
        <w:t>附图12  事故状态下监测布点图</w:t>
      </w:r>
      <w:bookmarkEnd w:id="348"/>
    </w:p>
    <w:p>
      <w:pPr>
        <w:pStyle w:val="4"/>
        <w:spacing w:line="240" w:lineRule="auto"/>
        <w:ind w:firstLine="0" w:firstLineChars="0"/>
        <w:jc w:val="center"/>
        <w:sectPr>
          <w:pgSz w:w="16838" w:h="11906" w:orient="landscape"/>
          <w:pgMar w:top="1417" w:right="1440" w:bottom="1417" w:left="1440" w:header="851" w:footer="992" w:gutter="0"/>
          <w:cols w:space="0" w:num="1"/>
          <w:docGrid w:type="lines" w:linePitch="315" w:charSpace="0"/>
        </w:sectPr>
      </w:pPr>
      <w:r>
        <w:rPr>
          <w:rFonts w:hint="eastAsia"/>
        </w:rPr>
        <w:drawing>
          <wp:inline distT="0" distB="0" distL="114300" distR="114300">
            <wp:extent cx="8359140" cy="5238750"/>
            <wp:effectExtent l="12700" t="12700" r="29210" b="25400"/>
            <wp:docPr id="57" name="图片 57" descr="监测布点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57" descr="监测布点图"/>
                    <pic:cNvPicPr>
                      <a:picLocks noChangeAspect="1"/>
                    </pic:cNvPicPr>
                  </pic:nvPicPr>
                  <pic:blipFill>
                    <a:blip r:embed="rId81" cstate="print"/>
                    <a:stretch>
                      <a:fillRect/>
                    </a:stretch>
                  </pic:blipFill>
                  <pic:spPr>
                    <a:xfrm>
                      <a:off x="0" y="0"/>
                      <a:ext cx="8359140" cy="5238750"/>
                    </a:xfrm>
                    <a:prstGeom prst="rect">
                      <a:avLst/>
                    </a:prstGeom>
                    <a:ln w="12700" cmpd="sng">
                      <a:solidFill>
                        <a:schemeClr val="tx1"/>
                      </a:solidFill>
                      <a:prstDash val="solid"/>
                    </a:ln>
                  </pic:spPr>
                </pic:pic>
              </a:graphicData>
            </a:graphic>
          </wp:inline>
        </w:drawing>
      </w:r>
    </w:p>
    <w:p>
      <w:pPr>
        <w:pStyle w:val="3"/>
        <w:jc w:val="center"/>
        <w:rPr>
          <w:color w:val="000000" w:themeColor="text1"/>
          <w:sz w:val="21"/>
          <w:szCs w:val="21"/>
        </w:rPr>
      </w:pPr>
      <w:bookmarkStart w:id="349" w:name="_Toc535851372"/>
      <w:r>
        <w:rPr>
          <w:rFonts w:hint="eastAsia"/>
          <w:color w:val="000000" w:themeColor="text1"/>
          <w:sz w:val="21"/>
          <w:szCs w:val="21"/>
        </w:rPr>
        <w:t>附图13  应急物质储备图</w:t>
      </w:r>
      <w:bookmarkEnd w:id="349"/>
    </w:p>
    <w:p>
      <w:pPr>
        <w:pStyle w:val="4"/>
        <w:spacing w:line="240" w:lineRule="auto"/>
        <w:ind w:firstLine="0" w:firstLineChars="0"/>
        <w:jc w:val="center"/>
      </w:pPr>
      <w:r>
        <w:rPr>
          <w:rFonts w:hint="eastAsia"/>
        </w:rPr>
        <w:drawing>
          <wp:inline distT="0" distB="0" distL="114300" distR="114300">
            <wp:extent cx="8471535" cy="5309235"/>
            <wp:effectExtent l="12700" t="12700" r="31115" b="31115"/>
            <wp:docPr id="58" name="图片 58" descr="应急物质储备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58" descr="应急物质储备图"/>
                    <pic:cNvPicPr>
                      <a:picLocks noChangeAspect="1"/>
                    </pic:cNvPicPr>
                  </pic:nvPicPr>
                  <pic:blipFill>
                    <a:blip r:embed="rId82" cstate="print"/>
                    <a:stretch>
                      <a:fillRect/>
                    </a:stretch>
                  </pic:blipFill>
                  <pic:spPr>
                    <a:xfrm>
                      <a:off x="0" y="0"/>
                      <a:ext cx="8471535" cy="5309235"/>
                    </a:xfrm>
                    <a:prstGeom prst="rect">
                      <a:avLst/>
                    </a:prstGeom>
                    <a:noFill/>
                    <a:ln w="12700" cmpd="sng">
                      <a:solidFill>
                        <a:schemeClr val="tx1"/>
                      </a:solidFill>
                      <a:prstDash val="solid"/>
                    </a:ln>
                  </pic:spPr>
                </pic:pic>
              </a:graphicData>
            </a:graphic>
          </wp:inline>
        </w:drawing>
      </w:r>
    </w:p>
    <w:p>
      <w:pPr>
        <w:pStyle w:val="3"/>
        <w:jc w:val="center"/>
        <w:rPr>
          <w:color w:val="000000" w:themeColor="text1"/>
          <w:sz w:val="21"/>
          <w:szCs w:val="21"/>
        </w:rPr>
        <w:sectPr>
          <w:pgSz w:w="16838" w:h="11906" w:orient="landscape"/>
          <w:pgMar w:top="1417" w:right="1440" w:bottom="1417" w:left="1440" w:header="851" w:footer="992" w:gutter="0"/>
          <w:cols w:space="0" w:num="1"/>
          <w:docGrid w:type="lines" w:linePitch="315" w:charSpace="0"/>
        </w:sectPr>
      </w:pPr>
    </w:p>
    <w:p>
      <w:pPr>
        <w:pStyle w:val="85"/>
        <w:adjustRightInd w:val="0"/>
        <w:snapToGrid w:val="0"/>
        <w:spacing w:beforeLines="0" w:afterLines="0" w:line="240" w:lineRule="auto"/>
        <w:rPr>
          <w:color w:val="000000" w:themeColor="text1"/>
        </w:rPr>
      </w:pPr>
      <w:bookmarkStart w:id="350" w:name="_Toc535851373"/>
      <w:r>
        <w:rPr>
          <w:rFonts w:hint="eastAsia"/>
          <w:color w:val="000000" w:themeColor="text1"/>
        </w:rPr>
        <w:t>附件</w:t>
      </w:r>
      <w:bookmarkEnd w:id="350"/>
    </w:p>
    <w:p>
      <w:pPr>
        <w:pStyle w:val="3"/>
        <w:adjustRightInd w:val="0"/>
        <w:snapToGrid w:val="0"/>
        <w:jc w:val="center"/>
        <w:rPr>
          <w:color w:val="000000" w:themeColor="text1"/>
          <w:sz w:val="21"/>
          <w:szCs w:val="21"/>
        </w:rPr>
      </w:pPr>
      <w:bookmarkStart w:id="351" w:name="_Toc535851374"/>
      <w:r>
        <w:rPr>
          <w:color w:val="000000" w:themeColor="text1"/>
          <w:sz w:val="21"/>
          <w:szCs w:val="21"/>
        </w:rPr>
        <w:t>附</w:t>
      </w:r>
      <w:r>
        <w:rPr>
          <w:rFonts w:hint="eastAsia"/>
          <w:color w:val="000000" w:themeColor="text1"/>
          <w:sz w:val="21"/>
          <w:szCs w:val="21"/>
        </w:rPr>
        <w:t>件1  评审意见</w:t>
      </w:r>
      <w:bookmarkEnd w:id="351"/>
    </w:p>
    <w:p>
      <w:pPr>
        <w:pStyle w:val="4"/>
        <w:ind w:firstLine="0" w:firstLineChars="0"/>
      </w:pPr>
      <w:r>
        <w:rPr>
          <w:rFonts w:hint="eastAsia"/>
        </w:rPr>
        <w:t>1、岳阳市应急管理办公室关于征求《岳阳市饮用水源保护区突发环境事件应急预案意见的函</w:t>
      </w:r>
    </w:p>
    <w:p>
      <w:pPr>
        <w:pStyle w:val="65"/>
      </w:pPr>
      <w:r>
        <w:rPr>
          <w:rFonts w:hint="eastAsia"/>
        </w:rPr>
        <w:drawing>
          <wp:inline distT="0" distB="0" distL="114300" distR="114300">
            <wp:extent cx="4979035" cy="6661150"/>
            <wp:effectExtent l="0" t="0" r="12065" b="6350"/>
            <wp:docPr id="35" name="图片 35" descr="微信图片_20190108111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5" descr="微信图片_20190108111218"/>
                    <pic:cNvPicPr>
                      <a:picLocks noChangeAspect="1"/>
                    </pic:cNvPicPr>
                  </pic:nvPicPr>
                  <pic:blipFill>
                    <a:blip r:embed="rId83" cstate="print"/>
                    <a:srcRect/>
                    <a:stretch>
                      <a:fillRect/>
                    </a:stretch>
                  </pic:blipFill>
                  <pic:spPr>
                    <a:xfrm>
                      <a:off x="0" y="0"/>
                      <a:ext cx="4979035" cy="6661150"/>
                    </a:xfrm>
                    <a:prstGeom prst="rect">
                      <a:avLst/>
                    </a:prstGeom>
                  </pic:spPr>
                </pic:pic>
              </a:graphicData>
            </a:graphic>
          </wp:inline>
        </w:drawing>
      </w:r>
    </w:p>
    <w:p>
      <w:pPr>
        <w:pStyle w:val="4"/>
        <w:ind w:firstLine="0" w:firstLineChars="0"/>
      </w:pPr>
      <w:r>
        <w:rPr>
          <w:rFonts w:hint="eastAsia"/>
        </w:rPr>
        <w:br w:type="page"/>
      </w:r>
    </w:p>
    <w:p>
      <w:pPr>
        <w:pStyle w:val="4"/>
        <w:ind w:firstLine="0" w:firstLineChars="0"/>
      </w:pPr>
      <w:r>
        <w:rPr>
          <w:rFonts w:hint="eastAsia"/>
        </w:rPr>
        <w:t>2、《岳阳市饮用水源保护区突发环境事件应急预案》征求意见采纳情况汇总表</w:t>
      </w:r>
    </w:p>
    <w:p>
      <w:pPr>
        <w:pStyle w:val="4"/>
        <w:ind w:firstLine="0" w:firstLineChars="0"/>
      </w:pPr>
      <w:r>
        <w:rPr>
          <w:rFonts w:hint="eastAsia"/>
        </w:rPr>
        <w:drawing>
          <wp:inline distT="0" distB="0" distL="114300" distR="114300">
            <wp:extent cx="4979035" cy="6808470"/>
            <wp:effectExtent l="0" t="0" r="12065" b="11430"/>
            <wp:docPr id="39" name="图片 39" descr="微信图片_20190108111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39" descr="微信图片_20190108111159"/>
                    <pic:cNvPicPr>
                      <a:picLocks noChangeAspect="1"/>
                    </pic:cNvPicPr>
                  </pic:nvPicPr>
                  <pic:blipFill>
                    <a:blip r:embed="rId84" cstate="print"/>
                    <a:srcRect/>
                    <a:stretch>
                      <a:fillRect/>
                    </a:stretch>
                  </pic:blipFill>
                  <pic:spPr>
                    <a:xfrm>
                      <a:off x="0" y="0"/>
                      <a:ext cx="4979035" cy="6808470"/>
                    </a:xfrm>
                    <a:prstGeom prst="rect">
                      <a:avLst/>
                    </a:prstGeom>
                  </pic:spPr>
                </pic:pic>
              </a:graphicData>
            </a:graphic>
          </wp:inline>
        </w:drawing>
      </w:r>
    </w:p>
    <w:p>
      <w:pPr>
        <w:pStyle w:val="4"/>
        <w:ind w:firstLine="0" w:firstLineChars="0"/>
        <w:jc w:val="center"/>
      </w:pPr>
      <w:r>
        <w:rPr>
          <w:rFonts w:hint="eastAsia"/>
        </w:rPr>
        <w:drawing>
          <wp:inline distT="0" distB="0" distL="114300" distR="114300">
            <wp:extent cx="4925695" cy="6968490"/>
            <wp:effectExtent l="0" t="0" r="8255" b="3810"/>
            <wp:docPr id="41" name="图片 41" descr="微信图片_20190108111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41" descr="微信图片_20190108111213"/>
                    <pic:cNvPicPr>
                      <a:picLocks noChangeAspect="1"/>
                    </pic:cNvPicPr>
                  </pic:nvPicPr>
                  <pic:blipFill>
                    <a:blip r:embed="rId85" cstate="print"/>
                    <a:srcRect/>
                    <a:stretch>
                      <a:fillRect/>
                    </a:stretch>
                  </pic:blipFill>
                  <pic:spPr>
                    <a:xfrm>
                      <a:off x="0" y="0"/>
                      <a:ext cx="4925695" cy="6968490"/>
                    </a:xfrm>
                    <a:prstGeom prst="rect">
                      <a:avLst/>
                    </a:prstGeom>
                  </pic:spPr>
                </pic:pic>
              </a:graphicData>
            </a:graphic>
          </wp:inline>
        </w:drawing>
      </w:r>
      <w:bookmarkStart w:id="358" w:name="_GoBack"/>
      <w:bookmarkEnd w:id="358"/>
    </w:p>
    <w:p>
      <w:pPr>
        <w:pStyle w:val="4"/>
        <w:ind w:firstLine="0" w:firstLineChars="0"/>
        <w:jc w:val="center"/>
      </w:pPr>
      <w:r>
        <w:rPr>
          <w:rFonts w:hint="eastAsia"/>
        </w:rPr>
        <w:br w:type="page"/>
      </w:r>
    </w:p>
    <w:p>
      <w:pPr>
        <w:pStyle w:val="4"/>
        <w:ind w:firstLine="0" w:firstLineChars="0"/>
      </w:pPr>
      <w:r>
        <w:rPr>
          <w:rFonts w:hint="eastAsia"/>
        </w:rPr>
        <w:t>3、外审专家意见</w:t>
      </w:r>
    </w:p>
    <w:p>
      <w:pPr>
        <w:pStyle w:val="4"/>
        <w:ind w:firstLine="0" w:firstLineChars="0"/>
        <w:jc w:val="center"/>
      </w:pPr>
      <w:r>
        <w:rPr>
          <w:rFonts w:hint="eastAsia"/>
        </w:rPr>
        <w:drawing>
          <wp:inline distT="0" distB="0" distL="114300" distR="114300">
            <wp:extent cx="5027930" cy="7786370"/>
            <wp:effectExtent l="0" t="0" r="1270" b="5080"/>
            <wp:docPr id="49" name="图片 49" descr="岳阳市饮用水水源保护区 - 副本_页面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49" descr="岳阳市饮用水水源保护区 - 副本_页面_1"/>
                    <pic:cNvPicPr>
                      <a:picLocks noChangeAspect="1"/>
                    </pic:cNvPicPr>
                  </pic:nvPicPr>
                  <pic:blipFill>
                    <a:blip r:embed="rId86"/>
                    <a:srcRect/>
                    <a:stretch>
                      <a:fillRect/>
                    </a:stretch>
                  </pic:blipFill>
                  <pic:spPr>
                    <a:xfrm>
                      <a:off x="0" y="0"/>
                      <a:ext cx="5027930" cy="7786370"/>
                    </a:xfrm>
                    <a:prstGeom prst="rect">
                      <a:avLst/>
                    </a:prstGeom>
                  </pic:spPr>
                </pic:pic>
              </a:graphicData>
            </a:graphic>
          </wp:inline>
        </w:drawing>
      </w:r>
    </w:p>
    <w:p>
      <w:pPr>
        <w:pStyle w:val="4"/>
        <w:ind w:firstLine="0" w:firstLineChars="0"/>
        <w:jc w:val="center"/>
      </w:pPr>
      <w:r>
        <w:rPr>
          <w:rFonts w:hint="eastAsia"/>
        </w:rPr>
        <w:drawing>
          <wp:inline distT="0" distB="0" distL="114300" distR="114300">
            <wp:extent cx="4867910" cy="7681595"/>
            <wp:effectExtent l="0" t="0" r="8890" b="14605"/>
            <wp:docPr id="50" name="图片 50" descr="岳阳市饮用水水源保护区 - 副本_页面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50" descr="岳阳市饮用水水源保护区 - 副本_页面_2"/>
                    <pic:cNvPicPr>
                      <a:picLocks noChangeAspect="1"/>
                    </pic:cNvPicPr>
                  </pic:nvPicPr>
                  <pic:blipFill>
                    <a:blip r:embed="rId87"/>
                    <a:srcRect/>
                    <a:stretch>
                      <a:fillRect/>
                    </a:stretch>
                  </pic:blipFill>
                  <pic:spPr>
                    <a:xfrm>
                      <a:off x="0" y="0"/>
                      <a:ext cx="4867910" cy="7681595"/>
                    </a:xfrm>
                    <a:prstGeom prst="rect">
                      <a:avLst/>
                    </a:prstGeom>
                  </pic:spPr>
                </pic:pic>
              </a:graphicData>
            </a:graphic>
          </wp:inline>
        </w:drawing>
      </w:r>
    </w:p>
    <w:p>
      <w:pPr>
        <w:pStyle w:val="4"/>
        <w:ind w:firstLine="0" w:firstLineChars="0"/>
        <w:jc w:val="center"/>
      </w:pPr>
      <w:r>
        <w:rPr>
          <w:rFonts w:hint="eastAsia"/>
        </w:rPr>
        <w:drawing>
          <wp:inline distT="0" distB="0" distL="114300" distR="114300">
            <wp:extent cx="5271135" cy="7453630"/>
            <wp:effectExtent l="0" t="0" r="5715" b="13970"/>
            <wp:docPr id="51" name="图片 51" descr="岳阳市饮用水水源保护区 - 副本_页面_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51" descr="岳阳市饮用水水源保护区 - 副本_页面_3"/>
                    <pic:cNvPicPr>
                      <a:picLocks noChangeAspect="1"/>
                    </pic:cNvPicPr>
                  </pic:nvPicPr>
                  <pic:blipFill>
                    <a:blip r:embed="rId88"/>
                    <a:stretch>
                      <a:fillRect/>
                    </a:stretch>
                  </pic:blipFill>
                  <pic:spPr>
                    <a:xfrm>
                      <a:off x="0" y="0"/>
                      <a:ext cx="5271135" cy="7453630"/>
                    </a:xfrm>
                    <a:prstGeom prst="rect">
                      <a:avLst/>
                    </a:prstGeom>
                  </pic:spPr>
                </pic:pic>
              </a:graphicData>
            </a:graphic>
          </wp:inline>
        </w:drawing>
      </w:r>
    </w:p>
    <w:p>
      <w:pPr>
        <w:pStyle w:val="85"/>
        <w:adjustRightInd w:val="0"/>
        <w:snapToGrid w:val="0"/>
        <w:spacing w:beforeLines="0" w:afterLines="0" w:line="240" w:lineRule="auto"/>
        <w:rPr>
          <w:color w:val="000000" w:themeColor="text1"/>
        </w:rPr>
      </w:pPr>
      <w:r>
        <w:rPr>
          <w:rFonts w:hint="eastAsia"/>
          <w:color w:val="000000" w:themeColor="text1"/>
        </w:rPr>
        <w:br w:type="page"/>
      </w:r>
      <w:r>
        <w:rPr>
          <w:rFonts w:hint="eastAsia"/>
          <w:color w:val="000000" w:themeColor="text1"/>
        </w:rPr>
        <w:drawing>
          <wp:inline distT="0" distB="0" distL="114300" distR="114300">
            <wp:extent cx="5271135" cy="7453630"/>
            <wp:effectExtent l="0" t="0" r="5715" b="13970"/>
            <wp:docPr id="52" name="图片 52" descr="岳阳市饮用水水源保护区 - 副本_页面_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52" descr="岳阳市饮用水水源保护区 - 副本_页面_4"/>
                    <pic:cNvPicPr>
                      <a:picLocks noChangeAspect="1"/>
                    </pic:cNvPicPr>
                  </pic:nvPicPr>
                  <pic:blipFill>
                    <a:blip r:embed="rId89"/>
                    <a:stretch>
                      <a:fillRect/>
                    </a:stretch>
                  </pic:blipFill>
                  <pic:spPr>
                    <a:xfrm>
                      <a:off x="0" y="0"/>
                      <a:ext cx="5271135" cy="7453630"/>
                    </a:xfrm>
                    <a:prstGeom prst="rect">
                      <a:avLst/>
                    </a:prstGeom>
                  </pic:spPr>
                </pic:pic>
              </a:graphicData>
            </a:graphic>
          </wp:inline>
        </w:drawing>
      </w:r>
    </w:p>
    <w:p>
      <w:pPr>
        <w:pStyle w:val="85"/>
        <w:adjustRightInd w:val="0"/>
        <w:snapToGrid w:val="0"/>
        <w:spacing w:beforeLines="0" w:afterLines="0" w:line="240" w:lineRule="auto"/>
        <w:rPr>
          <w:color w:val="000000" w:themeColor="text1"/>
        </w:rPr>
      </w:pPr>
      <w:r>
        <w:rPr>
          <w:rFonts w:hint="eastAsia"/>
          <w:color w:val="000000" w:themeColor="text1"/>
        </w:rPr>
        <w:br w:type="page"/>
      </w:r>
    </w:p>
    <w:p>
      <w:pPr>
        <w:ind w:firstLine="0" w:firstLineChars="0"/>
      </w:pPr>
      <w:r>
        <w:rPr>
          <w:rFonts w:hint="eastAsia"/>
        </w:rPr>
        <w:t>4、专家签到表</w:t>
      </w:r>
    </w:p>
    <w:p>
      <w:pPr>
        <w:pStyle w:val="65"/>
      </w:pPr>
      <w:r>
        <w:rPr>
          <w:rFonts w:hint="eastAsia"/>
        </w:rPr>
        <w:drawing>
          <wp:inline distT="0" distB="0" distL="114300" distR="114300">
            <wp:extent cx="4667885" cy="6715125"/>
            <wp:effectExtent l="0" t="0" r="18415" b="9525"/>
            <wp:docPr id="53" name="图片 53" descr="专家签到表"/>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53" descr="专家签到表"/>
                    <pic:cNvPicPr>
                      <a:picLocks noChangeAspect="1"/>
                    </pic:cNvPicPr>
                  </pic:nvPicPr>
                  <pic:blipFill>
                    <a:blip r:embed="rId90" cstate="print"/>
                    <a:srcRect/>
                    <a:stretch>
                      <a:fillRect/>
                    </a:stretch>
                  </pic:blipFill>
                  <pic:spPr>
                    <a:xfrm>
                      <a:off x="0" y="0"/>
                      <a:ext cx="4667885" cy="6715125"/>
                    </a:xfrm>
                    <a:prstGeom prst="rect">
                      <a:avLst/>
                    </a:prstGeom>
                  </pic:spPr>
                </pic:pic>
              </a:graphicData>
            </a:graphic>
          </wp:inline>
        </w:drawing>
      </w:r>
    </w:p>
    <w:p>
      <w:pPr>
        <w:pStyle w:val="65"/>
      </w:pPr>
      <w:r>
        <w:rPr>
          <w:rFonts w:hint="eastAsia"/>
        </w:rPr>
        <w:br w:type="page"/>
      </w:r>
    </w:p>
    <w:p>
      <w:pPr>
        <w:ind w:firstLine="0" w:firstLineChars="0"/>
      </w:pPr>
      <w:r>
        <w:rPr>
          <w:rFonts w:hint="eastAsia"/>
        </w:rPr>
        <w:t>5、专家意见修改说明</w:t>
      </w:r>
    </w:p>
    <w:tbl>
      <w:tblPr>
        <w:tblStyle w:val="48"/>
        <w:tblW w:w="8504"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252"/>
        <w:gridCol w:w="425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54" w:hRule="atLeast"/>
        </w:trPr>
        <w:tc>
          <w:tcPr>
            <w:tcW w:w="4252" w:type="dxa"/>
            <w:shd w:val="clear" w:color="auto" w:fill="auto"/>
            <w:vAlign w:val="center"/>
          </w:tcPr>
          <w:p>
            <w:pPr>
              <w:pStyle w:val="65"/>
              <w:widowControl/>
              <w:spacing w:line="240" w:lineRule="auto"/>
            </w:pPr>
            <w:r>
              <w:t>专家意见</w:t>
            </w:r>
          </w:p>
        </w:tc>
        <w:tc>
          <w:tcPr>
            <w:tcW w:w="4252" w:type="dxa"/>
            <w:shd w:val="clear" w:color="auto" w:fill="auto"/>
            <w:vAlign w:val="center"/>
          </w:tcPr>
          <w:p>
            <w:pPr>
              <w:pStyle w:val="65"/>
              <w:widowControl/>
              <w:spacing w:line="240" w:lineRule="auto"/>
              <w:rPr>
                <w:szCs w:val="21"/>
              </w:rPr>
            </w:pPr>
            <w:r>
              <w:rPr>
                <w:szCs w:val="21"/>
              </w:rPr>
              <w:t>修改说明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trPr>
        <w:tc>
          <w:tcPr>
            <w:tcW w:w="4252" w:type="dxa"/>
            <w:shd w:val="clear" w:color="auto" w:fill="auto"/>
            <w:vAlign w:val="center"/>
          </w:tcPr>
          <w:p>
            <w:pPr>
              <w:pStyle w:val="65"/>
              <w:widowControl/>
              <w:spacing w:line="240" w:lineRule="auto"/>
              <w:jc w:val="left"/>
            </w:pPr>
            <w:r>
              <w:t>核实编制依据，明确调查范围，明确预案适用范围</w:t>
            </w:r>
          </w:p>
        </w:tc>
        <w:tc>
          <w:tcPr>
            <w:tcW w:w="4252" w:type="dxa"/>
            <w:shd w:val="clear" w:color="auto" w:fill="auto"/>
            <w:vAlign w:val="center"/>
          </w:tcPr>
          <w:p>
            <w:pPr>
              <w:pStyle w:val="65"/>
              <w:widowControl/>
              <w:spacing w:line="240" w:lineRule="auto"/>
              <w:jc w:val="left"/>
              <w:rPr>
                <w:szCs w:val="21"/>
              </w:rPr>
            </w:pPr>
            <w:r>
              <w:rPr>
                <w:rFonts w:hint="eastAsia" w:cs="Times New Roman"/>
                <w:szCs w:val="21"/>
              </w:rPr>
              <w:t>见</w:t>
            </w:r>
            <w:r>
              <w:rPr>
                <w:rFonts w:cs="Times New Roman"/>
                <w:szCs w:val="21"/>
              </w:rPr>
              <w:t>P8</w:t>
            </w:r>
            <w:r>
              <w:rPr>
                <w:rFonts w:hint="eastAsia" w:cs="Times New Roman"/>
                <w:szCs w:val="21"/>
              </w:rPr>
              <w:t>，已核实编制依据，见</w:t>
            </w:r>
            <w:r>
              <w:rPr>
                <w:rFonts w:cs="Times New Roman"/>
                <w:szCs w:val="21"/>
              </w:rPr>
              <w:t>P35</w:t>
            </w:r>
            <w:r>
              <w:rPr>
                <w:rFonts w:hint="eastAsia" w:cs="Times New Roman"/>
                <w:szCs w:val="21"/>
              </w:rPr>
              <w:t>，已明确调查范围，见</w:t>
            </w:r>
            <w:r>
              <w:rPr>
                <w:rFonts w:cs="Times New Roman"/>
                <w:szCs w:val="21"/>
              </w:rPr>
              <w:t>P8</w:t>
            </w:r>
            <w:r>
              <w:rPr>
                <w:rFonts w:hint="eastAsia" w:cs="Times New Roman"/>
                <w:szCs w:val="21"/>
              </w:rPr>
              <w:t>，已明确预案适用范围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trPr>
        <w:tc>
          <w:tcPr>
            <w:tcW w:w="4252" w:type="dxa"/>
            <w:shd w:val="clear" w:color="auto" w:fill="auto"/>
            <w:vAlign w:val="center"/>
          </w:tcPr>
          <w:p>
            <w:pPr>
              <w:pStyle w:val="65"/>
              <w:widowControl/>
              <w:spacing w:line="240" w:lineRule="auto"/>
              <w:jc w:val="left"/>
            </w:pPr>
            <w:r>
              <w:t>完善水源地基础状况调查和风险评估</w:t>
            </w:r>
          </w:p>
          <w:p>
            <w:pPr>
              <w:pStyle w:val="65"/>
              <w:widowControl/>
              <w:spacing w:line="240" w:lineRule="auto"/>
              <w:jc w:val="left"/>
            </w:pPr>
            <w:r>
              <w:rPr>
                <w:rFonts w:hint="eastAsia"/>
              </w:rPr>
              <w:t>（1）</w:t>
            </w:r>
            <w:r>
              <w:t xml:space="preserve"> 明确取水口设置情况与水厂制水工艺</w:t>
            </w:r>
          </w:p>
          <w:p>
            <w:pPr>
              <w:pStyle w:val="65"/>
              <w:widowControl/>
              <w:spacing w:line="240" w:lineRule="auto"/>
              <w:jc w:val="left"/>
            </w:pPr>
            <w:r>
              <w:t>（2）说明调查范围内主要交通干线分布情况，明确与水源保护区边界和距离和方位</w:t>
            </w:r>
          </w:p>
          <w:p>
            <w:pPr>
              <w:pStyle w:val="65"/>
              <w:widowControl/>
              <w:spacing w:line="240" w:lineRule="auto"/>
              <w:jc w:val="left"/>
            </w:pPr>
            <w:r>
              <w:rPr>
                <w:rFonts w:hint="eastAsia"/>
              </w:rPr>
              <w:t>（3）</w:t>
            </w:r>
            <w:r>
              <w:t>列表给出非点源、面源排污情况（含成片农田、集中居民点等、含汇入小溪），说明污染物排放与处理和排放去向</w:t>
            </w:r>
          </w:p>
          <w:p>
            <w:pPr>
              <w:pStyle w:val="65"/>
              <w:widowControl/>
              <w:spacing w:line="240" w:lineRule="auto"/>
              <w:jc w:val="left"/>
            </w:pPr>
            <w:r>
              <w:t>（4）核实调查范围内固定源分布情况（含汇入小溪），说明固定源各类排放口的位置、排放方式、排放去向，影响水源地风险物质类型及存量、主要风险环节及其风险防范措施等</w:t>
            </w:r>
          </w:p>
          <w:p>
            <w:pPr>
              <w:pStyle w:val="65"/>
              <w:widowControl/>
              <w:spacing w:line="240" w:lineRule="auto"/>
              <w:jc w:val="left"/>
            </w:pPr>
            <w:r>
              <w:t>（5）明确本水源保护区设立以来，各类突发环境事件产生情况，说明事故原因，影响后果及整改措施，补充水库富营养化趋势分析（叶绿素较高）</w:t>
            </w:r>
          </w:p>
        </w:tc>
        <w:tc>
          <w:tcPr>
            <w:tcW w:w="4252" w:type="dxa"/>
            <w:shd w:val="clear" w:color="auto" w:fill="auto"/>
            <w:vAlign w:val="center"/>
          </w:tcPr>
          <w:p>
            <w:pPr>
              <w:pStyle w:val="32"/>
              <w:spacing w:before="0" w:beforeAutospacing="0" w:after="0" w:afterAutospacing="0" w:line="264" w:lineRule="auto"/>
              <w:rPr>
                <w:sz w:val="21"/>
                <w:szCs w:val="21"/>
              </w:rPr>
            </w:pPr>
            <w:r>
              <w:rPr>
                <w:rFonts w:hint="eastAsia" w:ascii="Times New Roman" w:hAnsi="Times New Roman"/>
                <w:kern w:val="2"/>
                <w:sz w:val="21"/>
                <w:szCs w:val="21"/>
              </w:rPr>
              <w:t>见</w:t>
            </w:r>
            <w:r>
              <w:rPr>
                <w:rFonts w:ascii="Times New Roman" w:hAnsi="Times New Roman"/>
                <w:kern w:val="2"/>
                <w:sz w:val="21"/>
                <w:szCs w:val="21"/>
              </w:rPr>
              <w:t>P40</w:t>
            </w:r>
            <w:r>
              <w:rPr>
                <w:rFonts w:hint="eastAsia" w:ascii="Times New Roman" w:hAnsi="Times New Roman"/>
                <w:kern w:val="2"/>
                <w:sz w:val="21"/>
                <w:szCs w:val="21"/>
              </w:rPr>
              <w:t>-</w:t>
            </w:r>
            <w:r>
              <w:rPr>
                <w:rFonts w:ascii="Times New Roman" w:hAnsi="Times New Roman"/>
                <w:kern w:val="2"/>
                <w:sz w:val="21"/>
                <w:szCs w:val="21"/>
              </w:rPr>
              <w:t>41</w:t>
            </w:r>
            <w:r>
              <w:rPr>
                <w:rFonts w:hint="eastAsia" w:ascii="Times New Roman" w:hAnsi="Times New Roman"/>
                <w:kern w:val="2"/>
                <w:sz w:val="21"/>
                <w:szCs w:val="21"/>
              </w:rPr>
              <w:t>，明确了取水口设置情况，补充了自来水厂制水工艺流</w:t>
            </w:r>
          </w:p>
          <w:p>
            <w:pPr>
              <w:pStyle w:val="32"/>
              <w:spacing w:before="0" w:beforeAutospacing="0" w:after="0" w:afterAutospacing="0" w:line="264" w:lineRule="auto"/>
              <w:rPr>
                <w:sz w:val="21"/>
                <w:szCs w:val="21"/>
              </w:rPr>
            </w:pPr>
            <w:r>
              <w:rPr>
                <w:rFonts w:hint="eastAsia" w:ascii="Times New Roman" w:hAnsi="Times New Roman"/>
                <w:kern w:val="2"/>
                <w:sz w:val="21"/>
                <w:szCs w:val="21"/>
              </w:rPr>
              <w:t>见</w:t>
            </w:r>
            <w:r>
              <w:rPr>
                <w:rFonts w:ascii="Times New Roman" w:hAnsi="Times New Roman"/>
                <w:kern w:val="2"/>
                <w:sz w:val="21"/>
                <w:szCs w:val="21"/>
              </w:rPr>
              <w:t>P61</w:t>
            </w:r>
            <w:r>
              <w:rPr>
                <w:rFonts w:hint="eastAsia" w:ascii="Times New Roman" w:hAnsi="Times New Roman"/>
                <w:kern w:val="2"/>
                <w:sz w:val="21"/>
                <w:szCs w:val="21"/>
              </w:rPr>
              <w:t>，已说明调查范围内主要交通干线分布情况，并明确与水源保护区边界和距离和方位</w:t>
            </w:r>
          </w:p>
          <w:p>
            <w:pPr>
              <w:pStyle w:val="32"/>
              <w:spacing w:before="0" w:beforeAutospacing="0" w:after="0" w:afterAutospacing="0" w:line="264" w:lineRule="auto"/>
              <w:rPr>
                <w:sz w:val="21"/>
                <w:szCs w:val="21"/>
              </w:rPr>
            </w:pPr>
            <w:r>
              <w:rPr>
                <w:rFonts w:hint="eastAsia" w:ascii="Times New Roman" w:hAnsi="Times New Roman"/>
                <w:kern w:val="2"/>
                <w:sz w:val="21"/>
                <w:szCs w:val="21"/>
              </w:rPr>
              <w:t>见</w:t>
            </w:r>
            <w:r>
              <w:rPr>
                <w:rFonts w:ascii="Times New Roman" w:hAnsi="Times New Roman"/>
                <w:kern w:val="2"/>
                <w:sz w:val="21"/>
                <w:szCs w:val="21"/>
              </w:rPr>
              <w:t>P64</w:t>
            </w:r>
            <w:r>
              <w:rPr>
                <w:rFonts w:hint="eastAsia" w:ascii="Times New Roman" w:hAnsi="Times New Roman"/>
                <w:kern w:val="2"/>
                <w:sz w:val="21"/>
                <w:szCs w:val="21"/>
              </w:rPr>
              <w:t>，已列表给出非点源、面源排污情况，并说明了污染物排放与处理和排放去向</w:t>
            </w:r>
          </w:p>
          <w:p>
            <w:pPr>
              <w:pStyle w:val="32"/>
              <w:spacing w:before="0" w:beforeAutospacing="0" w:after="0" w:afterAutospacing="0" w:line="264" w:lineRule="auto"/>
              <w:rPr>
                <w:sz w:val="21"/>
                <w:szCs w:val="21"/>
              </w:rPr>
            </w:pPr>
            <w:r>
              <w:rPr>
                <w:rFonts w:hint="eastAsia" w:ascii="Times New Roman" w:hAnsi="Times New Roman"/>
                <w:kern w:val="2"/>
                <w:sz w:val="21"/>
                <w:szCs w:val="21"/>
              </w:rPr>
              <w:t>见</w:t>
            </w:r>
            <w:r>
              <w:rPr>
                <w:rFonts w:ascii="Times New Roman" w:hAnsi="Times New Roman"/>
                <w:kern w:val="2"/>
                <w:sz w:val="21"/>
                <w:szCs w:val="21"/>
              </w:rPr>
              <w:t>P57-58</w:t>
            </w:r>
            <w:r>
              <w:rPr>
                <w:rFonts w:hint="eastAsia" w:ascii="Times New Roman" w:hAnsi="Times New Roman"/>
                <w:kern w:val="2"/>
                <w:sz w:val="21"/>
                <w:szCs w:val="21"/>
              </w:rPr>
              <w:t>，已核实</w:t>
            </w:r>
            <w:r>
              <w:rPr>
                <w:rFonts w:hint="eastAsia"/>
                <w:sz w:val="21"/>
                <w:szCs w:val="21"/>
              </w:rPr>
              <w:t>调查范围内固定源分布情况（含汇入小溪），说明固定源各类排放口的位置、排放方式、排放去向，影响水源地风险物质类型及存量、主要风险环节及其风险防范措施等</w:t>
            </w:r>
          </w:p>
          <w:p>
            <w:pPr>
              <w:pStyle w:val="32"/>
              <w:spacing w:before="0" w:beforeAutospacing="0" w:after="0" w:afterAutospacing="0" w:line="264" w:lineRule="auto"/>
              <w:rPr>
                <w:sz w:val="21"/>
                <w:szCs w:val="21"/>
              </w:rPr>
            </w:pPr>
            <w:r>
              <w:rPr>
                <w:rFonts w:hint="eastAsia" w:ascii="Times New Roman" w:hAnsi="Times New Roman"/>
                <w:kern w:val="2"/>
                <w:sz w:val="21"/>
                <w:szCs w:val="21"/>
              </w:rPr>
              <w:t>见</w:t>
            </w:r>
            <w:r>
              <w:rPr>
                <w:rFonts w:ascii="Times New Roman" w:hAnsi="Times New Roman"/>
                <w:kern w:val="2"/>
                <w:sz w:val="21"/>
                <w:szCs w:val="21"/>
              </w:rPr>
              <w:t>P42</w:t>
            </w:r>
            <w:r>
              <w:rPr>
                <w:rFonts w:hint="eastAsia" w:ascii="Times New Roman" w:hAnsi="Times New Roman"/>
                <w:kern w:val="2"/>
                <w:sz w:val="21"/>
                <w:szCs w:val="21"/>
              </w:rPr>
              <w:t>，已明确本水源保护区设立以来未发生过突发环境事件</w:t>
            </w:r>
          </w:p>
          <w:p>
            <w:pPr>
              <w:widowControl/>
              <w:ind w:firstLine="0" w:firstLineChars="0"/>
              <w:jc w:val="left"/>
              <w:rPr>
                <w:sz w:val="21"/>
                <w:szCs w:val="21"/>
              </w:rPr>
            </w:pPr>
            <w:r>
              <w:rPr>
                <w:rFonts w:hint="eastAsia"/>
                <w:sz w:val="21"/>
                <w:szCs w:val="21"/>
              </w:rPr>
              <w:t>见</w:t>
            </w:r>
            <w:r>
              <w:rPr>
                <w:sz w:val="21"/>
                <w:szCs w:val="21"/>
              </w:rPr>
              <w:t>P53-55</w:t>
            </w:r>
            <w:r>
              <w:rPr>
                <w:rFonts w:hint="eastAsia"/>
                <w:sz w:val="21"/>
                <w:szCs w:val="21"/>
              </w:rPr>
              <w:t>，补充了水库富营养化分析</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trPr>
        <w:tc>
          <w:tcPr>
            <w:tcW w:w="4252" w:type="dxa"/>
            <w:shd w:val="clear" w:color="auto" w:fill="auto"/>
            <w:vAlign w:val="center"/>
          </w:tcPr>
          <w:p>
            <w:pPr>
              <w:pStyle w:val="65"/>
              <w:widowControl/>
              <w:spacing w:line="240" w:lineRule="auto"/>
              <w:jc w:val="left"/>
            </w:pPr>
            <w:r>
              <w:t>细化饮用水源地突发环境事件分析</w:t>
            </w:r>
          </w:p>
          <w:p>
            <w:pPr>
              <w:pStyle w:val="65"/>
              <w:widowControl/>
              <w:spacing w:line="240" w:lineRule="auto"/>
              <w:jc w:val="left"/>
            </w:pPr>
            <w:r>
              <w:t>（1）完善与补充汇入小溪水质污染而发生的突发环境事件分析</w:t>
            </w:r>
          </w:p>
          <w:p>
            <w:pPr>
              <w:pStyle w:val="65"/>
              <w:widowControl/>
              <w:spacing w:line="240" w:lineRule="auto"/>
              <w:jc w:val="left"/>
            </w:pPr>
            <w:r>
              <w:t>（2）重点识别可能发生危化品运输突发环境事件并造成水源地水质污染的公路的名称，依据其公路建设等级的高低、距离取水口的距离、重点关注危化品运输而产生的突发环境事件（含发生爆炸、火灾），核实情景设定，影响后果明确发生事故对取水水质的影响，给出控制要求和水厂的取水要求</w:t>
            </w:r>
          </w:p>
          <w:p>
            <w:pPr>
              <w:pStyle w:val="65"/>
              <w:widowControl/>
              <w:spacing w:line="240" w:lineRule="auto"/>
              <w:jc w:val="left"/>
            </w:pPr>
            <w:r>
              <w:t>（3）考虑汛期、枯水期、雨雪冰冻或台风等特殊时期可能造成水源地水质污染的情景。</w:t>
            </w:r>
          </w:p>
        </w:tc>
        <w:tc>
          <w:tcPr>
            <w:tcW w:w="4252" w:type="dxa"/>
            <w:shd w:val="clear" w:color="auto" w:fill="auto"/>
            <w:vAlign w:val="center"/>
          </w:tcPr>
          <w:p>
            <w:pPr>
              <w:pStyle w:val="32"/>
              <w:spacing w:before="0" w:beforeAutospacing="0" w:after="0" w:afterAutospacing="0"/>
              <w:rPr>
                <w:sz w:val="21"/>
                <w:szCs w:val="21"/>
              </w:rPr>
            </w:pPr>
            <w:r>
              <w:rPr>
                <w:rFonts w:hint="eastAsia" w:ascii="Times New Roman" w:hAnsi="Times New Roman"/>
                <w:kern w:val="2"/>
                <w:sz w:val="21"/>
                <w:szCs w:val="21"/>
              </w:rPr>
              <w:t>见</w:t>
            </w:r>
            <w:r>
              <w:rPr>
                <w:rFonts w:ascii="Times New Roman" w:hAnsi="Times New Roman"/>
                <w:kern w:val="2"/>
                <w:sz w:val="21"/>
                <w:szCs w:val="21"/>
              </w:rPr>
              <w:t>P70-71</w:t>
            </w:r>
            <w:r>
              <w:rPr>
                <w:rFonts w:hint="eastAsia" w:ascii="Times New Roman" w:hAnsi="Times New Roman"/>
                <w:kern w:val="2"/>
                <w:sz w:val="21"/>
                <w:szCs w:val="21"/>
              </w:rPr>
              <w:t>，已完善监测断面及入库河流水质超标突发环境事件分析</w:t>
            </w:r>
          </w:p>
          <w:p>
            <w:pPr>
              <w:pStyle w:val="32"/>
              <w:spacing w:before="0" w:beforeAutospacing="0" w:after="0" w:afterAutospacing="0"/>
              <w:rPr>
                <w:sz w:val="21"/>
                <w:szCs w:val="21"/>
              </w:rPr>
            </w:pPr>
            <w:r>
              <w:rPr>
                <w:rFonts w:hint="eastAsia" w:ascii="Times New Roman" w:hAnsi="Times New Roman"/>
                <w:kern w:val="2"/>
                <w:sz w:val="21"/>
                <w:szCs w:val="21"/>
              </w:rPr>
              <w:t>见</w:t>
            </w:r>
            <w:r>
              <w:rPr>
                <w:rFonts w:ascii="Times New Roman" w:hAnsi="Times New Roman"/>
                <w:kern w:val="2"/>
                <w:sz w:val="21"/>
                <w:szCs w:val="21"/>
              </w:rPr>
              <w:t>P70</w:t>
            </w:r>
            <w:r>
              <w:rPr>
                <w:rFonts w:hint="eastAsia" w:ascii="Times New Roman" w:hAnsi="Times New Roman"/>
                <w:kern w:val="2"/>
                <w:sz w:val="21"/>
                <w:szCs w:val="21"/>
              </w:rPr>
              <w:t>，重点识别</w:t>
            </w:r>
            <w:r>
              <w:rPr>
                <w:rFonts w:hint="eastAsia"/>
                <w:sz w:val="21"/>
                <w:szCs w:val="21"/>
              </w:rPr>
              <w:t>可能发生危化品运输突发环境事件并造成水源地水质污染的公路的名称为</w:t>
            </w:r>
            <w:r>
              <w:rPr>
                <w:rFonts w:ascii="Times New Roman" w:hAnsi="Times New Roman"/>
                <w:kern w:val="2"/>
                <w:sz w:val="21"/>
                <w:szCs w:val="21"/>
              </w:rPr>
              <w:t>S61</w:t>
            </w:r>
          </w:p>
          <w:p>
            <w:pPr>
              <w:widowControl/>
              <w:spacing w:line="240" w:lineRule="auto"/>
              <w:ind w:firstLine="0" w:firstLineChars="0"/>
              <w:jc w:val="left"/>
              <w:rPr>
                <w:sz w:val="21"/>
                <w:szCs w:val="21"/>
              </w:rPr>
            </w:pPr>
            <w:r>
              <w:rPr>
                <w:rFonts w:hint="eastAsia"/>
                <w:sz w:val="21"/>
                <w:szCs w:val="21"/>
              </w:rPr>
              <w:t>见</w:t>
            </w:r>
            <w:r>
              <w:rPr>
                <w:sz w:val="21"/>
                <w:szCs w:val="21"/>
              </w:rPr>
              <w:t>P71</w:t>
            </w:r>
            <w:r>
              <w:rPr>
                <w:rFonts w:hint="eastAsia"/>
                <w:sz w:val="21"/>
                <w:szCs w:val="21"/>
              </w:rPr>
              <w:t>补充</w:t>
            </w:r>
            <w:r>
              <w:rPr>
                <w:rFonts w:hint="eastAsia" w:ascii="宋体" w:hAnsi="宋体"/>
                <w:sz w:val="21"/>
                <w:szCs w:val="21"/>
              </w:rPr>
              <w:t>汛期、枯水期、雨雪冰冻或台风等特殊时期可能造成水源地水质污染的情景</w:t>
            </w:r>
          </w:p>
          <w:p>
            <w:pPr>
              <w:pStyle w:val="65"/>
              <w:widowControl/>
              <w:spacing w:line="240" w:lineRule="auto"/>
              <w:jc w:val="left"/>
              <w:rPr>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trPr>
        <w:tc>
          <w:tcPr>
            <w:tcW w:w="4252" w:type="dxa"/>
            <w:shd w:val="clear" w:color="auto" w:fill="auto"/>
            <w:vAlign w:val="center"/>
          </w:tcPr>
          <w:p>
            <w:pPr>
              <w:pStyle w:val="65"/>
              <w:widowControl/>
              <w:spacing w:line="240" w:lineRule="auto"/>
              <w:jc w:val="left"/>
            </w:pPr>
            <w:r>
              <w:t>在饮用水源保护区应急能力评估的基础上，进行差距性分析，完善水源地应急防控体系建设的主要内容与要求，包括但不限于如下几方面</w:t>
            </w:r>
          </w:p>
          <w:p>
            <w:pPr>
              <w:pStyle w:val="65"/>
              <w:widowControl/>
              <w:spacing w:line="240" w:lineRule="auto"/>
              <w:jc w:val="left"/>
            </w:pPr>
            <w:r>
              <w:t>（1）从保护区建设、保护区整治、监控能力、风险防控与应急能力、管理措施等方面，列表说明现有应急能力建设情况，明确中央专项检查提出的问题落实情况（含矿山整治）</w:t>
            </w:r>
          </w:p>
          <w:p>
            <w:pPr>
              <w:pStyle w:val="65"/>
              <w:widowControl/>
              <w:spacing w:line="240" w:lineRule="auto"/>
              <w:jc w:val="left"/>
            </w:pPr>
            <w:r>
              <w:t>（2）按《集中式饮用水水源地规范化建设环境保护技术要求》优化水源保护区监测预警断面设置</w:t>
            </w:r>
          </w:p>
          <w:p>
            <w:pPr>
              <w:pStyle w:val="65"/>
              <w:widowControl/>
              <w:spacing w:line="240" w:lineRule="auto"/>
              <w:jc w:val="left"/>
            </w:pPr>
            <w:r>
              <w:t>（3）参照《饮用水水源保护区标志技术要求》（HJ/T 433）完善保护区标志，包括界碑、界标、警示牌、宣传牌（碑）等</w:t>
            </w:r>
          </w:p>
          <w:p>
            <w:pPr>
              <w:pStyle w:val="65"/>
              <w:widowControl/>
              <w:spacing w:line="240" w:lineRule="auto"/>
              <w:jc w:val="left"/>
            </w:pPr>
            <w:r>
              <w:t>（4）进一步整改措施中的特殊时期污染风险防控能力有待完善、取水安全防控措施要具体化</w:t>
            </w:r>
          </w:p>
          <w:p>
            <w:pPr>
              <w:pStyle w:val="65"/>
              <w:widowControl/>
              <w:spacing w:line="240" w:lineRule="auto"/>
              <w:jc w:val="left"/>
            </w:pPr>
            <w:r>
              <w:t>（5）建议对临近S61裸露输水渠进行封闭</w:t>
            </w:r>
          </w:p>
        </w:tc>
        <w:tc>
          <w:tcPr>
            <w:tcW w:w="4252" w:type="dxa"/>
            <w:shd w:val="clear" w:color="auto" w:fill="auto"/>
            <w:vAlign w:val="center"/>
          </w:tcPr>
          <w:p>
            <w:pPr>
              <w:pStyle w:val="32"/>
              <w:spacing w:before="0" w:beforeAutospacing="0" w:after="0" w:afterAutospacing="0" w:line="264" w:lineRule="auto"/>
              <w:rPr>
                <w:sz w:val="21"/>
                <w:szCs w:val="21"/>
              </w:rPr>
            </w:pPr>
            <w:r>
              <w:rPr>
                <w:rFonts w:hint="eastAsia" w:ascii="Times New Roman" w:hAnsi="Times New Roman"/>
                <w:kern w:val="2"/>
                <w:sz w:val="21"/>
                <w:szCs w:val="21"/>
              </w:rPr>
              <w:t>见</w:t>
            </w:r>
            <w:r>
              <w:rPr>
                <w:rFonts w:ascii="Times New Roman" w:hAnsi="Times New Roman"/>
                <w:kern w:val="2"/>
                <w:sz w:val="21"/>
                <w:szCs w:val="21"/>
              </w:rPr>
              <w:t>P77-78</w:t>
            </w:r>
            <w:r>
              <w:rPr>
                <w:rFonts w:hint="eastAsia" w:ascii="Times New Roman" w:hAnsi="Times New Roman"/>
                <w:kern w:val="2"/>
                <w:sz w:val="21"/>
                <w:szCs w:val="21"/>
              </w:rPr>
              <w:t>，已补充中央专项检查提出的问题落实情况</w:t>
            </w:r>
          </w:p>
          <w:p>
            <w:pPr>
              <w:pStyle w:val="32"/>
              <w:spacing w:before="0" w:beforeAutospacing="0" w:after="0" w:afterAutospacing="0" w:line="264" w:lineRule="auto"/>
              <w:rPr>
                <w:sz w:val="21"/>
                <w:szCs w:val="21"/>
              </w:rPr>
            </w:pPr>
            <w:r>
              <w:rPr>
                <w:rFonts w:hint="eastAsia" w:ascii="Times New Roman" w:hAnsi="Times New Roman"/>
                <w:kern w:val="2"/>
                <w:sz w:val="21"/>
                <w:szCs w:val="21"/>
              </w:rPr>
              <w:t>见</w:t>
            </w:r>
            <w:r>
              <w:rPr>
                <w:rFonts w:ascii="Times New Roman" w:hAnsi="Times New Roman"/>
                <w:kern w:val="2"/>
                <w:sz w:val="21"/>
                <w:szCs w:val="21"/>
              </w:rPr>
              <w:t>P80</w:t>
            </w:r>
            <w:r>
              <w:rPr>
                <w:rFonts w:hint="eastAsia" w:ascii="Times New Roman" w:hAnsi="Times New Roman"/>
                <w:kern w:val="2"/>
                <w:sz w:val="21"/>
                <w:szCs w:val="21"/>
              </w:rPr>
              <w:t>，已按</w:t>
            </w:r>
            <w:r>
              <w:rPr>
                <w:rFonts w:hint="eastAsia"/>
                <w:sz w:val="21"/>
                <w:szCs w:val="21"/>
              </w:rPr>
              <w:t>《集中式饮用水水源地规范化建设环境保护技术要求》优化水源保护区监测预警断面设置</w:t>
            </w:r>
          </w:p>
          <w:p>
            <w:pPr>
              <w:pStyle w:val="32"/>
              <w:spacing w:before="0" w:beforeAutospacing="0" w:after="0" w:afterAutospacing="0"/>
              <w:rPr>
                <w:sz w:val="21"/>
                <w:szCs w:val="21"/>
              </w:rPr>
            </w:pPr>
            <w:r>
              <w:rPr>
                <w:rFonts w:hint="eastAsia"/>
                <w:sz w:val="21"/>
                <w:szCs w:val="21"/>
              </w:rPr>
              <w:t>见P80，建议</w:t>
            </w:r>
            <w:r>
              <w:rPr>
                <w:sz w:val="21"/>
                <w:szCs w:val="21"/>
              </w:rPr>
              <w:t>参照《饮用水水源保护区标志技术要求》（HJ/T 433）完善保护区标志，包括界碑、界标、警示牌、宣传牌（碑）等</w:t>
            </w:r>
          </w:p>
          <w:p>
            <w:pPr>
              <w:pStyle w:val="32"/>
              <w:spacing w:before="0" w:beforeAutospacing="0" w:after="0" w:afterAutospacing="0" w:line="264" w:lineRule="auto"/>
              <w:rPr>
                <w:sz w:val="21"/>
                <w:szCs w:val="21"/>
              </w:rPr>
            </w:pPr>
            <w:r>
              <w:rPr>
                <w:rFonts w:hint="eastAsia" w:ascii="Times New Roman" w:hAnsi="Times New Roman"/>
                <w:kern w:val="2"/>
                <w:sz w:val="21"/>
                <w:szCs w:val="21"/>
              </w:rPr>
              <w:t>见</w:t>
            </w:r>
            <w:r>
              <w:rPr>
                <w:rFonts w:ascii="Times New Roman" w:hAnsi="Times New Roman"/>
                <w:kern w:val="2"/>
                <w:sz w:val="21"/>
                <w:szCs w:val="21"/>
              </w:rPr>
              <w:t>P80-81</w:t>
            </w:r>
            <w:r>
              <w:rPr>
                <w:rFonts w:hint="eastAsia" w:ascii="Times New Roman" w:hAnsi="Times New Roman"/>
                <w:kern w:val="2"/>
                <w:sz w:val="21"/>
                <w:szCs w:val="21"/>
              </w:rPr>
              <w:t>，已完善取水口应急防控措施，及特殊时期污染风险防控能力分析</w:t>
            </w:r>
          </w:p>
          <w:p>
            <w:pPr>
              <w:pStyle w:val="32"/>
              <w:spacing w:before="0" w:beforeAutospacing="0" w:after="0" w:afterAutospacing="0" w:line="264" w:lineRule="auto"/>
              <w:rPr>
                <w:sz w:val="21"/>
                <w:szCs w:val="21"/>
              </w:rPr>
            </w:pPr>
            <w:r>
              <w:rPr>
                <w:rFonts w:hint="eastAsia" w:ascii="Times New Roman" w:hAnsi="Times New Roman"/>
                <w:kern w:val="2"/>
                <w:sz w:val="21"/>
                <w:szCs w:val="21"/>
              </w:rPr>
              <w:t>见</w:t>
            </w:r>
            <w:r>
              <w:rPr>
                <w:rFonts w:ascii="Times New Roman" w:hAnsi="Times New Roman"/>
                <w:kern w:val="2"/>
                <w:sz w:val="21"/>
                <w:szCs w:val="21"/>
              </w:rPr>
              <w:t>P79</w:t>
            </w:r>
            <w:r>
              <w:rPr>
                <w:rFonts w:hint="eastAsia" w:ascii="Times New Roman" w:hAnsi="Times New Roman"/>
                <w:kern w:val="2"/>
                <w:sz w:val="21"/>
                <w:szCs w:val="21"/>
              </w:rPr>
              <w:t>，已补充对</w:t>
            </w:r>
            <w:r>
              <w:rPr>
                <w:rFonts w:ascii="Times New Roman" w:hAnsi="Times New Roman"/>
                <w:kern w:val="2"/>
                <w:sz w:val="21"/>
                <w:szCs w:val="21"/>
              </w:rPr>
              <w:t>S61</w:t>
            </w:r>
            <w:r>
              <w:rPr>
                <w:rFonts w:hint="eastAsia" w:ascii="Times New Roman" w:hAnsi="Times New Roman"/>
                <w:kern w:val="2"/>
                <w:sz w:val="21"/>
                <w:szCs w:val="21"/>
              </w:rPr>
              <w:t>两侧明渠改为暗渠建议</w:t>
            </w:r>
          </w:p>
          <w:p>
            <w:pPr>
              <w:pStyle w:val="65"/>
              <w:widowControl/>
              <w:spacing w:line="240" w:lineRule="auto"/>
              <w:jc w:val="left"/>
              <w:rPr>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trPr>
        <w:tc>
          <w:tcPr>
            <w:tcW w:w="4252" w:type="dxa"/>
            <w:shd w:val="clear" w:color="auto" w:fill="auto"/>
            <w:vAlign w:val="center"/>
          </w:tcPr>
          <w:p>
            <w:pPr>
              <w:pStyle w:val="65"/>
              <w:widowControl/>
              <w:spacing w:line="240" w:lineRule="auto"/>
              <w:jc w:val="left"/>
            </w:pPr>
            <w:r>
              <w:t>完善突发环境事件分级和应急预警与响应要求</w:t>
            </w:r>
          </w:p>
          <w:p>
            <w:pPr>
              <w:pStyle w:val="65"/>
              <w:widowControl/>
              <w:spacing w:line="240" w:lineRule="auto"/>
              <w:jc w:val="left"/>
            </w:pPr>
            <w:r>
              <w:t>（1）按照突发事件严重性和紧急程度和国家关于饮用水源地突发环境事件分级要求并结合风评中给出的潜在的突发环境事件的影响后果（水质恶化程度），核实事件分级内容，明确预案启动条件</w:t>
            </w:r>
          </w:p>
          <w:p>
            <w:pPr>
              <w:pStyle w:val="65"/>
              <w:widowControl/>
              <w:spacing w:line="240" w:lineRule="auto"/>
              <w:jc w:val="left"/>
            </w:pPr>
            <w:r>
              <w:t>（2）核实与完善应急机构设置，补充当地乡、镇政府、水厂为应急机构成员</w:t>
            </w:r>
          </w:p>
          <w:p>
            <w:pPr>
              <w:pStyle w:val="65"/>
              <w:widowControl/>
              <w:spacing w:line="240" w:lineRule="auto"/>
              <w:jc w:val="left"/>
            </w:pPr>
            <w:r>
              <w:t>应急指挥部的职责、指挥与协调功能，应结合《湖南省水功能区监督管理办法》，中相关要求并经市政府召集相关部门进行确定</w:t>
            </w:r>
          </w:p>
          <w:p>
            <w:pPr>
              <w:pStyle w:val="65"/>
              <w:widowControl/>
              <w:spacing w:line="240" w:lineRule="auto"/>
              <w:jc w:val="left"/>
            </w:pPr>
            <w:r>
              <w:t>（3）完善环境风险隐患排查治理制度，明确排查频次、重点排查单位、部位、参加单位及隐患整改要求，给出每年至少开展一次应急演练要求</w:t>
            </w:r>
          </w:p>
        </w:tc>
        <w:tc>
          <w:tcPr>
            <w:tcW w:w="4252" w:type="dxa"/>
            <w:shd w:val="clear" w:color="auto" w:fill="auto"/>
            <w:vAlign w:val="center"/>
          </w:tcPr>
          <w:p>
            <w:pPr>
              <w:pStyle w:val="32"/>
              <w:spacing w:before="0" w:beforeAutospacing="0" w:after="0" w:afterAutospacing="0" w:line="264" w:lineRule="auto"/>
              <w:rPr>
                <w:sz w:val="21"/>
                <w:szCs w:val="21"/>
              </w:rPr>
            </w:pPr>
            <w:r>
              <w:rPr>
                <w:rFonts w:hint="eastAsia" w:ascii="Times New Roman" w:hAnsi="Times New Roman"/>
                <w:kern w:val="2"/>
                <w:sz w:val="21"/>
                <w:szCs w:val="21"/>
              </w:rPr>
              <w:t>见</w:t>
            </w:r>
            <w:r>
              <w:rPr>
                <w:rFonts w:ascii="Times New Roman" w:hAnsi="Times New Roman"/>
                <w:kern w:val="2"/>
                <w:sz w:val="21"/>
                <w:szCs w:val="21"/>
              </w:rPr>
              <w:t>P16-17</w:t>
            </w:r>
            <w:r>
              <w:rPr>
                <w:rFonts w:hint="eastAsia" w:ascii="Times New Roman" w:hAnsi="Times New Roman"/>
                <w:kern w:val="2"/>
                <w:sz w:val="21"/>
                <w:szCs w:val="21"/>
              </w:rPr>
              <w:t>，已核实事件分级内容，并明确了预案启动条件</w:t>
            </w:r>
          </w:p>
          <w:p>
            <w:pPr>
              <w:pStyle w:val="32"/>
              <w:spacing w:before="0" w:beforeAutospacing="0" w:after="0" w:afterAutospacing="0" w:line="264" w:lineRule="auto"/>
              <w:rPr>
                <w:sz w:val="21"/>
                <w:szCs w:val="21"/>
              </w:rPr>
            </w:pPr>
            <w:r>
              <w:rPr>
                <w:rFonts w:hint="eastAsia" w:ascii="Times New Roman" w:hAnsi="Times New Roman"/>
                <w:kern w:val="2"/>
                <w:sz w:val="21"/>
                <w:szCs w:val="21"/>
              </w:rPr>
              <w:t>见</w:t>
            </w:r>
            <w:r>
              <w:rPr>
                <w:rFonts w:ascii="Times New Roman" w:hAnsi="Times New Roman"/>
                <w:kern w:val="2"/>
                <w:sz w:val="21"/>
                <w:szCs w:val="21"/>
              </w:rPr>
              <w:t>P12</w:t>
            </w:r>
            <w:r>
              <w:rPr>
                <w:rFonts w:hint="eastAsia" w:ascii="Times New Roman" w:hAnsi="Times New Roman"/>
                <w:kern w:val="2"/>
                <w:sz w:val="21"/>
                <w:szCs w:val="21"/>
              </w:rPr>
              <w:t>，已核实与完善应急机构设置，并补充自来水公司，月田镇政府、毛田镇政府为应急机构成员</w:t>
            </w:r>
          </w:p>
          <w:p>
            <w:pPr>
              <w:pStyle w:val="32"/>
              <w:spacing w:before="0" w:beforeAutospacing="0" w:after="0" w:afterAutospacing="0" w:line="264" w:lineRule="auto"/>
              <w:rPr>
                <w:sz w:val="21"/>
                <w:szCs w:val="21"/>
              </w:rPr>
            </w:pPr>
            <w:r>
              <w:rPr>
                <w:rFonts w:hint="eastAsia" w:ascii="Times New Roman" w:hAnsi="Times New Roman"/>
                <w:kern w:val="2"/>
                <w:sz w:val="21"/>
                <w:szCs w:val="21"/>
              </w:rPr>
              <w:t>见</w:t>
            </w:r>
            <w:r>
              <w:rPr>
                <w:rFonts w:ascii="Times New Roman" w:hAnsi="Times New Roman"/>
                <w:kern w:val="2"/>
                <w:sz w:val="21"/>
                <w:szCs w:val="21"/>
              </w:rPr>
              <w:t>P100-102</w:t>
            </w:r>
            <w:r>
              <w:rPr>
                <w:rFonts w:hint="eastAsia" w:ascii="Times New Roman" w:hAnsi="Times New Roman"/>
                <w:kern w:val="2"/>
                <w:sz w:val="21"/>
                <w:szCs w:val="21"/>
              </w:rPr>
              <w:t>，岳阳市政府应急办已征求各职能部门意见</w:t>
            </w:r>
          </w:p>
          <w:p>
            <w:pPr>
              <w:pStyle w:val="32"/>
              <w:spacing w:before="0" w:beforeAutospacing="0" w:after="0" w:afterAutospacing="0" w:line="264" w:lineRule="auto"/>
              <w:rPr>
                <w:sz w:val="21"/>
                <w:szCs w:val="21"/>
              </w:rPr>
            </w:pPr>
            <w:r>
              <w:rPr>
                <w:rFonts w:hint="eastAsia" w:ascii="Times New Roman" w:hAnsi="Times New Roman"/>
                <w:kern w:val="2"/>
                <w:sz w:val="21"/>
                <w:szCs w:val="21"/>
              </w:rPr>
              <w:t>见</w:t>
            </w:r>
            <w:r>
              <w:rPr>
                <w:rFonts w:ascii="Times New Roman" w:hAnsi="Times New Roman"/>
                <w:kern w:val="2"/>
                <w:sz w:val="21"/>
                <w:szCs w:val="21"/>
              </w:rPr>
              <w:t>P31</w:t>
            </w:r>
            <w:r>
              <w:rPr>
                <w:rFonts w:hint="eastAsia" w:ascii="Times New Roman" w:hAnsi="Times New Roman"/>
                <w:kern w:val="2"/>
                <w:sz w:val="21"/>
                <w:szCs w:val="21"/>
              </w:rPr>
              <w:t>，明确了每年至少开展一次应急演练的要求</w:t>
            </w:r>
          </w:p>
          <w:p>
            <w:pPr>
              <w:pStyle w:val="65"/>
              <w:widowControl/>
              <w:spacing w:line="240" w:lineRule="auto"/>
              <w:jc w:val="left"/>
              <w:rPr>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trPr>
        <w:tc>
          <w:tcPr>
            <w:tcW w:w="4252" w:type="dxa"/>
            <w:shd w:val="clear" w:color="auto" w:fill="auto"/>
            <w:vAlign w:val="center"/>
          </w:tcPr>
          <w:p>
            <w:pPr>
              <w:pStyle w:val="65"/>
              <w:widowControl/>
              <w:spacing w:line="240" w:lineRule="auto"/>
              <w:jc w:val="left"/>
            </w:pPr>
            <w:r>
              <w:t>按一事一卡要求，核实应急卡，结合典型事件，有针对性给出不同的突发环境事件的现场处置措施。核实事故报送单位及联系人信息，补充水华事件应急卡，核实加油站突发环境事件应急卡，并核实监测因子</w:t>
            </w:r>
          </w:p>
        </w:tc>
        <w:tc>
          <w:tcPr>
            <w:tcW w:w="4252" w:type="dxa"/>
            <w:shd w:val="clear" w:color="auto" w:fill="auto"/>
            <w:vAlign w:val="center"/>
          </w:tcPr>
          <w:p>
            <w:pPr>
              <w:pStyle w:val="65"/>
              <w:widowControl/>
              <w:spacing w:line="240" w:lineRule="auto"/>
              <w:jc w:val="left"/>
              <w:rPr>
                <w:szCs w:val="21"/>
              </w:rPr>
            </w:pPr>
            <w:r>
              <w:rPr>
                <w:rFonts w:hint="eastAsia"/>
                <w:szCs w:val="21"/>
              </w:rPr>
              <w:t>见</w:t>
            </w:r>
            <w:r>
              <w:rPr>
                <w:rFonts w:cs="Times New Roman"/>
                <w:szCs w:val="21"/>
              </w:rPr>
              <w:t>P116-120</w:t>
            </w:r>
            <w:r>
              <w:rPr>
                <w:rFonts w:hint="eastAsia" w:cs="Times New Roman"/>
                <w:szCs w:val="21"/>
              </w:rPr>
              <w:t>，已按一事一卡要求，核实应急卡，结合典型事件，有针对性给出不同的突发环境事件的现场处置措施。核实事故报送单位及联系人信息，补充水华事件应急卡，核实加油站突发环境事件应急卡，并核实监测因子</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trPr>
        <w:tc>
          <w:tcPr>
            <w:tcW w:w="4252" w:type="dxa"/>
            <w:shd w:val="clear" w:color="auto" w:fill="auto"/>
            <w:vAlign w:val="center"/>
          </w:tcPr>
          <w:p>
            <w:pPr>
              <w:pStyle w:val="65"/>
              <w:widowControl/>
              <w:spacing w:line="240" w:lineRule="auto"/>
              <w:jc w:val="left"/>
            </w:pPr>
            <w:r>
              <w:t>明确本预案与政府整体应急预案、水厂应急预案的联接关系</w:t>
            </w:r>
          </w:p>
        </w:tc>
        <w:tc>
          <w:tcPr>
            <w:tcW w:w="4252" w:type="dxa"/>
            <w:shd w:val="clear" w:color="auto" w:fill="auto"/>
            <w:vAlign w:val="center"/>
          </w:tcPr>
          <w:p>
            <w:pPr>
              <w:pStyle w:val="65"/>
              <w:widowControl/>
              <w:spacing w:line="240" w:lineRule="auto"/>
              <w:jc w:val="left"/>
              <w:rPr>
                <w:szCs w:val="21"/>
              </w:rPr>
            </w:pPr>
            <w:r>
              <w:rPr>
                <w:rFonts w:hint="eastAsia" w:cs="Times New Roman"/>
                <w:szCs w:val="21"/>
              </w:rPr>
              <w:t>见</w:t>
            </w:r>
            <w:r>
              <w:rPr>
                <w:rFonts w:cs="Times New Roman"/>
                <w:szCs w:val="21"/>
              </w:rPr>
              <w:t>P9-10</w:t>
            </w:r>
            <w:r>
              <w:rPr>
                <w:rFonts w:hint="eastAsia" w:cs="Times New Roman"/>
                <w:szCs w:val="21"/>
              </w:rPr>
              <w:t>，已明确本预案与岳阳市环境污染突发事件应急预案和岳阳市城市供水事故应急预案的联接关系</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trPr>
        <w:tc>
          <w:tcPr>
            <w:tcW w:w="4252" w:type="dxa"/>
            <w:shd w:val="clear" w:color="auto" w:fill="auto"/>
            <w:vAlign w:val="center"/>
          </w:tcPr>
          <w:p>
            <w:pPr>
              <w:pStyle w:val="65"/>
              <w:widowControl/>
              <w:spacing w:line="240" w:lineRule="auto"/>
              <w:jc w:val="left"/>
            </w:pPr>
            <w:r>
              <w:t>补充调查范围图，完善饮用水源保护区环境风险源分布图（含预案适应范围内道路、农田、集中居民点等）、事故状态下监测布点图、应急物质储备</w:t>
            </w:r>
            <w:r>
              <w:rPr>
                <w:rFonts w:hint="eastAsia"/>
              </w:rPr>
              <w:t>图</w:t>
            </w:r>
          </w:p>
        </w:tc>
        <w:tc>
          <w:tcPr>
            <w:tcW w:w="4252" w:type="dxa"/>
            <w:shd w:val="clear" w:color="auto" w:fill="auto"/>
            <w:vAlign w:val="center"/>
          </w:tcPr>
          <w:p>
            <w:pPr>
              <w:pStyle w:val="65"/>
              <w:widowControl/>
              <w:spacing w:line="240" w:lineRule="auto"/>
              <w:jc w:val="left"/>
              <w:rPr>
                <w:szCs w:val="21"/>
              </w:rPr>
            </w:pPr>
            <w:r>
              <w:rPr>
                <w:rFonts w:hint="eastAsia"/>
                <w:szCs w:val="21"/>
              </w:rPr>
              <w:t>见</w:t>
            </w:r>
            <w:r>
              <w:rPr>
                <w:rFonts w:cs="Times New Roman"/>
                <w:szCs w:val="21"/>
              </w:rPr>
              <w:t>P95-99</w:t>
            </w:r>
            <w:r>
              <w:rPr>
                <w:rFonts w:hint="eastAsia" w:cs="Times New Roman"/>
                <w:szCs w:val="21"/>
              </w:rPr>
              <w:t>，已补充调查范围图，完善饮用水源保护区环境风险源分布图（含预案适应范围内道路、农田、集中居民点等）、事故状态下监测布点图、应急物质储备图</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trPr>
        <w:tc>
          <w:tcPr>
            <w:tcW w:w="4252" w:type="dxa"/>
            <w:shd w:val="clear" w:color="auto" w:fill="auto"/>
            <w:vAlign w:val="center"/>
          </w:tcPr>
          <w:p>
            <w:pPr>
              <w:pStyle w:val="65"/>
              <w:widowControl/>
              <w:spacing w:line="240" w:lineRule="auto"/>
              <w:jc w:val="left"/>
            </w:pPr>
            <w:r>
              <w:t>补充编制人员表并签名</w:t>
            </w:r>
          </w:p>
        </w:tc>
        <w:tc>
          <w:tcPr>
            <w:tcW w:w="4252" w:type="dxa"/>
            <w:shd w:val="clear" w:color="auto" w:fill="auto"/>
            <w:vAlign w:val="center"/>
          </w:tcPr>
          <w:p>
            <w:pPr>
              <w:pStyle w:val="65"/>
              <w:widowControl/>
              <w:spacing w:line="240" w:lineRule="auto"/>
              <w:jc w:val="left"/>
              <w:rPr>
                <w:szCs w:val="21"/>
              </w:rPr>
            </w:pPr>
            <w:r>
              <w:rPr>
                <w:rFonts w:hint="eastAsia" w:cs="Times New Roman"/>
                <w:szCs w:val="21"/>
              </w:rPr>
              <w:t>已补充编制人员表并签名</w:t>
            </w:r>
          </w:p>
        </w:tc>
      </w:tr>
    </w:tbl>
    <w:p>
      <w:pPr>
        <w:pStyle w:val="85"/>
        <w:adjustRightInd w:val="0"/>
        <w:snapToGrid w:val="0"/>
        <w:spacing w:beforeLines="0" w:afterLines="0" w:line="240" w:lineRule="auto"/>
        <w:rPr>
          <w:color w:val="000000" w:themeColor="text1"/>
        </w:rPr>
      </w:pPr>
    </w:p>
    <w:p>
      <w:pPr>
        <w:pStyle w:val="85"/>
        <w:adjustRightInd w:val="0"/>
        <w:snapToGrid w:val="0"/>
        <w:spacing w:beforeLines="0" w:afterLines="0" w:line="240" w:lineRule="auto"/>
        <w:rPr>
          <w:color w:val="000000" w:themeColor="text1"/>
        </w:rPr>
      </w:pPr>
    </w:p>
    <w:p>
      <w:pPr>
        <w:pStyle w:val="3"/>
        <w:adjustRightInd w:val="0"/>
        <w:snapToGrid w:val="0"/>
        <w:jc w:val="center"/>
        <w:rPr>
          <w:color w:val="000000" w:themeColor="text1"/>
          <w:sz w:val="21"/>
          <w:szCs w:val="21"/>
        </w:rPr>
      </w:pPr>
      <w:r>
        <w:rPr>
          <w:color w:val="000000" w:themeColor="text1"/>
          <w:sz w:val="21"/>
          <w:szCs w:val="21"/>
        </w:rPr>
        <w:br w:type="page"/>
      </w:r>
    </w:p>
    <w:p>
      <w:pPr>
        <w:pStyle w:val="3"/>
        <w:adjustRightInd w:val="0"/>
        <w:snapToGrid w:val="0"/>
        <w:jc w:val="center"/>
        <w:rPr>
          <w:color w:val="000000" w:themeColor="text1"/>
          <w:sz w:val="21"/>
          <w:szCs w:val="21"/>
        </w:rPr>
      </w:pPr>
      <w:bookmarkStart w:id="352" w:name="_Toc535851375"/>
      <w:r>
        <w:rPr>
          <w:color w:val="000000" w:themeColor="text1"/>
          <w:sz w:val="21"/>
          <w:szCs w:val="21"/>
        </w:rPr>
        <w:t>附</w:t>
      </w:r>
      <w:r>
        <w:rPr>
          <w:rFonts w:hint="eastAsia"/>
          <w:color w:val="000000" w:themeColor="text1"/>
          <w:sz w:val="21"/>
          <w:szCs w:val="21"/>
        </w:rPr>
        <w:t xml:space="preserve">件2  </w:t>
      </w:r>
      <w:r>
        <w:rPr>
          <w:color w:val="000000" w:themeColor="text1"/>
          <w:sz w:val="21"/>
          <w:szCs w:val="21"/>
        </w:rPr>
        <w:t>政府有关部门联系电话</w:t>
      </w:r>
      <w:bookmarkEnd w:id="352"/>
    </w:p>
    <w:tbl>
      <w:tblPr>
        <w:tblStyle w:val="47"/>
        <w:tblW w:w="8522" w:type="dxa"/>
        <w:jc w:val="center"/>
        <w:tblInd w:w="0" w:type="dxa"/>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Layout w:type="fixed"/>
        <w:tblCellMar>
          <w:top w:w="0" w:type="dxa"/>
          <w:left w:w="108" w:type="dxa"/>
          <w:bottom w:w="0" w:type="dxa"/>
          <w:right w:w="108" w:type="dxa"/>
        </w:tblCellMar>
      </w:tblPr>
      <w:tblGrid>
        <w:gridCol w:w="858"/>
        <w:gridCol w:w="1033"/>
        <w:gridCol w:w="3604"/>
        <w:gridCol w:w="3027"/>
      </w:tblGrid>
      <w:tr>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Layout w:type="fixed"/>
          <w:tblCellMar>
            <w:top w:w="0" w:type="dxa"/>
            <w:left w:w="108" w:type="dxa"/>
            <w:bottom w:w="0" w:type="dxa"/>
            <w:right w:w="108" w:type="dxa"/>
          </w:tblCellMar>
        </w:tblPrEx>
        <w:trPr>
          <w:trHeight w:val="397" w:hRule="atLeast"/>
          <w:jc w:val="center"/>
        </w:trPr>
        <w:tc>
          <w:tcPr>
            <w:tcW w:w="858" w:type="dxa"/>
            <w:tcBorders>
              <w:tl2br w:val="nil"/>
              <w:tr2bl w:val="nil"/>
            </w:tcBorders>
            <w:vAlign w:val="center"/>
          </w:tcPr>
          <w:p>
            <w:pPr>
              <w:spacing w:line="240" w:lineRule="auto"/>
              <w:ind w:firstLine="0" w:firstLineChars="0"/>
              <w:jc w:val="center"/>
              <w:rPr>
                <w:color w:val="000000" w:themeColor="text1"/>
                <w:sz w:val="21"/>
                <w:szCs w:val="21"/>
              </w:rPr>
            </w:pPr>
            <w:r>
              <w:rPr>
                <w:rFonts w:hint="eastAsia"/>
                <w:color w:val="000000" w:themeColor="text1"/>
                <w:sz w:val="21"/>
                <w:szCs w:val="21"/>
              </w:rPr>
              <w:t>序号</w:t>
            </w:r>
          </w:p>
        </w:tc>
        <w:tc>
          <w:tcPr>
            <w:tcW w:w="1033" w:type="dxa"/>
            <w:tcBorders>
              <w:tl2br w:val="nil"/>
              <w:tr2bl w:val="nil"/>
            </w:tcBorders>
            <w:vAlign w:val="center"/>
          </w:tcPr>
          <w:p>
            <w:pPr>
              <w:spacing w:line="240" w:lineRule="auto"/>
              <w:ind w:firstLine="0" w:firstLineChars="0"/>
              <w:jc w:val="center"/>
              <w:rPr>
                <w:color w:val="000000" w:themeColor="text1"/>
                <w:sz w:val="21"/>
                <w:szCs w:val="21"/>
              </w:rPr>
            </w:pPr>
            <w:r>
              <w:rPr>
                <w:rFonts w:hint="eastAsia"/>
                <w:color w:val="000000" w:themeColor="text1"/>
                <w:sz w:val="21"/>
                <w:szCs w:val="21"/>
              </w:rPr>
              <w:t>类别</w:t>
            </w:r>
          </w:p>
        </w:tc>
        <w:tc>
          <w:tcPr>
            <w:tcW w:w="3604" w:type="dxa"/>
            <w:tcBorders>
              <w:tl2br w:val="nil"/>
              <w:tr2bl w:val="nil"/>
            </w:tcBorders>
            <w:vAlign w:val="center"/>
          </w:tcPr>
          <w:p>
            <w:pPr>
              <w:spacing w:line="240" w:lineRule="auto"/>
              <w:ind w:firstLine="0" w:firstLineChars="0"/>
              <w:jc w:val="center"/>
              <w:rPr>
                <w:color w:val="000000" w:themeColor="text1"/>
                <w:sz w:val="21"/>
                <w:szCs w:val="21"/>
              </w:rPr>
            </w:pPr>
            <w:r>
              <w:rPr>
                <w:rFonts w:hint="eastAsia"/>
                <w:color w:val="000000" w:themeColor="text1"/>
                <w:sz w:val="21"/>
                <w:szCs w:val="21"/>
              </w:rPr>
              <w:t>单位名称</w:t>
            </w:r>
          </w:p>
        </w:tc>
        <w:tc>
          <w:tcPr>
            <w:tcW w:w="3027" w:type="dxa"/>
            <w:tcBorders>
              <w:tl2br w:val="nil"/>
              <w:tr2bl w:val="nil"/>
            </w:tcBorders>
            <w:vAlign w:val="center"/>
          </w:tcPr>
          <w:p>
            <w:pPr>
              <w:spacing w:line="240" w:lineRule="auto"/>
              <w:ind w:firstLine="0" w:firstLineChars="0"/>
              <w:jc w:val="center"/>
              <w:rPr>
                <w:color w:val="000000" w:themeColor="text1"/>
                <w:sz w:val="21"/>
                <w:szCs w:val="21"/>
              </w:rPr>
            </w:pPr>
            <w:r>
              <w:rPr>
                <w:rFonts w:hint="eastAsia"/>
                <w:color w:val="000000" w:themeColor="text1"/>
                <w:sz w:val="21"/>
                <w:szCs w:val="21"/>
              </w:rPr>
              <w:t>联系电话</w:t>
            </w:r>
          </w:p>
        </w:tc>
      </w:tr>
      <w:tr>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Layout w:type="fixed"/>
          <w:tblCellMar>
            <w:top w:w="0" w:type="dxa"/>
            <w:left w:w="108" w:type="dxa"/>
            <w:bottom w:w="0" w:type="dxa"/>
            <w:right w:w="108" w:type="dxa"/>
          </w:tblCellMar>
        </w:tblPrEx>
        <w:trPr>
          <w:trHeight w:val="397" w:hRule="atLeast"/>
          <w:jc w:val="center"/>
        </w:trPr>
        <w:tc>
          <w:tcPr>
            <w:tcW w:w="858" w:type="dxa"/>
            <w:tcBorders>
              <w:tl2br w:val="nil"/>
              <w:tr2bl w:val="nil"/>
            </w:tcBorders>
            <w:vAlign w:val="center"/>
          </w:tcPr>
          <w:p>
            <w:pPr>
              <w:spacing w:line="240" w:lineRule="auto"/>
              <w:ind w:firstLine="0" w:firstLineChars="0"/>
              <w:jc w:val="center"/>
              <w:rPr>
                <w:color w:val="000000" w:themeColor="text1"/>
                <w:sz w:val="21"/>
                <w:szCs w:val="21"/>
              </w:rPr>
            </w:pPr>
            <w:r>
              <w:rPr>
                <w:rFonts w:hint="eastAsia"/>
                <w:color w:val="000000" w:themeColor="text1"/>
                <w:sz w:val="21"/>
                <w:szCs w:val="21"/>
              </w:rPr>
              <w:t>1</w:t>
            </w:r>
          </w:p>
        </w:tc>
        <w:tc>
          <w:tcPr>
            <w:tcW w:w="1033" w:type="dxa"/>
            <w:tcBorders>
              <w:tl2br w:val="nil"/>
              <w:tr2bl w:val="nil"/>
            </w:tcBorders>
            <w:vAlign w:val="center"/>
          </w:tcPr>
          <w:p>
            <w:pPr>
              <w:spacing w:line="240" w:lineRule="auto"/>
              <w:ind w:firstLine="0" w:firstLineChars="0"/>
              <w:jc w:val="center"/>
              <w:rPr>
                <w:color w:val="000000" w:themeColor="text1"/>
                <w:sz w:val="21"/>
                <w:szCs w:val="21"/>
              </w:rPr>
            </w:pPr>
            <w:r>
              <w:rPr>
                <w:rFonts w:hint="eastAsia"/>
                <w:color w:val="000000" w:themeColor="text1"/>
                <w:sz w:val="21"/>
                <w:szCs w:val="21"/>
              </w:rPr>
              <w:t>消防</w:t>
            </w:r>
          </w:p>
        </w:tc>
        <w:tc>
          <w:tcPr>
            <w:tcW w:w="3604" w:type="dxa"/>
            <w:tcBorders>
              <w:tl2br w:val="nil"/>
              <w:tr2bl w:val="nil"/>
            </w:tcBorders>
            <w:vAlign w:val="center"/>
          </w:tcPr>
          <w:p>
            <w:pPr>
              <w:spacing w:line="240" w:lineRule="auto"/>
              <w:ind w:firstLine="0" w:firstLineChars="0"/>
              <w:jc w:val="center"/>
              <w:rPr>
                <w:color w:val="000000" w:themeColor="text1"/>
                <w:sz w:val="21"/>
                <w:szCs w:val="21"/>
              </w:rPr>
            </w:pPr>
            <w:r>
              <w:rPr>
                <w:rFonts w:hint="eastAsia"/>
                <w:color w:val="000000" w:themeColor="text1"/>
                <w:sz w:val="21"/>
                <w:szCs w:val="21"/>
              </w:rPr>
              <w:t>岳阳市消防大队</w:t>
            </w:r>
          </w:p>
        </w:tc>
        <w:tc>
          <w:tcPr>
            <w:tcW w:w="3027" w:type="dxa"/>
            <w:tcBorders>
              <w:tl2br w:val="nil"/>
              <w:tr2bl w:val="nil"/>
            </w:tcBorders>
            <w:vAlign w:val="center"/>
          </w:tcPr>
          <w:p>
            <w:pPr>
              <w:spacing w:line="240" w:lineRule="auto"/>
              <w:ind w:firstLine="0" w:firstLineChars="0"/>
              <w:jc w:val="center"/>
              <w:rPr>
                <w:color w:val="000000" w:themeColor="text1"/>
                <w:sz w:val="21"/>
                <w:szCs w:val="21"/>
              </w:rPr>
            </w:pPr>
            <w:r>
              <w:rPr>
                <w:rFonts w:hint="eastAsia"/>
                <w:color w:val="000000" w:themeColor="text1"/>
                <w:sz w:val="21"/>
                <w:szCs w:val="21"/>
              </w:rPr>
              <w:t>119</w:t>
            </w:r>
          </w:p>
        </w:tc>
      </w:tr>
      <w:tr>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Layout w:type="fixed"/>
          <w:tblCellMar>
            <w:top w:w="0" w:type="dxa"/>
            <w:left w:w="108" w:type="dxa"/>
            <w:bottom w:w="0" w:type="dxa"/>
            <w:right w:w="108" w:type="dxa"/>
          </w:tblCellMar>
        </w:tblPrEx>
        <w:trPr>
          <w:trHeight w:val="397" w:hRule="atLeast"/>
          <w:jc w:val="center"/>
        </w:trPr>
        <w:tc>
          <w:tcPr>
            <w:tcW w:w="858" w:type="dxa"/>
            <w:tcBorders>
              <w:tl2br w:val="nil"/>
              <w:tr2bl w:val="nil"/>
            </w:tcBorders>
            <w:vAlign w:val="center"/>
          </w:tcPr>
          <w:p>
            <w:pPr>
              <w:spacing w:line="240" w:lineRule="auto"/>
              <w:ind w:firstLine="0" w:firstLineChars="0"/>
              <w:jc w:val="center"/>
              <w:rPr>
                <w:color w:val="000000" w:themeColor="text1"/>
                <w:sz w:val="21"/>
                <w:szCs w:val="21"/>
              </w:rPr>
            </w:pPr>
            <w:r>
              <w:rPr>
                <w:rFonts w:hint="eastAsia"/>
                <w:color w:val="000000" w:themeColor="text1"/>
                <w:sz w:val="21"/>
                <w:szCs w:val="21"/>
              </w:rPr>
              <w:t>2</w:t>
            </w:r>
          </w:p>
        </w:tc>
        <w:tc>
          <w:tcPr>
            <w:tcW w:w="1033" w:type="dxa"/>
            <w:vMerge w:val="restart"/>
            <w:tcBorders>
              <w:tl2br w:val="nil"/>
              <w:tr2bl w:val="nil"/>
            </w:tcBorders>
            <w:vAlign w:val="center"/>
          </w:tcPr>
          <w:p>
            <w:pPr>
              <w:spacing w:line="240" w:lineRule="auto"/>
              <w:ind w:firstLine="0" w:firstLineChars="0"/>
              <w:jc w:val="center"/>
              <w:rPr>
                <w:color w:val="000000" w:themeColor="text1"/>
                <w:sz w:val="21"/>
                <w:szCs w:val="21"/>
              </w:rPr>
            </w:pPr>
            <w:r>
              <w:rPr>
                <w:rFonts w:hint="eastAsia"/>
                <w:color w:val="000000" w:themeColor="text1"/>
                <w:sz w:val="21"/>
                <w:szCs w:val="21"/>
              </w:rPr>
              <w:t>医疗</w:t>
            </w:r>
          </w:p>
        </w:tc>
        <w:tc>
          <w:tcPr>
            <w:tcW w:w="3604" w:type="dxa"/>
            <w:tcBorders>
              <w:tl2br w:val="nil"/>
              <w:tr2bl w:val="nil"/>
            </w:tcBorders>
            <w:vAlign w:val="center"/>
          </w:tcPr>
          <w:p>
            <w:pPr>
              <w:spacing w:line="240" w:lineRule="auto"/>
              <w:ind w:firstLine="0" w:firstLineChars="0"/>
              <w:jc w:val="center"/>
              <w:rPr>
                <w:color w:val="000000" w:themeColor="text1"/>
                <w:sz w:val="21"/>
                <w:szCs w:val="21"/>
              </w:rPr>
            </w:pPr>
            <w:r>
              <w:rPr>
                <w:rFonts w:hint="eastAsia"/>
                <w:color w:val="000000" w:themeColor="text1"/>
                <w:sz w:val="21"/>
                <w:szCs w:val="21"/>
              </w:rPr>
              <w:t>医疗急救中心</w:t>
            </w:r>
          </w:p>
        </w:tc>
        <w:tc>
          <w:tcPr>
            <w:tcW w:w="3027" w:type="dxa"/>
            <w:tcBorders>
              <w:tl2br w:val="nil"/>
              <w:tr2bl w:val="nil"/>
            </w:tcBorders>
            <w:vAlign w:val="center"/>
          </w:tcPr>
          <w:p>
            <w:pPr>
              <w:spacing w:line="240" w:lineRule="auto"/>
              <w:ind w:firstLine="0" w:firstLineChars="0"/>
              <w:jc w:val="center"/>
              <w:rPr>
                <w:color w:val="000000" w:themeColor="text1"/>
                <w:sz w:val="21"/>
                <w:szCs w:val="21"/>
              </w:rPr>
            </w:pPr>
            <w:r>
              <w:rPr>
                <w:rFonts w:hint="eastAsia"/>
                <w:color w:val="000000" w:themeColor="text1"/>
                <w:sz w:val="21"/>
                <w:szCs w:val="21"/>
              </w:rPr>
              <w:t>120</w:t>
            </w:r>
          </w:p>
        </w:tc>
      </w:tr>
      <w:tr>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Layout w:type="fixed"/>
          <w:tblCellMar>
            <w:top w:w="0" w:type="dxa"/>
            <w:left w:w="108" w:type="dxa"/>
            <w:bottom w:w="0" w:type="dxa"/>
            <w:right w:w="108" w:type="dxa"/>
          </w:tblCellMar>
        </w:tblPrEx>
        <w:trPr>
          <w:trHeight w:val="397" w:hRule="atLeast"/>
          <w:jc w:val="center"/>
        </w:trPr>
        <w:tc>
          <w:tcPr>
            <w:tcW w:w="858" w:type="dxa"/>
            <w:tcBorders>
              <w:tl2br w:val="nil"/>
              <w:tr2bl w:val="nil"/>
            </w:tcBorders>
            <w:vAlign w:val="center"/>
          </w:tcPr>
          <w:p>
            <w:pPr>
              <w:spacing w:line="240" w:lineRule="auto"/>
              <w:ind w:firstLine="0" w:firstLineChars="0"/>
              <w:jc w:val="center"/>
              <w:rPr>
                <w:color w:val="000000" w:themeColor="text1"/>
                <w:sz w:val="21"/>
                <w:szCs w:val="21"/>
              </w:rPr>
            </w:pPr>
            <w:r>
              <w:rPr>
                <w:rFonts w:hint="eastAsia"/>
                <w:color w:val="000000" w:themeColor="text1"/>
                <w:sz w:val="21"/>
                <w:szCs w:val="21"/>
              </w:rPr>
              <w:t>3</w:t>
            </w:r>
          </w:p>
        </w:tc>
        <w:tc>
          <w:tcPr>
            <w:tcW w:w="1033" w:type="dxa"/>
            <w:vMerge w:val="continue"/>
            <w:tcBorders>
              <w:tl2br w:val="nil"/>
              <w:tr2bl w:val="nil"/>
            </w:tcBorders>
            <w:vAlign w:val="center"/>
          </w:tcPr>
          <w:p>
            <w:pPr>
              <w:spacing w:line="240" w:lineRule="auto"/>
              <w:ind w:firstLine="0" w:firstLineChars="0"/>
              <w:jc w:val="center"/>
              <w:rPr>
                <w:color w:val="000000" w:themeColor="text1"/>
                <w:sz w:val="21"/>
                <w:szCs w:val="21"/>
              </w:rPr>
            </w:pPr>
          </w:p>
        </w:tc>
        <w:tc>
          <w:tcPr>
            <w:tcW w:w="3604" w:type="dxa"/>
            <w:tcBorders>
              <w:tl2br w:val="nil"/>
              <w:tr2bl w:val="nil"/>
            </w:tcBorders>
            <w:vAlign w:val="center"/>
          </w:tcPr>
          <w:p>
            <w:pPr>
              <w:spacing w:line="240" w:lineRule="auto"/>
              <w:ind w:firstLine="0" w:firstLineChars="0"/>
              <w:jc w:val="center"/>
              <w:rPr>
                <w:color w:val="000000" w:themeColor="text1"/>
                <w:sz w:val="21"/>
                <w:szCs w:val="21"/>
              </w:rPr>
            </w:pPr>
            <w:r>
              <w:rPr>
                <w:rFonts w:hint="eastAsia"/>
                <w:color w:val="000000" w:themeColor="text1"/>
                <w:sz w:val="21"/>
                <w:szCs w:val="21"/>
              </w:rPr>
              <w:t>岳阳市一人民医院</w:t>
            </w:r>
          </w:p>
        </w:tc>
        <w:tc>
          <w:tcPr>
            <w:tcW w:w="3027" w:type="dxa"/>
            <w:tcBorders>
              <w:tl2br w:val="nil"/>
              <w:tr2bl w:val="nil"/>
            </w:tcBorders>
            <w:vAlign w:val="center"/>
          </w:tcPr>
          <w:p>
            <w:pPr>
              <w:spacing w:line="240" w:lineRule="auto"/>
              <w:ind w:firstLine="0" w:firstLineChars="0"/>
              <w:jc w:val="center"/>
              <w:rPr>
                <w:color w:val="000000" w:themeColor="text1"/>
                <w:sz w:val="21"/>
                <w:szCs w:val="21"/>
              </w:rPr>
            </w:pPr>
            <w:r>
              <w:rPr>
                <w:rFonts w:hint="eastAsia"/>
                <w:color w:val="000000" w:themeColor="text1"/>
                <w:sz w:val="21"/>
                <w:szCs w:val="21"/>
              </w:rPr>
              <w:t>8246724</w:t>
            </w:r>
          </w:p>
        </w:tc>
      </w:tr>
      <w:tr>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Layout w:type="fixed"/>
          <w:tblCellMar>
            <w:top w:w="0" w:type="dxa"/>
            <w:left w:w="108" w:type="dxa"/>
            <w:bottom w:w="0" w:type="dxa"/>
            <w:right w:w="108" w:type="dxa"/>
          </w:tblCellMar>
        </w:tblPrEx>
        <w:trPr>
          <w:trHeight w:val="397" w:hRule="atLeast"/>
          <w:jc w:val="center"/>
        </w:trPr>
        <w:tc>
          <w:tcPr>
            <w:tcW w:w="858" w:type="dxa"/>
            <w:tcBorders>
              <w:tl2br w:val="nil"/>
              <w:tr2bl w:val="nil"/>
            </w:tcBorders>
            <w:vAlign w:val="center"/>
          </w:tcPr>
          <w:p>
            <w:pPr>
              <w:spacing w:line="240" w:lineRule="auto"/>
              <w:ind w:firstLine="0" w:firstLineChars="0"/>
              <w:jc w:val="center"/>
              <w:rPr>
                <w:color w:val="000000" w:themeColor="text1"/>
                <w:sz w:val="21"/>
                <w:szCs w:val="21"/>
              </w:rPr>
            </w:pPr>
            <w:r>
              <w:rPr>
                <w:rFonts w:hint="eastAsia"/>
                <w:color w:val="000000" w:themeColor="text1"/>
                <w:sz w:val="21"/>
                <w:szCs w:val="21"/>
              </w:rPr>
              <w:t>4</w:t>
            </w:r>
          </w:p>
        </w:tc>
        <w:tc>
          <w:tcPr>
            <w:tcW w:w="1033" w:type="dxa"/>
            <w:vMerge w:val="continue"/>
            <w:tcBorders>
              <w:tl2br w:val="nil"/>
              <w:tr2bl w:val="nil"/>
            </w:tcBorders>
            <w:vAlign w:val="center"/>
          </w:tcPr>
          <w:p>
            <w:pPr>
              <w:spacing w:line="240" w:lineRule="auto"/>
              <w:ind w:firstLine="0" w:firstLineChars="0"/>
              <w:jc w:val="center"/>
              <w:rPr>
                <w:color w:val="000000" w:themeColor="text1"/>
                <w:sz w:val="21"/>
                <w:szCs w:val="21"/>
              </w:rPr>
            </w:pPr>
          </w:p>
        </w:tc>
        <w:tc>
          <w:tcPr>
            <w:tcW w:w="3604" w:type="dxa"/>
            <w:tcBorders>
              <w:tl2br w:val="nil"/>
              <w:tr2bl w:val="nil"/>
            </w:tcBorders>
            <w:vAlign w:val="center"/>
          </w:tcPr>
          <w:p>
            <w:pPr>
              <w:spacing w:line="240" w:lineRule="auto"/>
              <w:ind w:firstLine="0" w:firstLineChars="0"/>
              <w:jc w:val="center"/>
              <w:rPr>
                <w:color w:val="000000" w:themeColor="text1"/>
                <w:sz w:val="21"/>
                <w:szCs w:val="21"/>
              </w:rPr>
            </w:pPr>
            <w:r>
              <w:rPr>
                <w:rFonts w:hint="eastAsia"/>
                <w:color w:val="000000" w:themeColor="text1"/>
                <w:sz w:val="21"/>
                <w:szCs w:val="21"/>
              </w:rPr>
              <w:t>岳阳市中医院</w:t>
            </w:r>
          </w:p>
        </w:tc>
        <w:tc>
          <w:tcPr>
            <w:tcW w:w="3027" w:type="dxa"/>
            <w:tcBorders>
              <w:tl2br w:val="nil"/>
              <w:tr2bl w:val="nil"/>
            </w:tcBorders>
            <w:vAlign w:val="center"/>
          </w:tcPr>
          <w:p>
            <w:pPr>
              <w:spacing w:line="240" w:lineRule="auto"/>
              <w:ind w:firstLine="0" w:firstLineChars="0"/>
              <w:jc w:val="center"/>
              <w:rPr>
                <w:color w:val="000000" w:themeColor="text1"/>
                <w:sz w:val="21"/>
                <w:szCs w:val="21"/>
              </w:rPr>
            </w:pPr>
            <w:r>
              <w:rPr>
                <w:rFonts w:hint="eastAsia"/>
                <w:color w:val="000000" w:themeColor="text1"/>
                <w:sz w:val="21"/>
                <w:szCs w:val="21"/>
              </w:rPr>
              <w:t>8831700</w:t>
            </w:r>
          </w:p>
        </w:tc>
      </w:tr>
      <w:tr>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Layout w:type="fixed"/>
          <w:tblCellMar>
            <w:top w:w="0" w:type="dxa"/>
            <w:left w:w="108" w:type="dxa"/>
            <w:bottom w:w="0" w:type="dxa"/>
            <w:right w:w="108" w:type="dxa"/>
          </w:tblCellMar>
        </w:tblPrEx>
        <w:trPr>
          <w:trHeight w:val="397" w:hRule="atLeast"/>
          <w:jc w:val="center"/>
        </w:trPr>
        <w:tc>
          <w:tcPr>
            <w:tcW w:w="858" w:type="dxa"/>
            <w:tcBorders>
              <w:tl2br w:val="nil"/>
              <w:tr2bl w:val="nil"/>
            </w:tcBorders>
            <w:vAlign w:val="center"/>
          </w:tcPr>
          <w:p>
            <w:pPr>
              <w:spacing w:line="240" w:lineRule="auto"/>
              <w:ind w:firstLine="0" w:firstLineChars="0"/>
              <w:jc w:val="center"/>
              <w:rPr>
                <w:color w:val="000000" w:themeColor="text1"/>
                <w:sz w:val="21"/>
                <w:szCs w:val="21"/>
              </w:rPr>
            </w:pPr>
            <w:r>
              <w:rPr>
                <w:rFonts w:hint="eastAsia"/>
                <w:color w:val="000000" w:themeColor="text1"/>
                <w:sz w:val="21"/>
                <w:szCs w:val="21"/>
              </w:rPr>
              <w:t>5</w:t>
            </w:r>
          </w:p>
        </w:tc>
        <w:tc>
          <w:tcPr>
            <w:tcW w:w="1033" w:type="dxa"/>
            <w:tcBorders>
              <w:tl2br w:val="nil"/>
              <w:tr2bl w:val="nil"/>
            </w:tcBorders>
            <w:vAlign w:val="center"/>
          </w:tcPr>
          <w:p>
            <w:pPr>
              <w:spacing w:line="240" w:lineRule="auto"/>
              <w:ind w:firstLine="0" w:firstLineChars="0"/>
              <w:jc w:val="center"/>
              <w:rPr>
                <w:color w:val="000000" w:themeColor="text1"/>
                <w:sz w:val="21"/>
                <w:szCs w:val="21"/>
              </w:rPr>
            </w:pPr>
            <w:r>
              <w:rPr>
                <w:rFonts w:hint="eastAsia"/>
                <w:color w:val="000000" w:themeColor="text1"/>
                <w:sz w:val="21"/>
                <w:szCs w:val="21"/>
              </w:rPr>
              <w:t>应急</w:t>
            </w:r>
          </w:p>
          <w:p>
            <w:pPr>
              <w:spacing w:line="240" w:lineRule="auto"/>
              <w:ind w:firstLine="0" w:firstLineChars="0"/>
              <w:jc w:val="center"/>
              <w:rPr>
                <w:color w:val="000000" w:themeColor="text1"/>
                <w:sz w:val="21"/>
                <w:szCs w:val="21"/>
              </w:rPr>
            </w:pPr>
            <w:r>
              <w:rPr>
                <w:rFonts w:hint="eastAsia"/>
                <w:color w:val="000000" w:themeColor="text1"/>
                <w:sz w:val="21"/>
                <w:szCs w:val="21"/>
              </w:rPr>
              <w:t>监测</w:t>
            </w:r>
          </w:p>
        </w:tc>
        <w:tc>
          <w:tcPr>
            <w:tcW w:w="3604" w:type="dxa"/>
            <w:tcBorders>
              <w:tl2br w:val="nil"/>
              <w:tr2bl w:val="nil"/>
            </w:tcBorders>
            <w:vAlign w:val="center"/>
          </w:tcPr>
          <w:p>
            <w:pPr>
              <w:spacing w:line="240" w:lineRule="auto"/>
              <w:ind w:firstLine="0" w:firstLineChars="0"/>
              <w:jc w:val="center"/>
              <w:rPr>
                <w:color w:val="000000" w:themeColor="text1"/>
                <w:sz w:val="21"/>
                <w:szCs w:val="21"/>
              </w:rPr>
            </w:pPr>
            <w:r>
              <w:rPr>
                <w:rFonts w:hint="eastAsia"/>
                <w:color w:val="000000" w:themeColor="text1"/>
                <w:sz w:val="21"/>
                <w:szCs w:val="21"/>
              </w:rPr>
              <w:t>岳阳市环境保护监测站</w:t>
            </w:r>
          </w:p>
        </w:tc>
        <w:tc>
          <w:tcPr>
            <w:tcW w:w="3027" w:type="dxa"/>
            <w:tcBorders>
              <w:tl2br w:val="nil"/>
              <w:tr2bl w:val="nil"/>
            </w:tcBorders>
            <w:vAlign w:val="center"/>
          </w:tcPr>
          <w:p>
            <w:pPr>
              <w:spacing w:line="240" w:lineRule="auto"/>
              <w:ind w:firstLine="0" w:firstLineChars="0"/>
              <w:jc w:val="center"/>
              <w:rPr>
                <w:color w:val="000000" w:themeColor="text1"/>
                <w:sz w:val="21"/>
                <w:szCs w:val="21"/>
              </w:rPr>
            </w:pPr>
            <w:r>
              <w:rPr>
                <w:rFonts w:hint="eastAsia"/>
                <w:color w:val="000000" w:themeColor="text1"/>
                <w:sz w:val="21"/>
                <w:szCs w:val="21"/>
              </w:rPr>
              <w:t>8879805</w:t>
            </w:r>
          </w:p>
        </w:tc>
      </w:tr>
      <w:tr>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Layout w:type="fixed"/>
          <w:tblCellMar>
            <w:top w:w="0" w:type="dxa"/>
            <w:left w:w="108" w:type="dxa"/>
            <w:bottom w:w="0" w:type="dxa"/>
            <w:right w:w="108" w:type="dxa"/>
          </w:tblCellMar>
        </w:tblPrEx>
        <w:trPr>
          <w:trHeight w:val="397" w:hRule="atLeast"/>
          <w:jc w:val="center"/>
        </w:trPr>
        <w:tc>
          <w:tcPr>
            <w:tcW w:w="858" w:type="dxa"/>
            <w:tcBorders>
              <w:tl2br w:val="nil"/>
              <w:tr2bl w:val="nil"/>
            </w:tcBorders>
            <w:vAlign w:val="center"/>
          </w:tcPr>
          <w:p>
            <w:pPr>
              <w:spacing w:line="240" w:lineRule="auto"/>
              <w:ind w:firstLine="0" w:firstLineChars="0"/>
              <w:jc w:val="center"/>
              <w:rPr>
                <w:color w:val="000000" w:themeColor="text1"/>
                <w:sz w:val="21"/>
                <w:szCs w:val="21"/>
              </w:rPr>
            </w:pPr>
            <w:r>
              <w:rPr>
                <w:rFonts w:hint="eastAsia"/>
                <w:color w:val="000000" w:themeColor="text1"/>
                <w:sz w:val="21"/>
                <w:szCs w:val="21"/>
              </w:rPr>
              <w:t>6</w:t>
            </w:r>
          </w:p>
        </w:tc>
        <w:tc>
          <w:tcPr>
            <w:tcW w:w="1033" w:type="dxa"/>
            <w:vMerge w:val="restart"/>
            <w:tcBorders>
              <w:tl2br w:val="nil"/>
              <w:tr2bl w:val="nil"/>
            </w:tcBorders>
            <w:vAlign w:val="center"/>
          </w:tcPr>
          <w:p>
            <w:pPr>
              <w:spacing w:line="240" w:lineRule="auto"/>
              <w:ind w:firstLine="0" w:firstLineChars="0"/>
              <w:jc w:val="center"/>
              <w:rPr>
                <w:color w:val="000000" w:themeColor="text1"/>
                <w:sz w:val="21"/>
                <w:szCs w:val="21"/>
              </w:rPr>
            </w:pPr>
            <w:r>
              <w:rPr>
                <w:rFonts w:hint="eastAsia"/>
                <w:color w:val="000000" w:themeColor="text1"/>
                <w:sz w:val="21"/>
                <w:szCs w:val="21"/>
              </w:rPr>
              <w:t>政府</w:t>
            </w:r>
          </w:p>
          <w:p>
            <w:pPr>
              <w:spacing w:line="240" w:lineRule="auto"/>
              <w:ind w:firstLine="0" w:firstLineChars="0"/>
              <w:jc w:val="center"/>
              <w:rPr>
                <w:color w:val="000000" w:themeColor="text1"/>
                <w:sz w:val="21"/>
                <w:szCs w:val="21"/>
              </w:rPr>
            </w:pPr>
            <w:r>
              <w:rPr>
                <w:rFonts w:hint="eastAsia"/>
                <w:color w:val="000000" w:themeColor="text1"/>
                <w:sz w:val="21"/>
                <w:szCs w:val="21"/>
              </w:rPr>
              <w:t>部门</w:t>
            </w:r>
          </w:p>
        </w:tc>
        <w:tc>
          <w:tcPr>
            <w:tcW w:w="3604" w:type="dxa"/>
            <w:tcBorders>
              <w:tl2br w:val="nil"/>
              <w:tr2bl w:val="nil"/>
            </w:tcBorders>
            <w:vAlign w:val="center"/>
          </w:tcPr>
          <w:p>
            <w:pPr>
              <w:spacing w:line="240" w:lineRule="auto"/>
              <w:ind w:firstLine="0" w:firstLineChars="0"/>
              <w:jc w:val="center"/>
              <w:rPr>
                <w:color w:val="000000" w:themeColor="text1"/>
                <w:sz w:val="21"/>
                <w:szCs w:val="21"/>
              </w:rPr>
            </w:pPr>
            <w:r>
              <w:rPr>
                <w:rFonts w:hint="eastAsia"/>
                <w:color w:val="000000" w:themeColor="text1"/>
                <w:sz w:val="21"/>
                <w:szCs w:val="21"/>
              </w:rPr>
              <w:t>岳阳市环保局</w:t>
            </w:r>
          </w:p>
        </w:tc>
        <w:tc>
          <w:tcPr>
            <w:tcW w:w="3027" w:type="dxa"/>
            <w:tcBorders>
              <w:tl2br w:val="nil"/>
              <w:tr2bl w:val="nil"/>
            </w:tcBorders>
            <w:vAlign w:val="center"/>
          </w:tcPr>
          <w:p>
            <w:pPr>
              <w:spacing w:line="240" w:lineRule="auto"/>
              <w:ind w:firstLine="0" w:firstLineChars="0"/>
              <w:jc w:val="center"/>
              <w:rPr>
                <w:color w:val="000000" w:themeColor="text1"/>
                <w:sz w:val="21"/>
                <w:szCs w:val="21"/>
              </w:rPr>
            </w:pPr>
            <w:r>
              <w:rPr>
                <w:rFonts w:hint="eastAsia"/>
                <w:color w:val="000000" w:themeColor="text1"/>
                <w:sz w:val="21"/>
                <w:szCs w:val="21"/>
              </w:rPr>
              <w:t>8879800</w:t>
            </w:r>
          </w:p>
        </w:tc>
      </w:tr>
      <w:tr>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Layout w:type="fixed"/>
          <w:tblCellMar>
            <w:top w:w="0" w:type="dxa"/>
            <w:left w:w="108" w:type="dxa"/>
            <w:bottom w:w="0" w:type="dxa"/>
            <w:right w:w="108" w:type="dxa"/>
          </w:tblCellMar>
        </w:tblPrEx>
        <w:trPr>
          <w:trHeight w:val="397" w:hRule="atLeast"/>
          <w:jc w:val="center"/>
        </w:trPr>
        <w:tc>
          <w:tcPr>
            <w:tcW w:w="858" w:type="dxa"/>
            <w:tcBorders>
              <w:tl2br w:val="nil"/>
              <w:tr2bl w:val="nil"/>
            </w:tcBorders>
            <w:vAlign w:val="center"/>
          </w:tcPr>
          <w:p>
            <w:pPr>
              <w:spacing w:line="240" w:lineRule="auto"/>
              <w:ind w:firstLine="0" w:firstLineChars="0"/>
              <w:jc w:val="center"/>
              <w:rPr>
                <w:color w:val="000000" w:themeColor="text1"/>
                <w:sz w:val="21"/>
                <w:szCs w:val="21"/>
              </w:rPr>
            </w:pPr>
            <w:r>
              <w:rPr>
                <w:rFonts w:hint="eastAsia"/>
                <w:color w:val="000000" w:themeColor="text1"/>
                <w:sz w:val="21"/>
                <w:szCs w:val="21"/>
              </w:rPr>
              <w:t>7</w:t>
            </w:r>
          </w:p>
        </w:tc>
        <w:tc>
          <w:tcPr>
            <w:tcW w:w="1033" w:type="dxa"/>
            <w:vMerge w:val="continue"/>
            <w:tcBorders>
              <w:tl2br w:val="nil"/>
              <w:tr2bl w:val="nil"/>
            </w:tcBorders>
            <w:vAlign w:val="center"/>
          </w:tcPr>
          <w:p>
            <w:pPr>
              <w:spacing w:line="240" w:lineRule="auto"/>
              <w:ind w:firstLine="0" w:firstLineChars="0"/>
              <w:jc w:val="center"/>
              <w:rPr>
                <w:color w:val="000000" w:themeColor="text1"/>
                <w:sz w:val="21"/>
                <w:szCs w:val="21"/>
              </w:rPr>
            </w:pPr>
          </w:p>
        </w:tc>
        <w:tc>
          <w:tcPr>
            <w:tcW w:w="3604" w:type="dxa"/>
            <w:tcBorders>
              <w:tl2br w:val="nil"/>
              <w:tr2bl w:val="nil"/>
            </w:tcBorders>
            <w:vAlign w:val="center"/>
          </w:tcPr>
          <w:p>
            <w:pPr>
              <w:spacing w:line="240" w:lineRule="auto"/>
              <w:ind w:firstLine="0" w:firstLineChars="0"/>
              <w:jc w:val="center"/>
              <w:rPr>
                <w:color w:val="000000" w:themeColor="text1"/>
                <w:sz w:val="21"/>
                <w:szCs w:val="21"/>
              </w:rPr>
            </w:pPr>
            <w:r>
              <w:rPr>
                <w:rFonts w:hint="eastAsia"/>
                <w:color w:val="000000" w:themeColor="text1"/>
                <w:sz w:val="21"/>
                <w:szCs w:val="21"/>
              </w:rPr>
              <w:t>岳阳市安监局</w:t>
            </w:r>
          </w:p>
        </w:tc>
        <w:tc>
          <w:tcPr>
            <w:tcW w:w="3027" w:type="dxa"/>
            <w:tcBorders>
              <w:tl2br w:val="nil"/>
              <w:tr2bl w:val="nil"/>
            </w:tcBorders>
            <w:vAlign w:val="center"/>
          </w:tcPr>
          <w:p>
            <w:pPr>
              <w:spacing w:line="240" w:lineRule="auto"/>
              <w:ind w:firstLine="0" w:firstLineChars="0"/>
              <w:jc w:val="center"/>
              <w:rPr>
                <w:color w:val="000000" w:themeColor="text1"/>
                <w:sz w:val="21"/>
                <w:szCs w:val="21"/>
              </w:rPr>
            </w:pPr>
            <w:r>
              <w:rPr>
                <w:rFonts w:hint="eastAsia"/>
                <w:color w:val="000000" w:themeColor="text1"/>
                <w:sz w:val="21"/>
                <w:szCs w:val="21"/>
              </w:rPr>
              <w:t>8788526</w:t>
            </w:r>
          </w:p>
        </w:tc>
      </w:tr>
      <w:tr>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Layout w:type="fixed"/>
          <w:tblCellMar>
            <w:top w:w="0" w:type="dxa"/>
            <w:left w:w="108" w:type="dxa"/>
            <w:bottom w:w="0" w:type="dxa"/>
            <w:right w:w="108" w:type="dxa"/>
          </w:tblCellMar>
        </w:tblPrEx>
        <w:trPr>
          <w:trHeight w:val="397" w:hRule="atLeast"/>
          <w:jc w:val="center"/>
        </w:trPr>
        <w:tc>
          <w:tcPr>
            <w:tcW w:w="858" w:type="dxa"/>
            <w:tcBorders>
              <w:tl2br w:val="nil"/>
              <w:tr2bl w:val="nil"/>
            </w:tcBorders>
            <w:vAlign w:val="center"/>
          </w:tcPr>
          <w:p>
            <w:pPr>
              <w:spacing w:line="240" w:lineRule="auto"/>
              <w:ind w:firstLine="0" w:firstLineChars="0"/>
              <w:jc w:val="center"/>
              <w:rPr>
                <w:color w:val="000000" w:themeColor="text1"/>
                <w:sz w:val="21"/>
                <w:szCs w:val="21"/>
              </w:rPr>
            </w:pPr>
            <w:r>
              <w:rPr>
                <w:rFonts w:hint="eastAsia"/>
                <w:color w:val="000000" w:themeColor="text1"/>
                <w:sz w:val="21"/>
                <w:szCs w:val="21"/>
              </w:rPr>
              <w:t>8</w:t>
            </w:r>
          </w:p>
        </w:tc>
        <w:tc>
          <w:tcPr>
            <w:tcW w:w="1033" w:type="dxa"/>
            <w:vMerge w:val="continue"/>
            <w:tcBorders>
              <w:tl2br w:val="nil"/>
              <w:tr2bl w:val="nil"/>
            </w:tcBorders>
            <w:vAlign w:val="center"/>
          </w:tcPr>
          <w:p>
            <w:pPr>
              <w:spacing w:line="240" w:lineRule="auto"/>
              <w:ind w:firstLine="0" w:firstLineChars="0"/>
              <w:jc w:val="center"/>
              <w:rPr>
                <w:color w:val="000000" w:themeColor="text1"/>
                <w:sz w:val="21"/>
                <w:szCs w:val="21"/>
              </w:rPr>
            </w:pPr>
          </w:p>
        </w:tc>
        <w:tc>
          <w:tcPr>
            <w:tcW w:w="3604" w:type="dxa"/>
            <w:tcBorders>
              <w:tl2br w:val="nil"/>
              <w:tr2bl w:val="nil"/>
            </w:tcBorders>
            <w:vAlign w:val="center"/>
          </w:tcPr>
          <w:p>
            <w:pPr>
              <w:spacing w:line="240" w:lineRule="auto"/>
              <w:ind w:firstLine="0" w:firstLineChars="0"/>
              <w:jc w:val="center"/>
              <w:rPr>
                <w:color w:val="000000" w:themeColor="text1"/>
                <w:sz w:val="21"/>
                <w:szCs w:val="21"/>
              </w:rPr>
            </w:pPr>
            <w:r>
              <w:rPr>
                <w:rFonts w:hint="eastAsia"/>
                <w:color w:val="000000" w:themeColor="text1"/>
                <w:sz w:val="21"/>
                <w:szCs w:val="21"/>
              </w:rPr>
              <w:t>岳阳市安监局危化科</w:t>
            </w:r>
          </w:p>
        </w:tc>
        <w:tc>
          <w:tcPr>
            <w:tcW w:w="3027" w:type="dxa"/>
            <w:tcBorders>
              <w:tl2br w:val="nil"/>
              <w:tr2bl w:val="nil"/>
            </w:tcBorders>
            <w:vAlign w:val="center"/>
          </w:tcPr>
          <w:p>
            <w:pPr>
              <w:spacing w:line="240" w:lineRule="auto"/>
              <w:ind w:firstLine="0" w:firstLineChars="0"/>
              <w:jc w:val="center"/>
              <w:rPr>
                <w:color w:val="000000" w:themeColor="text1"/>
                <w:sz w:val="21"/>
                <w:szCs w:val="21"/>
              </w:rPr>
            </w:pPr>
            <w:r>
              <w:rPr>
                <w:rFonts w:hint="eastAsia"/>
                <w:color w:val="000000" w:themeColor="text1"/>
                <w:sz w:val="21"/>
                <w:szCs w:val="21"/>
              </w:rPr>
              <w:t>8788521</w:t>
            </w:r>
          </w:p>
        </w:tc>
      </w:tr>
      <w:tr>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Layout w:type="fixed"/>
          <w:tblCellMar>
            <w:top w:w="0" w:type="dxa"/>
            <w:left w:w="108" w:type="dxa"/>
            <w:bottom w:w="0" w:type="dxa"/>
            <w:right w:w="108" w:type="dxa"/>
          </w:tblCellMar>
        </w:tblPrEx>
        <w:trPr>
          <w:trHeight w:val="397" w:hRule="atLeast"/>
          <w:jc w:val="center"/>
        </w:trPr>
        <w:tc>
          <w:tcPr>
            <w:tcW w:w="858" w:type="dxa"/>
            <w:tcBorders>
              <w:tl2br w:val="nil"/>
              <w:tr2bl w:val="nil"/>
            </w:tcBorders>
            <w:vAlign w:val="center"/>
          </w:tcPr>
          <w:p>
            <w:pPr>
              <w:spacing w:line="240" w:lineRule="auto"/>
              <w:ind w:firstLine="0" w:firstLineChars="0"/>
              <w:jc w:val="center"/>
              <w:rPr>
                <w:color w:val="000000" w:themeColor="text1"/>
                <w:sz w:val="21"/>
                <w:szCs w:val="21"/>
              </w:rPr>
            </w:pPr>
            <w:r>
              <w:rPr>
                <w:rFonts w:hint="eastAsia"/>
                <w:color w:val="000000" w:themeColor="text1"/>
                <w:sz w:val="21"/>
                <w:szCs w:val="21"/>
              </w:rPr>
              <w:t>9</w:t>
            </w:r>
          </w:p>
        </w:tc>
        <w:tc>
          <w:tcPr>
            <w:tcW w:w="1033" w:type="dxa"/>
            <w:vMerge w:val="continue"/>
            <w:tcBorders>
              <w:tl2br w:val="nil"/>
              <w:tr2bl w:val="nil"/>
            </w:tcBorders>
            <w:vAlign w:val="center"/>
          </w:tcPr>
          <w:p>
            <w:pPr>
              <w:spacing w:line="240" w:lineRule="auto"/>
              <w:ind w:firstLine="0" w:firstLineChars="0"/>
              <w:jc w:val="center"/>
              <w:rPr>
                <w:color w:val="000000" w:themeColor="text1"/>
                <w:sz w:val="21"/>
                <w:szCs w:val="21"/>
              </w:rPr>
            </w:pPr>
          </w:p>
        </w:tc>
        <w:tc>
          <w:tcPr>
            <w:tcW w:w="3604" w:type="dxa"/>
            <w:tcBorders>
              <w:tl2br w:val="nil"/>
              <w:tr2bl w:val="nil"/>
            </w:tcBorders>
            <w:vAlign w:val="center"/>
          </w:tcPr>
          <w:p>
            <w:pPr>
              <w:spacing w:line="240" w:lineRule="auto"/>
              <w:ind w:firstLine="0" w:firstLineChars="0"/>
              <w:jc w:val="center"/>
              <w:rPr>
                <w:color w:val="000000" w:themeColor="text1"/>
                <w:sz w:val="21"/>
                <w:szCs w:val="21"/>
              </w:rPr>
            </w:pPr>
            <w:r>
              <w:rPr>
                <w:rFonts w:hint="eastAsia"/>
                <w:color w:val="000000" w:themeColor="text1"/>
                <w:sz w:val="21"/>
                <w:szCs w:val="21"/>
              </w:rPr>
              <w:t>岳阳市人民政府应急办</w:t>
            </w:r>
          </w:p>
        </w:tc>
        <w:tc>
          <w:tcPr>
            <w:tcW w:w="3027" w:type="dxa"/>
            <w:tcBorders>
              <w:tl2br w:val="nil"/>
              <w:tr2bl w:val="nil"/>
            </w:tcBorders>
            <w:vAlign w:val="center"/>
          </w:tcPr>
          <w:p>
            <w:pPr>
              <w:spacing w:line="240" w:lineRule="auto"/>
              <w:ind w:firstLine="0" w:firstLineChars="0"/>
              <w:jc w:val="center"/>
              <w:rPr>
                <w:color w:val="000000" w:themeColor="text1"/>
                <w:sz w:val="21"/>
                <w:szCs w:val="21"/>
              </w:rPr>
            </w:pPr>
            <w:r>
              <w:rPr>
                <w:rFonts w:hint="eastAsia"/>
                <w:color w:val="000000" w:themeColor="text1"/>
                <w:sz w:val="21"/>
                <w:szCs w:val="21"/>
              </w:rPr>
              <w:t>8880225</w:t>
            </w:r>
          </w:p>
        </w:tc>
      </w:tr>
      <w:tr>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Layout w:type="fixed"/>
          <w:tblCellMar>
            <w:top w:w="0" w:type="dxa"/>
            <w:left w:w="108" w:type="dxa"/>
            <w:bottom w:w="0" w:type="dxa"/>
            <w:right w:w="108" w:type="dxa"/>
          </w:tblCellMar>
        </w:tblPrEx>
        <w:trPr>
          <w:trHeight w:val="397" w:hRule="atLeast"/>
          <w:jc w:val="center"/>
        </w:trPr>
        <w:tc>
          <w:tcPr>
            <w:tcW w:w="858" w:type="dxa"/>
            <w:tcBorders>
              <w:tl2br w:val="nil"/>
              <w:tr2bl w:val="nil"/>
            </w:tcBorders>
            <w:vAlign w:val="center"/>
          </w:tcPr>
          <w:p>
            <w:pPr>
              <w:spacing w:line="240" w:lineRule="auto"/>
              <w:ind w:firstLine="0" w:firstLineChars="0"/>
              <w:jc w:val="center"/>
              <w:rPr>
                <w:color w:val="000000" w:themeColor="text1"/>
                <w:sz w:val="21"/>
                <w:szCs w:val="21"/>
              </w:rPr>
            </w:pPr>
            <w:r>
              <w:rPr>
                <w:rFonts w:hint="eastAsia"/>
                <w:color w:val="000000" w:themeColor="text1"/>
                <w:sz w:val="21"/>
                <w:szCs w:val="21"/>
              </w:rPr>
              <w:t>10</w:t>
            </w:r>
          </w:p>
        </w:tc>
        <w:tc>
          <w:tcPr>
            <w:tcW w:w="1033" w:type="dxa"/>
            <w:vMerge w:val="continue"/>
            <w:tcBorders>
              <w:tl2br w:val="nil"/>
              <w:tr2bl w:val="nil"/>
            </w:tcBorders>
            <w:vAlign w:val="center"/>
          </w:tcPr>
          <w:p>
            <w:pPr>
              <w:spacing w:line="240" w:lineRule="auto"/>
              <w:ind w:firstLine="0" w:firstLineChars="0"/>
              <w:jc w:val="center"/>
              <w:rPr>
                <w:color w:val="000000" w:themeColor="text1"/>
                <w:sz w:val="21"/>
                <w:szCs w:val="21"/>
              </w:rPr>
            </w:pPr>
          </w:p>
        </w:tc>
        <w:tc>
          <w:tcPr>
            <w:tcW w:w="3604" w:type="dxa"/>
            <w:tcBorders>
              <w:tl2br w:val="nil"/>
              <w:tr2bl w:val="nil"/>
            </w:tcBorders>
            <w:vAlign w:val="center"/>
          </w:tcPr>
          <w:p>
            <w:pPr>
              <w:spacing w:line="240" w:lineRule="auto"/>
              <w:ind w:firstLine="0" w:firstLineChars="0"/>
              <w:jc w:val="center"/>
              <w:rPr>
                <w:color w:val="000000" w:themeColor="text1"/>
                <w:sz w:val="21"/>
                <w:szCs w:val="21"/>
              </w:rPr>
            </w:pPr>
            <w:r>
              <w:rPr>
                <w:rFonts w:hint="eastAsia"/>
                <w:color w:val="000000" w:themeColor="text1"/>
                <w:sz w:val="21"/>
                <w:szCs w:val="21"/>
              </w:rPr>
              <w:t>湖南省环境应急与事故调查中心</w:t>
            </w:r>
          </w:p>
        </w:tc>
        <w:tc>
          <w:tcPr>
            <w:tcW w:w="3027" w:type="dxa"/>
            <w:tcBorders>
              <w:tl2br w:val="nil"/>
              <w:tr2bl w:val="nil"/>
            </w:tcBorders>
            <w:vAlign w:val="center"/>
          </w:tcPr>
          <w:p>
            <w:pPr>
              <w:spacing w:line="240" w:lineRule="auto"/>
              <w:ind w:firstLine="0" w:firstLineChars="0"/>
              <w:jc w:val="center"/>
              <w:rPr>
                <w:color w:val="000000" w:themeColor="text1"/>
                <w:sz w:val="21"/>
                <w:szCs w:val="21"/>
              </w:rPr>
            </w:pPr>
            <w:r>
              <w:rPr>
                <w:rFonts w:hint="eastAsia"/>
                <w:color w:val="000000" w:themeColor="text1"/>
                <w:sz w:val="21"/>
                <w:szCs w:val="21"/>
              </w:rPr>
              <w:t>0731-85698115/0731-85698052</w:t>
            </w:r>
          </w:p>
        </w:tc>
      </w:tr>
      <w:tr>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Layout w:type="fixed"/>
          <w:tblCellMar>
            <w:top w:w="0" w:type="dxa"/>
            <w:left w:w="108" w:type="dxa"/>
            <w:bottom w:w="0" w:type="dxa"/>
            <w:right w:w="108" w:type="dxa"/>
          </w:tblCellMar>
        </w:tblPrEx>
        <w:trPr>
          <w:trHeight w:val="397" w:hRule="atLeast"/>
          <w:jc w:val="center"/>
        </w:trPr>
        <w:tc>
          <w:tcPr>
            <w:tcW w:w="858" w:type="dxa"/>
            <w:tcBorders>
              <w:tl2br w:val="nil"/>
              <w:tr2bl w:val="nil"/>
            </w:tcBorders>
            <w:vAlign w:val="center"/>
          </w:tcPr>
          <w:p>
            <w:pPr>
              <w:spacing w:line="240" w:lineRule="auto"/>
              <w:ind w:firstLine="0" w:firstLineChars="0"/>
              <w:jc w:val="center"/>
              <w:rPr>
                <w:color w:val="000000" w:themeColor="text1"/>
                <w:sz w:val="21"/>
                <w:szCs w:val="21"/>
              </w:rPr>
            </w:pPr>
            <w:r>
              <w:rPr>
                <w:rFonts w:hint="eastAsia"/>
                <w:color w:val="000000" w:themeColor="text1"/>
                <w:sz w:val="21"/>
                <w:szCs w:val="21"/>
              </w:rPr>
              <w:t>11</w:t>
            </w:r>
          </w:p>
        </w:tc>
        <w:tc>
          <w:tcPr>
            <w:tcW w:w="1033" w:type="dxa"/>
            <w:vMerge w:val="continue"/>
            <w:tcBorders>
              <w:tl2br w:val="nil"/>
              <w:tr2bl w:val="nil"/>
            </w:tcBorders>
            <w:vAlign w:val="center"/>
          </w:tcPr>
          <w:p>
            <w:pPr>
              <w:spacing w:line="240" w:lineRule="auto"/>
              <w:ind w:firstLine="0" w:firstLineChars="0"/>
              <w:jc w:val="center"/>
              <w:rPr>
                <w:color w:val="000000" w:themeColor="text1"/>
                <w:sz w:val="21"/>
                <w:szCs w:val="21"/>
              </w:rPr>
            </w:pPr>
          </w:p>
        </w:tc>
        <w:tc>
          <w:tcPr>
            <w:tcW w:w="3604" w:type="dxa"/>
            <w:tcBorders>
              <w:tl2br w:val="nil"/>
              <w:tr2bl w:val="nil"/>
            </w:tcBorders>
            <w:vAlign w:val="center"/>
          </w:tcPr>
          <w:p>
            <w:pPr>
              <w:spacing w:line="240" w:lineRule="auto"/>
              <w:ind w:firstLine="0" w:firstLineChars="0"/>
              <w:jc w:val="center"/>
              <w:rPr>
                <w:color w:val="000000" w:themeColor="text1"/>
                <w:sz w:val="21"/>
                <w:szCs w:val="21"/>
              </w:rPr>
            </w:pPr>
            <w:r>
              <w:rPr>
                <w:rFonts w:hint="eastAsia"/>
                <w:color w:val="000000" w:themeColor="text1"/>
                <w:sz w:val="21"/>
                <w:szCs w:val="21"/>
              </w:rPr>
              <w:t>湖南省政府值班室</w:t>
            </w:r>
          </w:p>
        </w:tc>
        <w:tc>
          <w:tcPr>
            <w:tcW w:w="3027" w:type="dxa"/>
            <w:tcBorders>
              <w:tl2br w:val="nil"/>
              <w:tr2bl w:val="nil"/>
            </w:tcBorders>
            <w:vAlign w:val="center"/>
          </w:tcPr>
          <w:p>
            <w:pPr>
              <w:spacing w:line="240" w:lineRule="auto"/>
              <w:ind w:firstLine="0" w:firstLineChars="0"/>
              <w:jc w:val="center"/>
              <w:rPr>
                <w:color w:val="000000" w:themeColor="text1"/>
                <w:sz w:val="21"/>
                <w:szCs w:val="21"/>
              </w:rPr>
            </w:pPr>
            <w:r>
              <w:rPr>
                <w:rFonts w:hint="eastAsia"/>
                <w:color w:val="000000" w:themeColor="text1"/>
                <w:sz w:val="21"/>
                <w:szCs w:val="21"/>
              </w:rPr>
              <w:t>0731-89990001</w:t>
            </w:r>
          </w:p>
        </w:tc>
      </w:tr>
    </w:tbl>
    <w:p>
      <w:pPr>
        <w:widowControl/>
        <w:adjustRightInd w:val="0"/>
        <w:snapToGrid w:val="0"/>
        <w:spacing w:line="240" w:lineRule="auto"/>
        <w:ind w:firstLine="0" w:firstLineChars="0"/>
        <w:jc w:val="left"/>
        <w:rPr>
          <w:rFonts w:hAnsi="宋体"/>
          <w:b/>
          <w:color w:val="000000"/>
        </w:rPr>
      </w:pPr>
    </w:p>
    <w:p>
      <w:pPr>
        <w:widowControl/>
        <w:spacing w:line="240" w:lineRule="auto"/>
        <w:ind w:firstLine="0" w:firstLineChars="0"/>
        <w:jc w:val="left"/>
        <w:rPr>
          <w:b/>
          <w:color w:val="000000" w:themeColor="text1"/>
          <w:sz w:val="28"/>
          <w:szCs w:val="20"/>
        </w:rPr>
      </w:pPr>
      <w:r>
        <w:rPr>
          <w:color w:val="000000" w:themeColor="text1"/>
        </w:rPr>
        <w:br w:type="page"/>
      </w:r>
    </w:p>
    <w:p>
      <w:pPr>
        <w:pStyle w:val="3"/>
        <w:adjustRightInd w:val="0"/>
        <w:snapToGrid w:val="0"/>
        <w:jc w:val="center"/>
        <w:rPr>
          <w:color w:val="000000" w:themeColor="text1"/>
          <w:sz w:val="21"/>
          <w:szCs w:val="21"/>
        </w:rPr>
      </w:pPr>
      <w:bookmarkStart w:id="353" w:name="_Toc535851376"/>
      <w:r>
        <w:rPr>
          <w:color w:val="000000" w:themeColor="text1"/>
          <w:sz w:val="21"/>
          <w:szCs w:val="21"/>
        </w:rPr>
        <w:t>附</w:t>
      </w:r>
      <w:r>
        <w:rPr>
          <w:rFonts w:hint="eastAsia"/>
          <w:color w:val="000000" w:themeColor="text1"/>
          <w:sz w:val="21"/>
          <w:szCs w:val="21"/>
        </w:rPr>
        <w:t>件3  主要相关单位和部门职责一览表</w:t>
      </w:r>
      <w:bookmarkEnd w:id="353"/>
    </w:p>
    <w:tbl>
      <w:tblPr>
        <w:tblStyle w:val="47"/>
        <w:tblW w:w="8522" w:type="dxa"/>
        <w:tblInd w:w="0" w:type="dxa"/>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
      <w:tblGrid>
        <w:gridCol w:w="1384"/>
        <w:gridCol w:w="7138"/>
      </w:tblGrid>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Ex>
        <w:trPr>
          <w:trHeight w:val="397" w:hRule="atLeast"/>
        </w:trPr>
        <w:tc>
          <w:tcPr>
            <w:tcW w:w="1384" w:type="dxa"/>
            <w:vAlign w:val="center"/>
          </w:tcPr>
          <w:p>
            <w:pPr>
              <w:adjustRightInd w:val="0"/>
              <w:snapToGrid w:val="0"/>
              <w:spacing w:line="240" w:lineRule="auto"/>
              <w:ind w:firstLine="0" w:firstLineChars="0"/>
              <w:jc w:val="center"/>
              <w:rPr>
                <w:color w:val="000000"/>
                <w:sz w:val="21"/>
                <w:szCs w:val="21"/>
              </w:rPr>
            </w:pPr>
            <w:r>
              <w:rPr>
                <w:rFonts w:hint="eastAsia"/>
                <w:color w:val="000000"/>
                <w:sz w:val="21"/>
                <w:szCs w:val="21"/>
              </w:rPr>
              <w:t>姓名</w:t>
            </w:r>
          </w:p>
        </w:tc>
        <w:tc>
          <w:tcPr>
            <w:tcW w:w="7138" w:type="dxa"/>
            <w:vAlign w:val="center"/>
          </w:tcPr>
          <w:p>
            <w:pPr>
              <w:adjustRightInd w:val="0"/>
              <w:snapToGrid w:val="0"/>
              <w:spacing w:line="240" w:lineRule="auto"/>
              <w:ind w:firstLine="0" w:firstLineChars="0"/>
              <w:jc w:val="center"/>
              <w:rPr>
                <w:color w:val="000000"/>
                <w:sz w:val="21"/>
                <w:szCs w:val="21"/>
              </w:rPr>
            </w:pPr>
            <w:r>
              <w:rPr>
                <w:rFonts w:hint="eastAsia"/>
                <w:color w:val="000000"/>
                <w:sz w:val="21"/>
                <w:szCs w:val="21"/>
              </w:rPr>
              <w:t>主要职责</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Ex>
        <w:trPr>
          <w:trHeight w:val="397" w:hRule="atLeast"/>
        </w:trPr>
        <w:tc>
          <w:tcPr>
            <w:tcW w:w="1384" w:type="dxa"/>
            <w:vAlign w:val="center"/>
          </w:tcPr>
          <w:p>
            <w:pPr>
              <w:adjustRightInd w:val="0"/>
              <w:snapToGrid w:val="0"/>
              <w:spacing w:line="240" w:lineRule="auto"/>
              <w:ind w:firstLine="0" w:firstLineChars="0"/>
              <w:jc w:val="center"/>
              <w:rPr>
                <w:bCs/>
                <w:color w:val="000000"/>
                <w:sz w:val="21"/>
                <w:szCs w:val="21"/>
              </w:rPr>
            </w:pPr>
            <w:r>
              <w:rPr>
                <w:rFonts w:hint="eastAsia"/>
                <w:bCs/>
                <w:color w:val="000000"/>
                <w:sz w:val="21"/>
                <w:szCs w:val="21"/>
              </w:rPr>
              <w:t>市铁山局</w:t>
            </w:r>
          </w:p>
        </w:tc>
        <w:tc>
          <w:tcPr>
            <w:tcW w:w="7138" w:type="dxa"/>
            <w:vAlign w:val="center"/>
          </w:tcPr>
          <w:p>
            <w:pPr>
              <w:adjustRightInd w:val="0"/>
              <w:snapToGrid w:val="0"/>
              <w:spacing w:line="240" w:lineRule="auto"/>
              <w:ind w:firstLine="0" w:firstLineChars="0"/>
              <w:rPr>
                <w:bCs/>
                <w:color w:val="000000"/>
                <w:sz w:val="21"/>
                <w:szCs w:val="21"/>
              </w:rPr>
            </w:pPr>
            <w:r>
              <w:rPr>
                <w:rFonts w:hint="eastAsia"/>
                <w:bCs/>
                <w:color w:val="000000"/>
                <w:sz w:val="21"/>
                <w:szCs w:val="21"/>
              </w:rPr>
              <w:t>组织编制岳阳市饮用水源保护区（铁山水库-北干渠-金凤水库）突发环境事件应急预案，建立符合应急预案要求的应急机制和快速反应、协调保障的组织、指挥、协调体系与机构；参与应急事件组织、指挥、协调工作。</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Ex>
        <w:trPr>
          <w:trHeight w:val="397" w:hRule="atLeast"/>
        </w:trPr>
        <w:tc>
          <w:tcPr>
            <w:tcW w:w="1384" w:type="dxa"/>
            <w:vAlign w:val="center"/>
          </w:tcPr>
          <w:p>
            <w:pPr>
              <w:adjustRightInd w:val="0"/>
              <w:snapToGrid w:val="0"/>
              <w:spacing w:line="240" w:lineRule="auto"/>
              <w:ind w:firstLine="0" w:firstLineChars="0"/>
              <w:jc w:val="center"/>
              <w:rPr>
                <w:bCs/>
                <w:color w:val="000000"/>
                <w:sz w:val="21"/>
                <w:szCs w:val="21"/>
              </w:rPr>
            </w:pPr>
            <w:r>
              <w:rPr>
                <w:rFonts w:hint="eastAsia"/>
                <w:bCs/>
                <w:color w:val="000000"/>
                <w:sz w:val="21"/>
                <w:szCs w:val="21"/>
              </w:rPr>
              <w:t>市环保局</w:t>
            </w:r>
          </w:p>
        </w:tc>
        <w:tc>
          <w:tcPr>
            <w:tcW w:w="7138" w:type="dxa"/>
            <w:vAlign w:val="center"/>
          </w:tcPr>
          <w:p>
            <w:pPr>
              <w:adjustRightInd w:val="0"/>
              <w:snapToGrid w:val="0"/>
              <w:spacing w:line="240" w:lineRule="auto"/>
              <w:ind w:firstLine="0" w:firstLineChars="0"/>
              <w:rPr>
                <w:bCs/>
                <w:color w:val="000000"/>
                <w:sz w:val="21"/>
                <w:szCs w:val="21"/>
              </w:rPr>
            </w:pPr>
            <w:r>
              <w:rPr>
                <w:rFonts w:hint="eastAsia"/>
                <w:bCs/>
                <w:color w:val="000000"/>
                <w:sz w:val="21"/>
                <w:szCs w:val="21"/>
              </w:rPr>
              <w:t>负责提供现场污染物分析监测。放射源处置的应急处置支持。</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Ex>
        <w:trPr>
          <w:trHeight w:val="397" w:hRule="atLeast"/>
        </w:trPr>
        <w:tc>
          <w:tcPr>
            <w:tcW w:w="1384" w:type="dxa"/>
            <w:vAlign w:val="center"/>
          </w:tcPr>
          <w:p>
            <w:pPr>
              <w:adjustRightInd w:val="0"/>
              <w:snapToGrid w:val="0"/>
              <w:spacing w:line="240" w:lineRule="auto"/>
              <w:ind w:firstLine="0" w:firstLineChars="0"/>
              <w:jc w:val="center"/>
              <w:rPr>
                <w:bCs/>
                <w:color w:val="000000"/>
                <w:sz w:val="21"/>
                <w:szCs w:val="21"/>
              </w:rPr>
            </w:pPr>
            <w:r>
              <w:rPr>
                <w:rFonts w:hint="eastAsia"/>
                <w:bCs/>
                <w:color w:val="000000"/>
                <w:sz w:val="21"/>
                <w:szCs w:val="21"/>
              </w:rPr>
              <w:t>市财政局</w:t>
            </w:r>
          </w:p>
        </w:tc>
        <w:tc>
          <w:tcPr>
            <w:tcW w:w="7138" w:type="dxa"/>
            <w:vAlign w:val="center"/>
          </w:tcPr>
          <w:p>
            <w:pPr>
              <w:adjustRightInd w:val="0"/>
              <w:snapToGrid w:val="0"/>
              <w:spacing w:line="240" w:lineRule="auto"/>
              <w:ind w:firstLine="0" w:firstLineChars="0"/>
              <w:rPr>
                <w:bCs/>
                <w:color w:val="000000"/>
                <w:sz w:val="21"/>
                <w:szCs w:val="21"/>
              </w:rPr>
            </w:pPr>
            <w:r>
              <w:rPr>
                <w:rFonts w:hint="eastAsia"/>
                <w:bCs/>
                <w:color w:val="000000"/>
                <w:sz w:val="21"/>
                <w:szCs w:val="21"/>
              </w:rPr>
              <w:t>应启动财政预案</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Ex>
        <w:trPr>
          <w:trHeight w:val="397" w:hRule="atLeast"/>
        </w:trPr>
        <w:tc>
          <w:tcPr>
            <w:tcW w:w="1384" w:type="dxa"/>
            <w:vAlign w:val="center"/>
          </w:tcPr>
          <w:p>
            <w:pPr>
              <w:adjustRightInd w:val="0"/>
              <w:snapToGrid w:val="0"/>
              <w:spacing w:line="240" w:lineRule="auto"/>
              <w:ind w:firstLine="0" w:firstLineChars="0"/>
              <w:jc w:val="center"/>
              <w:rPr>
                <w:bCs/>
                <w:color w:val="000000"/>
                <w:sz w:val="21"/>
                <w:szCs w:val="21"/>
              </w:rPr>
            </w:pPr>
            <w:r>
              <w:rPr>
                <w:rFonts w:hint="eastAsia"/>
                <w:bCs/>
                <w:color w:val="000000"/>
                <w:sz w:val="21"/>
                <w:szCs w:val="21"/>
              </w:rPr>
              <w:t>市公安局</w:t>
            </w:r>
          </w:p>
        </w:tc>
        <w:tc>
          <w:tcPr>
            <w:tcW w:w="7138" w:type="dxa"/>
            <w:vAlign w:val="center"/>
          </w:tcPr>
          <w:p>
            <w:pPr>
              <w:adjustRightInd w:val="0"/>
              <w:snapToGrid w:val="0"/>
              <w:spacing w:line="240" w:lineRule="auto"/>
              <w:ind w:firstLine="0" w:firstLineChars="0"/>
              <w:rPr>
                <w:bCs/>
                <w:color w:val="000000"/>
                <w:sz w:val="21"/>
                <w:szCs w:val="21"/>
              </w:rPr>
            </w:pPr>
            <w:r>
              <w:rPr>
                <w:rFonts w:hint="eastAsia"/>
                <w:bCs/>
                <w:color w:val="000000"/>
                <w:sz w:val="21"/>
                <w:szCs w:val="21"/>
              </w:rPr>
              <w:t>负责组织、协调道路交通安全事故引发的环境事件的现场应急处置工作；对环境事件应急处置中的重要目标、危险区域实施治安、警戒和交通道路管制</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Ex>
        <w:trPr>
          <w:trHeight w:val="397" w:hRule="atLeast"/>
        </w:trPr>
        <w:tc>
          <w:tcPr>
            <w:tcW w:w="1384" w:type="dxa"/>
            <w:vAlign w:val="center"/>
          </w:tcPr>
          <w:p>
            <w:pPr>
              <w:adjustRightInd w:val="0"/>
              <w:snapToGrid w:val="0"/>
              <w:spacing w:line="240" w:lineRule="auto"/>
              <w:ind w:firstLine="0" w:firstLineChars="0"/>
              <w:jc w:val="center"/>
              <w:rPr>
                <w:bCs/>
                <w:color w:val="000000"/>
                <w:sz w:val="21"/>
                <w:szCs w:val="21"/>
              </w:rPr>
            </w:pPr>
            <w:r>
              <w:rPr>
                <w:rFonts w:hint="eastAsia"/>
                <w:bCs/>
                <w:color w:val="000000"/>
                <w:sz w:val="21"/>
                <w:szCs w:val="21"/>
              </w:rPr>
              <w:t>市水利局</w:t>
            </w:r>
          </w:p>
        </w:tc>
        <w:tc>
          <w:tcPr>
            <w:tcW w:w="7138" w:type="dxa"/>
            <w:vAlign w:val="center"/>
          </w:tcPr>
          <w:p>
            <w:pPr>
              <w:adjustRightInd w:val="0"/>
              <w:snapToGrid w:val="0"/>
              <w:spacing w:line="240" w:lineRule="auto"/>
              <w:ind w:firstLine="0" w:firstLineChars="0"/>
              <w:rPr>
                <w:bCs/>
                <w:color w:val="000000"/>
                <w:sz w:val="21"/>
                <w:szCs w:val="21"/>
              </w:rPr>
            </w:pPr>
            <w:r>
              <w:rPr>
                <w:rFonts w:hint="eastAsia"/>
                <w:bCs/>
                <w:color w:val="000000"/>
                <w:sz w:val="21"/>
                <w:szCs w:val="21"/>
              </w:rPr>
              <w:t>会同市环保局拟定重点流域污染事件应急预案，负责流域的水力应急调度，参与市岳阳市饮用水源保护区（铁山水库-北干渠-金凤水库）环境应急行动的组织、协调和指挥工作启动水资源调度预案，按市岳阳市饮用水源保护区（铁山水库-北干渠-金凤水库）污染应急委员会的要求，下泄完库区受污染的水，确保上游符合国家饮用水取水标准的水，不受二次污染</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Ex>
        <w:trPr>
          <w:trHeight w:val="397" w:hRule="atLeast"/>
        </w:trPr>
        <w:tc>
          <w:tcPr>
            <w:tcW w:w="1384" w:type="dxa"/>
            <w:vAlign w:val="center"/>
          </w:tcPr>
          <w:p>
            <w:pPr>
              <w:adjustRightInd w:val="0"/>
              <w:snapToGrid w:val="0"/>
              <w:spacing w:line="240" w:lineRule="auto"/>
              <w:ind w:firstLine="0" w:firstLineChars="0"/>
              <w:jc w:val="center"/>
              <w:rPr>
                <w:bCs/>
                <w:color w:val="000000"/>
                <w:sz w:val="21"/>
                <w:szCs w:val="21"/>
              </w:rPr>
            </w:pPr>
            <w:r>
              <w:rPr>
                <w:rFonts w:hint="eastAsia"/>
                <w:bCs/>
                <w:color w:val="000000"/>
                <w:sz w:val="21"/>
                <w:szCs w:val="21"/>
              </w:rPr>
              <w:t>市农业局</w:t>
            </w:r>
          </w:p>
        </w:tc>
        <w:tc>
          <w:tcPr>
            <w:tcW w:w="7138" w:type="dxa"/>
            <w:vAlign w:val="center"/>
          </w:tcPr>
          <w:p>
            <w:pPr>
              <w:adjustRightInd w:val="0"/>
              <w:snapToGrid w:val="0"/>
              <w:spacing w:line="240" w:lineRule="auto"/>
              <w:ind w:firstLine="0" w:firstLineChars="0"/>
              <w:rPr>
                <w:bCs/>
                <w:color w:val="000000"/>
                <w:sz w:val="21"/>
                <w:szCs w:val="21"/>
              </w:rPr>
            </w:pPr>
            <w:r>
              <w:rPr>
                <w:rFonts w:hint="eastAsia"/>
                <w:bCs/>
                <w:color w:val="000000"/>
                <w:sz w:val="21"/>
                <w:szCs w:val="21"/>
              </w:rPr>
              <w:t>负责环境事件中对影响和可能受影响的农作物的预防、抢救、转移及善后处置工作，应包括地农田、旱土的保护</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Ex>
        <w:trPr>
          <w:trHeight w:val="397" w:hRule="atLeast"/>
        </w:trPr>
        <w:tc>
          <w:tcPr>
            <w:tcW w:w="1384" w:type="dxa"/>
            <w:vAlign w:val="center"/>
          </w:tcPr>
          <w:p>
            <w:pPr>
              <w:adjustRightInd w:val="0"/>
              <w:snapToGrid w:val="0"/>
              <w:spacing w:line="240" w:lineRule="auto"/>
              <w:ind w:firstLine="0" w:firstLineChars="0"/>
              <w:jc w:val="center"/>
              <w:rPr>
                <w:bCs/>
                <w:color w:val="000000"/>
                <w:sz w:val="21"/>
                <w:szCs w:val="21"/>
              </w:rPr>
            </w:pPr>
            <w:r>
              <w:rPr>
                <w:rFonts w:hint="eastAsia"/>
                <w:bCs/>
                <w:color w:val="000000"/>
                <w:sz w:val="21"/>
                <w:szCs w:val="21"/>
              </w:rPr>
              <w:t>市畜牧水产局</w:t>
            </w:r>
          </w:p>
        </w:tc>
        <w:tc>
          <w:tcPr>
            <w:tcW w:w="7138" w:type="dxa"/>
            <w:vAlign w:val="center"/>
          </w:tcPr>
          <w:p>
            <w:pPr>
              <w:adjustRightInd w:val="0"/>
              <w:snapToGrid w:val="0"/>
              <w:spacing w:line="240" w:lineRule="auto"/>
              <w:ind w:firstLine="0" w:firstLineChars="0"/>
              <w:rPr>
                <w:bCs/>
                <w:color w:val="000000"/>
                <w:sz w:val="21"/>
                <w:szCs w:val="21"/>
              </w:rPr>
            </w:pPr>
            <w:r>
              <w:rPr>
                <w:rFonts w:hint="eastAsia"/>
                <w:bCs/>
                <w:color w:val="000000"/>
                <w:sz w:val="21"/>
                <w:szCs w:val="21"/>
              </w:rPr>
              <w:t>负责环境事件中对影响和可能受影响的家畜的预防、抢救、转移及善后处置工作</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Ex>
        <w:trPr>
          <w:trHeight w:val="397" w:hRule="atLeast"/>
        </w:trPr>
        <w:tc>
          <w:tcPr>
            <w:tcW w:w="1384" w:type="dxa"/>
            <w:vAlign w:val="center"/>
          </w:tcPr>
          <w:p>
            <w:pPr>
              <w:adjustRightInd w:val="0"/>
              <w:snapToGrid w:val="0"/>
              <w:spacing w:line="240" w:lineRule="auto"/>
              <w:ind w:firstLine="0" w:firstLineChars="0"/>
              <w:jc w:val="center"/>
              <w:rPr>
                <w:bCs/>
                <w:color w:val="000000"/>
                <w:sz w:val="21"/>
                <w:szCs w:val="21"/>
              </w:rPr>
            </w:pPr>
            <w:r>
              <w:rPr>
                <w:rFonts w:hint="eastAsia"/>
                <w:bCs/>
                <w:color w:val="000000"/>
                <w:sz w:val="21"/>
                <w:szCs w:val="21"/>
              </w:rPr>
              <w:t>市民政局</w:t>
            </w:r>
          </w:p>
        </w:tc>
        <w:tc>
          <w:tcPr>
            <w:tcW w:w="7138" w:type="dxa"/>
            <w:vAlign w:val="center"/>
          </w:tcPr>
          <w:p>
            <w:pPr>
              <w:adjustRightInd w:val="0"/>
              <w:snapToGrid w:val="0"/>
              <w:spacing w:line="240" w:lineRule="auto"/>
              <w:ind w:firstLine="0" w:firstLineChars="0"/>
              <w:rPr>
                <w:bCs/>
                <w:color w:val="000000"/>
                <w:sz w:val="21"/>
                <w:szCs w:val="21"/>
              </w:rPr>
            </w:pPr>
            <w:r>
              <w:rPr>
                <w:rFonts w:hint="eastAsia"/>
                <w:bCs/>
                <w:color w:val="000000"/>
                <w:sz w:val="21"/>
                <w:szCs w:val="21"/>
              </w:rPr>
              <w:t>负责调配救济物质，提供设置临时避难所的物质，保障受害群众的转移和处置及安置</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Ex>
        <w:trPr>
          <w:trHeight w:val="397" w:hRule="atLeast"/>
        </w:trPr>
        <w:tc>
          <w:tcPr>
            <w:tcW w:w="1384" w:type="dxa"/>
            <w:vAlign w:val="center"/>
          </w:tcPr>
          <w:p>
            <w:pPr>
              <w:adjustRightInd w:val="0"/>
              <w:snapToGrid w:val="0"/>
              <w:spacing w:line="240" w:lineRule="auto"/>
              <w:ind w:firstLine="0" w:firstLineChars="0"/>
              <w:jc w:val="center"/>
              <w:rPr>
                <w:bCs/>
                <w:color w:val="000000"/>
                <w:sz w:val="21"/>
                <w:szCs w:val="21"/>
              </w:rPr>
            </w:pPr>
            <w:r>
              <w:rPr>
                <w:rFonts w:hint="eastAsia"/>
                <w:bCs/>
                <w:color w:val="000000"/>
                <w:sz w:val="21"/>
                <w:szCs w:val="21"/>
              </w:rPr>
              <w:t>市城管局</w:t>
            </w:r>
          </w:p>
        </w:tc>
        <w:tc>
          <w:tcPr>
            <w:tcW w:w="7138" w:type="dxa"/>
            <w:vAlign w:val="center"/>
          </w:tcPr>
          <w:p>
            <w:pPr>
              <w:adjustRightInd w:val="0"/>
              <w:snapToGrid w:val="0"/>
              <w:spacing w:line="240" w:lineRule="auto"/>
              <w:ind w:firstLine="0" w:firstLineChars="0"/>
              <w:rPr>
                <w:bCs/>
                <w:color w:val="000000"/>
                <w:sz w:val="21"/>
                <w:szCs w:val="21"/>
              </w:rPr>
            </w:pPr>
            <w:r>
              <w:rPr>
                <w:rFonts w:hint="eastAsia"/>
                <w:bCs/>
                <w:color w:val="000000"/>
                <w:sz w:val="21"/>
                <w:szCs w:val="21"/>
              </w:rPr>
              <w:t>负责受事件影响的供水水源的安全控制和灾后环境清扫工作</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Ex>
        <w:trPr>
          <w:trHeight w:val="397" w:hRule="atLeast"/>
        </w:trPr>
        <w:tc>
          <w:tcPr>
            <w:tcW w:w="1384" w:type="dxa"/>
            <w:vAlign w:val="center"/>
          </w:tcPr>
          <w:p>
            <w:pPr>
              <w:adjustRightInd w:val="0"/>
              <w:snapToGrid w:val="0"/>
              <w:spacing w:line="240" w:lineRule="auto"/>
              <w:ind w:firstLine="0" w:firstLineChars="0"/>
              <w:jc w:val="center"/>
              <w:rPr>
                <w:bCs/>
                <w:color w:val="000000"/>
                <w:sz w:val="21"/>
                <w:szCs w:val="21"/>
              </w:rPr>
            </w:pPr>
            <w:r>
              <w:rPr>
                <w:rFonts w:hint="eastAsia"/>
                <w:bCs/>
                <w:color w:val="000000"/>
                <w:sz w:val="21"/>
                <w:szCs w:val="21"/>
              </w:rPr>
              <w:t>市建设局</w:t>
            </w:r>
          </w:p>
        </w:tc>
        <w:tc>
          <w:tcPr>
            <w:tcW w:w="7138" w:type="dxa"/>
            <w:vAlign w:val="center"/>
          </w:tcPr>
          <w:p>
            <w:pPr>
              <w:adjustRightInd w:val="0"/>
              <w:snapToGrid w:val="0"/>
              <w:spacing w:line="240" w:lineRule="auto"/>
              <w:ind w:firstLine="0" w:firstLineChars="0"/>
              <w:rPr>
                <w:bCs/>
                <w:color w:val="000000"/>
                <w:sz w:val="21"/>
                <w:szCs w:val="21"/>
              </w:rPr>
            </w:pPr>
            <w:r>
              <w:rPr>
                <w:rFonts w:hint="eastAsia"/>
                <w:bCs/>
                <w:color w:val="000000"/>
                <w:sz w:val="21"/>
                <w:szCs w:val="21"/>
              </w:rPr>
              <w:t>负责协调饮用水的安全启动饮用水供水预案</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Ex>
        <w:trPr>
          <w:trHeight w:val="397" w:hRule="atLeast"/>
        </w:trPr>
        <w:tc>
          <w:tcPr>
            <w:tcW w:w="1384" w:type="dxa"/>
            <w:vAlign w:val="center"/>
          </w:tcPr>
          <w:p>
            <w:pPr>
              <w:adjustRightInd w:val="0"/>
              <w:snapToGrid w:val="0"/>
              <w:spacing w:line="240" w:lineRule="auto"/>
              <w:ind w:firstLine="0" w:firstLineChars="0"/>
              <w:jc w:val="center"/>
              <w:rPr>
                <w:bCs/>
                <w:color w:val="000000"/>
                <w:sz w:val="21"/>
                <w:szCs w:val="21"/>
              </w:rPr>
            </w:pPr>
            <w:r>
              <w:rPr>
                <w:rFonts w:hint="eastAsia"/>
                <w:bCs/>
                <w:color w:val="000000"/>
                <w:sz w:val="21"/>
                <w:szCs w:val="21"/>
              </w:rPr>
              <w:t>市发展与改革局、经济发展局</w:t>
            </w:r>
          </w:p>
        </w:tc>
        <w:tc>
          <w:tcPr>
            <w:tcW w:w="7138" w:type="dxa"/>
            <w:vAlign w:val="center"/>
          </w:tcPr>
          <w:p>
            <w:pPr>
              <w:adjustRightInd w:val="0"/>
              <w:snapToGrid w:val="0"/>
              <w:spacing w:line="240" w:lineRule="auto"/>
              <w:ind w:firstLine="0" w:firstLineChars="0"/>
              <w:rPr>
                <w:bCs/>
                <w:color w:val="000000"/>
                <w:sz w:val="21"/>
                <w:szCs w:val="21"/>
              </w:rPr>
            </w:pPr>
            <w:r>
              <w:rPr>
                <w:rFonts w:hint="eastAsia"/>
                <w:bCs/>
                <w:color w:val="000000"/>
                <w:sz w:val="21"/>
                <w:szCs w:val="21"/>
              </w:rPr>
              <w:t>负责组织、指导、协调、监督灾区应急救援物质、生活必需品、电力供应等工作</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Ex>
        <w:trPr>
          <w:trHeight w:val="397" w:hRule="atLeast"/>
        </w:trPr>
        <w:tc>
          <w:tcPr>
            <w:tcW w:w="1384" w:type="dxa"/>
            <w:vAlign w:val="center"/>
          </w:tcPr>
          <w:p>
            <w:pPr>
              <w:adjustRightInd w:val="0"/>
              <w:snapToGrid w:val="0"/>
              <w:spacing w:line="240" w:lineRule="auto"/>
              <w:ind w:firstLine="0" w:firstLineChars="0"/>
              <w:jc w:val="center"/>
              <w:rPr>
                <w:bCs/>
                <w:color w:val="000000"/>
                <w:sz w:val="21"/>
                <w:szCs w:val="21"/>
              </w:rPr>
            </w:pPr>
            <w:r>
              <w:rPr>
                <w:rFonts w:hint="eastAsia"/>
                <w:bCs/>
                <w:color w:val="000000"/>
                <w:sz w:val="21"/>
                <w:szCs w:val="21"/>
              </w:rPr>
              <w:t>市卫计委</w:t>
            </w:r>
          </w:p>
        </w:tc>
        <w:tc>
          <w:tcPr>
            <w:tcW w:w="7138" w:type="dxa"/>
            <w:vAlign w:val="center"/>
          </w:tcPr>
          <w:p>
            <w:pPr>
              <w:adjustRightInd w:val="0"/>
              <w:snapToGrid w:val="0"/>
              <w:spacing w:line="240" w:lineRule="auto"/>
              <w:ind w:firstLine="0" w:firstLineChars="0"/>
              <w:rPr>
                <w:bCs/>
                <w:color w:val="000000"/>
                <w:sz w:val="21"/>
                <w:szCs w:val="21"/>
              </w:rPr>
            </w:pPr>
            <w:r>
              <w:rPr>
                <w:rFonts w:hint="eastAsia"/>
                <w:bCs/>
                <w:color w:val="000000"/>
                <w:sz w:val="21"/>
                <w:szCs w:val="21"/>
              </w:rPr>
              <w:t>负责事件中受伤、中毒人员医疗救治和实施卫生防疫工作。实施医疗救治，按流动病进行防疫调查</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Ex>
        <w:trPr>
          <w:trHeight w:val="397" w:hRule="atLeast"/>
        </w:trPr>
        <w:tc>
          <w:tcPr>
            <w:tcW w:w="1384" w:type="dxa"/>
            <w:vAlign w:val="center"/>
          </w:tcPr>
          <w:p>
            <w:pPr>
              <w:adjustRightInd w:val="0"/>
              <w:snapToGrid w:val="0"/>
              <w:spacing w:line="240" w:lineRule="auto"/>
              <w:ind w:firstLine="0" w:firstLineChars="0"/>
              <w:jc w:val="center"/>
              <w:rPr>
                <w:bCs/>
                <w:color w:val="000000"/>
                <w:sz w:val="21"/>
                <w:szCs w:val="21"/>
              </w:rPr>
            </w:pPr>
            <w:r>
              <w:rPr>
                <w:rFonts w:hint="eastAsia"/>
                <w:bCs/>
                <w:color w:val="000000"/>
                <w:sz w:val="21"/>
                <w:szCs w:val="21"/>
              </w:rPr>
              <w:t>市交通局</w:t>
            </w:r>
          </w:p>
        </w:tc>
        <w:tc>
          <w:tcPr>
            <w:tcW w:w="7138" w:type="dxa"/>
            <w:vAlign w:val="center"/>
          </w:tcPr>
          <w:p>
            <w:pPr>
              <w:adjustRightInd w:val="0"/>
              <w:snapToGrid w:val="0"/>
              <w:spacing w:line="240" w:lineRule="auto"/>
              <w:ind w:firstLine="0" w:firstLineChars="0"/>
              <w:rPr>
                <w:bCs/>
                <w:color w:val="000000"/>
                <w:sz w:val="21"/>
                <w:szCs w:val="21"/>
              </w:rPr>
            </w:pPr>
            <w:r>
              <w:rPr>
                <w:rFonts w:hint="eastAsia"/>
                <w:bCs/>
                <w:color w:val="000000"/>
                <w:sz w:val="21"/>
                <w:szCs w:val="21"/>
              </w:rPr>
              <w:t>负责组织协调船舶污染事件的应急处置工作。参与由道路交通事故引发的环境事件的应急行动</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Ex>
        <w:trPr>
          <w:trHeight w:val="397" w:hRule="atLeast"/>
        </w:trPr>
        <w:tc>
          <w:tcPr>
            <w:tcW w:w="1384" w:type="dxa"/>
            <w:vAlign w:val="center"/>
          </w:tcPr>
          <w:p>
            <w:pPr>
              <w:spacing w:line="240" w:lineRule="auto"/>
              <w:ind w:firstLine="0" w:firstLineChars="0"/>
              <w:jc w:val="center"/>
              <w:rPr>
                <w:bCs/>
                <w:color w:val="000000"/>
                <w:sz w:val="21"/>
                <w:szCs w:val="21"/>
              </w:rPr>
            </w:pPr>
            <w:r>
              <w:rPr>
                <w:rFonts w:hint="eastAsia"/>
                <w:bCs/>
                <w:color w:val="000000"/>
                <w:sz w:val="21"/>
                <w:szCs w:val="21"/>
              </w:rPr>
              <w:t>市消防大队</w:t>
            </w:r>
          </w:p>
        </w:tc>
        <w:tc>
          <w:tcPr>
            <w:tcW w:w="7138" w:type="dxa"/>
            <w:vAlign w:val="center"/>
          </w:tcPr>
          <w:p>
            <w:pPr>
              <w:spacing w:line="240" w:lineRule="auto"/>
              <w:ind w:firstLine="0" w:firstLineChars="0"/>
              <w:rPr>
                <w:bCs/>
                <w:color w:val="000000"/>
                <w:sz w:val="21"/>
                <w:szCs w:val="21"/>
              </w:rPr>
            </w:pPr>
            <w:r>
              <w:rPr>
                <w:rFonts w:hint="eastAsia"/>
                <w:bCs/>
                <w:color w:val="000000"/>
                <w:sz w:val="21"/>
                <w:szCs w:val="21"/>
              </w:rPr>
              <w:t>负责事件现场的火灾灭火、泄露控制，或可能导致火灾、泄露的隐患处置</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Ex>
        <w:trPr>
          <w:trHeight w:val="397" w:hRule="atLeast"/>
        </w:trPr>
        <w:tc>
          <w:tcPr>
            <w:tcW w:w="1384" w:type="dxa"/>
            <w:vAlign w:val="center"/>
          </w:tcPr>
          <w:p>
            <w:pPr>
              <w:spacing w:line="240" w:lineRule="auto"/>
              <w:ind w:firstLine="0" w:firstLineChars="0"/>
              <w:jc w:val="center"/>
              <w:rPr>
                <w:bCs/>
                <w:color w:val="000000"/>
                <w:sz w:val="21"/>
                <w:szCs w:val="21"/>
              </w:rPr>
            </w:pPr>
            <w:r>
              <w:rPr>
                <w:rFonts w:hint="eastAsia"/>
                <w:bCs/>
                <w:color w:val="000000"/>
                <w:sz w:val="21"/>
                <w:szCs w:val="21"/>
              </w:rPr>
              <w:t>武警岳阳支队</w:t>
            </w:r>
          </w:p>
        </w:tc>
        <w:tc>
          <w:tcPr>
            <w:tcW w:w="7138" w:type="dxa"/>
            <w:vAlign w:val="center"/>
          </w:tcPr>
          <w:p>
            <w:pPr>
              <w:spacing w:line="240" w:lineRule="auto"/>
              <w:ind w:firstLine="0" w:firstLineChars="0"/>
              <w:rPr>
                <w:bCs/>
                <w:color w:val="000000"/>
                <w:sz w:val="21"/>
                <w:szCs w:val="21"/>
              </w:rPr>
            </w:pPr>
            <w:r>
              <w:rPr>
                <w:rFonts w:hint="eastAsia"/>
                <w:bCs/>
                <w:color w:val="000000"/>
                <w:sz w:val="21"/>
                <w:szCs w:val="21"/>
              </w:rPr>
              <w:t>负责协调驻岳武警部队参加救援、抢险、警戒、保安等工作。</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Ex>
        <w:trPr>
          <w:trHeight w:val="397" w:hRule="atLeast"/>
        </w:trPr>
        <w:tc>
          <w:tcPr>
            <w:tcW w:w="1384" w:type="dxa"/>
            <w:vAlign w:val="center"/>
          </w:tcPr>
          <w:p>
            <w:pPr>
              <w:spacing w:line="240" w:lineRule="auto"/>
              <w:ind w:firstLine="0" w:firstLineChars="0"/>
              <w:jc w:val="center"/>
              <w:rPr>
                <w:bCs/>
                <w:color w:val="000000"/>
                <w:sz w:val="21"/>
                <w:szCs w:val="21"/>
              </w:rPr>
            </w:pPr>
            <w:r>
              <w:rPr>
                <w:rFonts w:hint="eastAsia"/>
                <w:bCs/>
                <w:color w:val="000000"/>
                <w:sz w:val="21"/>
                <w:szCs w:val="21"/>
              </w:rPr>
              <w:t>岳阳市自来水公司</w:t>
            </w:r>
          </w:p>
        </w:tc>
        <w:tc>
          <w:tcPr>
            <w:tcW w:w="7138" w:type="dxa"/>
            <w:vAlign w:val="center"/>
          </w:tcPr>
          <w:p>
            <w:pPr>
              <w:spacing w:line="240" w:lineRule="auto"/>
              <w:ind w:firstLine="0" w:firstLineChars="0"/>
              <w:rPr>
                <w:bCs/>
                <w:color w:val="000000"/>
                <w:sz w:val="21"/>
                <w:szCs w:val="21"/>
              </w:rPr>
            </w:pPr>
            <w:r>
              <w:rPr>
                <w:rFonts w:hint="eastAsia"/>
                <w:bCs/>
                <w:color w:val="000000"/>
                <w:sz w:val="21"/>
                <w:szCs w:val="21"/>
              </w:rPr>
              <w:t>岳阳市自来水公司下辖水厂包括岳阳市自来水公司第一水厂和岳阳市自来水公司第二水厂。岳阳市自来水公司作为岳阳市饮用水源保护区（铁山水库-北干渠-金凤水库）的直接管理责任主体，作为作为日常巡查责任单位，加强水源保护区的各项水质保护工作</w:t>
            </w:r>
          </w:p>
        </w:tc>
      </w:tr>
    </w:tbl>
    <w:p/>
    <w:p/>
    <w:p>
      <w:pPr>
        <w:widowControl/>
        <w:spacing w:line="240" w:lineRule="auto"/>
        <w:ind w:firstLine="0" w:firstLineChars="0"/>
        <w:jc w:val="left"/>
        <w:rPr>
          <w:b/>
          <w:color w:val="000000" w:themeColor="text1"/>
          <w:sz w:val="28"/>
          <w:szCs w:val="20"/>
        </w:rPr>
      </w:pPr>
      <w:r>
        <w:rPr>
          <w:color w:val="000000" w:themeColor="text1"/>
        </w:rPr>
        <w:br w:type="page"/>
      </w:r>
    </w:p>
    <w:p>
      <w:pPr>
        <w:pStyle w:val="3"/>
        <w:jc w:val="center"/>
        <w:rPr>
          <w:color w:val="000000" w:themeColor="text1"/>
          <w:sz w:val="21"/>
          <w:szCs w:val="21"/>
        </w:rPr>
      </w:pPr>
      <w:bookmarkStart w:id="354" w:name="_Toc535851377"/>
      <w:r>
        <w:rPr>
          <w:rFonts w:hint="eastAsia"/>
          <w:color w:val="000000" w:themeColor="text1"/>
          <w:sz w:val="21"/>
          <w:szCs w:val="21"/>
        </w:rPr>
        <w:t>附件4  饮用水水源保护区应急队伍数据库</w:t>
      </w:r>
      <w:bookmarkEnd w:id="354"/>
    </w:p>
    <w:tbl>
      <w:tblPr>
        <w:tblStyle w:val="47"/>
        <w:tblW w:w="8522" w:type="dxa"/>
        <w:jc w:val="center"/>
        <w:tblInd w:w="0" w:type="dxa"/>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
      <w:tblGrid>
        <w:gridCol w:w="2286"/>
        <w:gridCol w:w="1292"/>
        <w:gridCol w:w="4944"/>
      </w:tblGrid>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Ex>
        <w:trPr>
          <w:trHeight w:val="397" w:hRule="atLeast"/>
          <w:jc w:val="center"/>
        </w:trPr>
        <w:tc>
          <w:tcPr>
            <w:tcW w:w="3578" w:type="dxa"/>
            <w:gridSpan w:val="2"/>
            <w:vAlign w:val="center"/>
          </w:tcPr>
          <w:p>
            <w:pPr>
              <w:spacing w:line="240" w:lineRule="auto"/>
              <w:ind w:firstLine="0" w:firstLineChars="0"/>
              <w:jc w:val="center"/>
              <w:rPr>
                <w:color w:val="000000"/>
                <w:szCs w:val="21"/>
              </w:rPr>
            </w:pPr>
            <w:r>
              <w:rPr>
                <w:rFonts w:hint="eastAsia"/>
                <w:color w:val="000000"/>
                <w:szCs w:val="21"/>
              </w:rPr>
              <w:t>应急职务</w:t>
            </w:r>
          </w:p>
        </w:tc>
        <w:tc>
          <w:tcPr>
            <w:tcW w:w="4944" w:type="dxa"/>
            <w:vAlign w:val="center"/>
          </w:tcPr>
          <w:p>
            <w:pPr>
              <w:spacing w:line="240" w:lineRule="auto"/>
              <w:ind w:firstLine="0" w:firstLineChars="0"/>
              <w:jc w:val="center"/>
              <w:rPr>
                <w:color w:val="000000"/>
                <w:szCs w:val="21"/>
              </w:rPr>
            </w:pPr>
            <w:r>
              <w:rPr>
                <w:rFonts w:hint="eastAsia"/>
                <w:color w:val="000000"/>
                <w:szCs w:val="21"/>
              </w:rPr>
              <w:t>单位</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Ex>
        <w:trPr>
          <w:trHeight w:val="397" w:hRule="atLeast"/>
          <w:jc w:val="center"/>
        </w:trPr>
        <w:tc>
          <w:tcPr>
            <w:tcW w:w="3578" w:type="dxa"/>
            <w:gridSpan w:val="2"/>
            <w:vAlign w:val="center"/>
          </w:tcPr>
          <w:p>
            <w:pPr>
              <w:spacing w:line="240" w:lineRule="auto"/>
              <w:ind w:firstLine="0" w:firstLineChars="0"/>
              <w:jc w:val="center"/>
              <w:rPr>
                <w:bCs/>
                <w:color w:val="000000"/>
                <w:szCs w:val="21"/>
              </w:rPr>
            </w:pPr>
            <w:r>
              <w:rPr>
                <w:rFonts w:hint="eastAsia"/>
                <w:bCs/>
                <w:color w:val="000000"/>
                <w:szCs w:val="21"/>
              </w:rPr>
              <w:t>总指挥</w:t>
            </w:r>
          </w:p>
        </w:tc>
        <w:tc>
          <w:tcPr>
            <w:tcW w:w="4944" w:type="dxa"/>
            <w:vAlign w:val="center"/>
          </w:tcPr>
          <w:p>
            <w:pPr>
              <w:spacing w:line="240" w:lineRule="auto"/>
              <w:ind w:firstLine="0" w:firstLineChars="0"/>
              <w:jc w:val="center"/>
              <w:rPr>
                <w:bCs/>
                <w:color w:val="000000"/>
                <w:szCs w:val="21"/>
              </w:rPr>
            </w:pPr>
            <w:r>
              <w:rPr>
                <w:rFonts w:hint="eastAsia"/>
                <w:bCs/>
                <w:color w:val="000000"/>
                <w:szCs w:val="21"/>
              </w:rPr>
              <w:t>岳阳市人民政府分管副市长</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Ex>
        <w:trPr>
          <w:trHeight w:val="397" w:hRule="atLeast"/>
          <w:jc w:val="center"/>
        </w:trPr>
        <w:tc>
          <w:tcPr>
            <w:tcW w:w="3578" w:type="dxa"/>
            <w:gridSpan w:val="2"/>
            <w:vMerge w:val="restart"/>
            <w:vAlign w:val="center"/>
          </w:tcPr>
          <w:p>
            <w:pPr>
              <w:spacing w:line="240" w:lineRule="auto"/>
              <w:ind w:firstLine="0" w:firstLineChars="0"/>
              <w:jc w:val="center"/>
              <w:rPr>
                <w:bCs/>
                <w:color w:val="000000"/>
                <w:szCs w:val="21"/>
              </w:rPr>
            </w:pPr>
            <w:r>
              <w:rPr>
                <w:rFonts w:hint="eastAsia"/>
                <w:bCs/>
                <w:color w:val="000000"/>
                <w:szCs w:val="21"/>
              </w:rPr>
              <w:t>副总指挥</w:t>
            </w:r>
          </w:p>
        </w:tc>
        <w:tc>
          <w:tcPr>
            <w:tcW w:w="4944" w:type="dxa"/>
            <w:vAlign w:val="center"/>
          </w:tcPr>
          <w:p>
            <w:pPr>
              <w:spacing w:line="240" w:lineRule="auto"/>
              <w:ind w:firstLine="0" w:firstLineChars="0"/>
              <w:jc w:val="center"/>
              <w:rPr>
                <w:bCs/>
                <w:color w:val="000000"/>
                <w:szCs w:val="21"/>
              </w:rPr>
            </w:pPr>
            <w:r>
              <w:rPr>
                <w:rFonts w:hint="eastAsia"/>
                <w:bCs/>
                <w:color w:val="000000"/>
                <w:szCs w:val="21"/>
              </w:rPr>
              <w:t>岳阳市人民政府分管副秘书长</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Ex>
        <w:trPr>
          <w:trHeight w:val="397" w:hRule="atLeast"/>
          <w:jc w:val="center"/>
        </w:trPr>
        <w:tc>
          <w:tcPr>
            <w:tcW w:w="3578" w:type="dxa"/>
            <w:gridSpan w:val="2"/>
            <w:vMerge w:val="continue"/>
            <w:vAlign w:val="center"/>
          </w:tcPr>
          <w:p>
            <w:pPr>
              <w:spacing w:line="240" w:lineRule="auto"/>
              <w:ind w:firstLine="0" w:firstLineChars="0"/>
              <w:jc w:val="center"/>
              <w:rPr>
                <w:bCs/>
                <w:color w:val="000000"/>
                <w:szCs w:val="21"/>
              </w:rPr>
            </w:pPr>
          </w:p>
        </w:tc>
        <w:tc>
          <w:tcPr>
            <w:tcW w:w="4944" w:type="dxa"/>
            <w:vAlign w:val="center"/>
          </w:tcPr>
          <w:p>
            <w:pPr>
              <w:spacing w:line="240" w:lineRule="auto"/>
              <w:ind w:firstLine="0" w:firstLineChars="0"/>
              <w:jc w:val="center"/>
              <w:rPr>
                <w:bCs/>
                <w:color w:val="000000"/>
                <w:szCs w:val="21"/>
              </w:rPr>
            </w:pPr>
            <w:r>
              <w:rPr>
                <w:rFonts w:hint="eastAsia"/>
                <w:bCs/>
                <w:color w:val="000000"/>
                <w:szCs w:val="21"/>
              </w:rPr>
              <w:t>岳阳市铁山供水工程管理局局长</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Ex>
        <w:trPr>
          <w:trHeight w:val="397" w:hRule="atLeast"/>
          <w:jc w:val="center"/>
        </w:trPr>
        <w:tc>
          <w:tcPr>
            <w:tcW w:w="2286" w:type="dxa"/>
            <w:vMerge w:val="restart"/>
            <w:vAlign w:val="center"/>
          </w:tcPr>
          <w:p>
            <w:pPr>
              <w:spacing w:line="240" w:lineRule="auto"/>
              <w:ind w:firstLine="0" w:firstLineChars="0"/>
              <w:jc w:val="center"/>
              <w:rPr>
                <w:bCs/>
                <w:color w:val="000000"/>
                <w:szCs w:val="21"/>
              </w:rPr>
            </w:pPr>
            <w:r>
              <w:rPr>
                <w:rFonts w:hint="eastAsia"/>
                <w:bCs/>
                <w:color w:val="000000"/>
                <w:szCs w:val="21"/>
              </w:rPr>
              <w:t>安全警戒组</w:t>
            </w:r>
          </w:p>
        </w:tc>
        <w:tc>
          <w:tcPr>
            <w:tcW w:w="1292" w:type="dxa"/>
            <w:vMerge w:val="restart"/>
            <w:vAlign w:val="center"/>
          </w:tcPr>
          <w:p>
            <w:pPr>
              <w:spacing w:line="240" w:lineRule="auto"/>
              <w:ind w:firstLine="0" w:firstLineChars="0"/>
              <w:jc w:val="center"/>
              <w:rPr>
                <w:bCs/>
                <w:color w:val="000000"/>
                <w:szCs w:val="21"/>
              </w:rPr>
            </w:pPr>
            <w:r>
              <w:rPr>
                <w:rFonts w:hint="eastAsia"/>
                <w:bCs/>
                <w:color w:val="000000"/>
                <w:szCs w:val="21"/>
              </w:rPr>
              <w:t>成员</w:t>
            </w:r>
          </w:p>
        </w:tc>
        <w:tc>
          <w:tcPr>
            <w:tcW w:w="4944" w:type="dxa"/>
            <w:vAlign w:val="center"/>
          </w:tcPr>
          <w:p>
            <w:pPr>
              <w:spacing w:line="240" w:lineRule="auto"/>
              <w:ind w:firstLine="0" w:firstLineChars="0"/>
              <w:jc w:val="center"/>
              <w:rPr>
                <w:bCs/>
                <w:color w:val="000000"/>
                <w:szCs w:val="21"/>
              </w:rPr>
            </w:pPr>
            <w:r>
              <w:rPr>
                <w:rFonts w:hint="eastAsia"/>
                <w:bCs/>
                <w:color w:val="000000"/>
                <w:szCs w:val="21"/>
              </w:rPr>
              <w:t>岳阳市公安局</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Ex>
        <w:trPr>
          <w:trHeight w:val="397" w:hRule="atLeast"/>
          <w:jc w:val="center"/>
        </w:trPr>
        <w:tc>
          <w:tcPr>
            <w:tcW w:w="2286" w:type="dxa"/>
            <w:vMerge w:val="continue"/>
            <w:vAlign w:val="center"/>
          </w:tcPr>
          <w:p>
            <w:pPr>
              <w:spacing w:line="240" w:lineRule="auto"/>
              <w:ind w:firstLine="0" w:firstLineChars="0"/>
              <w:jc w:val="center"/>
              <w:rPr>
                <w:bCs/>
                <w:color w:val="000000"/>
                <w:szCs w:val="21"/>
              </w:rPr>
            </w:pPr>
          </w:p>
        </w:tc>
        <w:tc>
          <w:tcPr>
            <w:tcW w:w="1292" w:type="dxa"/>
            <w:vMerge w:val="continue"/>
            <w:vAlign w:val="center"/>
          </w:tcPr>
          <w:p>
            <w:pPr>
              <w:spacing w:line="240" w:lineRule="auto"/>
              <w:ind w:firstLine="0" w:firstLineChars="0"/>
              <w:jc w:val="center"/>
              <w:rPr>
                <w:bCs/>
                <w:color w:val="000000"/>
                <w:szCs w:val="21"/>
              </w:rPr>
            </w:pPr>
          </w:p>
        </w:tc>
        <w:tc>
          <w:tcPr>
            <w:tcW w:w="4944" w:type="dxa"/>
            <w:vAlign w:val="center"/>
          </w:tcPr>
          <w:p>
            <w:pPr>
              <w:spacing w:line="240" w:lineRule="auto"/>
              <w:ind w:firstLine="0" w:firstLineChars="0"/>
              <w:jc w:val="center"/>
              <w:rPr>
                <w:bCs/>
                <w:color w:val="000000"/>
                <w:szCs w:val="21"/>
              </w:rPr>
            </w:pPr>
            <w:r>
              <w:rPr>
                <w:rFonts w:hint="eastAsia"/>
                <w:bCs/>
                <w:color w:val="000000"/>
                <w:szCs w:val="21"/>
              </w:rPr>
              <w:t>岳阳市消防支队</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Ex>
        <w:trPr>
          <w:trHeight w:val="397" w:hRule="atLeast"/>
          <w:jc w:val="center"/>
        </w:trPr>
        <w:tc>
          <w:tcPr>
            <w:tcW w:w="2286" w:type="dxa"/>
            <w:vMerge w:val="continue"/>
            <w:vAlign w:val="center"/>
          </w:tcPr>
          <w:p>
            <w:pPr>
              <w:spacing w:line="240" w:lineRule="auto"/>
              <w:ind w:firstLine="0" w:firstLineChars="0"/>
              <w:jc w:val="center"/>
              <w:rPr>
                <w:bCs/>
                <w:color w:val="000000"/>
                <w:szCs w:val="21"/>
              </w:rPr>
            </w:pPr>
          </w:p>
        </w:tc>
        <w:tc>
          <w:tcPr>
            <w:tcW w:w="1292" w:type="dxa"/>
            <w:vMerge w:val="continue"/>
            <w:vAlign w:val="center"/>
          </w:tcPr>
          <w:p>
            <w:pPr>
              <w:spacing w:line="240" w:lineRule="auto"/>
              <w:ind w:firstLine="0" w:firstLineChars="0"/>
              <w:jc w:val="center"/>
              <w:rPr>
                <w:bCs/>
                <w:color w:val="000000"/>
                <w:szCs w:val="21"/>
              </w:rPr>
            </w:pPr>
          </w:p>
        </w:tc>
        <w:tc>
          <w:tcPr>
            <w:tcW w:w="4944" w:type="dxa"/>
            <w:vAlign w:val="center"/>
          </w:tcPr>
          <w:p>
            <w:pPr>
              <w:spacing w:line="240" w:lineRule="auto"/>
              <w:ind w:firstLine="0" w:firstLineChars="0"/>
              <w:jc w:val="center"/>
              <w:rPr>
                <w:bCs/>
                <w:color w:val="000000"/>
                <w:szCs w:val="21"/>
              </w:rPr>
            </w:pPr>
            <w:r>
              <w:rPr>
                <w:rFonts w:hint="eastAsia"/>
                <w:bCs/>
                <w:color w:val="000000"/>
                <w:szCs w:val="21"/>
              </w:rPr>
              <w:t>武警岳阳市支队</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Ex>
        <w:trPr>
          <w:trHeight w:val="397" w:hRule="atLeast"/>
          <w:jc w:val="center"/>
        </w:trPr>
        <w:tc>
          <w:tcPr>
            <w:tcW w:w="2286" w:type="dxa"/>
            <w:vMerge w:val="restart"/>
            <w:vAlign w:val="center"/>
          </w:tcPr>
          <w:p>
            <w:pPr>
              <w:spacing w:line="240" w:lineRule="auto"/>
              <w:ind w:firstLine="0" w:firstLineChars="0"/>
              <w:jc w:val="center"/>
              <w:rPr>
                <w:bCs/>
                <w:color w:val="000000"/>
                <w:szCs w:val="21"/>
              </w:rPr>
            </w:pPr>
            <w:r>
              <w:rPr>
                <w:rFonts w:hint="eastAsia"/>
                <w:bCs/>
                <w:color w:val="000000"/>
                <w:szCs w:val="21"/>
              </w:rPr>
              <w:t>工程技术组</w:t>
            </w:r>
          </w:p>
        </w:tc>
        <w:tc>
          <w:tcPr>
            <w:tcW w:w="1292" w:type="dxa"/>
            <w:vMerge w:val="restart"/>
            <w:vAlign w:val="center"/>
          </w:tcPr>
          <w:p>
            <w:pPr>
              <w:spacing w:line="240" w:lineRule="auto"/>
              <w:ind w:firstLine="0" w:firstLineChars="0"/>
              <w:jc w:val="center"/>
              <w:rPr>
                <w:bCs/>
                <w:color w:val="000000"/>
                <w:szCs w:val="21"/>
              </w:rPr>
            </w:pPr>
            <w:r>
              <w:rPr>
                <w:rFonts w:hint="eastAsia"/>
                <w:bCs/>
                <w:color w:val="000000"/>
                <w:szCs w:val="21"/>
              </w:rPr>
              <w:t>成员</w:t>
            </w:r>
          </w:p>
        </w:tc>
        <w:tc>
          <w:tcPr>
            <w:tcW w:w="4944" w:type="dxa"/>
            <w:vAlign w:val="center"/>
          </w:tcPr>
          <w:p>
            <w:pPr>
              <w:spacing w:line="240" w:lineRule="auto"/>
              <w:ind w:firstLine="0" w:firstLineChars="0"/>
              <w:jc w:val="center"/>
              <w:rPr>
                <w:bCs/>
                <w:color w:val="000000"/>
                <w:szCs w:val="21"/>
              </w:rPr>
            </w:pPr>
            <w:r>
              <w:rPr>
                <w:rFonts w:hint="eastAsia"/>
                <w:bCs/>
                <w:color w:val="000000"/>
                <w:szCs w:val="21"/>
              </w:rPr>
              <w:t>岳阳市建设局</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Ex>
        <w:trPr>
          <w:trHeight w:val="397" w:hRule="atLeast"/>
          <w:jc w:val="center"/>
        </w:trPr>
        <w:tc>
          <w:tcPr>
            <w:tcW w:w="2286" w:type="dxa"/>
            <w:vMerge w:val="continue"/>
            <w:vAlign w:val="center"/>
          </w:tcPr>
          <w:p>
            <w:pPr>
              <w:spacing w:line="240" w:lineRule="auto"/>
              <w:ind w:firstLine="0" w:firstLineChars="0"/>
              <w:jc w:val="center"/>
              <w:rPr>
                <w:bCs/>
                <w:color w:val="000000"/>
                <w:szCs w:val="21"/>
              </w:rPr>
            </w:pPr>
          </w:p>
        </w:tc>
        <w:tc>
          <w:tcPr>
            <w:tcW w:w="1292" w:type="dxa"/>
            <w:vMerge w:val="continue"/>
            <w:vAlign w:val="center"/>
          </w:tcPr>
          <w:p>
            <w:pPr>
              <w:spacing w:line="240" w:lineRule="auto"/>
              <w:ind w:firstLine="0" w:firstLineChars="0"/>
              <w:jc w:val="center"/>
              <w:rPr>
                <w:bCs/>
                <w:color w:val="000000"/>
                <w:szCs w:val="21"/>
              </w:rPr>
            </w:pPr>
          </w:p>
        </w:tc>
        <w:tc>
          <w:tcPr>
            <w:tcW w:w="4944" w:type="dxa"/>
            <w:vAlign w:val="center"/>
          </w:tcPr>
          <w:p>
            <w:pPr>
              <w:spacing w:line="240" w:lineRule="auto"/>
              <w:ind w:firstLine="0" w:firstLineChars="0"/>
              <w:jc w:val="center"/>
              <w:rPr>
                <w:bCs/>
                <w:color w:val="000000"/>
                <w:szCs w:val="21"/>
              </w:rPr>
            </w:pPr>
            <w:r>
              <w:rPr>
                <w:rFonts w:hint="eastAsia"/>
                <w:bCs/>
                <w:color w:val="000000"/>
                <w:szCs w:val="21"/>
              </w:rPr>
              <w:t>岳阳市安监局</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Ex>
        <w:trPr>
          <w:trHeight w:val="397" w:hRule="atLeast"/>
          <w:jc w:val="center"/>
        </w:trPr>
        <w:tc>
          <w:tcPr>
            <w:tcW w:w="2286" w:type="dxa"/>
            <w:vMerge w:val="continue"/>
            <w:vAlign w:val="center"/>
          </w:tcPr>
          <w:p>
            <w:pPr>
              <w:spacing w:line="240" w:lineRule="auto"/>
              <w:ind w:firstLine="0" w:firstLineChars="0"/>
              <w:jc w:val="center"/>
              <w:rPr>
                <w:bCs/>
                <w:color w:val="000000"/>
                <w:szCs w:val="21"/>
              </w:rPr>
            </w:pPr>
          </w:p>
        </w:tc>
        <w:tc>
          <w:tcPr>
            <w:tcW w:w="1292" w:type="dxa"/>
            <w:vMerge w:val="continue"/>
            <w:vAlign w:val="center"/>
          </w:tcPr>
          <w:p>
            <w:pPr>
              <w:spacing w:line="240" w:lineRule="auto"/>
              <w:ind w:firstLine="0" w:firstLineChars="0"/>
              <w:jc w:val="center"/>
              <w:rPr>
                <w:bCs/>
                <w:color w:val="000000"/>
                <w:szCs w:val="21"/>
              </w:rPr>
            </w:pPr>
          </w:p>
        </w:tc>
        <w:tc>
          <w:tcPr>
            <w:tcW w:w="4944" w:type="dxa"/>
            <w:vAlign w:val="center"/>
          </w:tcPr>
          <w:p>
            <w:pPr>
              <w:spacing w:line="240" w:lineRule="auto"/>
              <w:ind w:firstLine="0" w:firstLineChars="0"/>
              <w:jc w:val="center"/>
              <w:rPr>
                <w:bCs/>
                <w:color w:val="000000"/>
                <w:szCs w:val="21"/>
              </w:rPr>
            </w:pPr>
            <w:r>
              <w:rPr>
                <w:rFonts w:hint="eastAsia"/>
                <w:bCs/>
                <w:color w:val="000000"/>
                <w:szCs w:val="21"/>
              </w:rPr>
              <w:t>岳阳市国土局</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Ex>
        <w:trPr>
          <w:trHeight w:val="397" w:hRule="atLeast"/>
          <w:jc w:val="center"/>
        </w:trPr>
        <w:tc>
          <w:tcPr>
            <w:tcW w:w="2286" w:type="dxa"/>
            <w:vMerge w:val="restart"/>
            <w:vAlign w:val="center"/>
          </w:tcPr>
          <w:p>
            <w:pPr>
              <w:spacing w:line="240" w:lineRule="auto"/>
              <w:ind w:firstLine="0" w:firstLineChars="0"/>
              <w:jc w:val="center"/>
              <w:rPr>
                <w:bCs/>
                <w:color w:val="000000"/>
                <w:szCs w:val="21"/>
              </w:rPr>
            </w:pPr>
            <w:r>
              <w:rPr>
                <w:rFonts w:hint="eastAsia"/>
                <w:bCs/>
                <w:color w:val="000000"/>
                <w:szCs w:val="21"/>
              </w:rPr>
              <w:t>环境监测组</w:t>
            </w:r>
          </w:p>
        </w:tc>
        <w:tc>
          <w:tcPr>
            <w:tcW w:w="1292" w:type="dxa"/>
            <w:vMerge w:val="restart"/>
            <w:vAlign w:val="center"/>
          </w:tcPr>
          <w:p>
            <w:pPr>
              <w:spacing w:line="240" w:lineRule="auto"/>
              <w:ind w:firstLine="0" w:firstLineChars="0"/>
              <w:jc w:val="center"/>
              <w:rPr>
                <w:bCs/>
                <w:color w:val="000000"/>
                <w:szCs w:val="21"/>
              </w:rPr>
            </w:pPr>
            <w:r>
              <w:rPr>
                <w:rFonts w:hint="eastAsia"/>
                <w:bCs/>
                <w:color w:val="000000"/>
                <w:szCs w:val="21"/>
              </w:rPr>
              <w:t>成员</w:t>
            </w:r>
          </w:p>
        </w:tc>
        <w:tc>
          <w:tcPr>
            <w:tcW w:w="4944" w:type="dxa"/>
            <w:vAlign w:val="center"/>
          </w:tcPr>
          <w:p>
            <w:pPr>
              <w:spacing w:line="240" w:lineRule="auto"/>
              <w:ind w:firstLine="0" w:firstLineChars="0"/>
              <w:jc w:val="center"/>
              <w:rPr>
                <w:bCs/>
                <w:color w:val="000000"/>
                <w:szCs w:val="21"/>
                <w:highlight w:val="yellow"/>
              </w:rPr>
            </w:pPr>
            <w:r>
              <w:rPr>
                <w:rFonts w:hint="eastAsia"/>
                <w:bCs/>
                <w:color w:val="000000"/>
                <w:szCs w:val="21"/>
              </w:rPr>
              <w:t>岳阳市环境监测站</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Ex>
        <w:trPr>
          <w:trHeight w:val="397" w:hRule="atLeast"/>
          <w:jc w:val="center"/>
        </w:trPr>
        <w:tc>
          <w:tcPr>
            <w:tcW w:w="2286" w:type="dxa"/>
            <w:vMerge w:val="continue"/>
            <w:vAlign w:val="center"/>
          </w:tcPr>
          <w:p>
            <w:pPr>
              <w:spacing w:line="240" w:lineRule="auto"/>
              <w:ind w:firstLine="0" w:firstLineChars="0"/>
              <w:jc w:val="center"/>
              <w:rPr>
                <w:bCs/>
                <w:color w:val="000000"/>
                <w:szCs w:val="21"/>
              </w:rPr>
            </w:pPr>
          </w:p>
        </w:tc>
        <w:tc>
          <w:tcPr>
            <w:tcW w:w="1292" w:type="dxa"/>
            <w:vMerge w:val="continue"/>
            <w:vAlign w:val="center"/>
          </w:tcPr>
          <w:p>
            <w:pPr>
              <w:spacing w:line="240" w:lineRule="auto"/>
              <w:ind w:firstLine="0" w:firstLineChars="0"/>
              <w:jc w:val="center"/>
              <w:rPr>
                <w:bCs/>
                <w:color w:val="000000"/>
                <w:szCs w:val="21"/>
              </w:rPr>
            </w:pPr>
          </w:p>
        </w:tc>
        <w:tc>
          <w:tcPr>
            <w:tcW w:w="4944" w:type="dxa"/>
            <w:vAlign w:val="center"/>
          </w:tcPr>
          <w:p>
            <w:pPr>
              <w:spacing w:line="240" w:lineRule="auto"/>
              <w:ind w:firstLine="0" w:firstLineChars="0"/>
              <w:jc w:val="center"/>
              <w:rPr>
                <w:bCs/>
                <w:color w:val="000000"/>
                <w:szCs w:val="21"/>
              </w:rPr>
            </w:pPr>
            <w:r>
              <w:rPr>
                <w:rFonts w:hint="eastAsia"/>
                <w:bCs/>
                <w:color w:val="000000"/>
                <w:szCs w:val="21"/>
              </w:rPr>
              <w:t>岳阳市水务局</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Ex>
        <w:trPr>
          <w:trHeight w:val="397" w:hRule="atLeast"/>
          <w:jc w:val="center"/>
        </w:trPr>
        <w:tc>
          <w:tcPr>
            <w:tcW w:w="2286" w:type="dxa"/>
            <w:vMerge w:val="continue"/>
            <w:vAlign w:val="center"/>
          </w:tcPr>
          <w:p>
            <w:pPr>
              <w:spacing w:line="240" w:lineRule="auto"/>
              <w:ind w:firstLine="0" w:firstLineChars="0"/>
              <w:jc w:val="center"/>
              <w:rPr>
                <w:bCs/>
                <w:color w:val="000000"/>
                <w:szCs w:val="21"/>
              </w:rPr>
            </w:pPr>
          </w:p>
        </w:tc>
        <w:tc>
          <w:tcPr>
            <w:tcW w:w="1292" w:type="dxa"/>
            <w:vMerge w:val="continue"/>
            <w:vAlign w:val="center"/>
          </w:tcPr>
          <w:p>
            <w:pPr>
              <w:spacing w:line="240" w:lineRule="auto"/>
              <w:ind w:firstLine="0" w:firstLineChars="0"/>
              <w:jc w:val="center"/>
              <w:rPr>
                <w:bCs/>
                <w:color w:val="000000"/>
                <w:szCs w:val="21"/>
              </w:rPr>
            </w:pPr>
          </w:p>
        </w:tc>
        <w:tc>
          <w:tcPr>
            <w:tcW w:w="4944" w:type="dxa"/>
            <w:vAlign w:val="center"/>
          </w:tcPr>
          <w:p>
            <w:pPr>
              <w:spacing w:line="240" w:lineRule="auto"/>
              <w:ind w:firstLine="0" w:firstLineChars="0"/>
              <w:jc w:val="center"/>
              <w:rPr>
                <w:bCs/>
                <w:color w:val="000000"/>
                <w:szCs w:val="21"/>
              </w:rPr>
            </w:pPr>
            <w:r>
              <w:rPr>
                <w:rFonts w:hint="eastAsia"/>
                <w:bCs/>
                <w:color w:val="000000"/>
                <w:szCs w:val="21"/>
              </w:rPr>
              <w:t>突发环境事件专家组</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Ex>
        <w:trPr>
          <w:trHeight w:val="397" w:hRule="atLeast"/>
          <w:jc w:val="center"/>
        </w:trPr>
        <w:tc>
          <w:tcPr>
            <w:tcW w:w="2286" w:type="dxa"/>
            <w:vMerge w:val="restart"/>
            <w:vAlign w:val="center"/>
          </w:tcPr>
          <w:p>
            <w:pPr>
              <w:spacing w:line="240" w:lineRule="auto"/>
              <w:ind w:firstLine="0" w:firstLineChars="0"/>
              <w:jc w:val="center"/>
              <w:rPr>
                <w:bCs/>
                <w:color w:val="000000"/>
                <w:szCs w:val="21"/>
              </w:rPr>
            </w:pPr>
            <w:r>
              <w:rPr>
                <w:rFonts w:hint="eastAsia"/>
                <w:bCs/>
                <w:color w:val="000000"/>
                <w:szCs w:val="21"/>
              </w:rPr>
              <w:t>善后处理组</w:t>
            </w:r>
          </w:p>
        </w:tc>
        <w:tc>
          <w:tcPr>
            <w:tcW w:w="1292" w:type="dxa"/>
            <w:vMerge w:val="restart"/>
            <w:vAlign w:val="center"/>
          </w:tcPr>
          <w:p>
            <w:pPr>
              <w:spacing w:line="240" w:lineRule="auto"/>
              <w:ind w:firstLine="0" w:firstLineChars="0"/>
              <w:jc w:val="center"/>
              <w:rPr>
                <w:bCs/>
                <w:color w:val="000000"/>
                <w:szCs w:val="21"/>
              </w:rPr>
            </w:pPr>
            <w:r>
              <w:rPr>
                <w:rFonts w:hint="eastAsia"/>
                <w:bCs/>
                <w:color w:val="000000"/>
                <w:szCs w:val="21"/>
              </w:rPr>
              <w:t>成员</w:t>
            </w:r>
          </w:p>
        </w:tc>
        <w:tc>
          <w:tcPr>
            <w:tcW w:w="4944" w:type="dxa"/>
            <w:vAlign w:val="center"/>
          </w:tcPr>
          <w:p>
            <w:pPr>
              <w:spacing w:line="240" w:lineRule="auto"/>
              <w:ind w:firstLine="0" w:firstLineChars="0"/>
              <w:jc w:val="center"/>
              <w:rPr>
                <w:bCs/>
                <w:color w:val="000000"/>
                <w:szCs w:val="21"/>
              </w:rPr>
            </w:pPr>
            <w:r>
              <w:rPr>
                <w:rFonts w:hint="eastAsia"/>
                <w:bCs/>
                <w:color w:val="000000"/>
                <w:szCs w:val="21"/>
              </w:rPr>
              <w:t>岳阳市宣传部</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Ex>
        <w:trPr>
          <w:trHeight w:val="397" w:hRule="atLeast"/>
          <w:jc w:val="center"/>
        </w:trPr>
        <w:tc>
          <w:tcPr>
            <w:tcW w:w="2286" w:type="dxa"/>
            <w:vMerge w:val="continue"/>
            <w:vAlign w:val="center"/>
          </w:tcPr>
          <w:p>
            <w:pPr>
              <w:spacing w:line="240" w:lineRule="auto"/>
              <w:ind w:firstLine="0" w:firstLineChars="0"/>
              <w:jc w:val="center"/>
              <w:rPr>
                <w:bCs/>
                <w:color w:val="000000"/>
                <w:szCs w:val="21"/>
              </w:rPr>
            </w:pPr>
          </w:p>
        </w:tc>
        <w:tc>
          <w:tcPr>
            <w:tcW w:w="1292" w:type="dxa"/>
            <w:vMerge w:val="continue"/>
            <w:vAlign w:val="center"/>
          </w:tcPr>
          <w:p>
            <w:pPr>
              <w:spacing w:line="240" w:lineRule="auto"/>
              <w:ind w:firstLine="0" w:firstLineChars="0"/>
              <w:jc w:val="center"/>
              <w:rPr>
                <w:bCs/>
                <w:color w:val="000000"/>
                <w:szCs w:val="21"/>
              </w:rPr>
            </w:pPr>
          </w:p>
        </w:tc>
        <w:tc>
          <w:tcPr>
            <w:tcW w:w="4944" w:type="dxa"/>
            <w:vAlign w:val="center"/>
          </w:tcPr>
          <w:p>
            <w:pPr>
              <w:spacing w:line="240" w:lineRule="auto"/>
              <w:ind w:firstLine="0" w:firstLineChars="0"/>
              <w:jc w:val="center"/>
              <w:rPr>
                <w:bCs/>
                <w:color w:val="000000"/>
                <w:szCs w:val="21"/>
              </w:rPr>
            </w:pPr>
            <w:r>
              <w:rPr>
                <w:rFonts w:hint="eastAsia"/>
                <w:bCs/>
                <w:color w:val="000000"/>
                <w:szCs w:val="21"/>
              </w:rPr>
              <w:t>岳阳市电业局</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Ex>
        <w:trPr>
          <w:trHeight w:val="397" w:hRule="atLeast"/>
          <w:jc w:val="center"/>
        </w:trPr>
        <w:tc>
          <w:tcPr>
            <w:tcW w:w="2286" w:type="dxa"/>
            <w:vMerge w:val="continue"/>
            <w:vAlign w:val="center"/>
          </w:tcPr>
          <w:p>
            <w:pPr>
              <w:spacing w:line="240" w:lineRule="auto"/>
              <w:ind w:firstLine="0" w:firstLineChars="0"/>
              <w:jc w:val="center"/>
              <w:rPr>
                <w:bCs/>
                <w:color w:val="000000"/>
                <w:szCs w:val="21"/>
              </w:rPr>
            </w:pPr>
          </w:p>
        </w:tc>
        <w:tc>
          <w:tcPr>
            <w:tcW w:w="1292" w:type="dxa"/>
            <w:vMerge w:val="continue"/>
            <w:vAlign w:val="center"/>
          </w:tcPr>
          <w:p>
            <w:pPr>
              <w:spacing w:line="240" w:lineRule="auto"/>
              <w:ind w:firstLine="0" w:firstLineChars="0"/>
              <w:jc w:val="center"/>
              <w:rPr>
                <w:bCs/>
                <w:color w:val="000000"/>
                <w:szCs w:val="21"/>
              </w:rPr>
            </w:pPr>
          </w:p>
        </w:tc>
        <w:tc>
          <w:tcPr>
            <w:tcW w:w="4944" w:type="dxa"/>
            <w:vAlign w:val="center"/>
          </w:tcPr>
          <w:p>
            <w:pPr>
              <w:spacing w:line="240" w:lineRule="auto"/>
              <w:ind w:firstLine="0" w:firstLineChars="0"/>
              <w:jc w:val="center"/>
              <w:rPr>
                <w:bCs/>
                <w:color w:val="000000"/>
                <w:szCs w:val="21"/>
              </w:rPr>
            </w:pPr>
            <w:r>
              <w:rPr>
                <w:rFonts w:hint="eastAsia"/>
                <w:bCs/>
                <w:color w:val="000000"/>
                <w:szCs w:val="21"/>
              </w:rPr>
              <w:t>岳阳市卫生局</w:t>
            </w:r>
          </w:p>
        </w:tc>
      </w:tr>
    </w:tbl>
    <w:p/>
    <w:p>
      <w:pPr>
        <w:widowControl/>
        <w:spacing w:line="240" w:lineRule="auto"/>
        <w:ind w:firstLine="0" w:firstLineChars="0"/>
        <w:jc w:val="left"/>
        <w:rPr>
          <w:b/>
          <w:color w:val="000000" w:themeColor="text1"/>
          <w:sz w:val="28"/>
          <w:szCs w:val="20"/>
        </w:rPr>
      </w:pPr>
      <w:r>
        <w:rPr>
          <w:color w:val="000000" w:themeColor="text1"/>
        </w:rPr>
        <w:br w:type="page"/>
      </w:r>
    </w:p>
    <w:p>
      <w:pPr>
        <w:pStyle w:val="3"/>
        <w:jc w:val="center"/>
        <w:rPr>
          <w:color w:val="000000" w:themeColor="text1"/>
          <w:sz w:val="21"/>
          <w:szCs w:val="21"/>
        </w:rPr>
      </w:pPr>
      <w:bookmarkStart w:id="355" w:name="_Toc535851378"/>
      <w:r>
        <w:rPr>
          <w:rFonts w:hint="eastAsia"/>
          <w:color w:val="000000" w:themeColor="text1"/>
          <w:sz w:val="21"/>
          <w:szCs w:val="21"/>
        </w:rPr>
        <w:t>附件5  环境应急救援体系外部救援联系表</w:t>
      </w:r>
      <w:bookmarkEnd w:id="355"/>
    </w:p>
    <w:tbl>
      <w:tblPr>
        <w:tblStyle w:val="47"/>
        <w:tblW w:w="8222" w:type="dxa"/>
        <w:tblInd w:w="392" w:type="dxa"/>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
      <w:tblGrid>
        <w:gridCol w:w="1657"/>
        <w:gridCol w:w="2479"/>
        <w:gridCol w:w="4086"/>
      </w:tblGrid>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Ex>
        <w:trPr>
          <w:trHeight w:val="397" w:hRule="atLeast"/>
        </w:trPr>
        <w:tc>
          <w:tcPr>
            <w:tcW w:w="1657" w:type="dxa"/>
            <w:vAlign w:val="center"/>
          </w:tcPr>
          <w:p>
            <w:pPr>
              <w:adjustRightInd w:val="0"/>
              <w:snapToGrid w:val="0"/>
              <w:spacing w:line="240" w:lineRule="auto"/>
              <w:ind w:firstLine="0" w:firstLineChars="0"/>
              <w:jc w:val="center"/>
              <w:rPr>
                <w:b/>
                <w:color w:val="000000" w:themeColor="text1"/>
                <w:szCs w:val="21"/>
              </w:rPr>
            </w:pPr>
            <w:r>
              <w:rPr>
                <w:rFonts w:hint="eastAsia" w:hAnsi="宋体"/>
                <w:b/>
                <w:sz w:val="32"/>
              </w:rPr>
              <w:br w:type="page"/>
            </w:r>
            <w:r>
              <w:rPr>
                <w:rFonts w:hint="eastAsia"/>
                <w:b/>
                <w:color w:val="000000" w:themeColor="text1"/>
                <w:szCs w:val="21"/>
              </w:rPr>
              <w:t>序号</w:t>
            </w:r>
          </w:p>
        </w:tc>
        <w:tc>
          <w:tcPr>
            <w:tcW w:w="2479" w:type="dxa"/>
            <w:vAlign w:val="center"/>
          </w:tcPr>
          <w:p>
            <w:pPr>
              <w:adjustRightInd w:val="0"/>
              <w:snapToGrid w:val="0"/>
              <w:spacing w:line="240" w:lineRule="auto"/>
              <w:ind w:firstLine="0" w:firstLineChars="0"/>
              <w:jc w:val="center"/>
              <w:rPr>
                <w:b/>
                <w:color w:val="000000"/>
                <w:szCs w:val="21"/>
              </w:rPr>
            </w:pPr>
            <w:r>
              <w:rPr>
                <w:rFonts w:hint="eastAsia"/>
                <w:b/>
                <w:color w:val="000000"/>
                <w:szCs w:val="21"/>
              </w:rPr>
              <w:t>名称</w:t>
            </w:r>
          </w:p>
        </w:tc>
        <w:tc>
          <w:tcPr>
            <w:tcW w:w="4086" w:type="dxa"/>
            <w:vAlign w:val="center"/>
          </w:tcPr>
          <w:p>
            <w:pPr>
              <w:adjustRightInd w:val="0"/>
              <w:snapToGrid w:val="0"/>
              <w:spacing w:line="240" w:lineRule="auto"/>
              <w:ind w:firstLine="0" w:firstLineChars="0"/>
              <w:jc w:val="center"/>
              <w:rPr>
                <w:b/>
                <w:color w:val="000000"/>
                <w:szCs w:val="21"/>
              </w:rPr>
            </w:pPr>
            <w:r>
              <w:rPr>
                <w:rFonts w:hint="eastAsia"/>
                <w:b/>
                <w:color w:val="000000"/>
                <w:szCs w:val="21"/>
              </w:rPr>
              <w:t>联络方式</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Ex>
        <w:trPr>
          <w:trHeight w:val="397" w:hRule="atLeast"/>
        </w:trPr>
        <w:tc>
          <w:tcPr>
            <w:tcW w:w="1657" w:type="dxa"/>
            <w:vAlign w:val="center"/>
          </w:tcPr>
          <w:p>
            <w:pPr>
              <w:adjustRightInd w:val="0"/>
              <w:snapToGrid w:val="0"/>
              <w:spacing w:line="240" w:lineRule="auto"/>
              <w:ind w:firstLine="0" w:firstLineChars="0"/>
              <w:jc w:val="center"/>
              <w:rPr>
                <w:color w:val="000000" w:themeColor="text1"/>
                <w:szCs w:val="21"/>
              </w:rPr>
            </w:pPr>
            <w:r>
              <w:rPr>
                <w:rFonts w:hint="eastAsia"/>
                <w:color w:val="000000" w:themeColor="text1"/>
                <w:szCs w:val="21"/>
              </w:rPr>
              <w:t>1</w:t>
            </w:r>
          </w:p>
        </w:tc>
        <w:tc>
          <w:tcPr>
            <w:tcW w:w="2479" w:type="dxa"/>
            <w:vAlign w:val="center"/>
          </w:tcPr>
          <w:p>
            <w:pPr>
              <w:adjustRightInd w:val="0"/>
              <w:snapToGrid w:val="0"/>
              <w:spacing w:line="240" w:lineRule="auto"/>
              <w:ind w:firstLine="0" w:firstLineChars="0"/>
              <w:jc w:val="center"/>
              <w:rPr>
                <w:color w:val="000000"/>
                <w:szCs w:val="21"/>
              </w:rPr>
            </w:pPr>
            <w:r>
              <w:rPr>
                <w:rFonts w:hint="eastAsia"/>
                <w:color w:val="000000"/>
                <w:szCs w:val="21"/>
              </w:rPr>
              <w:t>岳阳市人民政府</w:t>
            </w:r>
          </w:p>
        </w:tc>
        <w:tc>
          <w:tcPr>
            <w:tcW w:w="4086" w:type="dxa"/>
            <w:vAlign w:val="center"/>
          </w:tcPr>
          <w:p>
            <w:pPr>
              <w:adjustRightInd w:val="0"/>
              <w:snapToGrid w:val="0"/>
              <w:spacing w:line="240" w:lineRule="auto"/>
              <w:ind w:firstLine="0" w:firstLineChars="0"/>
              <w:jc w:val="center"/>
              <w:rPr>
                <w:color w:val="000000"/>
                <w:szCs w:val="21"/>
              </w:rPr>
            </w:pPr>
            <w:r>
              <w:rPr>
                <w:rFonts w:hint="eastAsia"/>
                <w:color w:val="000000"/>
                <w:szCs w:val="21"/>
              </w:rPr>
              <w:t>0730-8880225</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Ex>
        <w:trPr>
          <w:trHeight w:val="397" w:hRule="atLeast"/>
        </w:trPr>
        <w:tc>
          <w:tcPr>
            <w:tcW w:w="1657" w:type="dxa"/>
            <w:vAlign w:val="center"/>
          </w:tcPr>
          <w:p>
            <w:pPr>
              <w:adjustRightInd w:val="0"/>
              <w:snapToGrid w:val="0"/>
              <w:spacing w:line="240" w:lineRule="auto"/>
              <w:ind w:firstLine="0" w:firstLineChars="0"/>
              <w:jc w:val="center"/>
              <w:rPr>
                <w:color w:val="000000" w:themeColor="text1"/>
                <w:szCs w:val="21"/>
              </w:rPr>
            </w:pPr>
            <w:r>
              <w:rPr>
                <w:rFonts w:hint="eastAsia"/>
                <w:color w:val="000000" w:themeColor="text1"/>
                <w:szCs w:val="21"/>
              </w:rPr>
              <w:t>2</w:t>
            </w:r>
          </w:p>
        </w:tc>
        <w:tc>
          <w:tcPr>
            <w:tcW w:w="2479" w:type="dxa"/>
            <w:vAlign w:val="center"/>
          </w:tcPr>
          <w:p>
            <w:pPr>
              <w:adjustRightInd w:val="0"/>
              <w:snapToGrid w:val="0"/>
              <w:spacing w:line="240" w:lineRule="auto"/>
              <w:ind w:firstLine="0" w:firstLineChars="0"/>
              <w:jc w:val="center"/>
              <w:rPr>
                <w:color w:val="000000"/>
                <w:szCs w:val="21"/>
              </w:rPr>
            </w:pPr>
            <w:r>
              <w:rPr>
                <w:rFonts w:hint="eastAsia"/>
                <w:color w:val="000000"/>
                <w:szCs w:val="21"/>
              </w:rPr>
              <w:t>岳阳市环境监测站</w:t>
            </w:r>
          </w:p>
        </w:tc>
        <w:tc>
          <w:tcPr>
            <w:tcW w:w="4086" w:type="dxa"/>
            <w:vAlign w:val="center"/>
          </w:tcPr>
          <w:p>
            <w:pPr>
              <w:adjustRightInd w:val="0"/>
              <w:snapToGrid w:val="0"/>
              <w:spacing w:line="240" w:lineRule="auto"/>
              <w:ind w:firstLine="0" w:firstLineChars="0"/>
              <w:jc w:val="center"/>
              <w:rPr>
                <w:color w:val="000000"/>
                <w:szCs w:val="21"/>
              </w:rPr>
            </w:pPr>
            <w:r>
              <w:rPr>
                <w:rFonts w:hint="eastAsia"/>
                <w:color w:val="000000"/>
                <w:szCs w:val="21"/>
              </w:rPr>
              <w:t>0730-8879805</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Ex>
        <w:trPr>
          <w:trHeight w:val="397" w:hRule="atLeast"/>
        </w:trPr>
        <w:tc>
          <w:tcPr>
            <w:tcW w:w="1657" w:type="dxa"/>
            <w:vAlign w:val="center"/>
          </w:tcPr>
          <w:p>
            <w:pPr>
              <w:adjustRightInd w:val="0"/>
              <w:snapToGrid w:val="0"/>
              <w:spacing w:line="240" w:lineRule="auto"/>
              <w:ind w:firstLine="0" w:firstLineChars="0"/>
              <w:jc w:val="center"/>
              <w:rPr>
                <w:color w:val="000000" w:themeColor="text1"/>
                <w:szCs w:val="21"/>
              </w:rPr>
            </w:pPr>
            <w:r>
              <w:rPr>
                <w:rFonts w:hint="eastAsia"/>
                <w:color w:val="000000" w:themeColor="text1"/>
                <w:szCs w:val="21"/>
              </w:rPr>
              <w:t>3</w:t>
            </w:r>
          </w:p>
        </w:tc>
        <w:tc>
          <w:tcPr>
            <w:tcW w:w="2479" w:type="dxa"/>
            <w:vAlign w:val="center"/>
          </w:tcPr>
          <w:p>
            <w:pPr>
              <w:adjustRightInd w:val="0"/>
              <w:snapToGrid w:val="0"/>
              <w:spacing w:line="240" w:lineRule="auto"/>
              <w:ind w:firstLine="0" w:firstLineChars="0"/>
              <w:jc w:val="center"/>
              <w:rPr>
                <w:color w:val="000000"/>
                <w:szCs w:val="21"/>
              </w:rPr>
            </w:pPr>
            <w:r>
              <w:rPr>
                <w:rFonts w:hint="eastAsia"/>
                <w:color w:val="000000"/>
                <w:szCs w:val="21"/>
              </w:rPr>
              <w:t>岳阳市公安局</w:t>
            </w:r>
          </w:p>
        </w:tc>
        <w:tc>
          <w:tcPr>
            <w:tcW w:w="4086" w:type="dxa"/>
            <w:vAlign w:val="center"/>
          </w:tcPr>
          <w:p>
            <w:pPr>
              <w:adjustRightInd w:val="0"/>
              <w:snapToGrid w:val="0"/>
              <w:spacing w:line="240" w:lineRule="auto"/>
              <w:ind w:firstLine="0" w:firstLineChars="0"/>
              <w:jc w:val="center"/>
              <w:rPr>
                <w:color w:val="000000"/>
                <w:szCs w:val="21"/>
              </w:rPr>
            </w:pPr>
            <w:r>
              <w:rPr>
                <w:rFonts w:hint="eastAsia"/>
                <w:color w:val="000000"/>
                <w:szCs w:val="21"/>
              </w:rPr>
              <w:t>0730-8619026</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Ex>
        <w:trPr>
          <w:trHeight w:val="397" w:hRule="atLeast"/>
        </w:trPr>
        <w:tc>
          <w:tcPr>
            <w:tcW w:w="1657" w:type="dxa"/>
            <w:vAlign w:val="center"/>
          </w:tcPr>
          <w:p>
            <w:pPr>
              <w:adjustRightInd w:val="0"/>
              <w:snapToGrid w:val="0"/>
              <w:spacing w:line="240" w:lineRule="auto"/>
              <w:ind w:firstLine="0" w:firstLineChars="0"/>
              <w:jc w:val="center"/>
              <w:rPr>
                <w:color w:val="000000" w:themeColor="text1"/>
                <w:szCs w:val="21"/>
              </w:rPr>
            </w:pPr>
            <w:r>
              <w:rPr>
                <w:rFonts w:hint="eastAsia"/>
                <w:color w:val="000000" w:themeColor="text1"/>
                <w:szCs w:val="21"/>
              </w:rPr>
              <w:t>4</w:t>
            </w:r>
          </w:p>
        </w:tc>
        <w:tc>
          <w:tcPr>
            <w:tcW w:w="2479" w:type="dxa"/>
            <w:vAlign w:val="center"/>
          </w:tcPr>
          <w:p>
            <w:pPr>
              <w:adjustRightInd w:val="0"/>
              <w:snapToGrid w:val="0"/>
              <w:spacing w:line="240" w:lineRule="auto"/>
              <w:ind w:firstLine="0" w:firstLineChars="0"/>
              <w:jc w:val="center"/>
              <w:rPr>
                <w:color w:val="000000"/>
                <w:szCs w:val="21"/>
              </w:rPr>
            </w:pPr>
            <w:r>
              <w:rPr>
                <w:rFonts w:hint="eastAsia"/>
                <w:color w:val="000000"/>
                <w:szCs w:val="21"/>
              </w:rPr>
              <w:t>岳阳市安监局</w:t>
            </w:r>
          </w:p>
        </w:tc>
        <w:tc>
          <w:tcPr>
            <w:tcW w:w="4086" w:type="dxa"/>
            <w:vAlign w:val="center"/>
          </w:tcPr>
          <w:p>
            <w:pPr>
              <w:adjustRightInd w:val="0"/>
              <w:snapToGrid w:val="0"/>
              <w:spacing w:line="240" w:lineRule="auto"/>
              <w:ind w:firstLine="0" w:firstLineChars="0"/>
              <w:jc w:val="center"/>
              <w:rPr>
                <w:color w:val="000000"/>
                <w:szCs w:val="21"/>
              </w:rPr>
            </w:pPr>
            <w:r>
              <w:rPr>
                <w:rFonts w:hint="eastAsia"/>
                <w:color w:val="000000"/>
                <w:szCs w:val="21"/>
              </w:rPr>
              <w:t>0730-8788526</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Ex>
        <w:trPr>
          <w:trHeight w:val="397" w:hRule="atLeast"/>
        </w:trPr>
        <w:tc>
          <w:tcPr>
            <w:tcW w:w="1657" w:type="dxa"/>
            <w:vAlign w:val="center"/>
          </w:tcPr>
          <w:p>
            <w:pPr>
              <w:adjustRightInd w:val="0"/>
              <w:snapToGrid w:val="0"/>
              <w:spacing w:line="240" w:lineRule="auto"/>
              <w:ind w:firstLine="0" w:firstLineChars="0"/>
              <w:jc w:val="center"/>
              <w:rPr>
                <w:color w:val="000000" w:themeColor="text1"/>
                <w:szCs w:val="21"/>
              </w:rPr>
            </w:pPr>
            <w:r>
              <w:rPr>
                <w:rFonts w:hint="eastAsia"/>
                <w:color w:val="000000" w:themeColor="text1"/>
                <w:szCs w:val="21"/>
              </w:rPr>
              <w:t>5</w:t>
            </w:r>
          </w:p>
        </w:tc>
        <w:tc>
          <w:tcPr>
            <w:tcW w:w="2479" w:type="dxa"/>
            <w:vAlign w:val="center"/>
          </w:tcPr>
          <w:p>
            <w:pPr>
              <w:adjustRightInd w:val="0"/>
              <w:snapToGrid w:val="0"/>
              <w:spacing w:line="240" w:lineRule="auto"/>
              <w:ind w:firstLine="0" w:firstLineChars="0"/>
              <w:jc w:val="center"/>
              <w:rPr>
                <w:color w:val="000000"/>
                <w:szCs w:val="21"/>
              </w:rPr>
            </w:pPr>
            <w:r>
              <w:rPr>
                <w:rFonts w:hint="eastAsia"/>
                <w:color w:val="000000"/>
                <w:szCs w:val="21"/>
              </w:rPr>
              <w:t>岳阳市消防支队</w:t>
            </w:r>
          </w:p>
        </w:tc>
        <w:tc>
          <w:tcPr>
            <w:tcW w:w="4086" w:type="dxa"/>
            <w:vAlign w:val="center"/>
          </w:tcPr>
          <w:p>
            <w:pPr>
              <w:adjustRightInd w:val="0"/>
              <w:snapToGrid w:val="0"/>
              <w:spacing w:line="240" w:lineRule="auto"/>
              <w:ind w:firstLine="0" w:firstLineChars="0"/>
              <w:jc w:val="center"/>
              <w:rPr>
                <w:color w:val="000000"/>
                <w:szCs w:val="21"/>
              </w:rPr>
            </w:pPr>
            <w:r>
              <w:rPr>
                <w:rFonts w:hint="eastAsia"/>
                <w:color w:val="000000"/>
                <w:szCs w:val="21"/>
              </w:rPr>
              <w:t>0730-8600900</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Ex>
        <w:trPr>
          <w:trHeight w:val="397" w:hRule="atLeast"/>
        </w:trPr>
        <w:tc>
          <w:tcPr>
            <w:tcW w:w="1657" w:type="dxa"/>
            <w:vAlign w:val="center"/>
          </w:tcPr>
          <w:p>
            <w:pPr>
              <w:adjustRightInd w:val="0"/>
              <w:snapToGrid w:val="0"/>
              <w:spacing w:line="240" w:lineRule="auto"/>
              <w:ind w:firstLine="0" w:firstLineChars="0"/>
              <w:jc w:val="center"/>
              <w:rPr>
                <w:color w:val="000000" w:themeColor="text1"/>
                <w:szCs w:val="21"/>
              </w:rPr>
            </w:pPr>
            <w:r>
              <w:rPr>
                <w:rFonts w:hint="eastAsia"/>
                <w:color w:val="000000" w:themeColor="text1"/>
                <w:szCs w:val="21"/>
              </w:rPr>
              <w:t>6</w:t>
            </w:r>
          </w:p>
        </w:tc>
        <w:tc>
          <w:tcPr>
            <w:tcW w:w="2479" w:type="dxa"/>
            <w:vAlign w:val="center"/>
          </w:tcPr>
          <w:p>
            <w:pPr>
              <w:adjustRightInd w:val="0"/>
              <w:snapToGrid w:val="0"/>
              <w:spacing w:line="240" w:lineRule="auto"/>
              <w:ind w:firstLine="0" w:firstLineChars="0"/>
              <w:jc w:val="center"/>
              <w:rPr>
                <w:color w:val="000000"/>
                <w:szCs w:val="21"/>
              </w:rPr>
            </w:pPr>
            <w:r>
              <w:rPr>
                <w:rFonts w:hint="eastAsia"/>
                <w:color w:val="000000"/>
                <w:szCs w:val="21"/>
              </w:rPr>
              <w:t>公安</w:t>
            </w:r>
          </w:p>
        </w:tc>
        <w:tc>
          <w:tcPr>
            <w:tcW w:w="4086" w:type="dxa"/>
            <w:vAlign w:val="center"/>
          </w:tcPr>
          <w:p>
            <w:pPr>
              <w:adjustRightInd w:val="0"/>
              <w:snapToGrid w:val="0"/>
              <w:spacing w:line="240" w:lineRule="auto"/>
              <w:ind w:firstLine="0" w:firstLineChars="0"/>
              <w:jc w:val="center"/>
              <w:rPr>
                <w:color w:val="000000"/>
                <w:szCs w:val="21"/>
              </w:rPr>
            </w:pPr>
            <w:r>
              <w:rPr>
                <w:rFonts w:hint="eastAsia"/>
                <w:color w:val="000000"/>
                <w:szCs w:val="21"/>
              </w:rPr>
              <w:t>110</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Ex>
        <w:trPr>
          <w:trHeight w:val="397" w:hRule="atLeast"/>
        </w:trPr>
        <w:tc>
          <w:tcPr>
            <w:tcW w:w="1657" w:type="dxa"/>
            <w:vAlign w:val="center"/>
          </w:tcPr>
          <w:p>
            <w:pPr>
              <w:adjustRightInd w:val="0"/>
              <w:snapToGrid w:val="0"/>
              <w:spacing w:line="240" w:lineRule="auto"/>
              <w:ind w:firstLine="0" w:firstLineChars="0"/>
              <w:jc w:val="center"/>
              <w:rPr>
                <w:color w:val="000000" w:themeColor="text1"/>
                <w:szCs w:val="21"/>
              </w:rPr>
            </w:pPr>
            <w:r>
              <w:rPr>
                <w:rFonts w:hint="eastAsia"/>
                <w:color w:val="000000" w:themeColor="text1"/>
                <w:szCs w:val="21"/>
              </w:rPr>
              <w:t>7</w:t>
            </w:r>
          </w:p>
        </w:tc>
        <w:tc>
          <w:tcPr>
            <w:tcW w:w="2479" w:type="dxa"/>
            <w:vAlign w:val="center"/>
          </w:tcPr>
          <w:p>
            <w:pPr>
              <w:adjustRightInd w:val="0"/>
              <w:snapToGrid w:val="0"/>
              <w:spacing w:line="240" w:lineRule="auto"/>
              <w:ind w:firstLine="0" w:firstLineChars="0"/>
              <w:jc w:val="center"/>
              <w:rPr>
                <w:color w:val="000000"/>
                <w:szCs w:val="21"/>
              </w:rPr>
            </w:pPr>
            <w:r>
              <w:rPr>
                <w:rFonts w:hint="eastAsia"/>
                <w:color w:val="000000"/>
                <w:szCs w:val="21"/>
              </w:rPr>
              <w:t>交通事故</w:t>
            </w:r>
          </w:p>
        </w:tc>
        <w:tc>
          <w:tcPr>
            <w:tcW w:w="4086" w:type="dxa"/>
            <w:vAlign w:val="center"/>
          </w:tcPr>
          <w:p>
            <w:pPr>
              <w:adjustRightInd w:val="0"/>
              <w:snapToGrid w:val="0"/>
              <w:spacing w:line="240" w:lineRule="auto"/>
              <w:ind w:firstLine="0" w:firstLineChars="0"/>
              <w:jc w:val="center"/>
              <w:rPr>
                <w:color w:val="000000"/>
                <w:szCs w:val="21"/>
              </w:rPr>
            </w:pPr>
            <w:r>
              <w:rPr>
                <w:rFonts w:hint="eastAsia"/>
                <w:color w:val="000000"/>
                <w:szCs w:val="21"/>
              </w:rPr>
              <w:t>122</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Ex>
        <w:trPr>
          <w:trHeight w:val="397" w:hRule="atLeast"/>
        </w:trPr>
        <w:tc>
          <w:tcPr>
            <w:tcW w:w="1657" w:type="dxa"/>
            <w:vAlign w:val="center"/>
          </w:tcPr>
          <w:p>
            <w:pPr>
              <w:adjustRightInd w:val="0"/>
              <w:snapToGrid w:val="0"/>
              <w:spacing w:line="240" w:lineRule="auto"/>
              <w:ind w:firstLine="0" w:firstLineChars="0"/>
              <w:jc w:val="center"/>
              <w:rPr>
                <w:color w:val="000000" w:themeColor="text1"/>
                <w:szCs w:val="21"/>
              </w:rPr>
            </w:pPr>
            <w:r>
              <w:rPr>
                <w:rFonts w:hint="eastAsia"/>
                <w:color w:val="000000" w:themeColor="text1"/>
                <w:szCs w:val="21"/>
              </w:rPr>
              <w:t>8</w:t>
            </w:r>
          </w:p>
        </w:tc>
        <w:tc>
          <w:tcPr>
            <w:tcW w:w="2479" w:type="dxa"/>
            <w:vAlign w:val="center"/>
          </w:tcPr>
          <w:p>
            <w:pPr>
              <w:adjustRightInd w:val="0"/>
              <w:snapToGrid w:val="0"/>
              <w:spacing w:line="240" w:lineRule="auto"/>
              <w:ind w:firstLine="0" w:firstLineChars="0"/>
              <w:jc w:val="center"/>
              <w:rPr>
                <w:color w:val="000000"/>
                <w:szCs w:val="21"/>
              </w:rPr>
            </w:pPr>
            <w:r>
              <w:rPr>
                <w:rFonts w:hint="eastAsia"/>
                <w:color w:val="000000"/>
                <w:szCs w:val="21"/>
              </w:rPr>
              <w:t>消防</w:t>
            </w:r>
          </w:p>
        </w:tc>
        <w:tc>
          <w:tcPr>
            <w:tcW w:w="4086" w:type="dxa"/>
            <w:vAlign w:val="center"/>
          </w:tcPr>
          <w:p>
            <w:pPr>
              <w:adjustRightInd w:val="0"/>
              <w:snapToGrid w:val="0"/>
              <w:spacing w:line="240" w:lineRule="auto"/>
              <w:ind w:firstLine="0" w:firstLineChars="0"/>
              <w:jc w:val="center"/>
              <w:rPr>
                <w:color w:val="000000"/>
                <w:szCs w:val="21"/>
              </w:rPr>
            </w:pPr>
            <w:r>
              <w:rPr>
                <w:rFonts w:hint="eastAsia"/>
                <w:color w:val="000000"/>
                <w:szCs w:val="21"/>
              </w:rPr>
              <w:t>119</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Ex>
        <w:trPr>
          <w:trHeight w:val="397" w:hRule="atLeast"/>
        </w:trPr>
        <w:tc>
          <w:tcPr>
            <w:tcW w:w="1657" w:type="dxa"/>
            <w:vAlign w:val="center"/>
          </w:tcPr>
          <w:p>
            <w:pPr>
              <w:adjustRightInd w:val="0"/>
              <w:snapToGrid w:val="0"/>
              <w:spacing w:line="240" w:lineRule="auto"/>
              <w:ind w:firstLine="0" w:firstLineChars="0"/>
              <w:jc w:val="center"/>
              <w:rPr>
                <w:color w:val="000000" w:themeColor="text1"/>
                <w:szCs w:val="21"/>
              </w:rPr>
            </w:pPr>
            <w:r>
              <w:rPr>
                <w:rFonts w:hint="eastAsia"/>
                <w:color w:val="000000" w:themeColor="text1"/>
                <w:szCs w:val="21"/>
              </w:rPr>
              <w:t>9</w:t>
            </w:r>
          </w:p>
        </w:tc>
        <w:tc>
          <w:tcPr>
            <w:tcW w:w="2479" w:type="dxa"/>
            <w:vAlign w:val="center"/>
          </w:tcPr>
          <w:p>
            <w:pPr>
              <w:adjustRightInd w:val="0"/>
              <w:snapToGrid w:val="0"/>
              <w:spacing w:line="240" w:lineRule="auto"/>
              <w:ind w:firstLine="0" w:firstLineChars="0"/>
              <w:jc w:val="center"/>
              <w:rPr>
                <w:color w:val="000000"/>
                <w:szCs w:val="21"/>
              </w:rPr>
            </w:pPr>
            <w:r>
              <w:rPr>
                <w:rFonts w:hint="eastAsia"/>
                <w:color w:val="000000"/>
                <w:szCs w:val="21"/>
              </w:rPr>
              <w:t>急救</w:t>
            </w:r>
          </w:p>
        </w:tc>
        <w:tc>
          <w:tcPr>
            <w:tcW w:w="4086" w:type="dxa"/>
            <w:vAlign w:val="center"/>
          </w:tcPr>
          <w:p>
            <w:pPr>
              <w:adjustRightInd w:val="0"/>
              <w:snapToGrid w:val="0"/>
              <w:spacing w:line="240" w:lineRule="auto"/>
              <w:ind w:firstLine="0" w:firstLineChars="0"/>
              <w:jc w:val="center"/>
              <w:rPr>
                <w:color w:val="000000"/>
                <w:szCs w:val="21"/>
              </w:rPr>
            </w:pPr>
            <w:r>
              <w:rPr>
                <w:rFonts w:hint="eastAsia"/>
                <w:color w:val="000000"/>
                <w:szCs w:val="21"/>
              </w:rPr>
              <w:t>120</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Ex>
        <w:trPr>
          <w:trHeight w:val="397" w:hRule="atLeast"/>
        </w:trPr>
        <w:tc>
          <w:tcPr>
            <w:tcW w:w="1657" w:type="dxa"/>
            <w:vAlign w:val="center"/>
          </w:tcPr>
          <w:p>
            <w:pPr>
              <w:adjustRightInd w:val="0"/>
              <w:snapToGrid w:val="0"/>
              <w:spacing w:line="240" w:lineRule="auto"/>
              <w:ind w:firstLine="0" w:firstLineChars="0"/>
              <w:jc w:val="center"/>
              <w:rPr>
                <w:color w:val="000000" w:themeColor="text1"/>
                <w:szCs w:val="21"/>
              </w:rPr>
            </w:pPr>
            <w:r>
              <w:rPr>
                <w:rFonts w:hint="eastAsia"/>
                <w:color w:val="000000" w:themeColor="text1"/>
                <w:szCs w:val="21"/>
              </w:rPr>
              <w:t>10</w:t>
            </w:r>
          </w:p>
        </w:tc>
        <w:tc>
          <w:tcPr>
            <w:tcW w:w="2479" w:type="dxa"/>
            <w:vAlign w:val="center"/>
          </w:tcPr>
          <w:p>
            <w:pPr>
              <w:adjustRightInd w:val="0"/>
              <w:snapToGrid w:val="0"/>
              <w:spacing w:line="240" w:lineRule="auto"/>
              <w:ind w:firstLine="0" w:firstLineChars="0"/>
              <w:jc w:val="center"/>
              <w:rPr>
                <w:color w:val="000000"/>
                <w:szCs w:val="21"/>
              </w:rPr>
            </w:pPr>
            <w:r>
              <w:rPr>
                <w:rFonts w:hint="eastAsia"/>
                <w:color w:val="000000"/>
                <w:szCs w:val="21"/>
              </w:rPr>
              <w:t>岳阳市一人民医院</w:t>
            </w:r>
          </w:p>
        </w:tc>
        <w:tc>
          <w:tcPr>
            <w:tcW w:w="4086" w:type="dxa"/>
            <w:vAlign w:val="center"/>
          </w:tcPr>
          <w:p>
            <w:pPr>
              <w:adjustRightInd w:val="0"/>
              <w:snapToGrid w:val="0"/>
              <w:spacing w:line="240" w:lineRule="auto"/>
              <w:ind w:firstLine="0" w:firstLineChars="0"/>
              <w:jc w:val="center"/>
              <w:rPr>
                <w:color w:val="000000"/>
                <w:szCs w:val="21"/>
              </w:rPr>
            </w:pPr>
            <w:r>
              <w:rPr>
                <w:rFonts w:hint="eastAsia"/>
                <w:color w:val="000000"/>
                <w:szCs w:val="21"/>
              </w:rPr>
              <w:t>0730-8246724</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Ex>
        <w:trPr>
          <w:trHeight w:val="397" w:hRule="atLeast"/>
        </w:trPr>
        <w:tc>
          <w:tcPr>
            <w:tcW w:w="1657" w:type="dxa"/>
            <w:vAlign w:val="center"/>
          </w:tcPr>
          <w:p>
            <w:pPr>
              <w:adjustRightInd w:val="0"/>
              <w:snapToGrid w:val="0"/>
              <w:spacing w:line="240" w:lineRule="auto"/>
              <w:ind w:firstLine="0" w:firstLineChars="0"/>
              <w:jc w:val="center"/>
              <w:rPr>
                <w:color w:val="000000" w:themeColor="text1"/>
                <w:szCs w:val="21"/>
              </w:rPr>
            </w:pPr>
            <w:r>
              <w:rPr>
                <w:rFonts w:hint="eastAsia"/>
                <w:color w:val="000000" w:themeColor="text1"/>
                <w:szCs w:val="21"/>
              </w:rPr>
              <w:t>11</w:t>
            </w:r>
          </w:p>
        </w:tc>
        <w:tc>
          <w:tcPr>
            <w:tcW w:w="2479" w:type="dxa"/>
            <w:vAlign w:val="center"/>
          </w:tcPr>
          <w:p>
            <w:pPr>
              <w:adjustRightInd w:val="0"/>
              <w:snapToGrid w:val="0"/>
              <w:spacing w:line="240" w:lineRule="auto"/>
              <w:ind w:firstLine="0" w:firstLineChars="0"/>
              <w:jc w:val="center"/>
              <w:rPr>
                <w:color w:val="000000" w:themeColor="text1"/>
                <w:szCs w:val="21"/>
              </w:rPr>
            </w:pPr>
            <w:r>
              <w:rPr>
                <w:rFonts w:hint="eastAsia"/>
                <w:color w:val="000000" w:themeColor="text1"/>
                <w:szCs w:val="21"/>
              </w:rPr>
              <w:t>国家危险化学品事故救援中心</w:t>
            </w:r>
          </w:p>
        </w:tc>
        <w:tc>
          <w:tcPr>
            <w:tcW w:w="4086" w:type="dxa"/>
            <w:vAlign w:val="center"/>
          </w:tcPr>
          <w:p>
            <w:pPr>
              <w:adjustRightInd w:val="0"/>
              <w:snapToGrid w:val="0"/>
              <w:spacing w:line="240" w:lineRule="auto"/>
              <w:ind w:firstLine="0" w:firstLineChars="0"/>
              <w:jc w:val="center"/>
              <w:rPr>
                <w:color w:val="000000" w:themeColor="text1"/>
                <w:szCs w:val="21"/>
              </w:rPr>
            </w:pPr>
            <w:r>
              <w:rPr>
                <w:rFonts w:hint="eastAsia"/>
                <w:color w:val="000000" w:themeColor="text1"/>
                <w:szCs w:val="21"/>
              </w:rPr>
              <w:t>0532-83889090</w:t>
            </w:r>
          </w:p>
        </w:tc>
      </w:tr>
    </w:tbl>
    <w:p>
      <w:pPr>
        <w:adjustRightInd w:val="0"/>
        <w:snapToGrid w:val="0"/>
        <w:spacing w:line="240" w:lineRule="auto"/>
        <w:ind w:firstLine="0" w:firstLineChars="0"/>
        <w:jc w:val="left"/>
        <w:rPr>
          <w:rFonts w:hAnsi="宋体"/>
          <w:b/>
          <w:sz w:val="32"/>
        </w:rPr>
      </w:pPr>
    </w:p>
    <w:p>
      <w:pPr>
        <w:widowControl/>
        <w:spacing w:line="240" w:lineRule="auto"/>
        <w:ind w:firstLine="0" w:firstLineChars="0"/>
        <w:jc w:val="left"/>
        <w:rPr>
          <w:b/>
          <w:color w:val="000000" w:themeColor="text1"/>
          <w:sz w:val="28"/>
          <w:szCs w:val="20"/>
        </w:rPr>
      </w:pPr>
      <w:r>
        <w:rPr>
          <w:color w:val="000000" w:themeColor="text1"/>
        </w:rPr>
        <w:br w:type="page"/>
      </w:r>
    </w:p>
    <w:p>
      <w:pPr>
        <w:pStyle w:val="3"/>
        <w:jc w:val="center"/>
        <w:rPr>
          <w:color w:val="000000" w:themeColor="text1"/>
          <w:sz w:val="21"/>
          <w:szCs w:val="21"/>
        </w:rPr>
      </w:pPr>
      <w:bookmarkStart w:id="356" w:name="_Toc535851379"/>
      <w:r>
        <w:rPr>
          <w:color w:val="000000" w:themeColor="text1"/>
          <w:sz w:val="21"/>
          <w:szCs w:val="21"/>
        </w:rPr>
        <w:t>附</w:t>
      </w:r>
      <w:r>
        <w:rPr>
          <w:rFonts w:hint="eastAsia"/>
          <w:color w:val="000000" w:themeColor="text1"/>
          <w:sz w:val="21"/>
          <w:szCs w:val="21"/>
        </w:rPr>
        <w:t xml:space="preserve">件6 </w:t>
      </w:r>
      <w:r>
        <w:rPr>
          <w:color w:val="000000" w:themeColor="text1"/>
          <w:sz w:val="21"/>
          <w:szCs w:val="21"/>
        </w:rPr>
        <w:t>常见化学品引发水污染事故的简要现场处置方法</w:t>
      </w:r>
      <w:bookmarkEnd w:id="356"/>
    </w:p>
    <w:tbl>
      <w:tblPr>
        <w:tblStyle w:val="47"/>
        <w:tblW w:w="9060" w:type="dxa"/>
        <w:jc w:val="center"/>
        <w:tblInd w:w="0" w:type="dxa"/>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
      <w:tblGrid>
        <w:gridCol w:w="530"/>
        <w:gridCol w:w="918"/>
        <w:gridCol w:w="4039"/>
        <w:gridCol w:w="3573"/>
      </w:tblGrid>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trHeight w:val="454" w:hRule="atLeast"/>
          <w:jc w:val="center"/>
        </w:trPr>
        <w:tc>
          <w:tcPr>
            <w:tcW w:w="530" w:type="dxa"/>
            <w:tcBorders>
              <w:tl2br w:val="nil"/>
              <w:tr2bl w:val="nil"/>
            </w:tcBorders>
            <w:vAlign w:val="center"/>
          </w:tcPr>
          <w:p>
            <w:pPr>
              <w:adjustRightInd w:val="0"/>
              <w:snapToGrid w:val="0"/>
              <w:spacing w:line="240" w:lineRule="auto"/>
              <w:ind w:firstLine="0" w:firstLineChars="0"/>
              <w:jc w:val="center"/>
              <w:rPr>
                <w:rFonts w:asciiTheme="minorEastAsia" w:hAnsiTheme="minorEastAsia" w:eastAsiaTheme="minorEastAsia"/>
                <w:b/>
                <w:color w:val="000000"/>
                <w:sz w:val="21"/>
                <w:szCs w:val="21"/>
              </w:rPr>
            </w:pPr>
            <w:r>
              <w:rPr>
                <w:rFonts w:hint="eastAsia" w:asciiTheme="minorEastAsia" w:hAnsiTheme="minorEastAsia" w:eastAsiaTheme="minorEastAsia"/>
                <w:b/>
                <w:color w:val="000000"/>
                <w:sz w:val="21"/>
                <w:szCs w:val="21"/>
              </w:rPr>
              <w:t>序号</w:t>
            </w:r>
          </w:p>
        </w:tc>
        <w:tc>
          <w:tcPr>
            <w:tcW w:w="918" w:type="dxa"/>
            <w:tcBorders>
              <w:tl2br w:val="nil"/>
              <w:tr2bl w:val="nil"/>
            </w:tcBorders>
            <w:vAlign w:val="center"/>
          </w:tcPr>
          <w:p>
            <w:pPr>
              <w:adjustRightInd w:val="0"/>
              <w:snapToGrid w:val="0"/>
              <w:spacing w:line="240" w:lineRule="auto"/>
              <w:ind w:firstLine="0" w:firstLineChars="0"/>
              <w:jc w:val="center"/>
              <w:rPr>
                <w:rFonts w:asciiTheme="minorEastAsia" w:hAnsiTheme="minorEastAsia" w:eastAsiaTheme="minorEastAsia"/>
                <w:b/>
                <w:color w:val="000000"/>
                <w:sz w:val="21"/>
                <w:szCs w:val="21"/>
              </w:rPr>
            </w:pPr>
            <w:r>
              <w:rPr>
                <w:rFonts w:hint="eastAsia" w:asciiTheme="minorEastAsia" w:hAnsiTheme="minorEastAsia" w:eastAsiaTheme="minorEastAsia"/>
                <w:b/>
                <w:color w:val="000000"/>
                <w:sz w:val="21"/>
                <w:szCs w:val="21"/>
              </w:rPr>
              <w:t>污染物类别</w:t>
            </w:r>
          </w:p>
        </w:tc>
        <w:tc>
          <w:tcPr>
            <w:tcW w:w="4039" w:type="dxa"/>
            <w:tcBorders>
              <w:tl2br w:val="nil"/>
              <w:tr2bl w:val="nil"/>
            </w:tcBorders>
            <w:vAlign w:val="center"/>
          </w:tcPr>
          <w:p>
            <w:pPr>
              <w:adjustRightInd w:val="0"/>
              <w:snapToGrid w:val="0"/>
              <w:spacing w:line="240" w:lineRule="auto"/>
              <w:ind w:firstLine="0" w:firstLineChars="0"/>
              <w:jc w:val="center"/>
              <w:rPr>
                <w:rFonts w:asciiTheme="minorEastAsia" w:hAnsiTheme="minorEastAsia" w:eastAsiaTheme="minorEastAsia"/>
                <w:b/>
                <w:color w:val="000000"/>
                <w:sz w:val="21"/>
                <w:szCs w:val="21"/>
              </w:rPr>
            </w:pPr>
            <w:r>
              <w:rPr>
                <w:rFonts w:hint="eastAsia" w:asciiTheme="minorEastAsia" w:hAnsiTheme="minorEastAsia" w:eastAsiaTheme="minorEastAsia"/>
                <w:b/>
                <w:color w:val="000000"/>
                <w:kern w:val="0"/>
                <w:sz w:val="21"/>
                <w:szCs w:val="21"/>
              </w:rPr>
              <w:t>代表物质</w:t>
            </w:r>
          </w:p>
        </w:tc>
        <w:tc>
          <w:tcPr>
            <w:tcW w:w="3573" w:type="dxa"/>
            <w:tcBorders>
              <w:tl2br w:val="nil"/>
              <w:tr2bl w:val="nil"/>
            </w:tcBorders>
            <w:vAlign w:val="center"/>
          </w:tcPr>
          <w:p>
            <w:pPr>
              <w:adjustRightInd w:val="0"/>
              <w:snapToGrid w:val="0"/>
              <w:spacing w:line="240" w:lineRule="auto"/>
              <w:ind w:firstLine="0" w:firstLineChars="0"/>
              <w:jc w:val="center"/>
              <w:rPr>
                <w:rFonts w:asciiTheme="minorEastAsia" w:hAnsiTheme="minorEastAsia" w:eastAsiaTheme="minorEastAsia"/>
                <w:b/>
                <w:color w:val="000000"/>
                <w:sz w:val="21"/>
                <w:szCs w:val="21"/>
              </w:rPr>
            </w:pPr>
            <w:r>
              <w:rPr>
                <w:rFonts w:hint="eastAsia" w:asciiTheme="minorEastAsia" w:hAnsiTheme="minorEastAsia" w:eastAsiaTheme="minorEastAsia"/>
                <w:b/>
                <w:color w:val="000000"/>
                <w:sz w:val="21"/>
                <w:szCs w:val="21"/>
              </w:rPr>
              <w:t>现场应急处置</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trHeight w:val="454" w:hRule="atLeast"/>
          <w:jc w:val="center"/>
        </w:trPr>
        <w:tc>
          <w:tcPr>
            <w:tcW w:w="530" w:type="dxa"/>
            <w:tcBorders>
              <w:tl2br w:val="nil"/>
              <w:tr2bl w:val="nil"/>
            </w:tcBorders>
            <w:vAlign w:val="center"/>
          </w:tcPr>
          <w:p>
            <w:pPr>
              <w:adjustRightInd w:val="0"/>
              <w:snapToGrid w:val="0"/>
              <w:spacing w:line="240" w:lineRule="auto"/>
              <w:ind w:firstLine="0" w:firstLineChars="0"/>
              <w:jc w:val="center"/>
              <w:rPr>
                <w:rFonts w:asciiTheme="minorEastAsia" w:hAnsiTheme="minorEastAsia" w:eastAsiaTheme="minorEastAsia"/>
                <w:bCs/>
                <w:color w:val="000000"/>
                <w:sz w:val="21"/>
                <w:szCs w:val="21"/>
              </w:rPr>
            </w:pPr>
            <w:r>
              <w:rPr>
                <w:rFonts w:hint="eastAsia" w:asciiTheme="minorEastAsia" w:hAnsiTheme="minorEastAsia" w:eastAsiaTheme="minorEastAsia"/>
                <w:bCs/>
                <w:color w:val="000000"/>
                <w:sz w:val="21"/>
                <w:szCs w:val="21"/>
              </w:rPr>
              <w:t>1</w:t>
            </w:r>
          </w:p>
        </w:tc>
        <w:tc>
          <w:tcPr>
            <w:tcW w:w="918" w:type="dxa"/>
            <w:tcBorders>
              <w:tl2br w:val="nil"/>
              <w:tr2bl w:val="nil"/>
            </w:tcBorders>
            <w:vAlign w:val="center"/>
          </w:tcPr>
          <w:p>
            <w:pPr>
              <w:autoSpaceDE w:val="0"/>
              <w:autoSpaceDN w:val="0"/>
              <w:adjustRightInd w:val="0"/>
              <w:snapToGrid w:val="0"/>
              <w:spacing w:line="240" w:lineRule="auto"/>
              <w:ind w:firstLine="0" w:firstLineChars="0"/>
              <w:jc w:val="center"/>
              <w:rPr>
                <w:rFonts w:asciiTheme="minorEastAsia" w:hAnsiTheme="minorEastAsia" w:eastAsiaTheme="minorEastAsia"/>
                <w:bCs/>
                <w:color w:val="000000"/>
                <w:sz w:val="21"/>
                <w:szCs w:val="21"/>
              </w:rPr>
            </w:pPr>
            <w:r>
              <w:rPr>
                <w:rFonts w:hint="eastAsia" w:asciiTheme="minorEastAsia" w:hAnsiTheme="minorEastAsia" w:eastAsiaTheme="minorEastAsia"/>
                <w:bCs/>
                <w:color w:val="000000"/>
                <w:sz w:val="21"/>
                <w:szCs w:val="21"/>
              </w:rPr>
              <w:t>重金属类</w:t>
            </w:r>
          </w:p>
        </w:tc>
        <w:tc>
          <w:tcPr>
            <w:tcW w:w="4039" w:type="dxa"/>
            <w:tcBorders>
              <w:tl2br w:val="nil"/>
              <w:tr2bl w:val="nil"/>
            </w:tcBorders>
            <w:vAlign w:val="center"/>
          </w:tcPr>
          <w:p>
            <w:pPr>
              <w:adjustRightInd w:val="0"/>
              <w:snapToGrid w:val="0"/>
              <w:spacing w:line="240" w:lineRule="auto"/>
              <w:ind w:firstLine="0" w:firstLineChars="0"/>
              <w:rPr>
                <w:rFonts w:asciiTheme="minorEastAsia" w:hAnsiTheme="minorEastAsia" w:eastAsiaTheme="minorEastAsia"/>
                <w:bCs/>
                <w:color w:val="000000"/>
                <w:sz w:val="21"/>
                <w:szCs w:val="21"/>
              </w:rPr>
            </w:pPr>
            <w:r>
              <w:rPr>
                <w:rFonts w:hint="eastAsia" w:asciiTheme="minorEastAsia" w:hAnsiTheme="minorEastAsia" w:eastAsiaTheme="minorEastAsia"/>
                <w:bCs/>
                <w:color w:val="000000"/>
                <w:sz w:val="21"/>
                <w:szCs w:val="21"/>
              </w:rPr>
              <w:t>代表物质有汞及汞盐、铅盐、锡盐类、铬盐等。汞为液体金属，其余均为结晶盐类, 铬盐和铅往往有鲜亮的颜色。该类物质多数具有较强毒性，在自然环境中不降解，并能随食物链逐渐富集，形成急性或蓄积类水污染事故。</w:t>
            </w:r>
          </w:p>
        </w:tc>
        <w:tc>
          <w:tcPr>
            <w:tcW w:w="3573" w:type="dxa"/>
            <w:tcBorders>
              <w:tl2br w:val="nil"/>
              <w:tr2bl w:val="nil"/>
            </w:tcBorders>
            <w:vAlign w:val="center"/>
          </w:tcPr>
          <w:p>
            <w:pPr>
              <w:autoSpaceDE w:val="0"/>
              <w:autoSpaceDN w:val="0"/>
              <w:adjustRightInd w:val="0"/>
              <w:snapToGrid w:val="0"/>
              <w:spacing w:line="240" w:lineRule="auto"/>
              <w:ind w:firstLine="0" w:firstLineChars="0"/>
              <w:rPr>
                <w:rFonts w:asciiTheme="minorEastAsia" w:hAnsiTheme="minorEastAsia" w:eastAsiaTheme="minorEastAsia"/>
                <w:bCs/>
                <w:color w:val="000000"/>
                <w:sz w:val="21"/>
                <w:szCs w:val="21"/>
              </w:rPr>
            </w:pPr>
            <w:r>
              <w:rPr>
                <w:rFonts w:hint="eastAsia" w:asciiTheme="minorEastAsia" w:hAnsiTheme="minorEastAsia" w:eastAsiaTheme="minorEastAsia"/>
                <w:bCs/>
                <w:color w:val="000000"/>
                <w:sz w:val="21"/>
                <w:szCs w:val="21"/>
              </w:rPr>
              <w:t>关闭闸门或筑坝围隔污染区，在污染区投加生石灰沉淀重金属离子，排干上清液后将底质移除到安全地方水泥固化后填埋。汞泄漏后应急人员应佩戴防护用具，尽量将泄漏汞收集到安全地方处理，无法收集的现场用硫磺粉覆盖处理。</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trHeight w:val="454" w:hRule="atLeast"/>
          <w:jc w:val="center"/>
        </w:trPr>
        <w:tc>
          <w:tcPr>
            <w:tcW w:w="530" w:type="dxa"/>
            <w:tcBorders>
              <w:tl2br w:val="nil"/>
              <w:tr2bl w:val="nil"/>
            </w:tcBorders>
            <w:vAlign w:val="center"/>
          </w:tcPr>
          <w:p>
            <w:pPr>
              <w:adjustRightInd w:val="0"/>
              <w:snapToGrid w:val="0"/>
              <w:spacing w:line="240" w:lineRule="auto"/>
              <w:ind w:firstLine="0" w:firstLineChars="0"/>
              <w:jc w:val="center"/>
              <w:rPr>
                <w:rFonts w:asciiTheme="minorEastAsia" w:hAnsiTheme="minorEastAsia" w:eastAsiaTheme="minorEastAsia"/>
                <w:bCs/>
                <w:color w:val="000000"/>
                <w:sz w:val="21"/>
                <w:szCs w:val="21"/>
              </w:rPr>
            </w:pPr>
            <w:r>
              <w:rPr>
                <w:rFonts w:hint="eastAsia" w:asciiTheme="minorEastAsia" w:hAnsiTheme="minorEastAsia" w:eastAsiaTheme="minorEastAsia"/>
                <w:bCs/>
                <w:color w:val="000000"/>
                <w:sz w:val="21"/>
                <w:szCs w:val="21"/>
              </w:rPr>
              <w:t>2</w:t>
            </w:r>
          </w:p>
        </w:tc>
        <w:tc>
          <w:tcPr>
            <w:tcW w:w="918" w:type="dxa"/>
            <w:tcBorders>
              <w:tl2br w:val="nil"/>
              <w:tr2bl w:val="nil"/>
            </w:tcBorders>
            <w:vAlign w:val="center"/>
          </w:tcPr>
          <w:p>
            <w:pPr>
              <w:autoSpaceDE w:val="0"/>
              <w:autoSpaceDN w:val="0"/>
              <w:adjustRightInd w:val="0"/>
              <w:snapToGrid w:val="0"/>
              <w:spacing w:line="240" w:lineRule="auto"/>
              <w:ind w:firstLine="0" w:firstLineChars="0"/>
              <w:jc w:val="center"/>
              <w:rPr>
                <w:rFonts w:asciiTheme="minorEastAsia" w:hAnsiTheme="minorEastAsia" w:eastAsiaTheme="minorEastAsia"/>
                <w:bCs/>
                <w:color w:val="000000"/>
                <w:sz w:val="21"/>
                <w:szCs w:val="21"/>
              </w:rPr>
            </w:pPr>
            <w:r>
              <w:rPr>
                <w:rFonts w:hint="eastAsia" w:asciiTheme="minorEastAsia" w:hAnsiTheme="minorEastAsia" w:eastAsiaTheme="minorEastAsia"/>
                <w:bCs/>
                <w:color w:val="000000"/>
                <w:sz w:val="21"/>
                <w:szCs w:val="21"/>
              </w:rPr>
              <w:t>氰化物</w:t>
            </w:r>
          </w:p>
        </w:tc>
        <w:tc>
          <w:tcPr>
            <w:tcW w:w="4039" w:type="dxa"/>
            <w:tcBorders>
              <w:tl2br w:val="nil"/>
              <w:tr2bl w:val="nil"/>
            </w:tcBorders>
            <w:vAlign w:val="center"/>
          </w:tcPr>
          <w:p>
            <w:pPr>
              <w:adjustRightInd w:val="0"/>
              <w:snapToGrid w:val="0"/>
              <w:spacing w:line="240" w:lineRule="auto"/>
              <w:ind w:firstLine="0" w:firstLineChars="0"/>
              <w:rPr>
                <w:rFonts w:asciiTheme="minorEastAsia" w:hAnsiTheme="minorEastAsia" w:eastAsiaTheme="minorEastAsia"/>
                <w:bCs/>
                <w:color w:val="000000"/>
                <w:sz w:val="21"/>
                <w:szCs w:val="21"/>
              </w:rPr>
            </w:pPr>
            <w:r>
              <w:rPr>
                <w:rFonts w:hint="eastAsia" w:asciiTheme="minorEastAsia" w:hAnsiTheme="minorEastAsia" w:eastAsiaTheme="minorEastAsia"/>
                <w:bCs/>
                <w:color w:val="000000"/>
                <w:sz w:val="21"/>
                <w:szCs w:val="21"/>
              </w:rPr>
              <w:t>代表物质有氰化钾、氰化钠和氰化氢的水溶液。氰化钾、氰化钠为白色结晶粉末，易潮解，易溶于水，用于冶金和电镀行业， 常以水溶液罐车运输。氰化氢常温下为液体易挥发，有苦杏仁味。该类物质呈现剧毒，能抑制呼吸酶，对底栖动物、鱼类、两栖动物、哺乳动物等均呈高毒。</w:t>
            </w:r>
          </w:p>
        </w:tc>
        <w:tc>
          <w:tcPr>
            <w:tcW w:w="3573" w:type="dxa"/>
            <w:tcBorders>
              <w:tl2br w:val="nil"/>
              <w:tr2bl w:val="nil"/>
            </w:tcBorders>
            <w:vAlign w:val="center"/>
          </w:tcPr>
          <w:p>
            <w:pPr>
              <w:adjustRightInd w:val="0"/>
              <w:snapToGrid w:val="0"/>
              <w:spacing w:line="240" w:lineRule="auto"/>
              <w:ind w:firstLine="0" w:firstLineChars="0"/>
              <w:rPr>
                <w:rFonts w:asciiTheme="minorEastAsia" w:hAnsiTheme="minorEastAsia" w:eastAsiaTheme="minorEastAsia"/>
                <w:bCs/>
                <w:color w:val="000000"/>
                <w:sz w:val="21"/>
                <w:szCs w:val="21"/>
              </w:rPr>
            </w:pPr>
            <w:r>
              <w:rPr>
                <w:rFonts w:hint="eastAsia" w:asciiTheme="minorEastAsia" w:hAnsiTheme="minorEastAsia" w:eastAsiaTheme="minorEastAsia"/>
                <w:bCs/>
                <w:color w:val="000000"/>
                <w:sz w:val="21"/>
                <w:szCs w:val="21"/>
              </w:rPr>
              <w:t>应急处置人员须佩带全身防护用具，尽可能围隔污染区，在污染区加过量漂白粉处置，一般24小时可氧化完全。</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trHeight w:val="454" w:hRule="atLeast"/>
          <w:jc w:val="center"/>
        </w:trPr>
        <w:tc>
          <w:tcPr>
            <w:tcW w:w="530" w:type="dxa"/>
            <w:tcBorders>
              <w:tl2br w:val="nil"/>
              <w:tr2bl w:val="nil"/>
            </w:tcBorders>
            <w:vAlign w:val="center"/>
          </w:tcPr>
          <w:p>
            <w:pPr>
              <w:adjustRightInd w:val="0"/>
              <w:snapToGrid w:val="0"/>
              <w:spacing w:line="240" w:lineRule="auto"/>
              <w:ind w:firstLine="0" w:firstLineChars="0"/>
              <w:jc w:val="center"/>
              <w:rPr>
                <w:rFonts w:asciiTheme="minorEastAsia" w:hAnsiTheme="minorEastAsia" w:eastAsiaTheme="minorEastAsia"/>
                <w:bCs/>
                <w:color w:val="000000"/>
                <w:sz w:val="21"/>
                <w:szCs w:val="21"/>
              </w:rPr>
            </w:pPr>
            <w:r>
              <w:rPr>
                <w:rFonts w:hint="eastAsia" w:asciiTheme="minorEastAsia" w:hAnsiTheme="minorEastAsia" w:eastAsiaTheme="minorEastAsia"/>
                <w:bCs/>
                <w:color w:val="000000"/>
                <w:sz w:val="21"/>
                <w:szCs w:val="21"/>
              </w:rPr>
              <w:t>3</w:t>
            </w:r>
          </w:p>
        </w:tc>
        <w:tc>
          <w:tcPr>
            <w:tcW w:w="918" w:type="dxa"/>
            <w:tcBorders>
              <w:tl2br w:val="nil"/>
              <w:tr2bl w:val="nil"/>
            </w:tcBorders>
            <w:vAlign w:val="center"/>
          </w:tcPr>
          <w:p>
            <w:pPr>
              <w:autoSpaceDE w:val="0"/>
              <w:autoSpaceDN w:val="0"/>
              <w:adjustRightInd w:val="0"/>
              <w:snapToGrid w:val="0"/>
              <w:spacing w:line="240" w:lineRule="auto"/>
              <w:ind w:firstLine="0" w:firstLineChars="0"/>
              <w:jc w:val="center"/>
              <w:rPr>
                <w:rFonts w:asciiTheme="minorEastAsia" w:hAnsiTheme="minorEastAsia" w:eastAsiaTheme="minorEastAsia"/>
                <w:bCs/>
                <w:color w:val="000000"/>
                <w:sz w:val="21"/>
                <w:szCs w:val="21"/>
              </w:rPr>
            </w:pPr>
            <w:r>
              <w:rPr>
                <w:rFonts w:hint="eastAsia" w:asciiTheme="minorEastAsia" w:hAnsiTheme="minorEastAsia" w:eastAsiaTheme="minorEastAsia"/>
                <w:bCs/>
                <w:color w:val="000000"/>
                <w:sz w:val="21"/>
                <w:szCs w:val="21"/>
              </w:rPr>
              <w:t>氟化物</w:t>
            </w:r>
          </w:p>
        </w:tc>
        <w:tc>
          <w:tcPr>
            <w:tcW w:w="4039" w:type="dxa"/>
            <w:tcBorders>
              <w:tl2br w:val="nil"/>
              <w:tr2bl w:val="nil"/>
            </w:tcBorders>
            <w:vAlign w:val="center"/>
          </w:tcPr>
          <w:p>
            <w:pPr>
              <w:autoSpaceDE w:val="0"/>
              <w:autoSpaceDN w:val="0"/>
              <w:adjustRightInd w:val="0"/>
              <w:snapToGrid w:val="0"/>
              <w:spacing w:line="240" w:lineRule="auto"/>
              <w:ind w:firstLine="0" w:firstLineChars="0"/>
              <w:rPr>
                <w:rFonts w:asciiTheme="minorEastAsia" w:hAnsiTheme="minorEastAsia" w:eastAsiaTheme="minorEastAsia"/>
                <w:bCs/>
                <w:color w:val="000000"/>
                <w:sz w:val="21"/>
                <w:szCs w:val="21"/>
              </w:rPr>
            </w:pPr>
            <w:r>
              <w:rPr>
                <w:rFonts w:hint="eastAsia" w:asciiTheme="minorEastAsia" w:hAnsiTheme="minorEastAsia" w:eastAsiaTheme="minorEastAsia"/>
                <w:bCs/>
                <w:color w:val="000000"/>
                <w:sz w:val="21"/>
                <w:szCs w:val="21"/>
              </w:rPr>
              <w:t>代表物质有氟化钠、氢氟酸等。氟化钠为白色粉末，无味。氢氟酸为无色有刺激臭味的液体。该类物质易溶于水，高毒，并且容易在酸性环境中挥发氟化氢气体毒害呼吸系统。在自然环境中容易和金属离子形成络合物而降低毒性。</w:t>
            </w:r>
          </w:p>
        </w:tc>
        <w:tc>
          <w:tcPr>
            <w:tcW w:w="3573" w:type="dxa"/>
            <w:tcBorders>
              <w:tl2br w:val="nil"/>
              <w:tr2bl w:val="nil"/>
            </w:tcBorders>
            <w:vAlign w:val="center"/>
          </w:tcPr>
          <w:p>
            <w:pPr>
              <w:autoSpaceDE w:val="0"/>
              <w:autoSpaceDN w:val="0"/>
              <w:adjustRightInd w:val="0"/>
              <w:snapToGrid w:val="0"/>
              <w:spacing w:line="240" w:lineRule="auto"/>
              <w:ind w:firstLine="0" w:firstLineChars="0"/>
              <w:rPr>
                <w:rFonts w:asciiTheme="minorEastAsia" w:hAnsiTheme="minorEastAsia" w:eastAsiaTheme="minorEastAsia"/>
                <w:bCs/>
                <w:color w:val="000000"/>
                <w:sz w:val="21"/>
                <w:szCs w:val="21"/>
              </w:rPr>
            </w:pPr>
            <w:r>
              <w:rPr>
                <w:rFonts w:hint="eastAsia" w:asciiTheme="minorEastAsia" w:hAnsiTheme="minorEastAsia" w:eastAsiaTheme="minorEastAsia"/>
                <w:bCs/>
                <w:color w:val="000000"/>
                <w:sz w:val="21"/>
                <w:szCs w:val="21"/>
              </w:rPr>
              <w:t>关闭闸门或筑坝围隔污染区,应急处置人员须带全身防护用具。在污染水体中加人过量生石灰沉淀氟离子，并投加明矾加快沉淀速度。沉淀完全后将上清液排放，铲除底质，并转移到安全地方处置。</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trHeight w:val="454" w:hRule="atLeast"/>
          <w:jc w:val="center"/>
        </w:trPr>
        <w:tc>
          <w:tcPr>
            <w:tcW w:w="530" w:type="dxa"/>
            <w:tcBorders>
              <w:tl2br w:val="nil"/>
              <w:tr2bl w:val="nil"/>
            </w:tcBorders>
            <w:vAlign w:val="center"/>
          </w:tcPr>
          <w:p>
            <w:pPr>
              <w:adjustRightInd w:val="0"/>
              <w:snapToGrid w:val="0"/>
              <w:spacing w:line="240" w:lineRule="auto"/>
              <w:ind w:firstLine="0" w:firstLineChars="0"/>
              <w:jc w:val="center"/>
              <w:rPr>
                <w:rFonts w:asciiTheme="minorEastAsia" w:hAnsiTheme="minorEastAsia" w:eastAsiaTheme="minorEastAsia"/>
                <w:bCs/>
                <w:color w:val="000000"/>
                <w:sz w:val="21"/>
                <w:szCs w:val="21"/>
              </w:rPr>
            </w:pPr>
            <w:r>
              <w:rPr>
                <w:rFonts w:hint="eastAsia" w:asciiTheme="minorEastAsia" w:hAnsiTheme="minorEastAsia" w:eastAsiaTheme="minorEastAsia"/>
                <w:bCs/>
                <w:color w:val="000000"/>
                <w:sz w:val="21"/>
                <w:szCs w:val="21"/>
              </w:rPr>
              <w:t>4</w:t>
            </w:r>
          </w:p>
        </w:tc>
        <w:tc>
          <w:tcPr>
            <w:tcW w:w="918" w:type="dxa"/>
            <w:tcBorders>
              <w:tl2br w:val="nil"/>
              <w:tr2bl w:val="nil"/>
            </w:tcBorders>
            <w:vAlign w:val="center"/>
          </w:tcPr>
          <w:p>
            <w:pPr>
              <w:autoSpaceDE w:val="0"/>
              <w:autoSpaceDN w:val="0"/>
              <w:adjustRightInd w:val="0"/>
              <w:snapToGrid w:val="0"/>
              <w:spacing w:line="240" w:lineRule="auto"/>
              <w:ind w:firstLine="0" w:firstLineChars="0"/>
              <w:jc w:val="center"/>
              <w:rPr>
                <w:rFonts w:asciiTheme="minorEastAsia" w:hAnsiTheme="minorEastAsia" w:eastAsiaTheme="minorEastAsia"/>
                <w:bCs/>
                <w:color w:val="000000"/>
                <w:sz w:val="21"/>
                <w:szCs w:val="21"/>
              </w:rPr>
            </w:pPr>
            <w:r>
              <w:rPr>
                <w:rFonts w:hint="eastAsia" w:asciiTheme="minorEastAsia" w:hAnsiTheme="minorEastAsia" w:eastAsiaTheme="minorEastAsia"/>
                <w:bCs/>
                <w:color w:val="000000"/>
                <w:sz w:val="21"/>
                <w:szCs w:val="21"/>
              </w:rPr>
              <w:t>金属酸矸</w:t>
            </w:r>
          </w:p>
        </w:tc>
        <w:tc>
          <w:tcPr>
            <w:tcW w:w="4039" w:type="dxa"/>
            <w:tcBorders>
              <w:tl2br w:val="nil"/>
              <w:tr2bl w:val="nil"/>
            </w:tcBorders>
            <w:vAlign w:val="center"/>
          </w:tcPr>
          <w:p>
            <w:pPr>
              <w:autoSpaceDE w:val="0"/>
              <w:autoSpaceDN w:val="0"/>
              <w:adjustRightInd w:val="0"/>
              <w:snapToGrid w:val="0"/>
              <w:spacing w:line="240" w:lineRule="auto"/>
              <w:ind w:firstLine="0" w:firstLineChars="0"/>
              <w:rPr>
                <w:rFonts w:asciiTheme="minorEastAsia" w:hAnsiTheme="minorEastAsia" w:eastAsiaTheme="minorEastAsia"/>
                <w:bCs/>
                <w:color w:val="000000"/>
                <w:sz w:val="21"/>
                <w:szCs w:val="21"/>
              </w:rPr>
            </w:pPr>
            <w:r>
              <w:rPr>
                <w:rFonts w:hint="eastAsia" w:asciiTheme="minorEastAsia" w:hAnsiTheme="minorEastAsia" w:eastAsiaTheme="minorEastAsia"/>
                <w:bCs/>
                <w:color w:val="000000"/>
                <w:sz w:val="21"/>
                <w:szCs w:val="21"/>
              </w:rPr>
              <w:t>代表物质有砒霜（三氧化二砷）和铬酸矸（三氧化铬）。砒霜为无色无味白色粉末，微溶于水。铬酸矸为紫红色斜方晶体，易潮解。两种物质均在水中有一定的溶解度，呈现高毒性， 可毒害呼吸系统、神经系统和循环系统，并能在动物体内可以富集，造成二次中毒。</w:t>
            </w:r>
          </w:p>
        </w:tc>
        <w:tc>
          <w:tcPr>
            <w:tcW w:w="3573" w:type="dxa"/>
            <w:tcBorders>
              <w:tl2br w:val="nil"/>
              <w:tr2bl w:val="nil"/>
            </w:tcBorders>
            <w:vAlign w:val="center"/>
          </w:tcPr>
          <w:p>
            <w:pPr>
              <w:adjustRightInd w:val="0"/>
              <w:snapToGrid w:val="0"/>
              <w:spacing w:line="240" w:lineRule="auto"/>
              <w:ind w:firstLine="0" w:firstLineChars="0"/>
              <w:rPr>
                <w:rFonts w:asciiTheme="minorEastAsia" w:hAnsiTheme="minorEastAsia" w:eastAsiaTheme="minorEastAsia"/>
                <w:bCs/>
                <w:color w:val="000000"/>
                <w:sz w:val="21"/>
                <w:szCs w:val="21"/>
              </w:rPr>
            </w:pPr>
            <w:r>
              <w:rPr>
                <w:rFonts w:hint="eastAsia" w:asciiTheme="minorEastAsia" w:hAnsiTheme="minorEastAsia" w:eastAsiaTheme="minorEastAsia"/>
                <w:bCs/>
                <w:color w:val="000000"/>
                <w:sz w:val="21"/>
                <w:szCs w:val="21"/>
              </w:rPr>
              <w:t>关闭闸门或筑坝围隔污染区，投放石灰和明矾沉淀，沉淀完全后将上清液转移到安全地方，用草酸钠还原后排放。清除底泥中的沉淀物，用水泥固化后深埋。</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trHeight w:val="454" w:hRule="atLeast"/>
          <w:jc w:val="center"/>
        </w:trPr>
        <w:tc>
          <w:tcPr>
            <w:tcW w:w="530" w:type="dxa"/>
            <w:tcBorders>
              <w:tl2br w:val="nil"/>
              <w:tr2bl w:val="nil"/>
            </w:tcBorders>
            <w:vAlign w:val="center"/>
          </w:tcPr>
          <w:p>
            <w:pPr>
              <w:adjustRightInd w:val="0"/>
              <w:snapToGrid w:val="0"/>
              <w:spacing w:line="240" w:lineRule="auto"/>
              <w:ind w:firstLine="0" w:firstLineChars="0"/>
              <w:jc w:val="center"/>
              <w:rPr>
                <w:rFonts w:asciiTheme="minorEastAsia" w:hAnsiTheme="minorEastAsia" w:eastAsiaTheme="minorEastAsia"/>
                <w:bCs/>
                <w:color w:val="000000"/>
                <w:sz w:val="21"/>
                <w:szCs w:val="21"/>
              </w:rPr>
            </w:pPr>
            <w:r>
              <w:rPr>
                <w:rFonts w:hint="eastAsia" w:asciiTheme="minorEastAsia" w:hAnsiTheme="minorEastAsia" w:eastAsiaTheme="minorEastAsia"/>
                <w:bCs/>
                <w:color w:val="000000"/>
                <w:sz w:val="21"/>
                <w:szCs w:val="21"/>
              </w:rPr>
              <w:t>5</w:t>
            </w:r>
          </w:p>
        </w:tc>
        <w:tc>
          <w:tcPr>
            <w:tcW w:w="918" w:type="dxa"/>
            <w:tcBorders>
              <w:tl2br w:val="nil"/>
              <w:tr2bl w:val="nil"/>
            </w:tcBorders>
            <w:vAlign w:val="center"/>
          </w:tcPr>
          <w:p>
            <w:pPr>
              <w:autoSpaceDE w:val="0"/>
              <w:autoSpaceDN w:val="0"/>
              <w:adjustRightInd w:val="0"/>
              <w:snapToGrid w:val="0"/>
              <w:spacing w:line="240" w:lineRule="auto"/>
              <w:ind w:firstLine="0" w:firstLineChars="0"/>
              <w:jc w:val="center"/>
              <w:rPr>
                <w:rFonts w:asciiTheme="minorEastAsia" w:hAnsiTheme="minorEastAsia" w:eastAsiaTheme="minorEastAsia"/>
                <w:bCs/>
                <w:color w:val="000000"/>
                <w:sz w:val="21"/>
                <w:szCs w:val="21"/>
              </w:rPr>
            </w:pPr>
            <w:r>
              <w:rPr>
                <w:rFonts w:hint="eastAsia" w:asciiTheme="minorEastAsia" w:hAnsiTheme="minorEastAsia" w:eastAsiaTheme="minorEastAsia"/>
                <w:bCs/>
                <w:color w:val="000000"/>
                <w:sz w:val="21"/>
                <w:szCs w:val="21"/>
              </w:rPr>
              <w:t>苯类化合物</w:t>
            </w:r>
          </w:p>
        </w:tc>
        <w:tc>
          <w:tcPr>
            <w:tcW w:w="4039" w:type="dxa"/>
            <w:tcBorders>
              <w:tl2br w:val="nil"/>
              <w:tr2bl w:val="nil"/>
            </w:tcBorders>
            <w:vAlign w:val="center"/>
          </w:tcPr>
          <w:p>
            <w:pPr>
              <w:autoSpaceDE w:val="0"/>
              <w:autoSpaceDN w:val="0"/>
              <w:adjustRightInd w:val="0"/>
              <w:snapToGrid w:val="0"/>
              <w:spacing w:line="240" w:lineRule="auto"/>
              <w:ind w:firstLine="0" w:firstLineChars="0"/>
              <w:rPr>
                <w:rFonts w:asciiTheme="minorEastAsia" w:hAnsiTheme="minorEastAsia" w:eastAsiaTheme="minorEastAsia"/>
                <w:bCs/>
                <w:color w:val="000000"/>
                <w:sz w:val="21"/>
                <w:szCs w:val="21"/>
              </w:rPr>
            </w:pPr>
            <w:r>
              <w:rPr>
                <w:rFonts w:hint="eastAsia" w:asciiTheme="minorEastAsia" w:hAnsiTheme="minorEastAsia" w:eastAsiaTheme="minorEastAsia"/>
                <w:bCs/>
                <w:color w:val="000000"/>
                <w:sz w:val="21"/>
                <w:szCs w:val="21"/>
              </w:rPr>
              <w:t>代表物质有苯、甲苯、乙苯、二甲苯、苯乙烯、硝基苯等。油状液体，有特殊芳香味，易挥发，除取代苯外，密度一般小于水。该类物质是神经和循环系统毒剂，对人体有致癌作用，不溶或微溶于水，扩散速度快。</w:t>
            </w:r>
          </w:p>
        </w:tc>
        <w:tc>
          <w:tcPr>
            <w:tcW w:w="3573" w:type="dxa"/>
            <w:tcBorders>
              <w:tl2br w:val="nil"/>
              <w:tr2bl w:val="nil"/>
            </w:tcBorders>
            <w:vAlign w:val="center"/>
          </w:tcPr>
          <w:p>
            <w:pPr>
              <w:adjustRightInd w:val="0"/>
              <w:snapToGrid w:val="0"/>
              <w:spacing w:line="240" w:lineRule="auto"/>
              <w:ind w:firstLine="0" w:firstLineChars="0"/>
              <w:rPr>
                <w:rFonts w:asciiTheme="minorEastAsia" w:hAnsiTheme="minorEastAsia" w:eastAsiaTheme="minorEastAsia"/>
                <w:bCs/>
                <w:color w:val="000000"/>
                <w:sz w:val="21"/>
                <w:szCs w:val="21"/>
              </w:rPr>
            </w:pPr>
            <w:r>
              <w:rPr>
                <w:rFonts w:hint="eastAsia" w:asciiTheme="minorEastAsia" w:hAnsiTheme="minorEastAsia" w:eastAsiaTheme="minorEastAsia"/>
                <w:bCs/>
                <w:color w:val="000000"/>
                <w:sz w:val="21"/>
                <w:szCs w:val="21"/>
              </w:rPr>
              <w:t>应急处置人员应戴全身防护用具，筑坝或用围油栏围隔污染区，注意防火。污染区用吸油绵等高吸油材料现场吸附，转移到安全地方焚烧处理。污染水体最终用活性炭吸附处理。</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trHeight w:val="454" w:hRule="atLeast"/>
          <w:jc w:val="center"/>
        </w:trPr>
        <w:tc>
          <w:tcPr>
            <w:tcW w:w="530" w:type="dxa"/>
            <w:tcBorders>
              <w:tl2br w:val="nil"/>
              <w:tr2bl w:val="nil"/>
            </w:tcBorders>
            <w:vAlign w:val="center"/>
          </w:tcPr>
          <w:p>
            <w:pPr>
              <w:adjustRightInd w:val="0"/>
              <w:snapToGrid w:val="0"/>
              <w:spacing w:line="240" w:lineRule="auto"/>
              <w:ind w:firstLine="0" w:firstLineChars="0"/>
              <w:jc w:val="center"/>
              <w:rPr>
                <w:rFonts w:asciiTheme="minorEastAsia" w:hAnsiTheme="minorEastAsia" w:eastAsiaTheme="minorEastAsia"/>
                <w:bCs/>
                <w:color w:val="000000"/>
                <w:sz w:val="21"/>
                <w:szCs w:val="21"/>
              </w:rPr>
            </w:pPr>
            <w:r>
              <w:rPr>
                <w:rFonts w:hint="eastAsia" w:asciiTheme="minorEastAsia" w:hAnsiTheme="minorEastAsia" w:eastAsiaTheme="minorEastAsia"/>
                <w:bCs/>
                <w:color w:val="000000"/>
                <w:sz w:val="21"/>
                <w:szCs w:val="21"/>
              </w:rPr>
              <w:t>6</w:t>
            </w:r>
          </w:p>
        </w:tc>
        <w:tc>
          <w:tcPr>
            <w:tcW w:w="918" w:type="dxa"/>
            <w:tcBorders>
              <w:tl2br w:val="nil"/>
              <w:tr2bl w:val="nil"/>
            </w:tcBorders>
            <w:vAlign w:val="center"/>
          </w:tcPr>
          <w:p>
            <w:pPr>
              <w:autoSpaceDE w:val="0"/>
              <w:autoSpaceDN w:val="0"/>
              <w:adjustRightInd w:val="0"/>
              <w:snapToGrid w:val="0"/>
              <w:spacing w:line="240" w:lineRule="auto"/>
              <w:ind w:firstLine="0" w:firstLineChars="0"/>
              <w:jc w:val="center"/>
              <w:rPr>
                <w:rFonts w:asciiTheme="minorEastAsia" w:hAnsiTheme="minorEastAsia" w:eastAsiaTheme="minorEastAsia"/>
                <w:bCs/>
                <w:color w:val="000000"/>
                <w:sz w:val="21"/>
                <w:szCs w:val="21"/>
              </w:rPr>
            </w:pPr>
            <w:r>
              <w:rPr>
                <w:rFonts w:hint="eastAsia" w:asciiTheme="minorEastAsia" w:hAnsiTheme="minorEastAsia" w:eastAsiaTheme="minorEastAsia"/>
                <w:bCs/>
                <w:color w:val="000000"/>
                <w:sz w:val="21"/>
                <w:szCs w:val="21"/>
              </w:rPr>
              <w:t>卤代烃</w:t>
            </w:r>
          </w:p>
        </w:tc>
        <w:tc>
          <w:tcPr>
            <w:tcW w:w="4039" w:type="dxa"/>
            <w:tcBorders>
              <w:tl2br w:val="nil"/>
              <w:tr2bl w:val="nil"/>
            </w:tcBorders>
            <w:vAlign w:val="center"/>
          </w:tcPr>
          <w:p>
            <w:pPr>
              <w:autoSpaceDE w:val="0"/>
              <w:autoSpaceDN w:val="0"/>
              <w:adjustRightInd w:val="0"/>
              <w:snapToGrid w:val="0"/>
              <w:spacing w:line="240" w:lineRule="auto"/>
              <w:ind w:firstLine="0" w:firstLineChars="0"/>
              <w:rPr>
                <w:rFonts w:asciiTheme="minorEastAsia" w:hAnsiTheme="minorEastAsia" w:eastAsiaTheme="minorEastAsia"/>
                <w:bCs/>
                <w:color w:val="000000"/>
                <w:sz w:val="21"/>
                <w:szCs w:val="21"/>
              </w:rPr>
            </w:pPr>
            <w:r>
              <w:rPr>
                <w:rFonts w:hint="eastAsia" w:asciiTheme="minorEastAsia" w:hAnsiTheme="minorEastAsia" w:eastAsiaTheme="minorEastAsia"/>
                <w:bCs/>
                <w:color w:val="000000"/>
                <w:sz w:val="21"/>
                <w:szCs w:val="21"/>
              </w:rPr>
              <w:t>代表物质有抓乙烯、四氯化碳、三氯甲烷、氯苯，均为油状液体，易挥发，不溶于水，密度一般大于水，燃烧时有刺激性气体放出。该类物质遇水稳定，对眼睛、皮肤、呼吸道等有刺激作用，对人体有致癌作用。多元取代物密度往往大于水，沉于水底造成持久危害。</w:t>
            </w:r>
          </w:p>
        </w:tc>
        <w:tc>
          <w:tcPr>
            <w:tcW w:w="3573" w:type="dxa"/>
            <w:tcBorders>
              <w:tl2br w:val="nil"/>
              <w:tr2bl w:val="nil"/>
            </w:tcBorders>
            <w:vAlign w:val="center"/>
          </w:tcPr>
          <w:p>
            <w:pPr>
              <w:autoSpaceDE w:val="0"/>
              <w:autoSpaceDN w:val="0"/>
              <w:adjustRightInd w:val="0"/>
              <w:snapToGrid w:val="0"/>
              <w:spacing w:line="240" w:lineRule="auto"/>
              <w:ind w:firstLine="0" w:firstLineChars="0"/>
              <w:rPr>
                <w:rFonts w:asciiTheme="minorEastAsia" w:hAnsiTheme="minorEastAsia" w:eastAsiaTheme="minorEastAsia"/>
                <w:bCs/>
                <w:color w:val="000000"/>
                <w:sz w:val="21"/>
                <w:szCs w:val="21"/>
              </w:rPr>
            </w:pPr>
            <w:r>
              <w:rPr>
                <w:rFonts w:hint="eastAsia" w:asciiTheme="minorEastAsia" w:hAnsiTheme="minorEastAsia" w:eastAsiaTheme="minorEastAsia"/>
                <w:bCs/>
                <w:color w:val="000000"/>
                <w:sz w:val="21"/>
                <w:szCs w:val="21"/>
              </w:rPr>
              <w:t>应急人员应佩带全身防护用具。筑坝围隔污染区，污染水体投加活性碳吸附处理。用活性炭、吸油棉等高吸油材料等现场吸附积水中的污染物，彻底清除后送到安全地方处理。</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trHeight w:val="454" w:hRule="atLeast"/>
          <w:jc w:val="center"/>
        </w:trPr>
        <w:tc>
          <w:tcPr>
            <w:tcW w:w="530" w:type="dxa"/>
            <w:tcBorders>
              <w:tl2br w:val="nil"/>
              <w:tr2bl w:val="nil"/>
            </w:tcBorders>
            <w:vAlign w:val="center"/>
          </w:tcPr>
          <w:p>
            <w:pPr>
              <w:adjustRightInd w:val="0"/>
              <w:snapToGrid w:val="0"/>
              <w:spacing w:line="240" w:lineRule="auto"/>
              <w:ind w:firstLine="0" w:firstLineChars="0"/>
              <w:jc w:val="center"/>
              <w:rPr>
                <w:rFonts w:asciiTheme="minorEastAsia" w:hAnsiTheme="minorEastAsia" w:eastAsiaTheme="minorEastAsia"/>
                <w:bCs/>
                <w:color w:val="000000"/>
                <w:sz w:val="21"/>
                <w:szCs w:val="21"/>
              </w:rPr>
            </w:pPr>
            <w:r>
              <w:rPr>
                <w:rFonts w:hint="eastAsia" w:asciiTheme="minorEastAsia" w:hAnsiTheme="minorEastAsia" w:eastAsiaTheme="minorEastAsia"/>
                <w:bCs/>
                <w:color w:val="000000"/>
                <w:sz w:val="21"/>
                <w:szCs w:val="21"/>
              </w:rPr>
              <w:t>7</w:t>
            </w:r>
          </w:p>
        </w:tc>
        <w:tc>
          <w:tcPr>
            <w:tcW w:w="918" w:type="dxa"/>
            <w:tcBorders>
              <w:tl2br w:val="nil"/>
              <w:tr2bl w:val="nil"/>
            </w:tcBorders>
            <w:vAlign w:val="center"/>
          </w:tcPr>
          <w:p>
            <w:pPr>
              <w:autoSpaceDE w:val="0"/>
              <w:autoSpaceDN w:val="0"/>
              <w:adjustRightInd w:val="0"/>
              <w:snapToGrid w:val="0"/>
              <w:spacing w:line="240" w:lineRule="auto"/>
              <w:ind w:firstLine="0" w:firstLineChars="0"/>
              <w:jc w:val="center"/>
              <w:rPr>
                <w:rFonts w:asciiTheme="minorEastAsia" w:hAnsiTheme="minorEastAsia" w:eastAsiaTheme="minorEastAsia"/>
                <w:bCs/>
                <w:color w:val="000000"/>
                <w:sz w:val="21"/>
                <w:szCs w:val="21"/>
              </w:rPr>
            </w:pPr>
            <w:r>
              <w:rPr>
                <w:rFonts w:hint="eastAsia" w:asciiTheme="minorEastAsia" w:hAnsiTheme="minorEastAsia" w:eastAsiaTheme="minorEastAsia"/>
                <w:bCs/>
                <w:color w:val="000000"/>
                <w:sz w:val="21"/>
                <w:szCs w:val="21"/>
              </w:rPr>
              <w:t>酚类</w:t>
            </w:r>
          </w:p>
        </w:tc>
        <w:tc>
          <w:tcPr>
            <w:tcW w:w="4039" w:type="dxa"/>
            <w:tcBorders>
              <w:tl2br w:val="nil"/>
              <w:tr2bl w:val="nil"/>
            </w:tcBorders>
            <w:vAlign w:val="center"/>
          </w:tcPr>
          <w:p>
            <w:pPr>
              <w:autoSpaceDE w:val="0"/>
              <w:autoSpaceDN w:val="0"/>
              <w:adjustRightInd w:val="0"/>
              <w:snapToGrid w:val="0"/>
              <w:spacing w:line="240" w:lineRule="auto"/>
              <w:ind w:firstLine="0" w:firstLineChars="0"/>
              <w:rPr>
                <w:rFonts w:asciiTheme="minorEastAsia" w:hAnsiTheme="minorEastAsia" w:eastAsiaTheme="minorEastAsia"/>
                <w:bCs/>
                <w:color w:val="000000"/>
                <w:sz w:val="21"/>
                <w:szCs w:val="21"/>
              </w:rPr>
            </w:pPr>
            <w:r>
              <w:rPr>
                <w:rFonts w:hint="eastAsia" w:asciiTheme="minorEastAsia" w:hAnsiTheme="minorEastAsia" w:eastAsiaTheme="minorEastAsia"/>
                <w:bCs/>
                <w:color w:val="000000"/>
                <w:sz w:val="21"/>
                <w:szCs w:val="21"/>
              </w:rPr>
              <w:t>代表物质有苯酚、间甲酚、对硝基苯酚、氯苯酚、三氯酚、五氯酚等。多为白色结晶或油状液体，有特殊气味，不溶或微溶于水，密度一般大于水。该类物质一般具有较高的毒性，能刺激皮肤和消化道，在水中降解速度慢，有致癌和致畸作用。</w:t>
            </w:r>
          </w:p>
        </w:tc>
        <w:tc>
          <w:tcPr>
            <w:tcW w:w="3573" w:type="dxa"/>
            <w:tcBorders>
              <w:tl2br w:val="nil"/>
              <w:tr2bl w:val="nil"/>
            </w:tcBorders>
            <w:vAlign w:val="center"/>
          </w:tcPr>
          <w:p>
            <w:pPr>
              <w:adjustRightInd w:val="0"/>
              <w:snapToGrid w:val="0"/>
              <w:spacing w:line="240" w:lineRule="auto"/>
              <w:ind w:firstLine="0" w:firstLineChars="0"/>
              <w:rPr>
                <w:rFonts w:asciiTheme="minorEastAsia" w:hAnsiTheme="minorEastAsia" w:eastAsiaTheme="minorEastAsia"/>
                <w:bCs/>
                <w:color w:val="000000"/>
                <w:sz w:val="21"/>
                <w:szCs w:val="21"/>
              </w:rPr>
            </w:pPr>
            <w:r>
              <w:rPr>
                <w:rFonts w:hint="eastAsia" w:asciiTheme="minorEastAsia" w:hAnsiTheme="minorEastAsia" w:eastAsiaTheme="minorEastAsia"/>
                <w:bCs/>
                <w:color w:val="000000"/>
                <w:sz w:val="21"/>
                <w:szCs w:val="21"/>
              </w:rPr>
              <w:t>应急处置人员应佩带全身防护用具。筑坝或用围油栏围隔污染区后，用吸油棉等高吸油材料现场吸附残留泄漏物，转移到安全地方处理。污染水体投加生石灰、漂白粉沉淀和促进降解，最后投加活性碳吸附处理。</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trHeight w:val="454" w:hRule="atLeast"/>
          <w:jc w:val="center"/>
        </w:trPr>
        <w:tc>
          <w:tcPr>
            <w:tcW w:w="530" w:type="dxa"/>
            <w:tcBorders>
              <w:tl2br w:val="nil"/>
              <w:tr2bl w:val="nil"/>
            </w:tcBorders>
            <w:vAlign w:val="center"/>
          </w:tcPr>
          <w:p>
            <w:pPr>
              <w:adjustRightInd w:val="0"/>
              <w:snapToGrid w:val="0"/>
              <w:spacing w:line="240" w:lineRule="auto"/>
              <w:ind w:firstLine="0" w:firstLineChars="0"/>
              <w:jc w:val="center"/>
              <w:rPr>
                <w:rFonts w:asciiTheme="minorEastAsia" w:hAnsiTheme="minorEastAsia" w:eastAsiaTheme="minorEastAsia"/>
                <w:bCs/>
                <w:color w:val="000000"/>
                <w:sz w:val="21"/>
                <w:szCs w:val="21"/>
              </w:rPr>
            </w:pPr>
            <w:r>
              <w:rPr>
                <w:rFonts w:hint="eastAsia" w:asciiTheme="minorEastAsia" w:hAnsiTheme="minorEastAsia" w:eastAsiaTheme="minorEastAsia"/>
                <w:bCs/>
                <w:color w:val="000000"/>
                <w:sz w:val="21"/>
                <w:szCs w:val="21"/>
              </w:rPr>
              <w:t>8</w:t>
            </w:r>
          </w:p>
        </w:tc>
        <w:tc>
          <w:tcPr>
            <w:tcW w:w="918" w:type="dxa"/>
            <w:tcBorders>
              <w:tl2br w:val="nil"/>
              <w:tr2bl w:val="nil"/>
            </w:tcBorders>
            <w:vAlign w:val="center"/>
          </w:tcPr>
          <w:p>
            <w:pPr>
              <w:autoSpaceDE w:val="0"/>
              <w:autoSpaceDN w:val="0"/>
              <w:adjustRightInd w:val="0"/>
              <w:snapToGrid w:val="0"/>
              <w:spacing w:line="240" w:lineRule="auto"/>
              <w:ind w:firstLine="0" w:firstLineChars="0"/>
              <w:jc w:val="center"/>
              <w:rPr>
                <w:rFonts w:asciiTheme="minorEastAsia" w:hAnsiTheme="minorEastAsia" w:eastAsiaTheme="minorEastAsia"/>
                <w:bCs/>
                <w:color w:val="000000"/>
                <w:sz w:val="21"/>
                <w:szCs w:val="21"/>
              </w:rPr>
            </w:pPr>
            <w:r>
              <w:rPr>
                <w:rFonts w:hint="eastAsia" w:asciiTheme="minorEastAsia" w:hAnsiTheme="minorEastAsia" w:eastAsiaTheme="minorEastAsia"/>
                <w:bCs/>
                <w:color w:val="000000"/>
                <w:sz w:val="21"/>
                <w:szCs w:val="21"/>
              </w:rPr>
              <w:t>农药类</w:t>
            </w:r>
          </w:p>
        </w:tc>
        <w:tc>
          <w:tcPr>
            <w:tcW w:w="4039" w:type="dxa"/>
            <w:tcBorders>
              <w:tl2br w:val="nil"/>
              <w:tr2bl w:val="nil"/>
            </w:tcBorders>
            <w:vAlign w:val="center"/>
          </w:tcPr>
          <w:p>
            <w:pPr>
              <w:autoSpaceDE w:val="0"/>
              <w:autoSpaceDN w:val="0"/>
              <w:adjustRightInd w:val="0"/>
              <w:snapToGrid w:val="0"/>
              <w:spacing w:line="240" w:lineRule="auto"/>
              <w:ind w:firstLine="0" w:firstLineChars="0"/>
              <w:rPr>
                <w:rFonts w:asciiTheme="minorEastAsia" w:hAnsiTheme="minorEastAsia" w:eastAsiaTheme="minorEastAsia"/>
                <w:bCs/>
                <w:color w:val="000000"/>
                <w:sz w:val="21"/>
                <w:szCs w:val="21"/>
              </w:rPr>
            </w:pPr>
            <w:r>
              <w:rPr>
                <w:rFonts w:hint="eastAsia" w:asciiTheme="minorEastAsia" w:hAnsiTheme="minorEastAsia" w:eastAsiaTheme="minorEastAsia"/>
                <w:bCs/>
                <w:color w:val="000000"/>
                <w:sz w:val="21"/>
                <w:szCs w:val="21"/>
              </w:rPr>
              <w:t>有机氯农药在我国已经禁用。在用的农药包括有机磷农药、氨基甲酸醋农药、拟除虫菊醋类农药等。有机磷农药有甲胺磷、敌敌畏、敌百虫、乐果、氧化乐果、对硫磷、甲基对硫磷、马拉硫磷、苯硫磷、倍硫磷等，多用作杀虫剂。多数品种为油状液体，不溶于水，密度大于水，具有类似大蒜样特殊臭味，一般制成乳油使用。多为剧毒农药，通过消化道、呼吸道及皮肤吸收，对人及鱼类高毒。氨基甲酸醋农药有吠喃丹、抗蚜威、速灭威、灭多威、丙硫威等， 多用于杀虫剂和抗菌剂。多为结晶粉末状，微溶于水，无气味或气味弱。多为剧毒农药，通过消化道、呼吸道及皮肤吸收。拟除虫菊醋类农药有氟氰菊醋、澳氰菊醋、抓氛菊醋、杀灭菊醋, 多用作杀虫剂。一般为微黄色油状粘稠液体，不溶于水，溶于常用有机溶剂。是高效低残留杀虫剂，对鱼类高毒，对人类中等毒性， 能损害神经、肝、肾等器官。</w:t>
            </w:r>
          </w:p>
        </w:tc>
        <w:tc>
          <w:tcPr>
            <w:tcW w:w="3573" w:type="dxa"/>
            <w:tcBorders>
              <w:tl2br w:val="nil"/>
              <w:tr2bl w:val="nil"/>
            </w:tcBorders>
            <w:vAlign w:val="center"/>
          </w:tcPr>
          <w:p>
            <w:pPr>
              <w:autoSpaceDE w:val="0"/>
              <w:autoSpaceDN w:val="0"/>
              <w:adjustRightInd w:val="0"/>
              <w:snapToGrid w:val="0"/>
              <w:spacing w:line="240" w:lineRule="auto"/>
              <w:ind w:firstLine="0" w:firstLineChars="0"/>
              <w:rPr>
                <w:rFonts w:asciiTheme="minorEastAsia" w:hAnsiTheme="minorEastAsia" w:eastAsiaTheme="minorEastAsia"/>
                <w:bCs/>
                <w:color w:val="000000"/>
                <w:sz w:val="21"/>
                <w:szCs w:val="21"/>
              </w:rPr>
            </w:pPr>
            <w:r>
              <w:rPr>
                <w:rFonts w:hint="eastAsia" w:asciiTheme="minorEastAsia" w:hAnsiTheme="minorEastAsia" w:eastAsiaTheme="minorEastAsia"/>
                <w:bCs/>
                <w:color w:val="000000"/>
                <w:sz w:val="21"/>
                <w:szCs w:val="21"/>
              </w:rPr>
              <w:t>应急人员应配戴全身防护用具。关闭闸门或筑坝围隔污染区，用活性炭吸收未溶的农药，收集到安全场所用碱性溶液无害化处理。对污染区用生石灰或漂自粉处置，破坏农药的致毒基团，达到解毒的目的。最后用活性炭进行吸附处理。</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trHeight w:val="454" w:hRule="atLeast"/>
          <w:jc w:val="center"/>
        </w:trPr>
        <w:tc>
          <w:tcPr>
            <w:tcW w:w="530" w:type="dxa"/>
            <w:tcBorders>
              <w:tl2br w:val="nil"/>
              <w:tr2bl w:val="nil"/>
            </w:tcBorders>
            <w:vAlign w:val="center"/>
          </w:tcPr>
          <w:p>
            <w:pPr>
              <w:adjustRightInd w:val="0"/>
              <w:snapToGrid w:val="0"/>
              <w:spacing w:line="240" w:lineRule="auto"/>
              <w:ind w:firstLine="0" w:firstLineChars="0"/>
              <w:jc w:val="center"/>
              <w:rPr>
                <w:rFonts w:asciiTheme="minorEastAsia" w:hAnsiTheme="minorEastAsia" w:eastAsiaTheme="minorEastAsia"/>
                <w:bCs/>
                <w:color w:val="000000"/>
                <w:sz w:val="21"/>
                <w:szCs w:val="21"/>
              </w:rPr>
            </w:pPr>
            <w:r>
              <w:rPr>
                <w:rFonts w:hint="eastAsia" w:asciiTheme="minorEastAsia" w:hAnsiTheme="minorEastAsia" w:eastAsiaTheme="minorEastAsia"/>
                <w:bCs/>
                <w:color w:val="000000"/>
                <w:sz w:val="21"/>
                <w:szCs w:val="21"/>
              </w:rPr>
              <w:t>9</w:t>
            </w:r>
          </w:p>
        </w:tc>
        <w:tc>
          <w:tcPr>
            <w:tcW w:w="918" w:type="dxa"/>
            <w:tcBorders>
              <w:tl2br w:val="nil"/>
              <w:tr2bl w:val="nil"/>
            </w:tcBorders>
            <w:vAlign w:val="center"/>
          </w:tcPr>
          <w:p>
            <w:pPr>
              <w:autoSpaceDE w:val="0"/>
              <w:autoSpaceDN w:val="0"/>
              <w:adjustRightInd w:val="0"/>
              <w:snapToGrid w:val="0"/>
              <w:spacing w:line="240" w:lineRule="auto"/>
              <w:ind w:firstLine="0" w:firstLineChars="0"/>
              <w:jc w:val="center"/>
              <w:rPr>
                <w:rFonts w:asciiTheme="minorEastAsia" w:hAnsiTheme="minorEastAsia" w:eastAsiaTheme="minorEastAsia"/>
                <w:bCs/>
                <w:color w:val="000000"/>
                <w:sz w:val="21"/>
                <w:szCs w:val="21"/>
              </w:rPr>
            </w:pPr>
            <w:r>
              <w:rPr>
                <w:rFonts w:hint="eastAsia" w:asciiTheme="minorEastAsia" w:hAnsiTheme="minorEastAsia" w:eastAsiaTheme="minorEastAsia"/>
                <w:bCs/>
                <w:color w:val="000000"/>
                <w:sz w:val="21"/>
                <w:szCs w:val="21"/>
              </w:rPr>
              <w:t>矿物油类</w:t>
            </w:r>
          </w:p>
        </w:tc>
        <w:tc>
          <w:tcPr>
            <w:tcW w:w="4039" w:type="dxa"/>
            <w:tcBorders>
              <w:tl2br w:val="nil"/>
              <w:tr2bl w:val="nil"/>
            </w:tcBorders>
            <w:vAlign w:val="center"/>
          </w:tcPr>
          <w:p>
            <w:pPr>
              <w:autoSpaceDE w:val="0"/>
              <w:autoSpaceDN w:val="0"/>
              <w:adjustRightInd w:val="0"/>
              <w:snapToGrid w:val="0"/>
              <w:spacing w:line="240" w:lineRule="auto"/>
              <w:ind w:firstLine="0" w:firstLineChars="0"/>
              <w:rPr>
                <w:rFonts w:asciiTheme="minorEastAsia" w:hAnsiTheme="minorEastAsia" w:eastAsiaTheme="minorEastAsia"/>
                <w:bCs/>
                <w:color w:val="000000"/>
                <w:sz w:val="21"/>
                <w:szCs w:val="21"/>
              </w:rPr>
            </w:pPr>
            <w:r>
              <w:rPr>
                <w:rFonts w:hint="eastAsia" w:asciiTheme="minorEastAsia" w:hAnsiTheme="minorEastAsia" w:eastAsiaTheme="minorEastAsia"/>
                <w:bCs/>
                <w:color w:val="000000"/>
                <w:sz w:val="21"/>
                <w:szCs w:val="21"/>
              </w:rPr>
              <w:t>代表物质汽油、煤油、柴油、机油、煤焦油、原油等。一般为油状液体，不溶或微溶于水。煤焦油呈膏状，有特殊臭味，密度大于水。该类物质易燃烧，扩散速度快，易在水面形成污染带，隔绝水气界面，造成水体缺氧。煤焦油沉在水底级慢溶解，对水体造成长久危害，并具有腐蚀性。</w:t>
            </w:r>
          </w:p>
        </w:tc>
        <w:tc>
          <w:tcPr>
            <w:tcW w:w="3573" w:type="dxa"/>
            <w:tcBorders>
              <w:tl2br w:val="nil"/>
              <w:tr2bl w:val="nil"/>
            </w:tcBorders>
            <w:vAlign w:val="center"/>
          </w:tcPr>
          <w:p>
            <w:pPr>
              <w:autoSpaceDE w:val="0"/>
              <w:autoSpaceDN w:val="0"/>
              <w:adjustRightInd w:val="0"/>
              <w:snapToGrid w:val="0"/>
              <w:spacing w:line="240" w:lineRule="auto"/>
              <w:ind w:firstLine="0" w:firstLineChars="0"/>
              <w:rPr>
                <w:rFonts w:asciiTheme="minorEastAsia" w:hAnsiTheme="minorEastAsia" w:eastAsiaTheme="minorEastAsia"/>
                <w:bCs/>
                <w:color w:val="000000"/>
                <w:sz w:val="21"/>
                <w:szCs w:val="21"/>
              </w:rPr>
            </w:pPr>
            <w:r>
              <w:rPr>
                <w:rFonts w:hint="eastAsia" w:asciiTheme="minorEastAsia" w:hAnsiTheme="minorEastAsia" w:eastAsiaTheme="minorEastAsia"/>
                <w:bCs/>
                <w:color w:val="000000"/>
                <w:sz w:val="21"/>
                <w:szCs w:val="21"/>
              </w:rPr>
              <w:t>应急处置时可关闭闸门或用简易坝、围油栏等围隔污染区，用吸油棉等高吸油材料现场吸附，并转移到安全地方焚烧处理。必要时可点燃表层油燃烧处理，污染水体最后用活性炭吸附处理。煤焦油由于其中含有大量的酚类物质，其处置过程可参考酚类物质。</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trHeight w:val="225" w:hRule="atLeast"/>
          <w:jc w:val="center"/>
        </w:trPr>
        <w:tc>
          <w:tcPr>
            <w:tcW w:w="530" w:type="dxa"/>
            <w:vMerge w:val="restart"/>
            <w:tcBorders>
              <w:tl2br w:val="nil"/>
              <w:tr2bl w:val="nil"/>
            </w:tcBorders>
            <w:vAlign w:val="center"/>
          </w:tcPr>
          <w:p>
            <w:pPr>
              <w:adjustRightInd w:val="0"/>
              <w:snapToGrid w:val="0"/>
              <w:spacing w:line="240" w:lineRule="auto"/>
              <w:ind w:firstLine="0" w:firstLineChars="0"/>
              <w:jc w:val="center"/>
              <w:rPr>
                <w:rFonts w:asciiTheme="minorEastAsia" w:hAnsiTheme="minorEastAsia" w:eastAsiaTheme="minorEastAsia"/>
                <w:bCs/>
                <w:color w:val="000000"/>
                <w:sz w:val="21"/>
                <w:szCs w:val="21"/>
              </w:rPr>
            </w:pPr>
            <w:r>
              <w:rPr>
                <w:rFonts w:hint="eastAsia" w:asciiTheme="minorEastAsia" w:hAnsiTheme="minorEastAsia" w:eastAsiaTheme="minorEastAsia"/>
                <w:bCs/>
                <w:color w:val="000000"/>
                <w:sz w:val="21"/>
                <w:szCs w:val="21"/>
              </w:rPr>
              <w:t>10</w:t>
            </w:r>
          </w:p>
        </w:tc>
        <w:tc>
          <w:tcPr>
            <w:tcW w:w="918" w:type="dxa"/>
            <w:vMerge w:val="restart"/>
            <w:tcBorders>
              <w:tl2br w:val="nil"/>
              <w:tr2bl w:val="nil"/>
            </w:tcBorders>
            <w:vAlign w:val="center"/>
          </w:tcPr>
          <w:p>
            <w:pPr>
              <w:autoSpaceDE w:val="0"/>
              <w:autoSpaceDN w:val="0"/>
              <w:adjustRightInd w:val="0"/>
              <w:snapToGrid w:val="0"/>
              <w:spacing w:line="240" w:lineRule="auto"/>
              <w:ind w:firstLine="0" w:firstLineChars="0"/>
              <w:jc w:val="center"/>
              <w:rPr>
                <w:rFonts w:asciiTheme="minorEastAsia" w:hAnsiTheme="minorEastAsia" w:eastAsiaTheme="minorEastAsia"/>
                <w:bCs/>
                <w:color w:val="000000"/>
                <w:sz w:val="21"/>
                <w:szCs w:val="21"/>
              </w:rPr>
            </w:pPr>
            <w:r>
              <w:rPr>
                <w:rFonts w:hint="eastAsia" w:asciiTheme="minorEastAsia" w:hAnsiTheme="minorEastAsia" w:eastAsiaTheme="minorEastAsia"/>
                <w:bCs/>
                <w:color w:val="000000"/>
                <w:sz w:val="21"/>
                <w:szCs w:val="21"/>
              </w:rPr>
              <w:t>腐蚀性物质（包括酸性物质、碱性物质和强氧化性物质）</w:t>
            </w:r>
          </w:p>
        </w:tc>
        <w:tc>
          <w:tcPr>
            <w:tcW w:w="4039" w:type="dxa"/>
            <w:tcBorders>
              <w:tl2br w:val="nil"/>
              <w:tr2bl w:val="nil"/>
            </w:tcBorders>
            <w:vAlign w:val="center"/>
          </w:tcPr>
          <w:p>
            <w:pPr>
              <w:autoSpaceDE w:val="0"/>
              <w:autoSpaceDN w:val="0"/>
              <w:adjustRightInd w:val="0"/>
              <w:snapToGrid w:val="0"/>
              <w:spacing w:line="240" w:lineRule="auto"/>
              <w:ind w:firstLine="0" w:firstLineChars="0"/>
              <w:rPr>
                <w:rFonts w:asciiTheme="minorEastAsia" w:hAnsiTheme="minorEastAsia" w:eastAsiaTheme="minorEastAsia"/>
                <w:bCs/>
                <w:color w:val="000000"/>
                <w:sz w:val="21"/>
                <w:szCs w:val="21"/>
              </w:rPr>
            </w:pPr>
            <w:r>
              <w:rPr>
                <w:rFonts w:hint="eastAsia" w:asciiTheme="minorEastAsia" w:hAnsiTheme="minorEastAsia" w:eastAsiaTheme="minorEastAsia"/>
                <w:bCs/>
                <w:color w:val="000000"/>
                <w:sz w:val="21"/>
                <w:szCs w:val="21"/>
              </w:rPr>
              <w:t>酸性物质有盐酸、硫酸、硝酸、磷酸等。浓盐酸和硝酸有酸性烟雾挥发出来, 浓硫酸密度大于水，溶于水时产生大量热量。该类物质表现为强酸性和强腐蚀性，进人水体后将引起水体酸度急剧上升，严重腐蚀水工建筑物，破坏水生态系统，但在基质中碳酸钙的作用下其酸性和腐蚀能力会逐渐降低。</w:t>
            </w:r>
          </w:p>
        </w:tc>
        <w:tc>
          <w:tcPr>
            <w:tcW w:w="3573" w:type="dxa"/>
            <w:tcBorders>
              <w:tl2br w:val="nil"/>
              <w:tr2bl w:val="nil"/>
            </w:tcBorders>
            <w:vAlign w:val="center"/>
          </w:tcPr>
          <w:p>
            <w:pPr>
              <w:autoSpaceDE w:val="0"/>
              <w:autoSpaceDN w:val="0"/>
              <w:adjustRightInd w:val="0"/>
              <w:snapToGrid w:val="0"/>
              <w:spacing w:line="240" w:lineRule="auto"/>
              <w:ind w:firstLine="0" w:firstLineChars="0"/>
              <w:rPr>
                <w:rFonts w:asciiTheme="minorEastAsia" w:hAnsiTheme="minorEastAsia" w:eastAsiaTheme="minorEastAsia"/>
                <w:bCs/>
                <w:color w:val="000000"/>
                <w:sz w:val="21"/>
                <w:szCs w:val="21"/>
              </w:rPr>
            </w:pPr>
            <w:r>
              <w:rPr>
                <w:rFonts w:hint="eastAsia" w:asciiTheme="minorEastAsia" w:hAnsiTheme="minorEastAsia" w:eastAsiaTheme="minorEastAsia"/>
                <w:bCs/>
                <w:color w:val="000000"/>
                <w:sz w:val="21"/>
                <w:szCs w:val="21"/>
              </w:rPr>
              <w:t>应急人员戴防护手套，处置挥发性酸时戴防毒面具，污染区投加碱性物质如生石灰、碳酸钠等中和。</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trHeight w:val="225" w:hRule="atLeast"/>
          <w:jc w:val="center"/>
        </w:trPr>
        <w:tc>
          <w:tcPr>
            <w:tcW w:w="530" w:type="dxa"/>
            <w:vMerge w:val="continue"/>
            <w:tcBorders>
              <w:tl2br w:val="nil"/>
              <w:tr2bl w:val="nil"/>
            </w:tcBorders>
            <w:vAlign w:val="center"/>
          </w:tcPr>
          <w:p>
            <w:pPr>
              <w:adjustRightInd w:val="0"/>
              <w:snapToGrid w:val="0"/>
              <w:spacing w:line="240" w:lineRule="auto"/>
              <w:ind w:firstLine="0" w:firstLineChars="0"/>
              <w:jc w:val="center"/>
              <w:rPr>
                <w:rFonts w:asciiTheme="minorEastAsia" w:hAnsiTheme="minorEastAsia" w:eastAsiaTheme="minorEastAsia"/>
                <w:bCs/>
                <w:color w:val="000000"/>
                <w:sz w:val="21"/>
                <w:szCs w:val="21"/>
              </w:rPr>
            </w:pPr>
          </w:p>
        </w:tc>
        <w:tc>
          <w:tcPr>
            <w:tcW w:w="918" w:type="dxa"/>
            <w:vMerge w:val="continue"/>
            <w:tcBorders>
              <w:tl2br w:val="nil"/>
              <w:tr2bl w:val="nil"/>
            </w:tcBorders>
            <w:vAlign w:val="center"/>
          </w:tcPr>
          <w:p>
            <w:pPr>
              <w:adjustRightInd w:val="0"/>
              <w:snapToGrid w:val="0"/>
              <w:spacing w:line="240" w:lineRule="auto"/>
              <w:ind w:firstLine="0" w:firstLineChars="0"/>
              <w:jc w:val="center"/>
              <w:rPr>
                <w:rFonts w:asciiTheme="minorEastAsia" w:hAnsiTheme="minorEastAsia" w:eastAsiaTheme="minorEastAsia"/>
                <w:bCs/>
                <w:color w:val="000000"/>
                <w:sz w:val="21"/>
                <w:szCs w:val="21"/>
              </w:rPr>
            </w:pPr>
          </w:p>
        </w:tc>
        <w:tc>
          <w:tcPr>
            <w:tcW w:w="4039" w:type="dxa"/>
            <w:tcBorders>
              <w:tl2br w:val="nil"/>
              <w:tr2bl w:val="nil"/>
            </w:tcBorders>
            <w:vAlign w:val="center"/>
          </w:tcPr>
          <w:p>
            <w:pPr>
              <w:adjustRightInd w:val="0"/>
              <w:snapToGrid w:val="0"/>
              <w:spacing w:line="240" w:lineRule="auto"/>
              <w:ind w:firstLine="0" w:firstLineChars="0"/>
              <w:rPr>
                <w:rFonts w:asciiTheme="minorEastAsia" w:hAnsiTheme="minorEastAsia" w:eastAsiaTheme="minorEastAsia"/>
                <w:bCs/>
                <w:color w:val="000000"/>
                <w:sz w:val="21"/>
                <w:szCs w:val="21"/>
              </w:rPr>
            </w:pPr>
            <w:r>
              <w:rPr>
                <w:rFonts w:hint="eastAsia" w:asciiTheme="minorEastAsia" w:hAnsiTheme="minorEastAsia" w:eastAsiaTheme="minorEastAsia"/>
                <w:bCs/>
                <w:color w:val="000000"/>
                <w:sz w:val="21"/>
                <w:szCs w:val="21"/>
              </w:rPr>
              <w:t>碱性物质有氢氧化钠、氢氧化钾、电石等。氢氧化钠和氢氧化钾为白色颗粒，易潮解，易溶于水，多以溶液状态罐车运输。</w:t>
            </w:r>
          </w:p>
        </w:tc>
        <w:tc>
          <w:tcPr>
            <w:tcW w:w="3573" w:type="dxa"/>
            <w:tcBorders>
              <w:tl2br w:val="nil"/>
              <w:tr2bl w:val="nil"/>
            </w:tcBorders>
            <w:vAlign w:val="center"/>
          </w:tcPr>
          <w:p>
            <w:pPr>
              <w:autoSpaceDE w:val="0"/>
              <w:autoSpaceDN w:val="0"/>
              <w:adjustRightInd w:val="0"/>
              <w:snapToGrid w:val="0"/>
              <w:spacing w:line="240" w:lineRule="auto"/>
              <w:ind w:firstLine="0" w:firstLineChars="0"/>
              <w:rPr>
                <w:rFonts w:asciiTheme="minorEastAsia" w:hAnsiTheme="minorEastAsia" w:eastAsiaTheme="minorEastAsia"/>
                <w:bCs/>
                <w:color w:val="000000"/>
                <w:sz w:val="21"/>
                <w:szCs w:val="21"/>
              </w:rPr>
            </w:pPr>
            <w:r>
              <w:rPr>
                <w:rFonts w:hint="eastAsia" w:asciiTheme="minorEastAsia" w:hAnsiTheme="minorEastAsia" w:eastAsiaTheme="minorEastAsia"/>
                <w:bCs/>
                <w:color w:val="000000"/>
                <w:sz w:val="21"/>
                <w:szCs w:val="21"/>
              </w:rPr>
              <w:t>应急人员应带防护手套, 在污染区投加酸性物质（如稀盐酸、稀硫酸等）中和处理。</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trHeight w:val="225" w:hRule="atLeast"/>
          <w:jc w:val="center"/>
        </w:trPr>
        <w:tc>
          <w:tcPr>
            <w:tcW w:w="530" w:type="dxa"/>
            <w:vMerge w:val="continue"/>
            <w:tcBorders>
              <w:tl2br w:val="nil"/>
              <w:tr2bl w:val="nil"/>
            </w:tcBorders>
            <w:vAlign w:val="center"/>
          </w:tcPr>
          <w:p>
            <w:pPr>
              <w:adjustRightInd w:val="0"/>
              <w:snapToGrid w:val="0"/>
              <w:spacing w:line="240" w:lineRule="auto"/>
              <w:ind w:firstLine="0" w:firstLineChars="0"/>
              <w:jc w:val="center"/>
              <w:rPr>
                <w:rFonts w:asciiTheme="minorEastAsia" w:hAnsiTheme="minorEastAsia" w:eastAsiaTheme="minorEastAsia"/>
                <w:bCs/>
                <w:color w:val="000000"/>
                <w:sz w:val="21"/>
                <w:szCs w:val="21"/>
              </w:rPr>
            </w:pPr>
          </w:p>
        </w:tc>
        <w:tc>
          <w:tcPr>
            <w:tcW w:w="918" w:type="dxa"/>
            <w:vMerge w:val="continue"/>
            <w:tcBorders>
              <w:tl2br w:val="nil"/>
              <w:tr2bl w:val="nil"/>
            </w:tcBorders>
            <w:vAlign w:val="center"/>
          </w:tcPr>
          <w:p>
            <w:pPr>
              <w:adjustRightInd w:val="0"/>
              <w:snapToGrid w:val="0"/>
              <w:spacing w:line="240" w:lineRule="auto"/>
              <w:ind w:firstLine="0" w:firstLineChars="0"/>
              <w:jc w:val="center"/>
              <w:rPr>
                <w:rFonts w:asciiTheme="minorEastAsia" w:hAnsiTheme="minorEastAsia" w:eastAsiaTheme="minorEastAsia"/>
                <w:bCs/>
                <w:color w:val="000000"/>
                <w:sz w:val="21"/>
                <w:szCs w:val="21"/>
              </w:rPr>
            </w:pPr>
          </w:p>
        </w:tc>
        <w:tc>
          <w:tcPr>
            <w:tcW w:w="4039" w:type="dxa"/>
            <w:tcBorders>
              <w:tl2br w:val="nil"/>
              <w:tr2bl w:val="nil"/>
            </w:tcBorders>
            <w:vAlign w:val="center"/>
          </w:tcPr>
          <w:p>
            <w:pPr>
              <w:adjustRightInd w:val="0"/>
              <w:snapToGrid w:val="0"/>
              <w:spacing w:line="240" w:lineRule="auto"/>
              <w:ind w:firstLine="0" w:firstLineChars="0"/>
              <w:rPr>
                <w:rFonts w:asciiTheme="minorEastAsia" w:hAnsiTheme="minorEastAsia" w:eastAsiaTheme="minorEastAsia"/>
                <w:bCs/>
                <w:color w:val="000000"/>
                <w:sz w:val="21"/>
                <w:szCs w:val="21"/>
              </w:rPr>
            </w:pPr>
            <w:r>
              <w:rPr>
                <w:rFonts w:hint="eastAsia" w:asciiTheme="minorEastAsia" w:hAnsiTheme="minorEastAsia" w:eastAsiaTheme="minorEastAsia"/>
                <w:bCs/>
                <w:color w:val="000000"/>
                <w:sz w:val="21"/>
                <w:szCs w:val="21"/>
              </w:rPr>
              <w:t>强氧化性物质有次氯酸钠、硝酸钾、重铬酸钾和高锰酸钾等。高锰酸钾为紫色晶体，重铬酸钾为鲜红色晶体，其余为白色晶体。该类物质一般易溶于水，具有强氧化性，腐蚀水工建筑物中的金属构件，重铬酸钾还能引起环境中铬类污染物的富集。</w:t>
            </w:r>
          </w:p>
        </w:tc>
        <w:tc>
          <w:tcPr>
            <w:tcW w:w="3573" w:type="dxa"/>
            <w:tcBorders>
              <w:tl2br w:val="nil"/>
              <w:tr2bl w:val="nil"/>
            </w:tcBorders>
            <w:vAlign w:val="center"/>
          </w:tcPr>
          <w:p>
            <w:pPr>
              <w:adjustRightInd w:val="0"/>
              <w:snapToGrid w:val="0"/>
              <w:spacing w:line="240" w:lineRule="auto"/>
              <w:ind w:firstLine="0" w:firstLineChars="0"/>
              <w:rPr>
                <w:rFonts w:asciiTheme="minorEastAsia" w:hAnsiTheme="minorEastAsia" w:eastAsiaTheme="minorEastAsia"/>
                <w:bCs/>
                <w:color w:val="000000"/>
                <w:sz w:val="21"/>
                <w:szCs w:val="21"/>
              </w:rPr>
            </w:pPr>
            <w:r>
              <w:rPr>
                <w:rFonts w:hint="eastAsia" w:asciiTheme="minorEastAsia" w:hAnsiTheme="minorEastAsia" w:eastAsiaTheme="minorEastAsia"/>
                <w:bCs/>
                <w:color w:val="000000"/>
                <w:sz w:val="21"/>
                <w:szCs w:val="21"/>
              </w:rPr>
              <w:t>应急人员应带防护手套, 干态污染物应避免和有机物、金属粉末、易燃物等接触，以免发生爆炸。进人水体后可投加草酸钠还原。</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trHeight w:val="369" w:hRule="atLeast"/>
          <w:jc w:val="center"/>
        </w:trPr>
        <w:tc>
          <w:tcPr>
            <w:tcW w:w="530" w:type="dxa"/>
            <w:tcBorders>
              <w:tl2br w:val="nil"/>
              <w:tr2bl w:val="nil"/>
            </w:tcBorders>
            <w:vAlign w:val="center"/>
          </w:tcPr>
          <w:p>
            <w:pPr>
              <w:adjustRightInd w:val="0"/>
              <w:snapToGrid w:val="0"/>
              <w:spacing w:line="240" w:lineRule="auto"/>
              <w:ind w:firstLine="0" w:firstLineChars="0"/>
              <w:jc w:val="center"/>
              <w:rPr>
                <w:rFonts w:asciiTheme="minorEastAsia" w:hAnsiTheme="minorEastAsia" w:eastAsiaTheme="minorEastAsia"/>
                <w:bCs/>
                <w:color w:val="000000"/>
                <w:sz w:val="21"/>
                <w:szCs w:val="21"/>
              </w:rPr>
            </w:pPr>
            <w:r>
              <w:rPr>
                <w:rFonts w:hint="eastAsia" w:asciiTheme="minorEastAsia" w:hAnsiTheme="minorEastAsia" w:eastAsiaTheme="minorEastAsia"/>
                <w:bCs/>
                <w:color w:val="000000"/>
                <w:sz w:val="21"/>
                <w:szCs w:val="21"/>
              </w:rPr>
              <w:t>11</w:t>
            </w:r>
          </w:p>
        </w:tc>
        <w:tc>
          <w:tcPr>
            <w:tcW w:w="8530" w:type="dxa"/>
            <w:gridSpan w:val="3"/>
            <w:tcBorders>
              <w:tl2br w:val="nil"/>
              <w:tr2bl w:val="nil"/>
            </w:tcBorders>
            <w:vAlign w:val="center"/>
          </w:tcPr>
          <w:p>
            <w:pPr>
              <w:adjustRightInd w:val="0"/>
              <w:snapToGrid w:val="0"/>
              <w:spacing w:line="240" w:lineRule="auto"/>
              <w:ind w:firstLine="0" w:firstLineChars="0"/>
              <w:rPr>
                <w:rFonts w:asciiTheme="minorEastAsia" w:hAnsiTheme="minorEastAsia" w:eastAsiaTheme="minorEastAsia"/>
                <w:bCs/>
                <w:color w:val="000000"/>
                <w:sz w:val="21"/>
                <w:szCs w:val="21"/>
              </w:rPr>
            </w:pPr>
            <w:r>
              <w:rPr>
                <w:rFonts w:hint="eastAsia" w:asciiTheme="minorEastAsia" w:hAnsiTheme="minorEastAsia" w:eastAsiaTheme="minorEastAsia"/>
                <w:bCs/>
                <w:color w:val="000000"/>
                <w:sz w:val="21"/>
                <w:szCs w:val="21"/>
              </w:rPr>
              <w:t>除上述常见的十类化学品外，各类病毒、细菌造成的水体污染可投加漂白粉、生石灰等消毒处置。</w:t>
            </w:r>
          </w:p>
        </w:tc>
      </w:tr>
    </w:tbl>
    <w:p>
      <w:pPr>
        <w:adjustRightInd w:val="0"/>
        <w:snapToGrid w:val="0"/>
        <w:spacing w:line="240" w:lineRule="auto"/>
        <w:ind w:firstLine="0" w:firstLineChars="0"/>
        <w:jc w:val="left"/>
        <w:rPr>
          <w:rFonts w:asciiTheme="minorEastAsia" w:hAnsiTheme="minorEastAsia" w:eastAsiaTheme="minorEastAsia"/>
          <w:b/>
          <w:szCs w:val="24"/>
        </w:rPr>
      </w:pPr>
    </w:p>
    <w:p>
      <w:pPr>
        <w:widowControl/>
        <w:adjustRightInd w:val="0"/>
        <w:snapToGrid w:val="0"/>
        <w:spacing w:line="240" w:lineRule="auto"/>
        <w:ind w:firstLine="0" w:firstLineChars="0"/>
        <w:jc w:val="left"/>
        <w:rPr>
          <w:rFonts w:asciiTheme="minorEastAsia" w:hAnsiTheme="minorEastAsia" w:eastAsiaTheme="minorEastAsia"/>
          <w:b/>
          <w:szCs w:val="24"/>
        </w:rPr>
      </w:pPr>
      <w:r>
        <w:rPr>
          <w:rFonts w:asciiTheme="minorEastAsia" w:hAnsiTheme="minorEastAsia" w:eastAsiaTheme="minorEastAsia"/>
          <w:b/>
          <w:szCs w:val="24"/>
        </w:rPr>
        <w:br w:type="page"/>
      </w:r>
    </w:p>
    <w:p>
      <w:pPr>
        <w:pStyle w:val="3"/>
        <w:widowControl/>
        <w:adjustRightInd w:val="0"/>
        <w:snapToGrid w:val="0"/>
        <w:jc w:val="center"/>
        <w:rPr>
          <w:color w:val="000000"/>
          <w:sz w:val="21"/>
          <w:szCs w:val="21"/>
        </w:rPr>
      </w:pPr>
      <w:bookmarkStart w:id="357" w:name="_Toc535851380"/>
      <w:r>
        <w:rPr>
          <w:rFonts w:hint="eastAsia" w:cs="宋体"/>
          <w:color w:val="000000"/>
          <w:sz w:val="21"/>
          <w:szCs w:val="21"/>
        </w:rPr>
        <w:t>附件</w:t>
      </w:r>
      <w:r>
        <w:rPr>
          <w:rFonts w:hint="eastAsia"/>
          <w:color w:val="000000"/>
          <w:sz w:val="21"/>
          <w:szCs w:val="21"/>
        </w:rPr>
        <w:t>7</w:t>
      </w:r>
      <w:r>
        <w:rPr>
          <w:color w:val="000000"/>
          <w:sz w:val="21"/>
          <w:szCs w:val="21"/>
        </w:rPr>
        <w:t xml:space="preserve">  </w:t>
      </w:r>
      <w:r>
        <w:rPr>
          <w:rFonts w:hint="eastAsia" w:cs="宋体"/>
          <w:color w:val="000000"/>
          <w:sz w:val="21"/>
          <w:szCs w:val="21"/>
        </w:rPr>
        <w:t>突发环境事件应急处置卡</w:t>
      </w:r>
      <w:bookmarkEnd w:id="357"/>
    </w:p>
    <w:p>
      <w:pPr>
        <w:autoSpaceDE w:val="0"/>
        <w:autoSpaceDN w:val="0"/>
        <w:adjustRightInd w:val="0"/>
        <w:snapToGrid w:val="0"/>
        <w:ind w:firstLine="0" w:firstLineChars="0"/>
        <w:jc w:val="center"/>
        <w:rPr>
          <w:b/>
          <w:color w:val="000000"/>
          <w:sz w:val="21"/>
          <w:szCs w:val="21"/>
          <w:lang w:val="zh-CN"/>
        </w:rPr>
      </w:pPr>
      <w:r>
        <w:rPr>
          <w:rFonts w:hint="eastAsia" w:cs="宋体"/>
          <w:b/>
          <w:color w:val="000000"/>
          <w:sz w:val="21"/>
          <w:szCs w:val="21"/>
          <w:lang w:val="zh-CN"/>
        </w:rPr>
        <w:t>附件</w:t>
      </w:r>
      <w:r>
        <w:rPr>
          <w:rFonts w:hint="eastAsia"/>
          <w:b/>
          <w:color w:val="000000"/>
          <w:sz w:val="21"/>
          <w:szCs w:val="21"/>
        </w:rPr>
        <w:t>7</w:t>
      </w:r>
      <w:r>
        <w:rPr>
          <w:b/>
          <w:color w:val="000000"/>
          <w:sz w:val="21"/>
          <w:szCs w:val="21"/>
          <w:lang w:val="zh-CN"/>
        </w:rPr>
        <w:t>-</w:t>
      </w:r>
      <w:r>
        <w:rPr>
          <w:b/>
          <w:color w:val="000000"/>
          <w:sz w:val="21"/>
          <w:szCs w:val="21"/>
        </w:rPr>
        <w:t>1</w:t>
      </w:r>
      <w:r>
        <w:rPr>
          <w:b/>
          <w:color w:val="000000"/>
          <w:sz w:val="21"/>
          <w:szCs w:val="21"/>
          <w:lang w:val="zh-CN"/>
        </w:rPr>
        <w:t xml:space="preserve">   </w:t>
      </w:r>
      <w:r>
        <w:rPr>
          <w:rFonts w:hint="eastAsia" w:cs="宋体"/>
          <w:b/>
          <w:color w:val="000000"/>
          <w:sz w:val="21"/>
          <w:szCs w:val="21"/>
          <w:lang w:val="zh-CN"/>
        </w:rPr>
        <w:t>固定环境风险源突发环境事件应急卡</w:t>
      </w:r>
    </w:p>
    <w:tbl>
      <w:tblPr>
        <w:tblStyle w:val="47"/>
        <w:tblW w:w="9012" w:type="dxa"/>
        <w:tblInd w:w="0" w:type="dxa"/>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960"/>
        <w:gridCol w:w="1213"/>
        <w:gridCol w:w="1260"/>
        <w:gridCol w:w="2053"/>
        <w:gridCol w:w="1748"/>
        <w:gridCol w:w="1778"/>
      </w:tblGrid>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454" w:hRule="atLeast"/>
        </w:trPr>
        <w:tc>
          <w:tcPr>
            <w:tcW w:w="960" w:type="dxa"/>
            <w:vMerge w:val="restart"/>
            <w:tcBorders>
              <w:top w:val="single" w:color="auto" w:sz="12" w:space="0"/>
              <w:left w:val="single" w:color="auto" w:sz="12" w:space="0"/>
              <w:bottom w:val="single" w:color="auto" w:sz="4" w:space="0"/>
              <w:right w:val="single" w:color="auto" w:sz="4" w:space="0"/>
            </w:tcBorders>
            <w:shd w:val="clear" w:color="auto" w:fill="auto"/>
            <w:vAlign w:val="center"/>
          </w:tcPr>
          <w:p>
            <w:pPr>
              <w:adjustRightInd w:val="0"/>
              <w:snapToGrid w:val="0"/>
              <w:spacing w:line="340" w:lineRule="exact"/>
              <w:ind w:firstLine="0" w:firstLineChars="0"/>
              <w:jc w:val="center"/>
              <w:rPr>
                <w:b/>
                <w:color w:val="000000"/>
                <w:sz w:val="21"/>
                <w:szCs w:val="21"/>
              </w:rPr>
            </w:pPr>
            <w:r>
              <w:rPr>
                <w:rFonts w:hint="eastAsia" w:cs="宋体"/>
                <w:b/>
                <w:color w:val="000000"/>
                <w:sz w:val="21"/>
                <w:szCs w:val="21"/>
              </w:rPr>
              <w:t>风险</w:t>
            </w:r>
          </w:p>
          <w:p>
            <w:pPr>
              <w:adjustRightInd w:val="0"/>
              <w:snapToGrid w:val="0"/>
              <w:spacing w:line="340" w:lineRule="exact"/>
              <w:ind w:firstLine="0" w:firstLineChars="0"/>
              <w:jc w:val="center"/>
              <w:rPr>
                <w:color w:val="000000"/>
                <w:sz w:val="21"/>
                <w:szCs w:val="21"/>
              </w:rPr>
            </w:pPr>
            <w:r>
              <w:rPr>
                <w:rFonts w:hint="eastAsia" w:cs="宋体"/>
                <w:b/>
                <w:color w:val="000000"/>
                <w:sz w:val="21"/>
                <w:szCs w:val="21"/>
              </w:rPr>
              <w:t>特征</w:t>
            </w:r>
          </w:p>
        </w:tc>
        <w:tc>
          <w:tcPr>
            <w:tcW w:w="1213" w:type="dxa"/>
            <w:tcBorders>
              <w:top w:val="single" w:color="auto" w:sz="12" w:space="0"/>
              <w:left w:val="single" w:color="auto" w:sz="4" w:space="0"/>
              <w:bottom w:val="single" w:color="auto" w:sz="4" w:space="0"/>
              <w:right w:val="single" w:color="auto" w:sz="4" w:space="0"/>
            </w:tcBorders>
            <w:shd w:val="clear" w:color="auto" w:fill="auto"/>
            <w:vAlign w:val="center"/>
          </w:tcPr>
          <w:p>
            <w:pPr>
              <w:adjustRightInd w:val="0"/>
              <w:snapToGrid w:val="0"/>
              <w:spacing w:line="340" w:lineRule="exact"/>
              <w:ind w:firstLine="0" w:firstLineChars="0"/>
              <w:jc w:val="center"/>
              <w:rPr>
                <w:b/>
                <w:color w:val="000000"/>
                <w:sz w:val="21"/>
                <w:szCs w:val="21"/>
                <w:lang w:val="zh-CN"/>
              </w:rPr>
            </w:pPr>
            <w:r>
              <w:rPr>
                <w:rFonts w:hint="eastAsia" w:cs="宋体"/>
                <w:color w:val="000000"/>
                <w:sz w:val="21"/>
                <w:szCs w:val="21"/>
              </w:rPr>
              <w:t>事故地点</w:t>
            </w:r>
          </w:p>
        </w:tc>
        <w:tc>
          <w:tcPr>
            <w:tcW w:w="6839" w:type="dxa"/>
            <w:gridSpan w:val="4"/>
            <w:tcBorders>
              <w:top w:val="single" w:color="auto" w:sz="12" w:space="0"/>
              <w:left w:val="single" w:color="auto" w:sz="4" w:space="0"/>
              <w:bottom w:val="single" w:color="auto" w:sz="4" w:space="0"/>
              <w:right w:val="single" w:color="auto" w:sz="12" w:space="0"/>
            </w:tcBorders>
            <w:shd w:val="clear" w:color="auto" w:fill="auto"/>
            <w:vAlign w:val="center"/>
          </w:tcPr>
          <w:p>
            <w:pPr>
              <w:adjustRightInd w:val="0"/>
              <w:snapToGrid w:val="0"/>
              <w:spacing w:line="340" w:lineRule="exact"/>
              <w:ind w:firstLine="0" w:firstLineChars="0"/>
              <w:jc w:val="center"/>
              <w:rPr>
                <w:color w:val="000000"/>
                <w:sz w:val="21"/>
                <w:szCs w:val="21"/>
              </w:rPr>
            </w:pPr>
            <w:r>
              <w:rPr>
                <w:rFonts w:hint="eastAsia" w:cs="宋体"/>
                <w:color w:val="000000"/>
                <w:sz w:val="21"/>
                <w:szCs w:val="21"/>
              </w:rPr>
              <w:t>铁山水库及北干渠集水范围内的企业、加油站和污水处理厂</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454" w:hRule="atLeast"/>
        </w:trPr>
        <w:tc>
          <w:tcPr>
            <w:tcW w:w="960" w:type="dxa"/>
            <w:vMerge w:val="continue"/>
            <w:tcBorders>
              <w:top w:val="single" w:color="auto" w:sz="12" w:space="0"/>
              <w:left w:val="single" w:color="auto" w:sz="12" w:space="0"/>
              <w:bottom w:val="single" w:color="auto" w:sz="4" w:space="0"/>
              <w:right w:val="single" w:color="auto" w:sz="4" w:space="0"/>
            </w:tcBorders>
            <w:shd w:val="clear" w:color="auto" w:fill="auto"/>
            <w:vAlign w:val="center"/>
          </w:tcPr>
          <w:p>
            <w:pPr>
              <w:ind w:firstLine="420"/>
              <w:rPr>
                <w:rFonts w:ascii="Calibri" w:hAnsi="Calibri"/>
                <w:sz w:val="21"/>
              </w:rPr>
            </w:pPr>
          </w:p>
        </w:tc>
        <w:tc>
          <w:tcPr>
            <w:tcW w:w="1213" w:type="dxa"/>
            <w:tcBorders>
              <w:top w:val="single" w:color="auto" w:sz="4" w:space="0"/>
              <w:left w:val="single" w:color="auto" w:sz="4" w:space="0"/>
              <w:bottom w:val="single" w:color="auto" w:sz="4" w:space="0"/>
              <w:right w:val="single" w:color="auto" w:sz="4" w:space="0"/>
            </w:tcBorders>
            <w:shd w:val="clear" w:color="auto" w:fill="auto"/>
            <w:vAlign w:val="center"/>
          </w:tcPr>
          <w:p>
            <w:pPr>
              <w:adjustRightInd w:val="0"/>
              <w:snapToGrid w:val="0"/>
              <w:spacing w:line="340" w:lineRule="exact"/>
              <w:ind w:firstLine="0" w:firstLineChars="0"/>
              <w:jc w:val="center"/>
              <w:rPr>
                <w:b/>
                <w:color w:val="000000"/>
                <w:sz w:val="21"/>
                <w:szCs w:val="21"/>
                <w:lang w:val="zh-CN"/>
              </w:rPr>
            </w:pPr>
            <w:r>
              <w:rPr>
                <w:rFonts w:hint="eastAsia" w:cs="宋体"/>
                <w:color w:val="000000"/>
                <w:sz w:val="21"/>
                <w:szCs w:val="21"/>
              </w:rPr>
              <w:t>风险物质</w:t>
            </w:r>
          </w:p>
        </w:tc>
        <w:tc>
          <w:tcPr>
            <w:tcW w:w="6839" w:type="dxa"/>
            <w:gridSpan w:val="4"/>
            <w:tcBorders>
              <w:top w:val="single" w:color="auto" w:sz="4" w:space="0"/>
              <w:left w:val="single" w:color="auto" w:sz="4" w:space="0"/>
              <w:bottom w:val="single" w:color="auto" w:sz="4" w:space="0"/>
              <w:right w:val="single" w:color="auto" w:sz="12" w:space="0"/>
            </w:tcBorders>
            <w:shd w:val="clear" w:color="auto" w:fill="auto"/>
            <w:vAlign w:val="center"/>
          </w:tcPr>
          <w:p>
            <w:pPr>
              <w:adjustRightInd w:val="0"/>
              <w:snapToGrid w:val="0"/>
              <w:spacing w:line="340" w:lineRule="exact"/>
              <w:ind w:firstLine="0" w:firstLineChars="0"/>
              <w:jc w:val="center"/>
              <w:rPr>
                <w:b/>
                <w:color w:val="000000"/>
                <w:sz w:val="21"/>
                <w:szCs w:val="21"/>
                <w:lang w:val="zh-CN"/>
              </w:rPr>
            </w:pPr>
            <w:r>
              <w:rPr>
                <w:rFonts w:hint="eastAsia" w:cs="宋体"/>
                <w:color w:val="000000"/>
                <w:sz w:val="21"/>
                <w:szCs w:val="21"/>
              </w:rPr>
              <w:t>含</w:t>
            </w:r>
            <w:r>
              <w:rPr>
                <w:color w:val="000000"/>
                <w:sz w:val="21"/>
                <w:szCs w:val="21"/>
              </w:rPr>
              <w:t>COD</w:t>
            </w:r>
            <w:r>
              <w:rPr>
                <w:rFonts w:hint="eastAsia" w:cs="宋体"/>
                <w:color w:val="000000"/>
                <w:sz w:val="21"/>
                <w:szCs w:val="21"/>
              </w:rPr>
              <w:t>、氨氮、石油类等污水</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454" w:hRule="atLeast"/>
        </w:trPr>
        <w:tc>
          <w:tcPr>
            <w:tcW w:w="960" w:type="dxa"/>
            <w:vMerge w:val="continue"/>
            <w:tcBorders>
              <w:top w:val="single" w:color="auto" w:sz="12" w:space="0"/>
              <w:left w:val="single" w:color="auto" w:sz="12" w:space="0"/>
              <w:bottom w:val="single" w:color="auto" w:sz="4" w:space="0"/>
              <w:right w:val="single" w:color="auto" w:sz="4" w:space="0"/>
            </w:tcBorders>
            <w:shd w:val="clear" w:color="auto" w:fill="auto"/>
            <w:vAlign w:val="center"/>
          </w:tcPr>
          <w:p>
            <w:pPr>
              <w:ind w:firstLine="420"/>
              <w:rPr>
                <w:rFonts w:ascii="Calibri" w:hAnsi="Calibri"/>
                <w:sz w:val="21"/>
              </w:rPr>
            </w:pPr>
          </w:p>
        </w:tc>
        <w:tc>
          <w:tcPr>
            <w:tcW w:w="1213" w:type="dxa"/>
            <w:tcBorders>
              <w:top w:val="single" w:color="auto" w:sz="4" w:space="0"/>
              <w:left w:val="single" w:color="auto" w:sz="4" w:space="0"/>
              <w:bottom w:val="single" w:color="auto" w:sz="4" w:space="0"/>
              <w:right w:val="single" w:color="auto" w:sz="4" w:space="0"/>
            </w:tcBorders>
            <w:shd w:val="clear" w:color="auto" w:fill="auto"/>
            <w:vAlign w:val="center"/>
          </w:tcPr>
          <w:p>
            <w:pPr>
              <w:adjustRightInd w:val="0"/>
              <w:snapToGrid w:val="0"/>
              <w:spacing w:line="340" w:lineRule="exact"/>
              <w:ind w:firstLine="0" w:firstLineChars="0"/>
              <w:jc w:val="left"/>
              <w:rPr>
                <w:b/>
                <w:color w:val="000000"/>
                <w:sz w:val="21"/>
                <w:szCs w:val="21"/>
                <w:lang w:val="zh-CN"/>
              </w:rPr>
            </w:pPr>
            <w:r>
              <w:rPr>
                <w:rFonts w:hint="eastAsia" w:cs="宋体"/>
                <w:color w:val="000000"/>
                <w:sz w:val="21"/>
                <w:szCs w:val="21"/>
              </w:rPr>
              <w:t>事故说明</w:t>
            </w:r>
          </w:p>
        </w:tc>
        <w:tc>
          <w:tcPr>
            <w:tcW w:w="6839" w:type="dxa"/>
            <w:gridSpan w:val="4"/>
            <w:tcBorders>
              <w:top w:val="single" w:color="auto" w:sz="4" w:space="0"/>
              <w:left w:val="single" w:color="auto" w:sz="4" w:space="0"/>
              <w:bottom w:val="single" w:color="auto" w:sz="4" w:space="0"/>
              <w:right w:val="single" w:color="auto" w:sz="12" w:space="0"/>
            </w:tcBorders>
            <w:shd w:val="clear" w:color="auto" w:fill="auto"/>
            <w:vAlign w:val="center"/>
          </w:tcPr>
          <w:p>
            <w:pPr>
              <w:adjustRightInd w:val="0"/>
              <w:snapToGrid w:val="0"/>
              <w:spacing w:line="340" w:lineRule="exact"/>
              <w:ind w:firstLine="0" w:firstLineChars="0"/>
              <w:jc w:val="left"/>
              <w:rPr>
                <w:b/>
                <w:color w:val="000000"/>
                <w:sz w:val="21"/>
                <w:szCs w:val="21"/>
                <w:lang w:val="zh-CN"/>
              </w:rPr>
            </w:pPr>
            <w:r>
              <w:rPr>
                <w:rFonts w:hint="eastAsia" w:cs="宋体"/>
                <w:color w:val="000000"/>
                <w:sz w:val="21"/>
                <w:szCs w:val="21"/>
              </w:rPr>
              <w:t>铁山水库及北干渠集水范围内的企业、加油站和污水处理厂突然发生的环境事件时，其含</w:t>
            </w:r>
            <w:r>
              <w:rPr>
                <w:color w:val="000000"/>
                <w:sz w:val="21"/>
                <w:szCs w:val="21"/>
              </w:rPr>
              <w:t>COD</w:t>
            </w:r>
            <w:r>
              <w:rPr>
                <w:rFonts w:hint="eastAsia" w:cs="宋体"/>
                <w:color w:val="000000"/>
                <w:sz w:val="21"/>
                <w:szCs w:val="21"/>
              </w:rPr>
              <w:t>、氨氮、石油类等污水进入铁山水库或北干渠，如果不及时处置污染物会对岳阳市饮用水源保护区（铁山水库-北干渠-金凤水库）水质造成一定影响。</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454" w:hRule="atLeast"/>
        </w:trPr>
        <w:tc>
          <w:tcPr>
            <w:tcW w:w="960" w:type="dxa"/>
            <w:tcBorders>
              <w:top w:val="single" w:color="auto" w:sz="4" w:space="0"/>
              <w:left w:val="single" w:color="auto" w:sz="12" w:space="0"/>
              <w:bottom w:val="single" w:color="auto" w:sz="4" w:space="0"/>
              <w:right w:val="single" w:color="auto" w:sz="4" w:space="0"/>
            </w:tcBorders>
            <w:shd w:val="clear" w:color="auto" w:fill="auto"/>
            <w:vAlign w:val="center"/>
          </w:tcPr>
          <w:p>
            <w:pPr>
              <w:adjustRightInd w:val="0"/>
              <w:snapToGrid w:val="0"/>
              <w:spacing w:line="340" w:lineRule="exact"/>
              <w:ind w:firstLine="0" w:firstLineChars="0"/>
              <w:jc w:val="center"/>
              <w:rPr>
                <w:b/>
                <w:color w:val="000000"/>
                <w:sz w:val="21"/>
                <w:szCs w:val="21"/>
              </w:rPr>
            </w:pPr>
            <w:r>
              <w:rPr>
                <w:rFonts w:hint="eastAsia" w:cs="宋体"/>
                <w:b/>
                <w:color w:val="000000"/>
                <w:sz w:val="21"/>
                <w:szCs w:val="21"/>
              </w:rPr>
              <w:t>应急</w:t>
            </w:r>
          </w:p>
          <w:p>
            <w:pPr>
              <w:adjustRightInd w:val="0"/>
              <w:snapToGrid w:val="0"/>
              <w:spacing w:line="340" w:lineRule="exact"/>
              <w:ind w:firstLine="0" w:firstLineChars="0"/>
              <w:jc w:val="center"/>
              <w:rPr>
                <w:b/>
                <w:color w:val="000000"/>
                <w:sz w:val="21"/>
                <w:szCs w:val="21"/>
                <w:lang w:val="zh-CN"/>
              </w:rPr>
            </w:pPr>
            <w:r>
              <w:rPr>
                <w:rFonts w:hint="eastAsia" w:cs="宋体"/>
                <w:b/>
                <w:color w:val="000000"/>
                <w:sz w:val="21"/>
                <w:szCs w:val="21"/>
              </w:rPr>
              <w:t>程序</w:t>
            </w:r>
          </w:p>
        </w:tc>
        <w:tc>
          <w:tcPr>
            <w:tcW w:w="8052" w:type="dxa"/>
            <w:gridSpan w:val="5"/>
            <w:tcBorders>
              <w:top w:val="single" w:color="auto" w:sz="4" w:space="0"/>
              <w:left w:val="single" w:color="auto" w:sz="4" w:space="0"/>
              <w:bottom w:val="single" w:color="auto" w:sz="4" w:space="0"/>
              <w:right w:val="single" w:color="auto" w:sz="12" w:space="0"/>
            </w:tcBorders>
            <w:shd w:val="clear" w:color="auto" w:fill="auto"/>
            <w:vAlign w:val="center"/>
          </w:tcPr>
          <w:p>
            <w:pPr>
              <w:autoSpaceDE w:val="0"/>
              <w:autoSpaceDN w:val="0"/>
              <w:adjustRightInd w:val="0"/>
              <w:snapToGrid w:val="0"/>
              <w:spacing w:line="340" w:lineRule="exact"/>
              <w:ind w:firstLine="0" w:firstLineChars="0"/>
              <w:jc w:val="left"/>
              <w:rPr>
                <w:b/>
                <w:color w:val="000000"/>
                <w:sz w:val="21"/>
                <w:szCs w:val="21"/>
                <w:lang w:val="zh-CN"/>
              </w:rPr>
            </w:pPr>
            <w:r>
              <w:rPr>
                <w:rFonts w:hint="eastAsia" w:cs="宋体"/>
                <w:color w:val="000000"/>
                <w:sz w:val="21"/>
                <w:szCs w:val="21"/>
              </w:rPr>
              <w:t>事故责任单位负责人或发现人立即报告事发地水厂、市铁山局、市环保局、市水利局等相关的单位和部门，相关单位立即赶赴现场指导事故先期处置工作，并判断事故等级情况；再根据事故的大小及发展态势向相关单位和部门报告，一般按照</w:t>
            </w:r>
            <w:r>
              <w:rPr>
                <w:color w:val="000000"/>
                <w:sz w:val="21"/>
                <w:szCs w:val="21"/>
              </w:rPr>
              <w:fldChar w:fldCharType="begin"/>
            </w:r>
            <w:r>
              <w:rPr>
                <w:color w:val="000000"/>
                <w:sz w:val="21"/>
                <w:szCs w:val="21"/>
              </w:rPr>
              <w:instrText xml:space="preserve"> = 3 \* ROMAN \* MERGEFORMAT </w:instrText>
            </w:r>
            <w:r>
              <w:rPr>
                <w:color w:val="000000"/>
                <w:sz w:val="21"/>
                <w:szCs w:val="21"/>
              </w:rPr>
              <w:fldChar w:fldCharType="separate"/>
            </w:r>
            <w:r>
              <w:rPr>
                <w:color w:val="000000"/>
                <w:sz w:val="21"/>
                <w:szCs w:val="21"/>
              </w:rPr>
              <w:t>II</w:t>
            </w:r>
            <w:r>
              <w:rPr>
                <w:color w:val="000000"/>
                <w:sz w:val="21"/>
                <w:szCs w:val="21"/>
              </w:rPr>
              <w:fldChar w:fldCharType="end"/>
            </w:r>
            <w:r>
              <w:rPr>
                <w:rFonts w:hint="eastAsia" w:cs="宋体"/>
                <w:color w:val="000000"/>
                <w:sz w:val="21"/>
                <w:szCs w:val="21"/>
              </w:rPr>
              <w:t>级响应程序。</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454" w:hRule="atLeast"/>
        </w:trPr>
        <w:tc>
          <w:tcPr>
            <w:tcW w:w="960" w:type="dxa"/>
            <w:vMerge w:val="restart"/>
            <w:tcBorders>
              <w:top w:val="single" w:color="auto" w:sz="4" w:space="0"/>
              <w:left w:val="single" w:color="auto" w:sz="12" w:space="0"/>
              <w:bottom w:val="single" w:color="auto" w:sz="4" w:space="0"/>
              <w:right w:val="single" w:color="auto" w:sz="4" w:space="0"/>
            </w:tcBorders>
            <w:shd w:val="clear" w:color="auto" w:fill="auto"/>
            <w:vAlign w:val="center"/>
          </w:tcPr>
          <w:p>
            <w:pPr>
              <w:adjustRightInd w:val="0"/>
              <w:snapToGrid w:val="0"/>
              <w:spacing w:line="340" w:lineRule="exact"/>
              <w:ind w:firstLine="0" w:firstLineChars="0"/>
              <w:jc w:val="center"/>
              <w:rPr>
                <w:b/>
                <w:color w:val="000000"/>
                <w:sz w:val="21"/>
                <w:szCs w:val="21"/>
              </w:rPr>
            </w:pPr>
            <w:r>
              <w:rPr>
                <w:rFonts w:hint="eastAsia" w:cs="宋体"/>
                <w:b/>
                <w:color w:val="000000"/>
                <w:sz w:val="21"/>
                <w:szCs w:val="21"/>
              </w:rPr>
              <w:t>应急</w:t>
            </w:r>
          </w:p>
          <w:p>
            <w:pPr>
              <w:adjustRightInd w:val="0"/>
              <w:snapToGrid w:val="0"/>
              <w:spacing w:line="340" w:lineRule="exact"/>
              <w:ind w:firstLine="0" w:firstLineChars="0"/>
              <w:jc w:val="center"/>
              <w:rPr>
                <w:b/>
                <w:color w:val="000000"/>
                <w:sz w:val="21"/>
                <w:szCs w:val="21"/>
                <w:lang w:val="zh-CN"/>
              </w:rPr>
            </w:pPr>
            <w:r>
              <w:rPr>
                <w:rFonts w:hint="eastAsia" w:cs="宋体"/>
                <w:b/>
                <w:color w:val="000000"/>
                <w:sz w:val="21"/>
                <w:szCs w:val="21"/>
              </w:rPr>
              <w:t>报告</w:t>
            </w:r>
          </w:p>
        </w:tc>
        <w:tc>
          <w:tcPr>
            <w:tcW w:w="2473" w:type="dxa"/>
            <w:gridSpan w:val="2"/>
            <w:tcBorders>
              <w:top w:val="single" w:color="auto" w:sz="4" w:space="0"/>
              <w:left w:val="single" w:color="auto" w:sz="4" w:space="0"/>
              <w:bottom w:val="single" w:color="auto" w:sz="4" w:space="0"/>
              <w:right w:val="single" w:color="auto" w:sz="4" w:space="0"/>
            </w:tcBorders>
            <w:shd w:val="clear" w:color="auto" w:fill="auto"/>
            <w:vAlign w:val="center"/>
          </w:tcPr>
          <w:p>
            <w:pPr>
              <w:adjustRightInd w:val="0"/>
              <w:snapToGrid w:val="0"/>
              <w:spacing w:line="340" w:lineRule="exact"/>
              <w:ind w:firstLine="0" w:firstLineChars="0"/>
              <w:jc w:val="center"/>
              <w:rPr>
                <w:b/>
                <w:color w:val="000000"/>
                <w:sz w:val="21"/>
                <w:szCs w:val="21"/>
                <w:lang w:val="zh-CN"/>
              </w:rPr>
            </w:pPr>
            <w:r>
              <w:rPr>
                <w:rFonts w:hint="eastAsia" w:cs="宋体"/>
                <w:color w:val="000000"/>
                <w:sz w:val="21"/>
                <w:szCs w:val="21"/>
              </w:rPr>
              <w:t>报告内容</w:t>
            </w:r>
          </w:p>
        </w:tc>
        <w:tc>
          <w:tcPr>
            <w:tcW w:w="5579" w:type="dxa"/>
            <w:gridSpan w:val="3"/>
            <w:tcBorders>
              <w:top w:val="single" w:color="auto" w:sz="4" w:space="0"/>
              <w:left w:val="single" w:color="auto" w:sz="4" w:space="0"/>
              <w:bottom w:val="single" w:color="auto" w:sz="4" w:space="0"/>
              <w:right w:val="single" w:color="auto" w:sz="12" w:space="0"/>
            </w:tcBorders>
            <w:shd w:val="clear" w:color="auto" w:fill="auto"/>
            <w:vAlign w:val="center"/>
          </w:tcPr>
          <w:p>
            <w:pPr>
              <w:adjustRightInd w:val="0"/>
              <w:snapToGrid w:val="0"/>
              <w:spacing w:line="340" w:lineRule="exact"/>
              <w:ind w:firstLine="0" w:firstLineChars="0"/>
              <w:jc w:val="center"/>
              <w:rPr>
                <w:b/>
                <w:color w:val="000000"/>
                <w:sz w:val="21"/>
                <w:szCs w:val="21"/>
                <w:lang w:val="zh-CN"/>
              </w:rPr>
            </w:pPr>
            <w:r>
              <w:rPr>
                <w:rFonts w:hint="eastAsia" w:cs="宋体"/>
                <w:color w:val="000000"/>
                <w:sz w:val="21"/>
                <w:szCs w:val="21"/>
              </w:rPr>
              <w:t>事故发生地点、主要风险物质、处置及扩散情况等</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454" w:hRule="atLeast"/>
        </w:trPr>
        <w:tc>
          <w:tcPr>
            <w:tcW w:w="960" w:type="dxa"/>
            <w:vMerge w:val="continue"/>
            <w:tcBorders>
              <w:top w:val="single" w:color="auto" w:sz="4" w:space="0"/>
              <w:left w:val="single" w:color="auto" w:sz="12" w:space="0"/>
              <w:bottom w:val="single" w:color="auto" w:sz="4" w:space="0"/>
              <w:right w:val="single" w:color="auto" w:sz="4" w:space="0"/>
            </w:tcBorders>
            <w:shd w:val="clear" w:color="auto" w:fill="auto"/>
            <w:vAlign w:val="center"/>
          </w:tcPr>
          <w:p>
            <w:pPr>
              <w:ind w:firstLine="420"/>
              <w:rPr>
                <w:rFonts w:ascii="Calibri" w:hAnsi="Calibri"/>
                <w:sz w:val="21"/>
              </w:rPr>
            </w:pPr>
          </w:p>
        </w:tc>
        <w:tc>
          <w:tcPr>
            <w:tcW w:w="2473" w:type="dxa"/>
            <w:gridSpan w:val="2"/>
            <w:tcBorders>
              <w:top w:val="single" w:color="auto" w:sz="4" w:space="0"/>
              <w:left w:val="single" w:color="auto" w:sz="4" w:space="0"/>
              <w:bottom w:val="single" w:color="auto" w:sz="4" w:space="0"/>
              <w:right w:val="single" w:color="auto" w:sz="4" w:space="0"/>
            </w:tcBorders>
            <w:shd w:val="clear" w:color="auto" w:fill="auto"/>
            <w:vAlign w:val="center"/>
          </w:tcPr>
          <w:p>
            <w:pPr>
              <w:adjustRightInd w:val="0"/>
              <w:snapToGrid w:val="0"/>
              <w:spacing w:line="340" w:lineRule="exact"/>
              <w:ind w:firstLine="0" w:firstLineChars="0"/>
              <w:jc w:val="center"/>
              <w:rPr>
                <w:b/>
                <w:color w:val="000000"/>
                <w:sz w:val="21"/>
                <w:szCs w:val="21"/>
                <w:u w:val="single"/>
                <w:lang w:val="zh-CN"/>
              </w:rPr>
            </w:pPr>
            <w:r>
              <w:rPr>
                <w:rFonts w:hint="eastAsia" w:cs="宋体"/>
                <w:color w:val="000000"/>
                <w:sz w:val="21"/>
                <w:szCs w:val="21"/>
                <w:u w:val="single"/>
              </w:rPr>
              <w:t>岳阳市饮用水源保护区（铁山水库-北干渠-金凤水库）应急指挥部</w:t>
            </w:r>
          </w:p>
        </w:tc>
        <w:tc>
          <w:tcPr>
            <w:tcW w:w="2053" w:type="dxa"/>
            <w:tcBorders>
              <w:top w:val="single" w:color="auto" w:sz="4" w:space="0"/>
              <w:left w:val="single" w:color="auto" w:sz="4" w:space="0"/>
              <w:bottom w:val="single" w:color="auto" w:sz="4" w:space="0"/>
              <w:right w:val="single" w:color="auto" w:sz="4" w:space="0"/>
            </w:tcBorders>
            <w:shd w:val="clear" w:color="auto" w:fill="auto"/>
            <w:vAlign w:val="center"/>
          </w:tcPr>
          <w:p>
            <w:pPr>
              <w:adjustRightInd w:val="0"/>
              <w:snapToGrid w:val="0"/>
              <w:spacing w:line="340" w:lineRule="exact"/>
              <w:ind w:firstLine="0" w:firstLineChars="0"/>
              <w:jc w:val="center"/>
              <w:rPr>
                <w:b/>
                <w:color w:val="000000"/>
                <w:sz w:val="21"/>
                <w:szCs w:val="21"/>
                <w:u w:val="single"/>
                <w:lang w:val="zh-CN"/>
              </w:rPr>
            </w:pPr>
            <w:r>
              <w:rPr>
                <w:sz w:val="21"/>
                <w:szCs w:val="21"/>
                <w:u w:val="single"/>
              </w:rPr>
              <w:t>8611558</w:t>
            </w:r>
          </w:p>
        </w:tc>
        <w:tc>
          <w:tcPr>
            <w:tcW w:w="1748" w:type="dxa"/>
            <w:tcBorders>
              <w:top w:val="single" w:color="auto" w:sz="4" w:space="0"/>
              <w:left w:val="single" w:color="auto" w:sz="4" w:space="0"/>
              <w:bottom w:val="single" w:color="auto" w:sz="4" w:space="0"/>
              <w:right w:val="single" w:color="auto" w:sz="4" w:space="0"/>
            </w:tcBorders>
            <w:shd w:val="clear" w:color="auto" w:fill="auto"/>
            <w:vAlign w:val="center"/>
          </w:tcPr>
          <w:p>
            <w:pPr>
              <w:adjustRightInd w:val="0"/>
              <w:snapToGrid w:val="0"/>
              <w:spacing w:line="340" w:lineRule="exact"/>
              <w:ind w:firstLine="0" w:firstLineChars="0"/>
              <w:jc w:val="center"/>
              <w:rPr>
                <w:color w:val="000000"/>
                <w:sz w:val="21"/>
                <w:szCs w:val="21"/>
                <w:u w:val="single"/>
              </w:rPr>
            </w:pPr>
            <w:r>
              <w:rPr>
                <w:rFonts w:hint="eastAsia" w:cs="宋体"/>
                <w:color w:val="000000"/>
                <w:sz w:val="21"/>
                <w:szCs w:val="21"/>
                <w:u w:val="single"/>
              </w:rPr>
              <w:t>市环境应急办</w:t>
            </w:r>
          </w:p>
        </w:tc>
        <w:tc>
          <w:tcPr>
            <w:tcW w:w="1778" w:type="dxa"/>
            <w:tcBorders>
              <w:top w:val="single" w:color="auto" w:sz="4" w:space="0"/>
              <w:left w:val="single" w:color="auto" w:sz="4" w:space="0"/>
              <w:bottom w:val="single" w:color="auto" w:sz="4" w:space="0"/>
              <w:right w:val="single" w:color="auto" w:sz="12" w:space="0"/>
            </w:tcBorders>
            <w:shd w:val="clear" w:color="auto" w:fill="auto"/>
            <w:vAlign w:val="center"/>
          </w:tcPr>
          <w:p>
            <w:pPr>
              <w:adjustRightInd w:val="0"/>
              <w:snapToGrid w:val="0"/>
              <w:spacing w:line="340" w:lineRule="exact"/>
              <w:ind w:firstLine="0" w:firstLineChars="0"/>
              <w:jc w:val="left"/>
              <w:rPr>
                <w:b/>
                <w:color w:val="000000"/>
                <w:sz w:val="21"/>
                <w:szCs w:val="21"/>
                <w:u w:val="single"/>
                <w:lang w:val="zh-CN"/>
              </w:rPr>
            </w:pPr>
            <w:r>
              <w:rPr>
                <w:sz w:val="21"/>
                <w:szCs w:val="21"/>
                <w:u w:val="single"/>
              </w:rPr>
              <w:t>8879800</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454" w:hRule="atLeast"/>
        </w:trPr>
        <w:tc>
          <w:tcPr>
            <w:tcW w:w="960" w:type="dxa"/>
            <w:tcBorders>
              <w:top w:val="single" w:color="auto" w:sz="4" w:space="0"/>
              <w:left w:val="single" w:color="auto" w:sz="12" w:space="0"/>
              <w:bottom w:val="single" w:color="auto" w:sz="4" w:space="0"/>
              <w:right w:val="single" w:color="auto" w:sz="4" w:space="0"/>
            </w:tcBorders>
            <w:shd w:val="clear" w:color="auto" w:fill="auto"/>
            <w:vAlign w:val="center"/>
          </w:tcPr>
          <w:p>
            <w:pPr>
              <w:adjustRightInd w:val="0"/>
              <w:snapToGrid w:val="0"/>
              <w:spacing w:line="340" w:lineRule="exact"/>
              <w:ind w:firstLine="0" w:firstLineChars="0"/>
              <w:jc w:val="center"/>
              <w:rPr>
                <w:b/>
                <w:color w:val="000000"/>
                <w:sz w:val="21"/>
                <w:szCs w:val="21"/>
              </w:rPr>
            </w:pPr>
            <w:r>
              <w:rPr>
                <w:rFonts w:hint="eastAsia" w:cs="宋体"/>
                <w:b/>
                <w:color w:val="000000"/>
                <w:sz w:val="21"/>
                <w:szCs w:val="21"/>
              </w:rPr>
              <w:t>应急责</w:t>
            </w:r>
          </w:p>
          <w:p>
            <w:pPr>
              <w:adjustRightInd w:val="0"/>
              <w:snapToGrid w:val="0"/>
              <w:spacing w:line="340" w:lineRule="exact"/>
              <w:ind w:firstLine="0" w:firstLineChars="0"/>
              <w:jc w:val="center"/>
              <w:rPr>
                <w:b/>
                <w:color w:val="000000"/>
                <w:sz w:val="21"/>
                <w:szCs w:val="21"/>
                <w:lang w:val="zh-CN"/>
              </w:rPr>
            </w:pPr>
            <w:r>
              <w:rPr>
                <w:rFonts w:hint="eastAsia" w:cs="宋体"/>
                <w:b/>
                <w:color w:val="000000"/>
                <w:sz w:val="21"/>
                <w:szCs w:val="21"/>
              </w:rPr>
              <w:t>任单位</w:t>
            </w:r>
          </w:p>
        </w:tc>
        <w:tc>
          <w:tcPr>
            <w:tcW w:w="8052" w:type="dxa"/>
            <w:gridSpan w:val="5"/>
            <w:tcBorders>
              <w:top w:val="single" w:color="auto" w:sz="4" w:space="0"/>
              <w:left w:val="single" w:color="auto" w:sz="4" w:space="0"/>
              <w:bottom w:val="single" w:color="auto" w:sz="4" w:space="0"/>
              <w:right w:val="single" w:color="auto" w:sz="12" w:space="0"/>
            </w:tcBorders>
            <w:shd w:val="clear" w:color="auto" w:fill="auto"/>
            <w:vAlign w:val="center"/>
          </w:tcPr>
          <w:p>
            <w:pPr>
              <w:adjustRightInd w:val="0"/>
              <w:snapToGrid w:val="0"/>
              <w:spacing w:line="340" w:lineRule="exact"/>
              <w:ind w:firstLine="0" w:firstLineChars="0"/>
              <w:jc w:val="left"/>
              <w:rPr>
                <w:b/>
                <w:color w:val="000000"/>
                <w:sz w:val="21"/>
                <w:szCs w:val="21"/>
                <w:lang w:val="zh-CN"/>
              </w:rPr>
            </w:pPr>
            <w:r>
              <w:rPr>
                <w:rFonts w:hint="eastAsia" w:cs="宋体"/>
                <w:color w:val="000000"/>
                <w:sz w:val="21"/>
                <w:szCs w:val="21"/>
              </w:rPr>
              <w:t>事故责任单位、事发地人民政府、事发地环保局、岳阳市饮用水源保护区（铁山水库-北干渠-金凤水库）应急指挥部、岳阳市自来水公司、市铁山局等</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454" w:hRule="atLeast"/>
        </w:trPr>
        <w:tc>
          <w:tcPr>
            <w:tcW w:w="960" w:type="dxa"/>
            <w:tcBorders>
              <w:top w:val="single" w:color="auto" w:sz="4" w:space="0"/>
              <w:left w:val="single" w:color="auto" w:sz="12" w:space="0"/>
              <w:bottom w:val="single" w:color="auto" w:sz="12" w:space="0"/>
              <w:right w:val="single" w:color="auto" w:sz="4" w:space="0"/>
            </w:tcBorders>
            <w:shd w:val="clear" w:color="auto" w:fill="auto"/>
            <w:vAlign w:val="center"/>
          </w:tcPr>
          <w:p>
            <w:pPr>
              <w:adjustRightInd w:val="0"/>
              <w:snapToGrid w:val="0"/>
              <w:spacing w:line="340" w:lineRule="exact"/>
              <w:ind w:firstLine="0" w:firstLineChars="0"/>
              <w:jc w:val="center"/>
              <w:rPr>
                <w:b/>
                <w:color w:val="000000"/>
                <w:sz w:val="21"/>
                <w:szCs w:val="21"/>
              </w:rPr>
            </w:pPr>
            <w:r>
              <w:rPr>
                <w:rFonts w:hint="eastAsia" w:cs="宋体"/>
                <w:b/>
                <w:color w:val="000000"/>
                <w:sz w:val="21"/>
                <w:szCs w:val="21"/>
              </w:rPr>
              <w:t>应急处</w:t>
            </w:r>
          </w:p>
          <w:p>
            <w:pPr>
              <w:adjustRightInd w:val="0"/>
              <w:snapToGrid w:val="0"/>
              <w:spacing w:line="340" w:lineRule="exact"/>
              <w:ind w:firstLine="0" w:firstLineChars="0"/>
              <w:jc w:val="center"/>
              <w:rPr>
                <w:b/>
                <w:color w:val="000000"/>
                <w:sz w:val="21"/>
                <w:szCs w:val="21"/>
              </w:rPr>
            </w:pPr>
            <w:r>
              <w:rPr>
                <w:rFonts w:hint="eastAsia" w:cs="宋体"/>
                <w:b/>
                <w:color w:val="000000"/>
                <w:sz w:val="21"/>
                <w:szCs w:val="21"/>
              </w:rPr>
              <w:t>置措施</w:t>
            </w:r>
          </w:p>
        </w:tc>
        <w:tc>
          <w:tcPr>
            <w:tcW w:w="8052" w:type="dxa"/>
            <w:gridSpan w:val="5"/>
            <w:tcBorders>
              <w:top w:val="single" w:color="auto" w:sz="4" w:space="0"/>
              <w:left w:val="single" w:color="auto" w:sz="4" w:space="0"/>
              <w:bottom w:val="single" w:color="auto" w:sz="12" w:space="0"/>
              <w:right w:val="single" w:color="auto" w:sz="12" w:space="0"/>
            </w:tcBorders>
            <w:shd w:val="clear" w:color="auto" w:fill="auto"/>
            <w:vAlign w:val="center"/>
          </w:tcPr>
          <w:p>
            <w:pPr>
              <w:adjustRightInd w:val="0"/>
              <w:snapToGrid w:val="0"/>
              <w:spacing w:line="340" w:lineRule="exact"/>
              <w:ind w:firstLine="0" w:firstLineChars="0"/>
              <w:jc w:val="left"/>
              <w:rPr>
                <w:color w:val="000000"/>
                <w:sz w:val="21"/>
                <w:szCs w:val="21"/>
              </w:rPr>
            </w:pPr>
            <w:r>
              <w:rPr>
                <w:rFonts w:hint="eastAsia" w:cs="宋体"/>
                <w:color w:val="000000"/>
                <w:sz w:val="21"/>
                <w:szCs w:val="21"/>
              </w:rPr>
              <w:t>事发责任单位启动本单位的应急预案，力争将环境风险物质控制不造成扩大化影响；若环境风险物质已经流出流域外向岳阳市饮用水源保护区（铁山水库-北干渠-金凤水库）扩散，则启动岳阳市饮用水源保护区（铁山水库-北干渠-金凤水库）突发环境事件应急预案，并按照</w:t>
            </w:r>
            <w:r>
              <w:rPr>
                <w:color w:val="000000"/>
                <w:sz w:val="21"/>
                <w:szCs w:val="21"/>
              </w:rPr>
              <w:fldChar w:fldCharType="begin"/>
            </w:r>
            <w:r>
              <w:rPr>
                <w:color w:val="000000"/>
                <w:sz w:val="21"/>
                <w:szCs w:val="21"/>
              </w:rPr>
              <w:instrText xml:space="preserve"> = 3 \* ROMAN \* MERGEFORMAT </w:instrText>
            </w:r>
            <w:r>
              <w:rPr>
                <w:color w:val="000000"/>
                <w:sz w:val="21"/>
                <w:szCs w:val="21"/>
              </w:rPr>
              <w:fldChar w:fldCharType="separate"/>
            </w:r>
            <w:r>
              <w:rPr>
                <w:color w:val="000000"/>
                <w:sz w:val="21"/>
                <w:szCs w:val="21"/>
              </w:rPr>
              <w:t>II</w:t>
            </w:r>
            <w:r>
              <w:rPr>
                <w:color w:val="000000"/>
                <w:sz w:val="21"/>
                <w:szCs w:val="21"/>
              </w:rPr>
              <w:fldChar w:fldCharType="end"/>
            </w:r>
            <w:r>
              <w:rPr>
                <w:rFonts w:hint="eastAsia" w:cs="宋体"/>
                <w:color w:val="000000"/>
                <w:sz w:val="21"/>
                <w:szCs w:val="21"/>
              </w:rPr>
              <w:t>级响应执行；</w:t>
            </w:r>
          </w:p>
          <w:p>
            <w:pPr>
              <w:adjustRightInd w:val="0"/>
              <w:snapToGrid w:val="0"/>
              <w:spacing w:line="340" w:lineRule="exact"/>
              <w:ind w:firstLine="0" w:firstLineChars="0"/>
              <w:jc w:val="left"/>
              <w:rPr>
                <w:color w:val="000000"/>
                <w:sz w:val="21"/>
                <w:szCs w:val="21"/>
              </w:rPr>
            </w:pPr>
            <w:r>
              <w:rPr>
                <w:rFonts w:hint="eastAsia" w:cs="宋体"/>
                <w:color w:val="000000"/>
                <w:sz w:val="21"/>
                <w:szCs w:val="21"/>
              </w:rPr>
              <w:t>（</w:t>
            </w:r>
            <w:r>
              <w:rPr>
                <w:color w:val="000000"/>
                <w:sz w:val="21"/>
                <w:szCs w:val="21"/>
              </w:rPr>
              <w:t>1</w:t>
            </w:r>
            <w:r>
              <w:rPr>
                <w:rFonts w:hint="eastAsia" w:cs="宋体"/>
                <w:color w:val="000000"/>
                <w:sz w:val="21"/>
                <w:szCs w:val="21"/>
              </w:rPr>
              <w:t>）截源</w:t>
            </w:r>
            <w:r>
              <w:rPr>
                <w:color w:val="000000"/>
                <w:sz w:val="21"/>
                <w:szCs w:val="21"/>
              </w:rPr>
              <w:t xml:space="preserve">  </w:t>
            </w:r>
            <w:r>
              <w:rPr>
                <w:rFonts w:hint="eastAsia" w:cs="宋体"/>
                <w:color w:val="000000"/>
                <w:sz w:val="21"/>
                <w:szCs w:val="21"/>
              </w:rPr>
              <w:t>污染控制小组可根据外流风险物质的种类在岳阳市饮用水源保护区（铁山水库-北干渠-金凤水库）一级保护区段内采取以下截流措施：</w:t>
            </w:r>
          </w:p>
          <w:p>
            <w:pPr>
              <w:adjustRightInd w:val="0"/>
              <w:snapToGrid w:val="0"/>
              <w:spacing w:line="340" w:lineRule="exact"/>
              <w:ind w:firstLine="0" w:firstLineChars="0"/>
              <w:jc w:val="left"/>
              <w:rPr>
                <w:color w:val="000000"/>
                <w:sz w:val="21"/>
                <w:szCs w:val="21"/>
              </w:rPr>
            </w:pPr>
            <w:r>
              <w:rPr>
                <w:color w:val="000000"/>
                <w:sz w:val="21"/>
                <w:szCs w:val="21"/>
              </w:rPr>
              <w:fldChar w:fldCharType="begin"/>
            </w:r>
            <w:r>
              <w:rPr>
                <w:color w:val="000000"/>
                <w:sz w:val="21"/>
                <w:szCs w:val="21"/>
              </w:rPr>
              <w:instrText xml:space="preserve"> = 1 \* GB3 \* MERGEFORMAT </w:instrText>
            </w:r>
            <w:r>
              <w:rPr>
                <w:color w:val="000000"/>
                <w:sz w:val="21"/>
                <w:szCs w:val="21"/>
              </w:rPr>
              <w:fldChar w:fldCharType="separate"/>
            </w:r>
            <w:r>
              <w:rPr>
                <w:rFonts w:hint="eastAsia" w:cs="宋体"/>
                <w:color w:val="000000"/>
                <w:sz w:val="21"/>
                <w:szCs w:val="21"/>
              </w:rPr>
              <w:t>①</w:t>
            </w:r>
            <w:r>
              <w:rPr>
                <w:color w:val="000000"/>
                <w:sz w:val="21"/>
                <w:szCs w:val="21"/>
              </w:rPr>
              <w:fldChar w:fldCharType="end"/>
            </w:r>
            <w:r>
              <w:rPr>
                <w:rFonts w:hint="eastAsia" w:cs="宋体"/>
                <w:color w:val="000000"/>
                <w:sz w:val="21"/>
                <w:szCs w:val="21"/>
              </w:rPr>
              <w:t>在事故废水排入处的适当位置构筑拦截坝、滞污塘等；</w:t>
            </w:r>
          </w:p>
          <w:p>
            <w:pPr>
              <w:adjustRightInd w:val="0"/>
              <w:snapToGrid w:val="0"/>
              <w:spacing w:line="340" w:lineRule="exact"/>
              <w:ind w:firstLine="0" w:firstLineChars="0"/>
              <w:jc w:val="left"/>
              <w:rPr>
                <w:rFonts w:cs="宋体"/>
                <w:color w:val="000000"/>
                <w:sz w:val="21"/>
                <w:szCs w:val="21"/>
              </w:rPr>
            </w:pPr>
            <w:r>
              <w:rPr>
                <w:color w:val="000000"/>
                <w:sz w:val="21"/>
                <w:szCs w:val="21"/>
              </w:rPr>
              <w:fldChar w:fldCharType="begin"/>
            </w:r>
            <w:r>
              <w:rPr>
                <w:color w:val="000000"/>
                <w:sz w:val="21"/>
                <w:szCs w:val="21"/>
              </w:rPr>
              <w:instrText xml:space="preserve"> = 2 \* GB3 \* MERGEFORMAT </w:instrText>
            </w:r>
            <w:r>
              <w:rPr>
                <w:color w:val="000000"/>
                <w:sz w:val="21"/>
                <w:szCs w:val="21"/>
              </w:rPr>
              <w:fldChar w:fldCharType="separate"/>
            </w:r>
            <w:r>
              <w:rPr>
                <w:rFonts w:hint="eastAsia" w:cs="宋体"/>
                <w:color w:val="000000"/>
                <w:sz w:val="21"/>
                <w:szCs w:val="21"/>
              </w:rPr>
              <w:t>②</w:t>
            </w:r>
            <w:r>
              <w:rPr>
                <w:color w:val="000000"/>
                <w:sz w:val="21"/>
                <w:szCs w:val="21"/>
              </w:rPr>
              <w:fldChar w:fldCharType="end"/>
            </w:r>
            <w:r>
              <w:rPr>
                <w:rFonts w:hint="eastAsia" w:cs="宋体"/>
                <w:color w:val="000000"/>
                <w:sz w:val="21"/>
                <w:szCs w:val="21"/>
              </w:rPr>
              <w:t>含油污水（油品泄漏）可设置拦油索、投放干稻草；</w:t>
            </w:r>
          </w:p>
          <w:p>
            <w:pPr>
              <w:adjustRightInd w:val="0"/>
              <w:snapToGrid w:val="0"/>
              <w:spacing w:line="340" w:lineRule="exact"/>
              <w:ind w:firstLine="0" w:firstLineChars="0"/>
              <w:jc w:val="left"/>
              <w:rPr>
                <w:color w:val="000000"/>
                <w:sz w:val="21"/>
                <w:szCs w:val="21"/>
                <w:u w:val="single"/>
              </w:rPr>
            </w:pPr>
            <w:r>
              <w:rPr>
                <w:rFonts w:hint="eastAsia"/>
                <w:color w:val="000000"/>
                <w:sz w:val="21"/>
                <w:szCs w:val="21"/>
                <w:u w:val="single"/>
              </w:rPr>
              <w:t>③事故废水如果进和北干渠，可开启泄洪闸</w:t>
            </w:r>
            <w:r>
              <w:rPr>
                <w:rFonts w:hint="eastAsia" w:cs="宋体"/>
                <w:color w:val="000000"/>
                <w:sz w:val="21"/>
                <w:szCs w:val="21"/>
                <w:u w:val="single"/>
              </w:rPr>
              <w:t>。</w:t>
            </w:r>
          </w:p>
          <w:p>
            <w:pPr>
              <w:adjustRightInd w:val="0"/>
              <w:snapToGrid w:val="0"/>
              <w:spacing w:line="340" w:lineRule="exact"/>
              <w:ind w:firstLine="0" w:firstLineChars="0"/>
              <w:jc w:val="left"/>
              <w:rPr>
                <w:color w:val="000000"/>
                <w:sz w:val="21"/>
                <w:szCs w:val="21"/>
              </w:rPr>
            </w:pPr>
            <w:r>
              <w:rPr>
                <w:rFonts w:hint="eastAsia" w:cs="宋体"/>
                <w:color w:val="000000"/>
                <w:sz w:val="21"/>
                <w:szCs w:val="21"/>
              </w:rPr>
              <w:t>（</w:t>
            </w:r>
            <w:r>
              <w:rPr>
                <w:color w:val="000000"/>
                <w:sz w:val="21"/>
                <w:szCs w:val="21"/>
              </w:rPr>
              <w:t>2</w:t>
            </w:r>
            <w:r>
              <w:rPr>
                <w:rFonts w:hint="eastAsia" w:cs="宋体"/>
                <w:color w:val="000000"/>
                <w:sz w:val="21"/>
                <w:szCs w:val="21"/>
              </w:rPr>
              <w:t>）救护</w:t>
            </w:r>
            <w:r>
              <w:rPr>
                <w:color w:val="000000"/>
                <w:sz w:val="21"/>
                <w:szCs w:val="21"/>
              </w:rPr>
              <w:t xml:space="preserve">  </w:t>
            </w:r>
            <w:r>
              <w:rPr>
                <w:rFonts w:hint="eastAsia" w:cs="宋体"/>
                <w:color w:val="000000"/>
                <w:sz w:val="21"/>
                <w:szCs w:val="21"/>
              </w:rPr>
              <w:t>医疗救治小组负责组织救治受伤害人员；</w:t>
            </w:r>
          </w:p>
          <w:p>
            <w:pPr>
              <w:adjustRightInd w:val="0"/>
              <w:snapToGrid w:val="0"/>
              <w:spacing w:line="340" w:lineRule="exact"/>
              <w:ind w:firstLine="0" w:firstLineChars="0"/>
              <w:jc w:val="left"/>
              <w:rPr>
                <w:color w:val="000000"/>
                <w:sz w:val="21"/>
                <w:szCs w:val="21"/>
              </w:rPr>
            </w:pPr>
            <w:r>
              <w:rPr>
                <w:rFonts w:hint="eastAsia" w:cs="宋体"/>
                <w:color w:val="000000"/>
                <w:sz w:val="21"/>
                <w:szCs w:val="21"/>
              </w:rPr>
              <w:t>（</w:t>
            </w:r>
            <w:r>
              <w:rPr>
                <w:color w:val="000000"/>
                <w:sz w:val="21"/>
                <w:szCs w:val="21"/>
              </w:rPr>
              <w:t>3</w:t>
            </w:r>
            <w:r>
              <w:rPr>
                <w:rFonts w:hint="eastAsia" w:cs="宋体"/>
                <w:color w:val="000000"/>
                <w:sz w:val="21"/>
                <w:szCs w:val="21"/>
              </w:rPr>
              <w:t>）监测</w:t>
            </w:r>
            <w:r>
              <w:rPr>
                <w:color w:val="000000"/>
                <w:sz w:val="21"/>
                <w:szCs w:val="21"/>
              </w:rPr>
              <w:t xml:space="preserve">  </w:t>
            </w:r>
            <w:r>
              <w:rPr>
                <w:rFonts w:hint="eastAsia" w:cs="宋体"/>
                <w:color w:val="000000"/>
                <w:sz w:val="21"/>
                <w:szCs w:val="21"/>
              </w:rPr>
              <w:t>应急监测小组在</w:t>
            </w:r>
            <w:r>
              <w:rPr>
                <w:rFonts w:hint="eastAsia" w:cs="宋体"/>
                <w:bCs/>
                <w:color w:val="000000"/>
                <w:sz w:val="21"/>
                <w:szCs w:val="21"/>
              </w:rPr>
              <w:t>饮用水水源保护区一、二级</w:t>
            </w:r>
            <w:r>
              <w:rPr>
                <w:rFonts w:hint="eastAsia" w:cs="宋体"/>
                <w:color w:val="000000"/>
                <w:sz w:val="21"/>
                <w:szCs w:val="21"/>
              </w:rPr>
              <w:t>范围内布点监测点位、尚未污染的地段设置对照断面、同时在岳阳市饮用水源保护区（铁山水库-北干渠-金凤水库）引水工程取水口进行监测，</w:t>
            </w:r>
            <w:r>
              <w:rPr>
                <w:rFonts w:hint="eastAsia" w:cs="宋体"/>
                <w:color w:val="000000"/>
                <w:sz w:val="21"/>
                <w:szCs w:val="21"/>
                <w:u w:val="single"/>
              </w:rPr>
              <w:t>监测因子为</w:t>
            </w:r>
            <w:r>
              <w:rPr>
                <w:color w:val="000000"/>
                <w:sz w:val="21"/>
                <w:szCs w:val="21"/>
                <w:u w:val="single"/>
              </w:rPr>
              <w:t>COD</w:t>
            </w:r>
            <w:r>
              <w:rPr>
                <w:rFonts w:hint="eastAsia" w:cs="宋体"/>
                <w:color w:val="000000"/>
                <w:sz w:val="21"/>
                <w:szCs w:val="21"/>
                <w:u w:val="single"/>
              </w:rPr>
              <w:t>、氨氮、石油类</w:t>
            </w:r>
            <w:r>
              <w:rPr>
                <w:rFonts w:hint="eastAsia" w:cs="宋体"/>
                <w:color w:val="000000"/>
                <w:sz w:val="21"/>
                <w:szCs w:val="21"/>
              </w:rPr>
              <w:t>等；</w:t>
            </w:r>
          </w:p>
          <w:p>
            <w:pPr>
              <w:adjustRightInd w:val="0"/>
              <w:snapToGrid w:val="0"/>
              <w:spacing w:line="340" w:lineRule="exact"/>
              <w:ind w:firstLine="0" w:firstLineChars="0"/>
              <w:jc w:val="left"/>
              <w:rPr>
                <w:color w:val="000000"/>
                <w:sz w:val="21"/>
                <w:szCs w:val="21"/>
              </w:rPr>
            </w:pPr>
            <w:r>
              <w:rPr>
                <w:rFonts w:hint="eastAsia" w:cs="宋体"/>
                <w:color w:val="000000"/>
                <w:sz w:val="21"/>
                <w:szCs w:val="21"/>
              </w:rPr>
              <w:t>（</w:t>
            </w:r>
            <w:r>
              <w:rPr>
                <w:color w:val="000000"/>
                <w:sz w:val="21"/>
                <w:szCs w:val="21"/>
              </w:rPr>
              <w:t>4</w:t>
            </w:r>
            <w:r>
              <w:rPr>
                <w:rFonts w:hint="eastAsia" w:cs="宋体"/>
                <w:color w:val="000000"/>
                <w:sz w:val="21"/>
                <w:szCs w:val="21"/>
              </w:rPr>
              <w:t>）协调</w:t>
            </w:r>
            <w:r>
              <w:rPr>
                <w:color w:val="000000"/>
                <w:sz w:val="21"/>
                <w:szCs w:val="21"/>
              </w:rPr>
              <w:t xml:space="preserve">  </w:t>
            </w:r>
            <w:r>
              <w:rPr>
                <w:rFonts w:hint="eastAsia" w:cs="宋体"/>
                <w:color w:val="000000"/>
                <w:sz w:val="21"/>
                <w:szCs w:val="21"/>
              </w:rPr>
              <w:t>综合协调小组及时告知岳阳市自来水公司、岳阳市自来水公司第一水厂、岳阳市自来水公司第二水厂，增加取水水质监测频次，密切关注供水的出水水质情况，并将进出水水质异常情况报告岳阳市饮用水源保护区（铁山水库-北干渠-金凤水库）突发环境事件应急指挥部、水厂等相关单位。</w:t>
            </w:r>
          </w:p>
          <w:p>
            <w:pPr>
              <w:adjustRightInd w:val="0"/>
              <w:snapToGrid w:val="0"/>
              <w:spacing w:line="340" w:lineRule="exact"/>
              <w:ind w:firstLine="0" w:firstLineChars="0"/>
              <w:jc w:val="left"/>
              <w:rPr>
                <w:color w:val="000000"/>
                <w:sz w:val="21"/>
                <w:szCs w:val="21"/>
              </w:rPr>
            </w:pPr>
            <w:r>
              <w:rPr>
                <w:rFonts w:hint="eastAsia" w:cs="宋体"/>
                <w:color w:val="000000"/>
                <w:sz w:val="21"/>
                <w:szCs w:val="21"/>
              </w:rPr>
              <w:t>（</w:t>
            </w:r>
            <w:r>
              <w:rPr>
                <w:color w:val="000000"/>
                <w:sz w:val="21"/>
                <w:szCs w:val="21"/>
              </w:rPr>
              <w:t>5</w:t>
            </w:r>
            <w:r>
              <w:rPr>
                <w:rFonts w:hint="eastAsia" w:cs="宋体"/>
                <w:color w:val="000000"/>
                <w:sz w:val="21"/>
                <w:szCs w:val="21"/>
              </w:rPr>
              <w:t>）善后</w:t>
            </w:r>
            <w:r>
              <w:rPr>
                <w:color w:val="000000"/>
                <w:sz w:val="21"/>
                <w:szCs w:val="21"/>
              </w:rPr>
              <w:t xml:space="preserve">  </w:t>
            </w:r>
            <w:r>
              <w:rPr>
                <w:rFonts w:hint="eastAsia" w:cs="宋体"/>
                <w:color w:val="000000"/>
                <w:sz w:val="21"/>
                <w:szCs w:val="21"/>
              </w:rPr>
              <w:t>善后处理小组负责做好饮用水正常供水保障工作，负责与其他相关单位联系。</w:t>
            </w:r>
          </w:p>
          <w:p>
            <w:pPr>
              <w:adjustRightInd w:val="0"/>
              <w:snapToGrid w:val="0"/>
              <w:spacing w:line="340" w:lineRule="exact"/>
              <w:ind w:firstLine="0" w:firstLineChars="0"/>
              <w:jc w:val="left"/>
              <w:rPr>
                <w:color w:val="000000"/>
                <w:sz w:val="21"/>
                <w:szCs w:val="21"/>
              </w:rPr>
            </w:pPr>
            <w:r>
              <w:rPr>
                <w:rFonts w:hint="eastAsia" w:cs="宋体"/>
                <w:b/>
                <w:color w:val="000000"/>
                <w:sz w:val="21"/>
                <w:szCs w:val="21"/>
              </w:rPr>
              <w:t>备注：岳阳市饮用水源保护区（铁山水库-北干渠-金凤水库）涉及不同的职能部门，各相关职能部门应根据本部门职责要求履行相应的责任，确保将其危害程度减少到最小。</w:t>
            </w:r>
          </w:p>
        </w:tc>
      </w:tr>
    </w:tbl>
    <w:p>
      <w:pPr>
        <w:autoSpaceDE w:val="0"/>
        <w:autoSpaceDN w:val="0"/>
        <w:adjustRightInd w:val="0"/>
        <w:snapToGrid w:val="0"/>
        <w:ind w:firstLine="0" w:firstLineChars="0"/>
        <w:jc w:val="center"/>
        <w:rPr>
          <w:rFonts w:ascii="宋体" w:hAnsi="宋体" w:cs="宋体"/>
          <w:b/>
          <w:color w:val="000000"/>
          <w:szCs w:val="24"/>
          <w:lang w:val="zh-CN"/>
        </w:rPr>
      </w:pPr>
      <w:r>
        <w:rPr>
          <w:rFonts w:hint="eastAsia" w:ascii="宋体" w:hAnsi="宋体"/>
          <w:b/>
          <w:color w:val="000000"/>
          <w:szCs w:val="24"/>
          <w:lang w:val="zh-CN"/>
        </w:rPr>
        <w:br w:type="page"/>
      </w:r>
      <w:r>
        <w:rPr>
          <w:rFonts w:hint="eastAsia" w:ascii="宋体" w:hAnsi="宋体" w:cs="宋体"/>
          <w:b/>
          <w:color w:val="000000"/>
          <w:sz w:val="21"/>
          <w:szCs w:val="21"/>
          <w:lang w:val="zh-CN"/>
        </w:rPr>
        <w:t>附</w:t>
      </w:r>
      <w:r>
        <w:rPr>
          <w:rFonts w:hint="eastAsia" w:cs="宋体"/>
          <w:b/>
          <w:color w:val="000000"/>
          <w:sz w:val="21"/>
          <w:szCs w:val="21"/>
          <w:lang w:val="zh-CN"/>
        </w:rPr>
        <w:t>件</w:t>
      </w:r>
      <w:r>
        <w:rPr>
          <w:rFonts w:hint="eastAsia"/>
          <w:b/>
          <w:color w:val="000000"/>
          <w:sz w:val="21"/>
          <w:szCs w:val="21"/>
        </w:rPr>
        <w:t>7</w:t>
      </w:r>
      <w:r>
        <w:rPr>
          <w:b/>
          <w:color w:val="000000"/>
          <w:sz w:val="21"/>
          <w:szCs w:val="21"/>
          <w:lang w:val="zh-CN"/>
        </w:rPr>
        <w:t xml:space="preserve">-2  </w:t>
      </w:r>
      <w:r>
        <w:rPr>
          <w:rFonts w:hint="eastAsia" w:ascii="宋体" w:hAnsi="宋体" w:cs="宋体"/>
          <w:b/>
          <w:color w:val="000000"/>
          <w:sz w:val="21"/>
          <w:szCs w:val="21"/>
          <w:lang w:val="zh-CN"/>
        </w:rPr>
        <w:t>陆域流动源突发环境事件应急卡</w:t>
      </w:r>
    </w:p>
    <w:tbl>
      <w:tblPr>
        <w:tblStyle w:val="47"/>
        <w:tblW w:w="8505" w:type="dxa"/>
        <w:jc w:val="center"/>
        <w:tblInd w:w="0" w:type="dxa"/>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
      <w:tblGrid>
        <w:gridCol w:w="1093"/>
        <w:gridCol w:w="1105"/>
        <w:gridCol w:w="1290"/>
        <w:gridCol w:w="1620"/>
        <w:gridCol w:w="1620"/>
        <w:gridCol w:w="1777"/>
      </w:tblGrid>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cantSplit/>
          <w:trHeight w:val="454" w:hRule="atLeast"/>
          <w:jc w:val="center"/>
        </w:trPr>
        <w:tc>
          <w:tcPr>
            <w:tcW w:w="1093" w:type="dxa"/>
            <w:vMerge w:val="restart"/>
            <w:tcBorders>
              <w:top w:val="single" w:color="auto" w:sz="8" w:space="0"/>
              <w:left w:val="single" w:color="auto" w:sz="8" w:space="0"/>
              <w:bottom w:val="single" w:color="auto" w:sz="4" w:space="0"/>
              <w:right w:val="single" w:color="auto" w:sz="4" w:space="0"/>
            </w:tcBorders>
            <w:shd w:val="clear" w:color="auto" w:fill="auto"/>
            <w:vAlign w:val="center"/>
          </w:tcPr>
          <w:p>
            <w:pPr>
              <w:adjustRightInd w:val="0"/>
              <w:snapToGrid w:val="0"/>
              <w:spacing w:line="340" w:lineRule="exact"/>
              <w:ind w:firstLine="0" w:firstLineChars="0"/>
              <w:jc w:val="center"/>
              <w:rPr>
                <w:rFonts w:ascii="宋体" w:hAnsi="宋体" w:cs="宋体"/>
                <w:b/>
                <w:color w:val="000000"/>
                <w:sz w:val="21"/>
                <w:szCs w:val="21"/>
              </w:rPr>
            </w:pPr>
            <w:r>
              <w:rPr>
                <w:rFonts w:hint="eastAsia" w:ascii="宋体" w:hAnsi="宋体" w:cs="宋体"/>
                <w:b/>
                <w:color w:val="000000"/>
                <w:sz w:val="21"/>
                <w:szCs w:val="21"/>
              </w:rPr>
              <w:t>风险</w:t>
            </w:r>
          </w:p>
          <w:p>
            <w:pPr>
              <w:adjustRightInd w:val="0"/>
              <w:snapToGrid w:val="0"/>
              <w:spacing w:line="340" w:lineRule="exact"/>
              <w:ind w:firstLine="0" w:firstLineChars="0"/>
              <w:jc w:val="center"/>
              <w:rPr>
                <w:rFonts w:ascii="宋体" w:hAnsi="宋体" w:cs="宋体"/>
                <w:b/>
                <w:color w:val="000000"/>
                <w:sz w:val="21"/>
                <w:szCs w:val="21"/>
              </w:rPr>
            </w:pPr>
            <w:r>
              <w:rPr>
                <w:rFonts w:hint="eastAsia" w:ascii="宋体" w:hAnsi="宋体" w:cs="宋体"/>
                <w:b/>
                <w:color w:val="000000"/>
                <w:sz w:val="21"/>
                <w:szCs w:val="21"/>
              </w:rPr>
              <w:t>特征</w:t>
            </w:r>
          </w:p>
        </w:tc>
        <w:tc>
          <w:tcPr>
            <w:tcW w:w="1105" w:type="dxa"/>
            <w:tcBorders>
              <w:top w:val="single" w:color="auto" w:sz="8" w:space="0"/>
              <w:left w:val="single" w:color="auto" w:sz="4" w:space="0"/>
              <w:bottom w:val="single" w:color="auto" w:sz="4" w:space="0"/>
              <w:right w:val="single" w:color="auto" w:sz="4" w:space="0"/>
            </w:tcBorders>
            <w:shd w:val="clear" w:color="auto" w:fill="auto"/>
            <w:vAlign w:val="center"/>
          </w:tcPr>
          <w:p>
            <w:pPr>
              <w:adjustRightInd w:val="0"/>
              <w:snapToGrid w:val="0"/>
              <w:spacing w:line="340" w:lineRule="exact"/>
              <w:ind w:firstLine="0" w:firstLineChars="0"/>
              <w:jc w:val="left"/>
              <w:rPr>
                <w:rFonts w:ascii="宋体" w:hAnsi="宋体" w:cs="宋体"/>
                <w:color w:val="000000"/>
                <w:sz w:val="21"/>
                <w:szCs w:val="21"/>
              </w:rPr>
            </w:pPr>
            <w:r>
              <w:rPr>
                <w:rFonts w:hint="eastAsia" w:ascii="宋体" w:hAnsi="宋体" w:cs="宋体"/>
                <w:color w:val="000000"/>
                <w:sz w:val="21"/>
                <w:szCs w:val="21"/>
              </w:rPr>
              <w:t>事故地点</w:t>
            </w:r>
          </w:p>
        </w:tc>
        <w:tc>
          <w:tcPr>
            <w:tcW w:w="6307" w:type="dxa"/>
            <w:gridSpan w:val="4"/>
            <w:tcBorders>
              <w:top w:val="single" w:color="auto" w:sz="8" w:space="0"/>
              <w:left w:val="single" w:color="auto" w:sz="4" w:space="0"/>
              <w:bottom w:val="single" w:color="auto" w:sz="4" w:space="0"/>
              <w:right w:val="single" w:color="auto" w:sz="8" w:space="0"/>
            </w:tcBorders>
            <w:shd w:val="clear" w:color="auto" w:fill="auto"/>
            <w:vAlign w:val="center"/>
          </w:tcPr>
          <w:p>
            <w:pPr>
              <w:adjustRightInd w:val="0"/>
              <w:snapToGrid w:val="0"/>
              <w:spacing w:line="340" w:lineRule="exact"/>
              <w:ind w:firstLine="0" w:firstLineChars="0"/>
              <w:jc w:val="center"/>
              <w:rPr>
                <w:rFonts w:ascii="宋体" w:hAnsi="宋体" w:cs="宋体"/>
                <w:color w:val="000000"/>
                <w:sz w:val="21"/>
                <w:szCs w:val="21"/>
              </w:rPr>
            </w:pPr>
            <w:r>
              <w:rPr>
                <w:rFonts w:hint="eastAsia" w:ascii="宋体" w:hAnsi="宋体" w:cs="宋体"/>
                <w:color w:val="000000"/>
                <w:sz w:val="21"/>
                <w:szCs w:val="21"/>
              </w:rPr>
              <w:t>岳阳市饮用水源保护区（铁山水库-北干渠-金凤水库）陆域范围内的公路</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cantSplit/>
          <w:trHeight w:val="454" w:hRule="atLeast"/>
          <w:jc w:val="center"/>
        </w:trPr>
        <w:tc>
          <w:tcPr>
            <w:tcW w:w="1093" w:type="dxa"/>
            <w:vMerge w:val="continue"/>
            <w:tcBorders>
              <w:top w:val="single" w:color="auto" w:sz="8" w:space="0"/>
              <w:left w:val="single" w:color="auto" w:sz="8" w:space="0"/>
              <w:bottom w:val="single" w:color="auto" w:sz="4" w:space="0"/>
              <w:right w:val="single" w:color="auto" w:sz="4" w:space="0"/>
            </w:tcBorders>
            <w:shd w:val="clear" w:color="auto" w:fill="auto"/>
            <w:vAlign w:val="center"/>
          </w:tcPr>
          <w:p>
            <w:pPr>
              <w:ind w:firstLine="420"/>
              <w:rPr>
                <w:rFonts w:ascii="Calibri" w:hAnsi="Calibri"/>
                <w:sz w:val="21"/>
              </w:rPr>
            </w:pPr>
          </w:p>
        </w:tc>
        <w:tc>
          <w:tcPr>
            <w:tcW w:w="1105" w:type="dxa"/>
            <w:tcBorders>
              <w:top w:val="single" w:color="auto" w:sz="4" w:space="0"/>
              <w:left w:val="single" w:color="auto" w:sz="4" w:space="0"/>
              <w:bottom w:val="single" w:color="auto" w:sz="4" w:space="0"/>
              <w:right w:val="single" w:color="auto" w:sz="4" w:space="0"/>
            </w:tcBorders>
            <w:shd w:val="clear" w:color="auto" w:fill="auto"/>
            <w:vAlign w:val="center"/>
          </w:tcPr>
          <w:p>
            <w:pPr>
              <w:adjustRightInd w:val="0"/>
              <w:snapToGrid w:val="0"/>
              <w:spacing w:line="340" w:lineRule="exact"/>
              <w:ind w:firstLine="0" w:firstLineChars="0"/>
              <w:jc w:val="left"/>
              <w:rPr>
                <w:rFonts w:ascii="宋体" w:hAnsi="宋体" w:cs="宋体"/>
                <w:color w:val="000000"/>
                <w:sz w:val="21"/>
                <w:szCs w:val="21"/>
              </w:rPr>
            </w:pPr>
            <w:r>
              <w:rPr>
                <w:rFonts w:hint="eastAsia" w:ascii="宋体" w:hAnsi="宋体" w:cs="宋体"/>
                <w:color w:val="000000"/>
                <w:sz w:val="21"/>
                <w:szCs w:val="21"/>
              </w:rPr>
              <w:t>风险物质</w:t>
            </w:r>
          </w:p>
        </w:tc>
        <w:tc>
          <w:tcPr>
            <w:tcW w:w="6307" w:type="dxa"/>
            <w:gridSpan w:val="4"/>
            <w:tcBorders>
              <w:top w:val="single" w:color="auto" w:sz="4" w:space="0"/>
              <w:left w:val="single" w:color="auto" w:sz="4" w:space="0"/>
              <w:bottom w:val="single" w:color="auto" w:sz="4" w:space="0"/>
              <w:right w:val="single" w:color="auto" w:sz="8" w:space="0"/>
            </w:tcBorders>
            <w:shd w:val="clear" w:color="auto" w:fill="auto"/>
            <w:vAlign w:val="center"/>
          </w:tcPr>
          <w:p>
            <w:pPr>
              <w:adjustRightInd w:val="0"/>
              <w:snapToGrid w:val="0"/>
              <w:spacing w:line="340" w:lineRule="exact"/>
              <w:ind w:firstLine="0" w:firstLineChars="0"/>
              <w:jc w:val="center"/>
              <w:rPr>
                <w:rFonts w:ascii="宋体" w:hAnsi="宋体" w:cs="宋体"/>
                <w:color w:val="000000"/>
                <w:sz w:val="21"/>
                <w:szCs w:val="21"/>
              </w:rPr>
            </w:pPr>
            <w:r>
              <w:rPr>
                <w:rFonts w:hint="eastAsia" w:ascii="宋体" w:hAnsi="宋体" w:cs="宋体"/>
                <w:color w:val="000000"/>
                <w:sz w:val="21"/>
                <w:szCs w:val="21"/>
              </w:rPr>
              <w:t>柴油、汽油、危险化学品等</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cantSplit/>
          <w:trHeight w:val="454" w:hRule="atLeast"/>
          <w:jc w:val="center"/>
        </w:trPr>
        <w:tc>
          <w:tcPr>
            <w:tcW w:w="1093" w:type="dxa"/>
            <w:vMerge w:val="continue"/>
            <w:tcBorders>
              <w:top w:val="single" w:color="auto" w:sz="8" w:space="0"/>
              <w:left w:val="single" w:color="auto" w:sz="8" w:space="0"/>
              <w:bottom w:val="single" w:color="auto" w:sz="4" w:space="0"/>
              <w:right w:val="single" w:color="auto" w:sz="4" w:space="0"/>
            </w:tcBorders>
            <w:shd w:val="clear" w:color="auto" w:fill="auto"/>
            <w:vAlign w:val="center"/>
          </w:tcPr>
          <w:p>
            <w:pPr>
              <w:ind w:firstLine="420"/>
              <w:rPr>
                <w:rFonts w:ascii="Calibri" w:hAnsi="Calibri"/>
                <w:sz w:val="21"/>
              </w:rPr>
            </w:pPr>
          </w:p>
        </w:tc>
        <w:tc>
          <w:tcPr>
            <w:tcW w:w="1105" w:type="dxa"/>
            <w:tcBorders>
              <w:top w:val="single" w:color="auto" w:sz="4" w:space="0"/>
              <w:left w:val="single" w:color="auto" w:sz="4" w:space="0"/>
              <w:bottom w:val="single" w:color="auto" w:sz="4" w:space="0"/>
              <w:right w:val="single" w:color="auto" w:sz="4" w:space="0"/>
            </w:tcBorders>
            <w:shd w:val="clear" w:color="auto" w:fill="auto"/>
            <w:vAlign w:val="center"/>
          </w:tcPr>
          <w:p>
            <w:pPr>
              <w:adjustRightInd w:val="0"/>
              <w:snapToGrid w:val="0"/>
              <w:spacing w:line="340" w:lineRule="exact"/>
              <w:ind w:firstLine="0" w:firstLineChars="0"/>
              <w:jc w:val="left"/>
              <w:rPr>
                <w:rFonts w:ascii="宋体" w:hAnsi="宋体" w:cs="宋体"/>
                <w:color w:val="000000"/>
                <w:sz w:val="21"/>
                <w:szCs w:val="21"/>
              </w:rPr>
            </w:pPr>
            <w:r>
              <w:rPr>
                <w:rFonts w:hint="eastAsia" w:ascii="宋体" w:hAnsi="宋体" w:cs="宋体"/>
                <w:color w:val="000000"/>
                <w:sz w:val="21"/>
                <w:szCs w:val="21"/>
              </w:rPr>
              <w:t>事故说明</w:t>
            </w:r>
          </w:p>
        </w:tc>
        <w:tc>
          <w:tcPr>
            <w:tcW w:w="6307" w:type="dxa"/>
            <w:gridSpan w:val="4"/>
            <w:tcBorders>
              <w:top w:val="single" w:color="auto" w:sz="4" w:space="0"/>
              <w:left w:val="single" w:color="auto" w:sz="4" w:space="0"/>
              <w:bottom w:val="single" w:color="auto" w:sz="4" w:space="0"/>
              <w:right w:val="single" w:color="auto" w:sz="8" w:space="0"/>
            </w:tcBorders>
            <w:shd w:val="clear" w:color="auto" w:fill="auto"/>
            <w:vAlign w:val="center"/>
          </w:tcPr>
          <w:p>
            <w:pPr>
              <w:adjustRightInd w:val="0"/>
              <w:snapToGrid w:val="0"/>
              <w:spacing w:line="340" w:lineRule="exact"/>
              <w:ind w:firstLine="0" w:firstLineChars="0"/>
              <w:jc w:val="left"/>
              <w:rPr>
                <w:rFonts w:ascii="宋体" w:hAnsi="宋体" w:cs="宋体"/>
                <w:color w:val="000000"/>
                <w:sz w:val="21"/>
                <w:szCs w:val="21"/>
              </w:rPr>
            </w:pPr>
            <w:r>
              <w:rPr>
                <w:rFonts w:hint="eastAsia" w:ascii="宋体" w:hAnsi="宋体" w:cs="宋体"/>
                <w:color w:val="000000"/>
                <w:sz w:val="21"/>
                <w:szCs w:val="21"/>
              </w:rPr>
              <w:t>岳阳市饮用水源保护区（铁山水库-北干渠-金凤水库）陆域</w:t>
            </w:r>
            <w:r>
              <w:rPr>
                <w:rFonts w:hint="eastAsia" w:cs="宋体"/>
                <w:sz w:val="21"/>
                <w:szCs w:val="21"/>
              </w:rPr>
              <w:t>范围的公路、停车场内的车辆发生的油品泄漏等环境事件，由于其距离保护区水域距离较近，可能对</w:t>
            </w:r>
            <w:r>
              <w:rPr>
                <w:rFonts w:hint="eastAsia" w:ascii="宋体" w:hAnsi="宋体" w:cs="宋体"/>
                <w:color w:val="000000"/>
                <w:sz w:val="21"/>
                <w:szCs w:val="21"/>
              </w:rPr>
              <w:t>岳阳市饮用水源保护区（铁山水库-北干渠-金凤水库）水质造成一定影响。</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cantSplit/>
          <w:trHeight w:val="454" w:hRule="atLeast"/>
          <w:jc w:val="center"/>
        </w:trPr>
        <w:tc>
          <w:tcPr>
            <w:tcW w:w="1093" w:type="dxa"/>
            <w:tcBorders>
              <w:top w:val="single" w:color="auto" w:sz="4" w:space="0"/>
              <w:left w:val="single" w:color="auto" w:sz="8" w:space="0"/>
              <w:bottom w:val="single" w:color="auto" w:sz="4" w:space="0"/>
              <w:right w:val="single" w:color="auto" w:sz="4" w:space="0"/>
            </w:tcBorders>
            <w:shd w:val="clear" w:color="auto" w:fill="auto"/>
            <w:vAlign w:val="center"/>
          </w:tcPr>
          <w:p>
            <w:pPr>
              <w:adjustRightInd w:val="0"/>
              <w:snapToGrid w:val="0"/>
              <w:spacing w:line="340" w:lineRule="exact"/>
              <w:ind w:firstLine="0" w:firstLineChars="0"/>
              <w:jc w:val="center"/>
              <w:rPr>
                <w:rFonts w:ascii="宋体" w:hAnsi="宋体" w:cs="宋体"/>
                <w:b/>
                <w:color w:val="000000"/>
                <w:sz w:val="21"/>
                <w:szCs w:val="21"/>
              </w:rPr>
            </w:pPr>
            <w:r>
              <w:rPr>
                <w:rFonts w:hint="eastAsia" w:ascii="宋体" w:hAnsi="宋体" w:cs="宋体"/>
                <w:b/>
                <w:color w:val="000000"/>
                <w:sz w:val="21"/>
                <w:szCs w:val="21"/>
              </w:rPr>
              <w:t>应急</w:t>
            </w:r>
          </w:p>
          <w:p>
            <w:pPr>
              <w:adjustRightInd w:val="0"/>
              <w:snapToGrid w:val="0"/>
              <w:spacing w:line="340" w:lineRule="exact"/>
              <w:ind w:firstLine="0" w:firstLineChars="0"/>
              <w:jc w:val="center"/>
              <w:rPr>
                <w:rFonts w:ascii="宋体" w:hAnsi="宋体" w:cs="宋体"/>
                <w:b/>
                <w:color w:val="000000"/>
                <w:sz w:val="21"/>
                <w:szCs w:val="21"/>
              </w:rPr>
            </w:pPr>
            <w:r>
              <w:rPr>
                <w:rFonts w:hint="eastAsia" w:ascii="宋体" w:hAnsi="宋体" w:cs="宋体"/>
                <w:b/>
                <w:color w:val="000000"/>
                <w:sz w:val="21"/>
                <w:szCs w:val="21"/>
              </w:rPr>
              <w:t>程序</w:t>
            </w:r>
          </w:p>
        </w:tc>
        <w:tc>
          <w:tcPr>
            <w:tcW w:w="7412" w:type="dxa"/>
            <w:gridSpan w:val="5"/>
            <w:tcBorders>
              <w:top w:val="single" w:color="auto" w:sz="4" w:space="0"/>
              <w:left w:val="single" w:color="auto" w:sz="4" w:space="0"/>
              <w:bottom w:val="single" w:color="auto" w:sz="4" w:space="0"/>
              <w:right w:val="single" w:color="auto" w:sz="8" w:space="0"/>
            </w:tcBorders>
            <w:shd w:val="clear" w:color="auto" w:fill="auto"/>
          </w:tcPr>
          <w:p>
            <w:pPr>
              <w:adjustRightInd w:val="0"/>
              <w:snapToGrid w:val="0"/>
              <w:spacing w:line="340" w:lineRule="exact"/>
              <w:ind w:firstLine="0" w:firstLineChars="0"/>
              <w:jc w:val="left"/>
              <w:rPr>
                <w:rFonts w:ascii="宋体" w:hAnsi="宋体" w:cs="宋体"/>
                <w:color w:val="000000"/>
                <w:sz w:val="21"/>
                <w:szCs w:val="21"/>
              </w:rPr>
            </w:pPr>
            <w:r>
              <w:rPr>
                <w:rFonts w:hint="eastAsia" w:ascii="宋体" w:hAnsi="宋体" w:cs="宋体"/>
                <w:color w:val="000000"/>
                <w:sz w:val="21"/>
                <w:szCs w:val="21"/>
              </w:rPr>
              <w:t>事故责任单位负责人或发现人立即报告事发地水厂、市铁山局、市环保局、市水利局等相关的单位和部门，相关单位立即赶赴现场指导事故先期处置工作，并判断事故等级情况；再根据事故的大小及发展态势向相关单位和部门报告，若事故造成水厂供水的原水水质后果已经或可能导致的</w:t>
            </w:r>
            <w:r>
              <w:rPr>
                <w:rFonts w:hint="eastAsia" w:ascii="宋体" w:hAnsi="宋体" w:cs="宋体"/>
                <w:color w:val="000000"/>
                <w:sz w:val="21"/>
                <w:szCs w:val="21"/>
              </w:rPr>
              <w:fldChar w:fldCharType="begin"/>
            </w:r>
            <w:r>
              <w:rPr>
                <w:rFonts w:hint="eastAsia" w:ascii="宋体" w:hAnsi="宋体" w:cs="宋体"/>
                <w:color w:val="000000"/>
                <w:sz w:val="21"/>
                <w:szCs w:val="21"/>
              </w:rPr>
              <w:instrText xml:space="preserve"> = 2 \* ROMAN \* MERGEFORMAT </w:instrText>
            </w:r>
            <w:r>
              <w:rPr>
                <w:rFonts w:hint="eastAsia" w:ascii="宋体" w:hAnsi="宋体" w:cs="宋体"/>
                <w:color w:val="000000"/>
                <w:sz w:val="21"/>
                <w:szCs w:val="21"/>
              </w:rPr>
              <w:fldChar w:fldCharType="separate"/>
            </w:r>
            <w:r>
              <w:rPr>
                <w:rFonts w:hint="eastAsia" w:ascii="宋体" w:hAnsi="宋体" w:cs="宋体"/>
                <w:color w:val="000000"/>
                <w:sz w:val="21"/>
                <w:szCs w:val="21"/>
              </w:rPr>
              <w:t>I</w:t>
            </w:r>
            <w:r>
              <w:rPr>
                <w:rFonts w:hint="eastAsia" w:ascii="宋体" w:hAnsi="宋体" w:cs="宋体"/>
                <w:color w:val="000000"/>
                <w:sz w:val="21"/>
                <w:szCs w:val="21"/>
              </w:rPr>
              <w:fldChar w:fldCharType="end"/>
            </w:r>
            <w:r>
              <w:rPr>
                <w:rFonts w:hint="eastAsia" w:ascii="宋体" w:hAnsi="宋体" w:cs="宋体"/>
                <w:color w:val="000000"/>
                <w:sz w:val="21"/>
                <w:szCs w:val="21"/>
              </w:rPr>
              <w:t>级要求，则执行</w:t>
            </w:r>
            <w:r>
              <w:rPr>
                <w:rFonts w:hint="eastAsia" w:ascii="宋体" w:hAnsi="宋体" w:cs="宋体"/>
                <w:color w:val="000000"/>
                <w:sz w:val="21"/>
                <w:szCs w:val="21"/>
              </w:rPr>
              <w:fldChar w:fldCharType="begin"/>
            </w:r>
            <w:r>
              <w:rPr>
                <w:rFonts w:hint="eastAsia" w:ascii="宋体" w:hAnsi="宋体" w:cs="宋体"/>
                <w:color w:val="000000"/>
                <w:sz w:val="21"/>
                <w:szCs w:val="21"/>
              </w:rPr>
              <w:instrText xml:space="preserve"> = 2 \* ROMAN \* MERGEFORMAT </w:instrText>
            </w:r>
            <w:r>
              <w:rPr>
                <w:rFonts w:hint="eastAsia" w:ascii="宋体" w:hAnsi="宋体" w:cs="宋体"/>
                <w:color w:val="000000"/>
                <w:sz w:val="21"/>
                <w:szCs w:val="21"/>
              </w:rPr>
              <w:fldChar w:fldCharType="separate"/>
            </w:r>
            <w:r>
              <w:rPr>
                <w:rFonts w:hint="eastAsia" w:ascii="宋体" w:hAnsi="宋体" w:cs="宋体"/>
                <w:color w:val="000000"/>
                <w:sz w:val="21"/>
                <w:szCs w:val="21"/>
              </w:rPr>
              <w:t>I</w:t>
            </w:r>
            <w:r>
              <w:rPr>
                <w:rFonts w:hint="eastAsia" w:ascii="宋体" w:hAnsi="宋体" w:cs="宋体"/>
                <w:color w:val="000000"/>
                <w:sz w:val="21"/>
                <w:szCs w:val="21"/>
              </w:rPr>
              <w:fldChar w:fldCharType="end"/>
            </w:r>
            <w:r>
              <w:rPr>
                <w:rFonts w:hint="eastAsia" w:ascii="宋体" w:hAnsi="宋体" w:cs="宋体"/>
                <w:color w:val="000000"/>
                <w:sz w:val="21"/>
                <w:szCs w:val="21"/>
              </w:rPr>
              <w:t>级响应程序，其它则执行</w:t>
            </w:r>
            <w:r>
              <w:rPr>
                <w:rFonts w:hint="eastAsia" w:ascii="宋体" w:hAnsi="宋体" w:cs="宋体"/>
                <w:color w:val="000000"/>
                <w:sz w:val="21"/>
                <w:szCs w:val="21"/>
              </w:rPr>
              <w:fldChar w:fldCharType="begin"/>
            </w:r>
            <w:r>
              <w:rPr>
                <w:rFonts w:hint="eastAsia" w:ascii="宋体" w:hAnsi="宋体" w:cs="宋体"/>
                <w:color w:val="000000"/>
                <w:sz w:val="21"/>
                <w:szCs w:val="21"/>
              </w:rPr>
              <w:instrText xml:space="preserve"> = 3 \* ROMAN \* MERGEFORMAT </w:instrText>
            </w:r>
            <w:r>
              <w:rPr>
                <w:rFonts w:hint="eastAsia" w:ascii="宋体" w:hAnsi="宋体" w:cs="宋体"/>
                <w:color w:val="000000"/>
                <w:sz w:val="21"/>
                <w:szCs w:val="21"/>
              </w:rPr>
              <w:fldChar w:fldCharType="separate"/>
            </w:r>
            <w:r>
              <w:rPr>
                <w:rFonts w:hint="eastAsia" w:ascii="宋体" w:hAnsi="宋体" w:cs="宋体"/>
                <w:color w:val="000000"/>
                <w:sz w:val="21"/>
                <w:szCs w:val="21"/>
              </w:rPr>
              <w:t>II</w:t>
            </w:r>
            <w:r>
              <w:rPr>
                <w:rFonts w:hint="eastAsia" w:ascii="宋体" w:hAnsi="宋体" w:cs="宋体"/>
                <w:color w:val="000000"/>
                <w:sz w:val="21"/>
                <w:szCs w:val="21"/>
              </w:rPr>
              <w:fldChar w:fldCharType="end"/>
            </w:r>
            <w:r>
              <w:rPr>
                <w:rFonts w:hint="eastAsia" w:ascii="宋体" w:hAnsi="宋体" w:cs="宋体"/>
                <w:color w:val="000000"/>
                <w:sz w:val="21"/>
                <w:szCs w:val="21"/>
              </w:rPr>
              <w:t>级级响应程序。</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cantSplit/>
          <w:trHeight w:val="454" w:hRule="atLeast"/>
          <w:jc w:val="center"/>
        </w:trPr>
        <w:tc>
          <w:tcPr>
            <w:tcW w:w="1093" w:type="dxa"/>
            <w:vMerge w:val="restart"/>
            <w:tcBorders>
              <w:top w:val="single" w:color="auto" w:sz="4" w:space="0"/>
              <w:left w:val="single" w:color="auto" w:sz="8" w:space="0"/>
              <w:bottom w:val="single" w:color="auto" w:sz="4" w:space="0"/>
              <w:right w:val="single" w:color="auto" w:sz="4" w:space="0"/>
            </w:tcBorders>
            <w:shd w:val="clear" w:color="auto" w:fill="auto"/>
            <w:vAlign w:val="center"/>
          </w:tcPr>
          <w:p>
            <w:pPr>
              <w:adjustRightInd w:val="0"/>
              <w:snapToGrid w:val="0"/>
              <w:spacing w:line="340" w:lineRule="exact"/>
              <w:ind w:firstLine="0" w:firstLineChars="0"/>
              <w:jc w:val="center"/>
              <w:rPr>
                <w:rFonts w:ascii="宋体" w:hAnsi="宋体" w:cs="宋体"/>
                <w:b/>
                <w:color w:val="000000"/>
                <w:sz w:val="21"/>
                <w:szCs w:val="21"/>
              </w:rPr>
            </w:pPr>
            <w:r>
              <w:rPr>
                <w:rFonts w:hint="eastAsia" w:ascii="宋体" w:hAnsi="宋体" w:cs="宋体"/>
                <w:b/>
                <w:color w:val="000000"/>
                <w:sz w:val="21"/>
                <w:szCs w:val="21"/>
              </w:rPr>
              <w:t>应急</w:t>
            </w:r>
          </w:p>
          <w:p>
            <w:pPr>
              <w:adjustRightInd w:val="0"/>
              <w:snapToGrid w:val="0"/>
              <w:spacing w:line="340" w:lineRule="exact"/>
              <w:ind w:firstLine="0" w:firstLineChars="0"/>
              <w:jc w:val="center"/>
              <w:rPr>
                <w:rFonts w:ascii="宋体" w:hAnsi="宋体" w:cs="宋体"/>
                <w:b/>
                <w:color w:val="000000"/>
                <w:sz w:val="21"/>
                <w:szCs w:val="21"/>
              </w:rPr>
            </w:pPr>
            <w:r>
              <w:rPr>
                <w:rFonts w:hint="eastAsia" w:ascii="宋体" w:hAnsi="宋体" w:cs="宋体"/>
                <w:b/>
                <w:color w:val="000000"/>
                <w:sz w:val="21"/>
                <w:szCs w:val="21"/>
              </w:rPr>
              <w:t>报告</w:t>
            </w:r>
          </w:p>
        </w:tc>
        <w:tc>
          <w:tcPr>
            <w:tcW w:w="239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pPr>
              <w:adjustRightInd w:val="0"/>
              <w:snapToGrid w:val="0"/>
              <w:spacing w:line="340" w:lineRule="exact"/>
              <w:ind w:firstLine="0" w:firstLineChars="0"/>
              <w:jc w:val="left"/>
              <w:rPr>
                <w:rFonts w:ascii="宋体" w:hAnsi="宋体" w:cs="宋体"/>
                <w:color w:val="000000"/>
                <w:sz w:val="21"/>
                <w:szCs w:val="21"/>
              </w:rPr>
            </w:pPr>
            <w:r>
              <w:rPr>
                <w:rFonts w:hint="eastAsia" w:ascii="宋体" w:hAnsi="宋体" w:cs="宋体"/>
                <w:color w:val="000000"/>
                <w:sz w:val="21"/>
                <w:szCs w:val="21"/>
              </w:rPr>
              <w:t>报告内容</w:t>
            </w:r>
          </w:p>
        </w:tc>
        <w:tc>
          <w:tcPr>
            <w:tcW w:w="5017" w:type="dxa"/>
            <w:gridSpan w:val="3"/>
            <w:tcBorders>
              <w:top w:val="single" w:color="auto" w:sz="4" w:space="0"/>
              <w:left w:val="single" w:color="auto" w:sz="4" w:space="0"/>
              <w:bottom w:val="single" w:color="auto" w:sz="4" w:space="0"/>
              <w:right w:val="single" w:color="auto" w:sz="8" w:space="0"/>
            </w:tcBorders>
            <w:shd w:val="clear" w:color="auto" w:fill="auto"/>
            <w:vAlign w:val="center"/>
          </w:tcPr>
          <w:p>
            <w:pPr>
              <w:adjustRightInd w:val="0"/>
              <w:snapToGrid w:val="0"/>
              <w:spacing w:line="340" w:lineRule="exact"/>
              <w:ind w:firstLine="0" w:firstLineChars="0"/>
              <w:jc w:val="left"/>
              <w:rPr>
                <w:rFonts w:ascii="宋体" w:hAnsi="宋体" w:cs="宋体"/>
                <w:color w:val="000000"/>
                <w:sz w:val="21"/>
                <w:szCs w:val="21"/>
              </w:rPr>
            </w:pPr>
            <w:r>
              <w:rPr>
                <w:rFonts w:hint="eastAsia" w:ascii="宋体" w:hAnsi="宋体" w:cs="宋体"/>
                <w:color w:val="000000"/>
                <w:sz w:val="21"/>
                <w:szCs w:val="21"/>
              </w:rPr>
              <w:t>事故发生地点、主要风险物质、处置及扩散情况等</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cantSplit/>
          <w:trHeight w:val="454" w:hRule="atLeast"/>
          <w:jc w:val="center"/>
        </w:trPr>
        <w:tc>
          <w:tcPr>
            <w:tcW w:w="1093" w:type="dxa"/>
            <w:vMerge w:val="continue"/>
            <w:tcBorders>
              <w:top w:val="single" w:color="auto" w:sz="4" w:space="0"/>
              <w:left w:val="single" w:color="auto" w:sz="8" w:space="0"/>
              <w:bottom w:val="single" w:color="auto" w:sz="4" w:space="0"/>
              <w:right w:val="single" w:color="auto" w:sz="4" w:space="0"/>
            </w:tcBorders>
            <w:shd w:val="clear" w:color="auto" w:fill="auto"/>
            <w:vAlign w:val="center"/>
          </w:tcPr>
          <w:p>
            <w:pPr>
              <w:ind w:firstLine="420"/>
              <w:rPr>
                <w:rFonts w:ascii="Calibri" w:hAnsi="Calibri"/>
                <w:sz w:val="21"/>
              </w:rPr>
            </w:pPr>
          </w:p>
        </w:tc>
        <w:tc>
          <w:tcPr>
            <w:tcW w:w="239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pPr>
              <w:adjustRightInd w:val="0"/>
              <w:snapToGrid w:val="0"/>
              <w:spacing w:line="340" w:lineRule="exact"/>
              <w:ind w:firstLine="0" w:firstLineChars="0"/>
              <w:jc w:val="left"/>
              <w:rPr>
                <w:rFonts w:ascii="宋体" w:hAnsi="宋体" w:cs="宋体"/>
                <w:b/>
                <w:color w:val="000000"/>
                <w:sz w:val="21"/>
                <w:szCs w:val="21"/>
                <w:u w:val="single"/>
                <w:lang w:val="zh-CN"/>
              </w:rPr>
            </w:pPr>
            <w:r>
              <w:rPr>
                <w:rFonts w:hint="eastAsia" w:ascii="宋体" w:hAnsi="宋体" w:cs="宋体"/>
                <w:color w:val="000000"/>
                <w:sz w:val="21"/>
                <w:szCs w:val="21"/>
                <w:u w:val="single"/>
              </w:rPr>
              <w:t>岳阳市饮用水源保护区（铁山水库-北干渠-金凤水库）应急指挥部</w:t>
            </w:r>
          </w:p>
        </w:tc>
        <w:tc>
          <w:tcPr>
            <w:tcW w:w="1620" w:type="dxa"/>
            <w:tcBorders>
              <w:top w:val="single" w:color="auto" w:sz="4" w:space="0"/>
              <w:left w:val="single" w:color="auto" w:sz="4" w:space="0"/>
              <w:bottom w:val="single" w:color="auto" w:sz="4" w:space="0"/>
              <w:right w:val="single" w:color="auto" w:sz="4" w:space="0"/>
            </w:tcBorders>
            <w:shd w:val="clear" w:color="auto" w:fill="auto"/>
            <w:vAlign w:val="center"/>
          </w:tcPr>
          <w:p>
            <w:pPr>
              <w:adjustRightInd w:val="0"/>
              <w:snapToGrid w:val="0"/>
              <w:spacing w:line="340" w:lineRule="exact"/>
              <w:ind w:firstLine="0" w:firstLineChars="0"/>
              <w:jc w:val="center"/>
              <w:rPr>
                <w:rFonts w:ascii="宋体" w:hAnsi="宋体" w:cs="宋体"/>
                <w:b/>
                <w:color w:val="000000"/>
                <w:sz w:val="21"/>
                <w:szCs w:val="21"/>
                <w:u w:val="single"/>
                <w:lang w:val="zh-CN"/>
              </w:rPr>
            </w:pPr>
            <w:r>
              <w:rPr>
                <w:sz w:val="21"/>
                <w:szCs w:val="21"/>
                <w:u w:val="single"/>
              </w:rPr>
              <w:t>8611558</w:t>
            </w:r>
          </w:p>
        </w:tc>
        <w:tc>
          <w:tcPr>
            <w:tcW w:w="1620" w:type="dxa"/>
            <w:tcBorders>
              <w:top w:val="single" w:color="auto" w:sz="4" w:space="0"/>
              <w:left w:val="single" w:color="auto" w:sz="4" w:space="0"/>
              <w:bottom w:val="single" w:color="auto" w:sz="4" w:space="0"/>
              <w:right w:val="single" w:color="auto" w:sz="4" w:space="0"/>
            </w:tcBorders>
            <w:shd w:val="clear" w:color="auto" w:fill="auto"/>
            <w:vAlign w:val="center"/>
          </w:tcPr>
          <w:p>
            <w:pPr>
              <w:adjustRightInd w:val="0"/>
              <w:snapToGrid w:val="0"/>
              <w:spacing w:line="340" w:lineRule="exact"/>
              <w:ind w:firstLine="0" w:firstLineChars="0"/>
              <w:jc w:val="center"/>
              <w:rPr>
                <w:rFonts w:ascii="宋体" w:hAnsi="宋体" w:cs="宋体"/>
                <w:color w:val="000000"/>
                <w:sz w:val="21"/>
                <w:szCs w:val="21"/>
                <w:u w:val="single"/>
              </w:rPr>
            </w:pPr>
            <w:r>
              <w:rPr>
                <w:rFonts w:hint="eastAsia" w:ascii="宋体" w:hAnsi="宋体" w:cs="宋体"/>
                <w:color w:val="000000"/>
                <w:sz w:val="21"/>
                <w:szCs w:val="21"/>
                <w:u w:val="single"/>
              </w:rPr>
              <w:t>市环境应急办</w:t>
            </w:r>
          </w:p>
        </w:tc>
        <w:tc>
          <w:tcPr>
            <w:tcW w:w="1777" w:type="dxa"/>
            <w:tcBorders>
              <w:top w:val="single" w:color="auto" w:sz="4" w:space="0"/>
              <w:left w:val="single" w:color="auto" w:sz="4" w:space="0"/>
              <w:bottom w:val="single" w:color="auto" w:sz="4" w:space="0"/>
              <w:right w:val="single" w:color="auto" w:sz="8" w:space="0"/>
            </w:tcBorders>
            <w:shd w:val="clear" w:color="auto" w:fill="auto"/>
            <w:vAlign w:val="center"/>
          </w:tcPr>
          <w:p>
            <w:pPr>
              <w:adjustRightInd w:val="0"/>
              <w:snapToGrid w:val="0"/>
              <w:spacing w:line="340" w:lineRule="exact"/>
              <w:ind w:firstLine="0" w:firstLineChars="0"/>
              <w:jc w:val="center"/>
              <w:rPr>
                <w:rFonts w:ascii="宋体" w:hAnsi="宋体" w:cs="宋体"/>
                <w:color w:val="000000"/>
                <w:sz w:val="21"/>
                <w:szCs w:val="21"/>
                <w:u w:val="single"/>
              </w:rPr>
            </w:pPr>
            <w:r>
              <w:rPr>
                <w:sz w:val="21"/>
                <w:szCs w:val="21"/>
                <w:u w:val="single"/>
              </w:rPr>
              <w:t>8879800</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cantSplit/>
          <w:trHeight w:val="454" w:hRule="atLeast"/>
          <w:jc w:val="center"/>
        </w:trPr>
        <w:tc>
          <w:tcPr>
            <w:tcW w:w="1093" w:type="dxa"/>
            <w:tcBorders>
              <w:top w:val="single" w:color="auto" w:sz="4" w:space="0"/>
              <w:left w:val="single" w:color="auto" w:sz="8" w:space="0"/>
              <w:bottom w:val="single" w:color="auto" w:sz="4" w:space="0"/>
              <w:right w:val="single" w:color="auto" w:sz="4" w:space="0"/>
            </w:tcBorders>
            <w:shd w:val="clear" w:color="auto" w:fill="auto"/>
            <w:vAlign w:val="center"/>
          </w:tcPr>
          <w:p>
            <w:pPr>
              <w:adjustRightInd w:val="0"/>
              <w:snapToGrid w:val="0"/>
              <w:spacing w:line="340" w:lineRule="exact"/>
              <w:ind w:firstLine="0" w:firstLineChars="0"/>
              <w:jc w:val="center"/>
              <w:rPr>
                <w:rFonts w:ascii="宋体" w:hAnsi="宋体" w:cs="宋体"/>
                <w:b/>
                <w:color w:val="000000"/>
                <w:sz w:val="21"/>
                <w:szCs w:val="21"/>
              </w:rPr>
            </w:pPr>
            <w:r>
              <w:rPr>
                <w:rFonts w:hint="eastAsia" w:ascii="宋体" w:hAnsi="宋体" w:cs="宋体"/>
                <w:b/>
                <w:color w:val="000000"/>
                <w:sz w:val="21"/>
                <w:szCs w:val="21"/>
              </w:rPr>
              <w:t>应急责</w:t>
            </w:r>
          </w:p>
          <w:p>
            <w:pPr>
              <w:adjustRightInd w:val="0"/>
              <w:snapToGrid w:val="0"/>
              <w:spacing w:line="340" w:lineRule="exact"/>
              <w:ind w:firstLine="0" w:firstLineChars="0"/>
              <w:jc w:val="center"/>
              <w:rPr>
                <w:rFonts w:ascii="宋体" w:hAnsi="宋体" w:cs="宋体"/>
                <w:b/>
                <w:color w:val="000000"/>
                <w:sz w:val="21"/>
                <w:szCs w:val="21"/>
              </w:rPr>
            </w:pPr>
            <w:r>
              <w:rPr>
                <w:rFonts w:hint="eastAsia" w:ascii="宋体" w:hAnsi="宋体" w:cs="宋体"/>
                <w:b/>
                <w:color w:val="000000"/>
                <w:sz w:val="21"/>
                <w:szCs w:val="21"/>
              </w:rPr>
              <w:t>任单位</w:t>
            </w:r>
          </w:p>
        </w:tc>
        <w:tc>
          <w:tcPr>
            <w:tcW w:w="7412" w:type="dxa"/>
            <w:gridSpan w:val="5"/>
            <w:tcBorders>
              <w:top w:val="single" w:color="auto" w:sz="4" w:space="0"/>
              <w:left w:val="single" w:color="auto" w:sz="4" w:space="0"/>
              <w:bottom w:val="single" w:color="auto" w:sz="4" w:space="0"/>
              <w:right w:val="single" w:color="auto" w:sz="8" w:space="0"/>
            </w:tcBorders>
            <w:shd w:val="clear" w:color="auto" w:fill="auto"/>
            <w:vAlign w:val="center"/>
          </w:tcPr>
          <w:p>
            <w:pPr>
              <w:adjustRightInd w:val="0"/>
              <w:snapToGrid w:val="0"/>
              <w:spacing w:line="340" w:lineRule="exact"/>
              <w:ind w:firstLine="0" w:firstLineChars="0"/>
              <w:jc w:val="left"/>
              <w:rPr>
                <w:rFonts w:ascii="宋体" w:hAnsi="宋体" w:cs="宋体"/>
                <w:color w:val="000000"/>
                <w:sz w:val="21"/>
                <w:szCs w:val="21"/>
              </w:rPr>
            </w:pPr>
            <w:r>
              <w:rPr>
                <w:rFonts w:hint="eastAsia" w:ascii="宋体" w:hAnsi="宋体" w:cs="宋体"/>
                <w:color w:val="000000"/>
                <w:sz w:val="21"/>
                <w:szCs w:val="21"/>
              </w:rPr>
              <w:t>事故责任单位、事发地人民政府、事发地环保局、岳阳市饮用水源保护区（铁山水库-北干渠-金凤水库）应急指挥部、岳阳市自来水公司、市铁山局等</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cantSplit/>
          <w:trHeight w:val="454" w:hRule="atLeast"/>
          <w:jc w:val="center"/>
        </w:trPr>
        <w:tc>
          <w:tcPr>
            <w:tcW w:w="1093" w:type="dxa"/>
            <w:tcBorders>
              <w:top w:val="single" w:color="auto" w:sz="4" w:space="0"/>
              <w:left w:val="single" w:color="auto" w:sz="8" w:space="0"/>
              <w:bottom w:val="single" w:color="auto" w:sz="8" w:space="0"/>
              <w:right w:val="single" w:color="auto" w:sz="4" w:space="0"/>
            </w:tcBorders>
            <w:shd w:val="clear" w:color="auto" w:fill="auto"/>
            <w:vAlign w:val="center"/>
          </w:tcPr>
          <w:p>
            <w:pPr>
              <w:adjustRightInd w:val="0"/>
              <w:snapToGrid w:val="0"/>
              <w:spacing w:line="340" w:lineRule="exact"/>
              <w:ind w:firstLine="0" w:firstLineChars="0"/>
              <w:jc w:val="center"/>
              <w:rPr>
                <w:rFonts w:ascii="宋体" w:hAnsi="宋体" w:cs="宋体"/>
                <w:b/>
                <w:color w:val="000000"/>
                <w:sz w:val="21"/>
                <w:szCs w:val="21"/>
              </w:rPr>
            </w:pPr>
            <w:r>
              <w:rPr>
                <w:rFonts w:hint="eastAsia" w:ascii="宋体" w:hAnsi="宋体" w:cs="宋体"/>
                <w:b/>
                <w:color w:val="000000"/>
                <w:sz w:val="21"/>
                <w:szCs w:val="21"/>
              </w:rPr>
              <w:t>应急处</w:t>
            </w:r>
          </w:p>
          <w:p>
            <w:pPr>
              <w:adjustRightInd w:val="0"/>
              <w:snapToGrid w:val="0"/>
              <w:spacing w:line="340" w:lineRule="exact"/>
              <w:ind w:firstLine="0" w:firstLineChars="0"/>
              <w:jc w:val="center"/>
              <w:rPr>
                <w:rFonts w:ascii="宋体" w:hAnsi="宋体" w:cs="宋体"/>
                <w:b/>
                <w:color w:val="000000"/>
                <w:sz w:val="21"/>
                <w:szCs w:val="21"/>
              </w:rPr>
            </w:pPr>
            <w:r>
              <w:rPr>
                <w:rFonts w:hint="eastAsia" w:ascii="宋体" w:hAnsi="宋体" w:cs="宋体"/>
                <w:b/>
                <w:color w:val="000000"/>
                <w:sz w:val="21"/>
                <w:szCs w:val="21"/>
              </w:rPr>
              <w:t>置措施</w:t>
            </w:r>
          </w:p>
        </w:tc>
        <w:tc>
          <w:tcPr>
            <w:tcW w:w="7412" w:type="dxa"/>
            <w:gridSpan w:val="5"/>
            <w:tcBorders>
              <w:top w:val="single" w:color="auto" w:sz="4" w:space="0"/>
              <w:left w:val="single" w:color="auto" w:sz="4" w:space="0"/>
              <w:bottom w:val="single" w:color="auto" w:sz="8" w:space="0"/>
              <w:right w:val="single" w:color="auto" w:sz="8" w:space="0"/>
            </w:tcBorders>
            <w:shd w:val="clear" w:color="auto" w:fill="auto"/>
          </w:tcPr>
          <w:p>
            <w:pPr>
              <w:adjustRightInd w:val="0"/>
              <w:snapToGrid w:val="0"/>
              <w:spacing w:line="340" w:lineRule="exact"/>
              <w:ind w:firstLine="0" w:firstLineChars="0"/>
              <w:jc w:val="left"/>
              <w:rPr>
                <w:rFonts w:ascii="宋体" w:hAnsi="宋体" w:cs="宋体"/>
                <w:color w:val="000000"/>
                <w:sz w:val="21"/>
                <w:szCs w:val="21"/>
              </w:rPr>
            </w:pPr>
            <w:r>
              <w:rPr>
                <w:rFonts w:hint="eastAsia" w:ascii="宋体" w:hAnsi="宋体" w:cs="宋体"/>
                <w:color w:val="000000"/>
                <w:sz w:val="21"/>
                <w:szCs w:val="21"/>
              </w:rPr>
              <w:t xml:space="preserve"> 启动岳阳市饮用水源保护区（铁山水库-北干渠-金凤水库）突发环境事件应急预案，并按照</w:t>
            </w:r>
            <w:r>
              <w:rPr>
                <w:rFonts w:hint="eastAsia" w:ascii="宋体" w:hAnsi="宋体" w:cs="宋体"/>
                <w:color w:val="000000"/>
                <w:sz w:val="21"/>
                <w:szCs w:val="21"/>
              </w:rPr>
              <w:fldChar w:fldCharType="begin"/>
            </w:r>
            <w:r>
              <w:rPr>
                <w:rFonts w:hint="eastAsia" w:ascii="宋体" w:hAnsi="宋体" w:cs="宋体"/>
                <w:color w:val="000000"/>
                <w:sz w:val="21"/>
                <w:szCs w:val="21"/>
              </w:rPr>
              <w:instrText xml:space="preserve"> = 2 \* ROMAN \* MERGEFORMAT </w:instrText>
            </w:r>
            <w:r>
              <w:rPr>
                <w:rFonts w:hint="eastAsia" w:ascii="宋体" w:hAnsi="宋体" w:cs="宋体"/>
                <w:color w:val="000000"/>
                <w:sz w:val="21"/>
                <w:szCs w:val="21"/>
              </w:rPr>
              <w:fldChar w:fldCharType="separate"/>
            </w:r>
            <w:r>
              <w:rPr>
                <w:rFonts w:hint="eastAsia" w:ascii="宋体" w:hAnsi="宋体" w:cs="宋体"/>
                <w:color w:val="000000"/>
                <w:sz w:val="21"/>
                <w:szCs w:val="21"/>
              </w:rPr>
              <w:t>I</w:t>
            </w:r>
            <w:r>
              <w:rPr>
                <w:rFonts w:hint="eastAsia" w:ascii="宋体" w:hAnsi="宋体" w:cs="宋体"/>
                <w:color w:val="000000"/>
                <w:sz w:val="21"/>
                <w:szCs w:val="21"/>
              </w:rPr>
              <w:fldChar w:fldCharType="end"/>
            </w:r>
            <w:r>
              <w:rPr>
                <w:rFonts w:hint="eastAsia" w:ascii="宋体" w:hAnsi="宋体" w:cs="宋体"/>
                <w:color w:val="000000"/>
                <w:sz w:val="21"/>
                <w:szCs w:val="21"/>
              </w:rPr>
              <w:t>级或</w:t>
            </w:r>
            <w:r>
              <w:rPr>
                <w:rFonts w:hint="eastAsia" w:ascii="宋体" w:hAnsi="宋体" w:cs="宋体"/>
                <w:color w:val="000000"/>
                <w:sz w:val="21"/>
                <w:szCs w:val="21"/>
              </w:rPr>
              <w:fldChar w:fldCharType="begin"/>
            </w:r>
            <w:r>
              <w:rPr>
                <w:rFonts w:hint="eastAsia" w:ascii="宋体" w:hAnsi="宋体" w:cs="宋体"/>
                <w:color w:val="000000"/>
                <w:sz w:val="21"/>
                <w:szCs w:val="21"/>
              </w:rPr>
              <w:instrText xml:space="preserve"> = 3 \* ROMAN \* MERGEFORMAT </w:instrText>
            </w:r>
            <w:r>
              <w:rPr>
                <w:rFonts w:hint="eastAsia" w:ascii="宋体" w:hAnsi="宋体" w:cs="宋体"/>
                <w:color w:val="000000"/>
                <w:sz w:val="21"/>
                <w:szCs w:val="21"/>
              </w:rPr>
              <w:fldChar w:fldCharType="separate"/>
            </w:r>
            <w:r>
              <w:rPr>
                <w:rFonts w:hint="eastAsia" w:ascii="宋体" w:hAnsi="宋体" w:cs="宋体"/>
                <w:color w:val="000000"/>
                <w:sz w:val="21"/>
                <w:szCs w:val="21"/>
              </w:rPr>
              <w:t>II</w:t>
            </w:r>
            <w:r>
              <w:rPr>
                <w:rFonts w:hint="eastAsia" w:ascii="宋体" w:hAnsi="宋体" w:cs="宋体"/>
                <w:color w:val="000000"/>
                <w:sz w:val="21"/>
                <w:szCs w:val="21"/>
              </w:rPr>
              <w:fldChar w:fldCharType="end"/>
            </w:r>
            <w:r>
              <w:rPr>
                <w:rFonts w:hint="eastAsia" w:ascii="宋体" w:hAnsi="宋体" w:cs="宋体"/>
                <w:color w:val="000000"/>
                <w:sz w:val="21"/>
                <w:szCs w:val="21"/>
              </w:rPr>
              <w:t>级响应执行：</w:t>
            </w:r>
          </w:p>
          <w:p>
            <w:pPr>
              <w:adjustRightInd w:val="0"/>
              <w:snapToGrid w:val="0"/>
              <w:spacing w:line="340" w:lineRule="exact"/>
              <w:ind w:firstLine="0" w:firstLineChars="0"/>
              <w:jc w:val="left"/>
              <w:rPr>
                <w:rFonts w:ascii="宋体" w:hAnsi="宋体" w:cs="宋体"/>
                <w:color w:val="000000"/>
                <w:sz w:val="21"/>
                <w:szCs w:val="21"/>
              </w:rPr>
            </w:pPr>
            <w:r>
              <w:rPr>
                <w:rFonts w:hint="eastAsia" w:ascii="宋体" w:hAnsi="宋体" w:cs="宋体"/>
                <w:color w:val="000000"/>
                <w:sz w:val="21"/>
                <w:szCs w:val="21"/>
              </w:rPr>
              <w:t>（1）截源</w:t>
            </w:r>
          </w:p>
          <w:p>
            <w:pPr>
              <w:adjustRightInd w:val="0"/>
              <w:snapToGrid w:val="0"/>
              <w:spacing w:line="340" w:lineRule="exact"/>
              <w:ind w:firstLine="0" w:firstLineChars="0"/>
              <w:jc w:val="left"/>
              <w:rPr>
                <w:rFonts w:ascii="宋体" w:hAnsi="宋体" w:cs="宋体"/>
                <w:color w:val="000000"/>
                <w:sz w:val="21"/>
                <w:szCs w:val="21"/>
              </w:rPr>
            </w:pPr>
            <w:r>
              <w:rPr>
                <w:rFonts w:hint="eastAsia" w:ascii="宋体" w:hAnsi="宋体" w:cs="宋体"/>
                <w:color w:val="000000"/>
                <w:sz w:val="21"/>
                <w:szCs w:val="21"/>
                <w:u w:val="single"/>
              </w:rPr>
              <w:fldChar w:fldCharType="begin"/>
            </w:r>
            <w:r>
              <w:rPr>
                <w:rFonts w:hint="eastAsia" w:ascii="宋体" w:hAnsi="宋体" w:cs="宋体"/>
                <w:color w:val="000000"/>
                <w:sz w:val="21"/>
                <w:szCs w:val="21"/>
                <w:u w:val="single"/>
              </w:rPr>
              <w:instrText xml:space="preserve"> = 1 \* GB3 \* MERGEFORMAT </w:instrText>
            </w:r>
            <w:r>
              <w:rPr>
                <w:rFonts w:hint="eastAsia" w:ascii="宋体" w:hAnsi="宋体" w:cs="宋体"/>
                <w:color w:val="000000"/>
                <w:sz w:val="21"/>
                <w:szCs w:val="21"/>
                <w:u w:val="single"/>
              </w:rPr>
              <w:fldChar w:fldCharType="separate"/>
            </w:r>
            <w:r>
              <w:rPr>
                <w:rFonts w:hint="eastAsia" w:ascii="宋体" w:hAnsi="宋体" w:cs="宋体"/>
                <w:color w:val="000000"/>
                <w:sz w:val="21"/>
                <w:szCs w:val="21"/>
                <w:u w:val="single"/>
              </w:rPr>
              <w:t>①</w:t>
            </w:r>
            <w:r>
              <w:rPr>
                <w:rFonts w:hint="eastAsia" w:ascii="宋体" w:hAnsi="宋体" w:cs="宋体"/>
                <w:color w:val="000000"/>
                <w:sz w:val="21"/>
                <w:szCs w:val="21"/>
                <w:u w:val="single"/>
              </w:rPr>
              <w:fldChar w:fldCharType="end"/>
            </w:r>
            <w:r>
              <w:rPr>
                <w:rFonts w:hint="eastAsia" w:ascii="宋体" w:hAnsi="宋体" w:cs="宋体"/>
                <w:color w:val="000000"/>
                <w:sz w:val="21"/>
                <w:szCs w:val="21"/>
                <w:u w:val="single"/>
              </w:rPr>
              <w:t>泄漏的危险化学品尚在陆路时，可以修导流沟、拦截提拦截</w:t>
            </w:r>
            <w:r>
              <w:rPr>
                <w:rFonts w:hint="eastAsia" w:ascii="宋体" w:hAnsi="宋体" w:cs="宋体"/>
                <w:color w:val="000000"/>
                <w:sz w:val="21"/>
                <w:szCs w:val="21"/>
              </w:rPr>
              <w:t>；</w:t>
            </w:r>
            <w:r>
              <w:rPr>
                <w:rFonts w:hint="eastAsia" w:ascii="宋体" w:hAnsi="宋体" w:cs="宋体"/>
                <w:color w:val="000000"/>
                <w:sz w:val="21"/>
                <w:szCs w:val="21"/>
                <w:u w:val="single"/>
              </w:rPr>
              <w:t>泄漏的危险化学品进入北干渠时，可开启泄洪闸；</w:t>
            </w:r>
          </w:p>
          <w:p>
            <w:pPr>
              <w:adjustRightInd w:val="0"/>
              <w:snapToGrid w:val="0"/>
              <w:spacing w:line="340" w:lineRule="exact"/>
              <w:ind w:firstLine="0" w:firstLineChars="0"/>
              <w:jc w:val="left"/>
              <w:rPr>
                <w:rFonts w:ascii="宋体" w:hAnsi="宋体" w:cs="宋体"/>
                <w:color w:val="000000"/>
                <w:sz w:val="21"/>
                <w:szCs w:val="21"/>
              </w:rPr>
            </w:pPr>
            <w:r>
              <w:rPr>
                <w:rFonts w:hint="eastAsia" w:ascii="宋体" w:hAnsi="宋体" w:cs="宋体"/>
                <w:color w:val="000000"/>
                <w:sz w:val="21"/>
                <w:szCs w:val="21"/>
              </w:rPr>
              <w:fldChar w:fldCharType="begin"/>
            </w:r>
            <w:r>
              <w:rPr>
                <w:rFonts w:hint="eastAsia" w:ascii="宋体" w:hAnsi="宋体" w:cs="宋体"/>
                <w:color w:val="000000"/>
                <w:sz w:val="21"/>
                <w:szCs w:val="21"/>
              </w:rPr>
              <w:instrText xml:space="preserve"> = 2 \* GB3 \* MERGEFORMAT </w:instrText>
            </w:r>
            <w:r>
              <w:rPr>
                <w:rFonts w:hint="eastAsia" w:ascii="宋体" w:hAnsi="宋体" w:cs="宋体"/>
                <w:color w:val="000000"/>
                <w:sz w:val="21"/>
                <w:szCs w:val="21"/>
              </w:rPr>
              <w:fldChar w:fldCharType="separate"/>
            </w:r>
            <w:r>
              <w:rPr>
                <w:rFonts w:hint="eastAsia" w:ascii="宋体" w:hAnsi="宋体" w:cs="宋体"/>
                <w:color w:val="000000"/>
                <w:sz w:val="21"/>
                <w:szCs w:val="21"/>
              </w:rPr>
              <w:t>②</w:t>
            </w:r>
            <w:r>
              <w:rPr>
                <w:rFonts w:hint="eastAsia" w:ascii="宋体" w:hAnsi="宋体" w:cs="宋体"/>
                <w:color w:val="000000"/>
                <w:sz w:val="21"/>
                <w:szCs w:val="21"/>
              </w:rPr>
              <w:fldChar w:fldCharType="end"/>
            </w:r>
            <w:r>
              <w:rPr>
                <w:rFonts w:hint="eastAsia" w:ascii="宋体" w:hAnsi="宋体" w:cs="宋体"/>
                <w:color w:val="000000"/>
                <w:sz w:val="21"/>
                <w:szCs w:val="21"/>
              </w:rPr>
              <w:t>泄漏的油品如进入岳阳市饮用水源保护区（铁山水库-北干渠-金凤水库）范围内的，可在污染区设置拦油索、投放干稻草或打捞船收集浮油；</w:t>
            </w:r>
          </w:p>
          <w:p>
            <w:pPr>
              <w:adjustRightInd w:val="0"/>
              <w:snapToGrid w:val="0"/>
              <w:spacing w:line="340" w:lineRule="exact"/>
              <w:ind w:firstLine="0" w:firstLineChars="0"/>
              <w:jc w:val="left"/>
              <w:rPr>
                <w:rFonts w:ascii="宋体" w:hAnsi="宋体" w:cs="宋体"/>
                <w:color w:val="000000"/>
                <w:sz w:val="21"/>
                <w:szCs w:val="21"/>
              </w:rPr>
            </w:pPr>
            <w:r>
              <w:rPr>
                <w:rFonts w:hint="eastAsia" w:ascii="宋体" w:hAnsi="宋体" w:cs="宋体"/>
                <w:color w:val="000000"/>
                <w:sz w:val="21"/>
                <w:szCs w:val="21"/>
              </w:rPr>
              <w:t>（2）监测  应急监测小组在油品入岳阳市饮用水源保护区（铁山水库-北干渠-金凤水库）一级水域、二级水域边界、危险化学品污染区及水厂、岳阳市饮用水源保护区（铁山水库-北干渠-金凤水库）引水工程取水口等位置布点监测，</w:t>
            </w:r>
            <w:r>
              <w:rPr>
                <w:rFonts w:hint="eastAsia" w:ascii="宋体" w:hAnsi="宋体" w:cs="宋体"/>
                <w:color w:val="000000"/>
                <w:sz w:val="21"/>
                <w:szCs w:val="21"/>
                <w:u w:val="single"/>
              </w:rPr>
              <w:t>监测因子为石油类、泄漏的危险化学品特征因子等；</w:t>
            </w:r>
          </w:p>
          <w:p>
            <w:pPr>
              <w:adjustRightInd w:val="0"/>
              <w:snapToGrid w:val="0"/>
              <w:spacing w:line="340" w:lineRule="exact"/>
              <w:ind w:firstLine="0" w:firstLineChars="0"/>
              <w:jc w:val="left"/>
              <w:rPr>
                <w:rFonts w:ascii="宋体" w:hAnsi="宋体" w:cs="宋体"/>
                <w:color w:val="000000"/>
                <w:sz w:val="21"/>
                <w:szCs w:val="21"/>
              </w:rPr>
            </w:pPr>
            <w:r>
              <w:rPr>
                <w:rFonts w:hint="eastAsia" w:ascii="宋体" w:hAnsi="宋体" w:cs="宋体"/>
                <w:color w:val="000000"/>
                <w:sz w:val="21"/>
                <w:szCs w:val="21"/>
              </w:rPr>
              <w:t>（3）协调  综合协调小组及时告知水厂，增加取水水质监测频次，密切关注供水的出水水质情况，并将进出水水质异常情况报告岳阳市饮用水源保护区（铁山水库-北干渠-金凤水库）突发环境事件应急指挥部，岳阳自来水公司准备启动本公司供水应急预案；</w:t>
            </w:r>
          </w:p>
          <w:p>
            <w:pPr>
              <w:adjustRightInd w:val="0"/>
              <w:snapToGrid w:val="0"/>
              <w:spacing w:line="340" w:lineRule="exact"/>
              <w:ind w:firstLine="0" w:firstLineChars="0"/>
              <w:jc w:val="left"/>
              <w:rPr>
                <w:rFonts w:ascii="宋体" w:hAnsi="宋体" w:cs="宋体"/>
                <w:color w:val="000000"/>
                <w:sz w:val="21"/>
                <w:szCs w:val="21"/>
              </w:rPr>
            </w:pPr>
            <w:r>
              <w:rPr>
                <w:rFonts w:hint="eastAsia" w:ascii="宋体" w:hAnsi="宋体" w:cs="宋体"/>
                <w:color w:val="000000"/>
                <w:sz w:val="21"/>
                <w:szCs w:val="21"/>
              </w:rPr>
              <w:t>（4）善后  善后处理小组负责做好饮用水正常供水保障工作，负责与其他相关单位联系。</w:t>
            </w:r>
          </w:p>
          <w:p>
            <w:pPr>
              <w:adjustRightInd w:val="0"/>
              <w:snapToGrid w:val="0"/>
              <w:spacing w:line="340" w:lineRule="exact"/>
              <w:ind w:firstLine="0" w:firstLineChars="0"/>
              <w:jc w:val="left"/>
              <w:rPr>
                <w:rFonts w:ascii="宋体" w:hAnsi="宋体" w:cs="宋体"/>
                <w:color w:val="000000"/>
                <w:sz w:val="21"/>
                <w:szCs w:val="21"/>
              </w:rPr>
            </w:pPr>
            <w:r>
              <w:rPr>
                <w:rFonts w:hint="eastAsia" w:ascii="宋体" w:hAnsi="宋体" w:cs="宋体"/>
                <w:b/>
                <w:color w:val="000000"/>
                <w:sz w:val="21"/>
                <w:szCs w:val="21"/>
              </w:rPr>
              <w:t>备注：岳阳市饮用水源保护区（铁山水库-北干渠-金凤水库）涉及不同的职能部门，各相关职能部门应根据本部门职责要求履行相应的责任，确保将其危害程度减少到最小。</w:t>
            </w:r>
          </w:p>
        </w:tc>
      </w:tr>
    </w:tbl>
    <w:p>
      <w:pPr>
        <w:adjustRightInd w:val="0"/>
        <w:snapToGrid w:val="0"/>
        <w:spacing w:line="240" w:lineRule="auto"/>
        <w:ind w:firstLine="0" w:firstLineChars="0"/>
        <w:jc w:val="left"/>
        <w:rPr>
          <w:rFonts w:ascii="宋体" w:hAnsi="宋体" w:cs="宋体"/>
          <w:color w:val="000000"/>
          <w:sz w:val="18"/>
          <w:szCs w:val="18"/>
        </w:rPr>
      </w:pPr>
    </w:p>
    <w:p>
      <w:pPr>
        <w:autoSpaceDE w:val="0"/>
        <w:autoSpaceDN w:val="0"/>
        <w:adjustRightInd w:val="0"/>
        <w:snapToGrid w:val="0"/>
        <w:ind w:firstLine="0" w:firstLineChars="0"/>
        <w:jc w:val="center"/>
        <w:rPr>
          <w:b/>
          <w:color w:val="000000"/>
          <w:sz w:val="21"/>
          <w:szCs w:val="21"/>
          <w:lang w:val="zh-CN"/>
        </w:rPr>
      </w:pPr>
      <w:r>
        <w:rPr>
          <w:rFonts w:hint="eastAsia" w:cs="宋体"/>
          <w:b/>
          <w:color w:val="000000"/>
          <w:sz w:val="21"/>
          <w:szCs w:val="21"/>
          <w:lang w:val="zh-CN"/>
        </w:rPr>
        <w:t>附件</w:t>
      </w:r>
      <w:r>
        <w:rPr>
          <w:rFonts w:hint="eastAsia"/>
          <w:b/>
          <w:color w:val="000000"/>
          <w:sz w:val="21"/>
          <w:szCs w:val="21"/>
        </w:rPr>
        <w:t>7</w:t>
      </w:r>
      <w:r>
        <w:rPr>
          <w:b/>
          <w:color w:val="000000"/>
          <w:sz w:val="21"/>
          <w:szCs w:val="21"/>
        </w:rPr>
        <w:t>-3</w:t>
      </w:r>
      <w:r>
        <w:rPr>
          <w:b/>
          <w:color w:val="000000"/>
          <w:sz w:val="21"/>
          <w:szCs w:val="21"/>
          <w:lang w:val="zh-CN"/>
        </w:rPr>
        <w:t xml:space="preserve">  </w:t>
      </w:r>
      <w:r>
        <w:rPr>
          <w:rFonts w:hint="eastAsia" w:cs="宋体"/>
          <w:b/>
          <w:color w:val="000000"/>
          <w:sz w:val="21"/>
          <w:szCs w:val="21"/>
          <w:lang w:val="zh-CN"/>
        </w:rPr>
        <w:t>监测断面水质超标环境事件应急卡</w:t>
      </w:r>
    </w:p>
    <w:tbl>
      <w:tblPr>
        <w:tblStyle w:val="47"/>
        <w:tblW w:w="8505" w:type="dxa"/>
        <w:jc w:val="center"/>
        <w:tblInd w:w="0" w:type="dxa"/>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
      <w:tblGrid>
        <w:gridCol w:w="1093"/>
        <w:gridCol w:w="1105"/>
        <w:gridCol w:w="1245"/>
        <w:gridCol w:w="1590"/>
        <w:gridCol w:w="1560"/>
        <w:gridCol w:w="1912"/>
      </w:tblGrid>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cantSplit/>
          <w:trHeight w:val="567" w:hRule="atLeast"/>
          <w:jc w:val="center"/>
        </w:trPr>
        <w:tc>
          <w:tcPr>
            <w:tcW w:w="1093" w:type="dxa"/>
            <w:vMerge w:val="restart"/>
            <w:tcBorders>
              <w:top w:val="single" w:color="auto" w:sz="8" w:space="0"/>
              <w:left w:val="single" w:color="auto" w:sz="8" w:space="0"/>
              <w:bottom w:val="single" w:color="auto" w:sz="4" w:space="0"/>
              <w:right w:val="single" w:color="auto" w:sz="4" w:space="0"/>
            </w:tcBorders>
            <w:shd w:val="clear" w:color="auto" w:fill="auto"/>
            <w:vAlign w:val="center"/>
          </w:tcPr>
          <w:p>
            <w:pPr>
              <w:adjustRightInd w:val="0"/>
              <w:snapToGrid w:val="0"/>
              <w:spacing w:line="400" w:lineRule="exact"/>
              <w:ind w:firstLine="0" w:firstLineChars="0"/>
              <w:jc w:val="center"/>
              <w:rPr>
                <w:b/>
                <w:color w:val="000000"/>
                <w:sz w:val="21"/>
                <w:szCs w:val="21"/>
              </w:rPr>
            </w:pPr>
            <w:r>
              <w:rPr>
                <w:rFonts w:hint="eastAsia" w:cs="宋体"/>
                <w:b/>
                <w:color w:val="000000"/>
                <w:sz w:val="21"/>
                <w:szCs w:val="21"/>
              </w:rPr>
              <w:t>风险</w:t>
            </w:r>
          </w:p>
          <w:p>
            <w:pPr>
              <w:adjustRightInd w:val="0"/>
              <w:snapToGrid w:val="0"/>
              <w:spacing w:line="400" w:lineRule="exact"/>
              <w:ind w:firstLine="0" w:firstLineChars="0"/>
              <w:jc w:val="center"/>
              <w:rPr>
                <w:b/>
                <w:color w:val="000000"/>
                <w:sz w:val="21"/>
                <w:szCs w:val="21"/>
              </w:rPr>
            </w:pPr>
            <w:r>
              <w:rPr>
                <w:rFonts w:hint="eastAsia" w:cs="宋体"/>
                <w:b/>
                <w:color w:val="000000"/>
                <w:sz w:val="21"/>
                <w:szCs w:val="21"/>
              </w:rPr>
              <w:t>特征</w:t>
            </w:r>
          </w:p>
        </w:tc>
        <w:tc>
          <w:tcPr>
            <w:tcW w:w="1105" w:type="dxa"/>
            <w:tcBorders>
              <w:top w:val="single" w:color="auto" w:sz="8" w:space="0"/>
              <w:left w:val="single" w:color="auto" w:sz="4" w:space="0"/>
              <w:bottom w:val="single" w:color="auto" w:sz="4" w:space="0"/>
              <w:right w:val="single" w:color="auto" w:sz="4" w:space="0"/>
            </w:tcBorders>
            <w:shd w:val="clear" w:color="auto" w:fill="auto"/>
            <w:vAlign w:val="center"/>
          </w:tcPr>
          <w:p>
            <w:pPr>
              <w:adjustRightInd w:val="0"/>
              <w:snapToGrid w:val="0"/>
              <w:spacing w:line="400" w:lineRule="exact"/>
              <w:ind w:firstLine="0" w:firstLineChars="0"/>
              <w:jc w:val="left"/>
              <w:rPr>
                <w:color w:val="000000"/>
                <w:sz w:val="21"/>
                <w:szCs w:val="21"/>
              </w:rPr>
            </w:pPr>
            <w:r>
              <w:rPr>
                <w:rFonts w:hint="eastAsia" w:cs="宋体"/>
                <w:color w:val="000000"/>
                <w:sz w:val="21"/>
                <w:szCs w:val="21"/>
              </w:rPr>
              <w:t>事故地点</w:t>
            </w:r>
          </w:p>
        </w:tc>
        <w:tc>
          <w:tcPr>
            <w:tcW w:w="6307" w:type="dxa"/>
            <w:gridSpan w:val="4"/>
            <w:tcBorders>
              <w:top w:val="single" w:color="auto" w:sz="8" w:space="0"/>
              <w:left w:val="single" w:color="auto" w:sz="4" w:space="0"/>
              <w:bottom w:val="single" w:color="auto" w:sz="4" w:space="0"/>
              <w:right w:val="single" w:color="auto" w:sz="8" w:space="0"/>
            </w:tcBorders>
            <w:shd w:val="clear" w:color="auto" w:fill="auto"/>
            <w:vAlign w:val="center"/>
          </w:tcPr>
          <w:p>
            <w:pPr>
              <w:adjustRightInd w:val="0"/>
              <w:snapToGrid w:val="0"/>
              <w:spacing w:line="400" w:lineRule="exact"/>
              <w:ind w:firstLine="0" w:firstLineChars="0"/>
              <w:jc w:val="left"/>
              <w:rPr>
                <w:color w:val="000000"/>
                <w:sz w:val="21"/>
                <w:szCs w:val="21"/>
              </w:rPr>
            </w:pPr>
            <w:r>
              <w:rPr>
                <w:rFonts w:hint="eastAsia" w:cs="宋体"/>
                <w:color w:val="000000"/>
                <w:sz w:val="21"/>
                <w:szCs w:val="21"/>
              </w:rPr>
              <w:t>岳阳市饮用水源保护区（铁山水库-北干渠-金凤水库）一级保护区、二级保护区断面</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cantSplit/>
          <w:trHeight w:val="567" w:hRule="atLeast"/>
          <w:jc w:val="center"/>
        </w:trPr>
        <w:tc>
          <w:tcPr>
            <w:tcW w:w="1093" w:type="dxa"/>
            <w:vMerge w:val="continue"/>
            <w:tcBorders>
              <w:top w:val="single" w:color="auto" w:sz="8" w:space="0"/>
              <w:left w:val="single" w:color="auto" w:sz="8" w:space="0"/>
              <w:bottom w:val="single" w:color="auto" w:sz="4" w:space="0"/>
              <w:right w:val="single" w:color="auto" w:sz="4" w:space="0"/>
            </w:tcBorders>
            <w:shd w:val="clear" w:color="auto" w:fill="auto"/>
            <w:vAlign w:val="center"/>
          </w:tcPr>
          <w:p>
            <w:pPr>
              <w:ind w:firstLine="420"/>
              <w:rPr>
                <w:rFonts w:ascii="Calibri" w:hAnsi="Calibri"/>
                <w:sz w:val="21"/>
              </w:rPr>
            </w:pPr>
          </w:p>
        </w:tc>
        <w:tc>
          <w:tcPr>
            <w:tcW w:w="1105" w:type="dxa"/>
            <w:tcBorders>
              <w:top w:val="single" w:color="auto" w:sz="4" w:space="0"/>
              <w:left w:val="single" w:color="auto" w:sz="4" w:space="0"/>
              <w:bottom w:val="single" w:color="auto" w:sz="4" w:space="0"/>
              <w:right w:val="single" w:color="auto" w:sz="4" w:space="0"/>
            </w:tcBorders>
            <w:shd w:val="clear" w:color="auto" w:fill="auto"/>
            <w:vAlign w:val="center"/>
          </w:tcPr>
          <w:p>
            <w:pPr>
              <w:adjustRightInd w:val="0"/>
              <w:snapToGrid w:val="0"/>
              <w:spacing w:line="400" w:lineRule="exact"/>
              <w:ind w:firstLine="0" w:firstLineChars="0"/>
              <w:jc w:val="left"/>
              <w:rPr>
                <w:color w:val="000000"/>
                <w:sz w:val="21"/>
                <w:szCs w:val="21"/>
              </w:rPr>
            </w:pPr>
            <w:r>
              <w:rPr>
                <w:rFonts w:hint="eastAsia" w:cs="宋体"/>
                <w:color w:val="000000"/>
                <w:sz w:val="21"/>
                <w:szCs w:val="21"/>
              </w:rPr>
              <w:t>风险物质</w:t>
            </w:r>
          </w:p>
        </w:tc>
        <w:tc>
          <w:tcPr>
            <w:tcW w:w="6307" w:type="dxa"/>
            <w:gridSpan w:val="4"/>
            <w:tcBorders>
              <w:top w:val="single" w:color="auto" w:sz="4" w:space="0"/>
              <w:left w:val="single" w:color="auto" w:sz="4" w:space="0"/>
              <w:bottom w:val="single" w:color="auto" w:sz="4" w:space="0"/>
              <w:right w:val="single" w:color="auto" w:sz="8" w:space="0"/>
            </w:tcBorders>
            <w:shd w:val="clear" w:color="auto" w:fill="auto"/>
            <w:vAlign w:val="center"/>
          </w:tcPr>
          <w:p>
            <w:pPr>
              <w:adjustRightInd w:val="0"/>
              <w:snapToGrid w:val="0"/>
              <w:spacing w:line="400" w:lineRule="exact"/>
              <w:ind w:firstLine="0" w:firstLineChars="0"/>
              <w:jc w:val="left"/>
              <w:rPr>
                <w:color w:val="000000"/>
                <w:sz w:val="21"/>
                <w:szCs w:val="21"/>
              </w:rPr>
            </w:pPr>
            <w:r>
              <w:rPr>
                <w:color w:val="000000"/>
                <w:sz w:val="21"/>
                <w:szCs w:val="21"/>
              </w:rPr>
              <w:t>COD</w:t>
            </w:r>
            <w:r>
              <w:rPr>
                <w:rFonts w:hint="eastAsia" w:cs="宋体"/>
                <w:color w:val="000000"/>
                <w:sz w:val="21"/>
                <w:szCs w:val="21"/>
              </w:rPr>
              <w:t>、</w:t>
            </w:r>
            <w:r>
              <w:rPr>
                <w:color w:val="000000"/>
                <w:sz w:val="21"/>
                <w:szCs w:val="21"/>
              </w:rPr>
              <w:t>NH</w:t>
            </w:r>
            <w:r>
              <w:rPr>
                <w:color w:val="000000"/>
                <w:sz w:val="21"/>
                <w:szCs w:val="21"/>
                <w:vertAlign w:val="subscript"/>
              </w:rPr>
              <w:t>3</w:t>
            </w:r>
            <w:r>
              <w:rPr>
                <w:color w:val="000000"/>
                <w:sz w:val="21"/>
                <w:szCs w:val="21"/>
              </w:rPr>
              <w:t>-N</w:t>
            </w:r>
            <w:r>
              <w:rPr>
                <w:rFonts w:hint="eastAsia" w:cs="宋体"/>
                <w:color w:val="000000"/>
                <w:sz w:val="21"/>
                <w:szCs w:val="21"/>
              </w:rPr>
              <w:t>、石油类、重金属超标</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cantSplit/>
          <w:trHeight w:val="567" w:hRule="atLeast"/>
          <w:jc w:val="center"/>
        </w:trPr>
        <w:tc>
          <w:tcPr>
            <w:tcW w:w="1093" w:type="dxa"/>
            <w:vMerge w:val="continue"/>
            <w:tcBorders>
              <w:top w:val="single" w:color="auto" w:sz="8" w:space="0"/>
              <w:left w:val="single" w:color="auto" w:sz="8" w:space="0"/>
              <w:bottom w:val="single" w:color="auto" w:sz="4" w:space="0"/>
              <w:right w:val="single" w:color="auto" w:sz="4" w:space="0"/>
            </w:tcBorders>
            <w:shd w:val="clear" w:color="auto" w:fill="auto"/>
            <w:vAlign w:val="center"/>
          </w:tcPr>
          <w:p>
            <w:pPr>
              <w:ind w:firstLine="420"/>
              <w:rPr>
                <w:rFonts w:ascii="Calibri" w:hAnsi="Calibri"/>
                <w:sz w:val="21"/>
              </w:rPr>
            </w:pPr>
          </w:p>
        </w:tc>
        <w:tc>
          <w:tcPr>
            <w:tcW w:w="1105" w:type="dxa"/>
            <w:tcBorders>
              <w:top w:val="single" w:color="auto" w:sz="4" w:space="0"/>
              <w:left w:val="single" w:color="auto" w:sz="4" w:space="0"/>
              <w:bottom w:val="single" w:color="auto" w:sz="4" w:space="0"/>
              <w:right w:val="single" w:color="auto" w:sz="4" w:space="0"/>
            </w:tcBorders>
            <w:shd w:val="clear" w:color="auto" w:fill="auto"/>
            <w:vAlign w:val="center"/>
          </w:tcPr>
          <w:p>
            <w:pPr>
              <w:adjustRightInd w:val="0"/>
              <w:snapToGrid w:val="0"/>
              <w:spacing w:line="400" w:lineRule="exact"/>
              <w:ind w:firstLine="0" w:firstLineChars="0"/>
              <w:jc w:val="left"/>
              <w:rPr>
                <w:color w:val="000000"/>
                <w:sz w:val="21"/>
                <w:szCs w:val="21"/>
              </w:rPr>
            </w:pPr>
            <w:r>
              <w:rPr>
                <w:rFonts w:hint="eastAsia" w:cs="宋体"/>
                <w:color w:val="000000"/>
                <w:sz w:val="21"/>
                <w:szCs w:val="21"/>
              </w:rPr>
              <w:t>事故说明</w:t>
            </w:r>
          </w:p>
        </w:tc>
        <w:tc>
          <w:tcPr>
            <w:tcW w:w="6307" w:type="dxa"/>
            <w:gridSpan w:val="4"/>
            <w:tcBorders>
              <w:top w:val="single" w:color="auto" w:sz="4" w:space="0"/>
              <w:left w:val="single" w:color="auto" w:sz="4" w:space="0"/>
              <w:bottom w:val="single" w:color="auto" w:sz="4" w:space="0"/>
              <w:right w:val="single" w:color="auto" w:sz="8" w:space="0"/>
            </w:tcBorders>
            <w:shd w:val="clear" w:color="auto" w:fill="auto"/>
            <w:vAlign w:val="center"/>
          </w:tcPr>
          <w:p>
            <w:pPr>
              <w:adjustRightInd w:val="0"/>
              <w:snapToGrid w:val="0"/>
              <w:spacing w:line="400" w:lineRule="exact"/>
              <w:ind w:firstLine="0" w:firstLineChars="0"/>
              <w:jc w:val="left"/>
              <w:rPr>
                <w:color w:val="000000"/>
                <w:sz w:val="21"/>
                <w:szCs w:val="21"/>
              </w:rPr>
            </w:pPr>
            <w:r>
              <w:rPr>
                <w:rFonts w:hint="eastAsia" w:cs="宋体"/>
                <w:color w:val="000000"/>
                <w:sz w:val="21"/>
                <w:szCs w:val="21"/>
              </w:rPr>
              <w:t>监测断面水质监测项目中，后果已经或可能导致</w:t>
            </w:r>
            <w:r>
              <w:rPr>
                <w:color w:val="000000"/>
                <w:sz w:val="21"/>
                <w:szCs w:val="21"/>
              </w:rPr>
              <w:fldChar w:fldCharType="begin"/>
            </w:r>
            <w:r>
              <w:rPr>
                <w:color w:val="000000"/>
                <w:sz w:val="21"/>
                <w:szCs w:val="21"/>
              </w:rPr>
              <w:instrText xml:space="preserve"> = 3 \* ROMAN \* MERGEFORMAT </w:instrText>
            </w:r>
            <w:r>
              <w:rPr>
                <w:color w:val="000000"/>
                <w:sz w:val="21"/>
                <w:szCs w:val="21"/>
              </w:rPr>
              <w:fldChar w:fldCharType="separate"/>
            </w:r>
            <w:r>
              <w:rPr>
                <w:color w:val="000000"/>
                <w:sz w:val="21"/>
                <w:szCs w:val="21"/>
              </w:rPr>
              <w:t>II</w:t>
            </w:r>
            <w:r>
              <w:rPr>
                <w:color w:val="000000"/>
                <w:sz w:val="21"/>
                <w:szCs w:val="21"/>
              </w:rPr>
              <w:fldChar w:fldCharType="end"/>
            </w:r>
            <w:r>
              <w:rPr>
                <w:rFonts w:hint="eastAsia" w:cs="宋体"/>
                <w:color w:val="000000"/>
                <w:sz w:val="21"/>
                <w:szCs w:val="21"/>
              </w:rPr>
              <w:t>级预警等级要求。</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cantSplit/>
          <w:trHeight w:val="567" w:hRule="atLeast"/>
          <w:jc w:val="center"/>
        </w:trPr>
        <w:tc>
          <w:tcPr>
            <w:tcW w:w="1093" w:type="dxa"/>
            <w:tcBorders>
              <w:top w:val="single" w:color="auto" w:sz="4" w:space="0"/>
              <w:left w:val="single" w:color="auto" w:sz="8" w:space="0"/>
              <w:bottom w:val="single" w:color="auto" w:sz="4" w:space="0"/>
              <w:right w:val="single" w:color="auto" w:sz="4" w:space="0"/>
            </w:tcBorders>
            <w:shd w:val="clear" w:color="auto" w:fill="auto"/>
            <w:vAlign w:val="center"/>
          </w:tcPr>
          <w:p>
            <w:pPr>
              <w:adjustRightInd w:val="0"/>
              <w:snapToGrid w:val="0"/>
              <w:spacing w:line="400" w:lineRule="exact"/>
              <w:ind w:firstLine="0" w:firstLineChars="0"/>
              <w:jc w:val="center"/>
              <w:rPr>
                <w:b/>
                <w:color w:val="000000"/>
                <w:sz w:val="21"/>
                <w:szCs w:val="21"/>
              </w:rPr>
            </w:pPr>
            <w:r>
              <w:rPr>
                <w:rFonts w:hint="eastAsia" w:cs="宋体"/>
                <w:b/>
                <w:color w:val="000000"/>
                <w:sz w:val="21"/>
                <w:szCs w:val="21"/>
              </w:rPr>
              <w:t>应急</w:t>
            </w:r>
          </w:p>
          <w:p>
            <w:pPr>
              <w:adjustRightInd w:val="0"/>
              <w:snapToGrid w:val="0"/>
              <w:spacing w:line="400" w:lineRule="exact"/>
              <w:ind w:firstLine="0" w:firstLineChars="0"/>
              <w:jc w:val="center"/>
              <w:rPr>
                <w:b/>
                <w:color w:val="000000"/>
                <w:sz w:val="21"/>
                <w:szCs w:val="21"/>
              </w:rPr>
            </w:pPr>
            <w:r>
              <w:rPr>
                <w:rFonts w:hint="eastAsia" w:cs="宋体"/>
                <w:b/>
                <w:color w:val="000000"/>
                <w:sz w:val="21"/>
                <w:szCs w:val="21"/>
              </w:rPr>
              <w:t>程序</w:t>
            </w:r>
          </w:p>
        </w:tc>
        <w:tc>
          <w:tcPr>
            <w:tcW w:w="7412" w:type="dxa"/>
            <w:gridSpan w:val="5"/>
            <w:tcBorders>
              <w:top w:val="single" w:color="auto" w:sz="4" w:space="0"/>
              <w:left w:val="single" w:color="auto" w:sz="4" w:space="0"/>
              <w:bottom w:val="single" w:color="auto" w:sz="4" w:space="0"/>
              <w:right w:val="single" w:color="auto" w:sz="8" w:space="0"/>
            </w:tcBorders>
            <w:shd w:val="clear" w:color="auto" w:fill="auto"/>
          </w:tcPr>
          <w:p>
            <w:pPr>
              <w:adjustRightInd w:val="0"/>
              <w:snapToGrid w:val="0"/>
              <w:spacing w:line="400" w:lineRule="exact"/>
              <w:ind w:firstLine="0" w:firstLineChars="0"/>
              <w:jc w:val="left"/>
              <w:rPr>
                <w:color w:val="000000"/>
                <w:sz w:val="21"/>
                <w:szCs w:val="21"/>
              </w:rPr>
            </w:pPr>
            <w:r>
              <w:rPr>
                <w:rFonts w:hint="eastAsia" w:cs="宋体"/>
                <w:color w:val="000000"/>
                <w:sz w:val="21"/>
                <w:szCs w:val="21"/>
              </w:rPr>
              <w:t>事故责任单位负责人或发现人立即报告市铁山局，市铁山局立即赶赴现场指导事故先期处置工作，并判断事故等级情况；再根据事故的大小及发展态势向岳阳市饮用水源保护区（铁山水库-北干渠-金凤水库）突发环境事件应急指挥部报告，根据事态影响范围和程度，启动相应的应急程序</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cantSplit/>
          <w:trHeight w:val="567" w:hRule="atLeast"/>
          <w:jc w:val="center"/>
        </w:trPr>
        <w:tc>
          <w:tcPr>
            <w:tcW w:w="1093" w:type="dxa"/>
            <w:vMerge w:val="restart"/>
            <w:tcBorders>
              <w:top w:val="single" w:color="auto" w:sz="4" w:space="0"/>
              <w:left w:val="single" w:color="auto" w:sz="8" w:space="0"/>
              <w:bottom w:val="single" w:color="auto" w:sz="4" w:space="0"/>
              <w:right w:val="single" w:color="auto" w:sz="4" w:space="0"/>
            </w:tcBorders>
            <w:shd w:val="clear" w:color="auto" w:fill="auto"/>
            <w:vAlign w:val="center"/>
          </w:tcPr>
          <w:p>
            <w:pPr>
              <w:adjustRightInd w:val="0"/>
              <w:snapToGrid w:val="0"/>
              <w:spacing w:line="400" w:lineRule="exact"/>
              <w:ind w:firstLine="0" w:firstLineChars="0"/>
              <w:jc w:val="center"/>
              <w:rPr>
                <w:b/>
                <w:color w:val="000000"/>
                <w:sz w:val="21"/>
                <w:szCs w:val="21"/>
              </w:rPr>
            </w:pPr>
            <w:r>
              <w:rPr>
                <w:rFonts w:hint="eastAsia" w:cs="宋体"/>
                <w:b/>
                <w:color w:val="000000"/>
                <w:sz w:val="21"/>
                <w:szCs w:val="21"/>
              </w:rPr>
              <w:t>应急</w:t>
            </w:r>
          </w:p>
          <w:p>
            <w:pPr>
              <w:adjustRightInd w:val="0"/>
              <w:snapToGrid w:val="0"/>
              <w:spacing w:line="400" w:lineRule="exact"/>
              <w:ind w:firstLine="0" w:firstLineChars="0"/>
              <w:jc w:val="center"/>
              <w:rPr>
                <w:b/>
                <w:color w:val="000000"/>
                <w:sz w:val="21"/>
                <w:szCs w:val="21"/>
              </w:rPr>
            </w:pPr>
            <w:r>
              <w:rPr>
                <w:rFonts w:hint="eastAsia" w:cs="宋体"/>
                <w:b/>
                <w:color w:val="000000"/>
                <w:sz w:val="21"/>
                <w:szCs w:val="21"/>
              </w:rPr>
              <w:t>报告</w:t>
            </w:r>
          </w:p>
        </w:tc>
        <w:tc>
          <w:tcPr>
            <w:tcW w:w="2350" w:type="dxa"/>
            <w:gridSpan w:val="2"/>
            <w:tcBorders>
              <w:top w:val="single" w:color="auto" w:sz="4" w:space="0"/>
              <w:left w:val="single" w:color="auto" w:sz="4" w:space="0"/>
              <w:bottom w:val="single" w:color="auto" w:sz="4" w:space="0"/>
              <w:right w:val="single" w:color="auto" w:sz="4" w:space="0"/>
            </w:tcBorders>
            <w:shd w:val="clear" w:color="auto" w:fill="auto"/>
            <w:vAlign w:val="center"/>
          </w:tcPr>
          <w:p>
            <w:pPr>
              <w:adjustRightInd w:val="0"/>
              <w:snapToGrid w:val="0"/>
              <w:spacing w:line="400" w:lineRule="exact"/>
              <w:ind w:firstLine="0" w:firstLineChars="0"/>
              <w:jc w:val="center"/>
              <w:rPr>
                <w:color w:val="000000"/>
                <w:sz w:val="21"/>
                <w:szCs w:val="21"/>
              </w:rPr>
            </w:pPr>
            <w:r>
              <w:rPr>
                <w:rFonts w:hint="eastAsia" w:cs="宋体"/>
                <w:color w:val="000000"/>
                <w:sz w:val="21"/>
                <w:szCs w:val="21"/>
              </w:rPr>
              <w:t>报告内容</w:t>
            </w:r>
          </w:p>
        </w:tc>
        <w:tc>
          <w:tcPr>
            <w:tcW w:w="5062" w:type="dxa"/>
            <w:gridSpan w:val="3"/>
            <w:tcBorders>
              <w:top w:val="single" w:color="auto" w:sz="4" w:space="0"/>
              <w:left w:val="single" w:color="auto" w:sz="4" w:space="0"/>
              <w:bottom w:val="single" w:color="auto" w:sz="4" w:space="0"/>
              <w:right w:val="single" w:color="auto" w:sz="8" w:space="0"/>
            </w:tcBorders>
            <w:shd w:val="clear" w:color="auto" w:fill="auto"/>
            <w:vAlign w:val="center"/>
          </w:tcPr>
          <w:p>
            <w:pPr>
              <w:adjustRightInd w:val="0"/>
              <w:snapToGrid w:val="0"/>
              <w:spacing w:line="400" w:lineRule="exact"/>
              <w:ind w:firstLine="0" w:firstLineChars="0"/>
              <w:jc w:val="center"/>
              <w:rPr>
                <w:color w:val="000000"/>
                <w:sz w:val="21"/>
                <w:szCs w:val="21"/>
              </w:rPr>
            </w:pPr>
            <w:r>
              <w:rPr>
                <w:rFonts w:hint="eastAsia" w:cs="宋体"/>
                <w:color w:val="000000"/>
                <w:sz w:val="21"/>
                <w:szCs w:val="21"/>
              </w:rPr>
              <w:t>超标因子种类、个数、超标情况、超标原因等</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cantSplit/>
          <w:trHeight w:val="567" w:hRule="atLeast"/>
          <w:jc w:val="center"/>
        </w:trPr>
        <w:tc>
          <w:tcPr>
            <w:tcW w:w="1093" w:type="dxa"/>
            <w:vMerge w:val="continue"/>
            <w:tcBorders>
              <w:top w:val="single" w:color="auto" w:sz="4" w:space="0"/>
              <w:left w:val="single" w:color="auto" w:sz="8" w:space="0"/>
              <w:bottom w:val="single" w:color="auto" w:sz="4" w:space="0"/>
              <w:right w:val="single" w:color="auto" w:sz="4" w:space="0"/>
            </w:tcBorders>
            <w:shd w:val="clear" w:color="auto" w:fill="auto"/>
            <w:vAlign w:val="center"/>
          </w:tcPr>
          <w:p>
            <w:pPr>
              <w:ind w:firstLine="420"/>
              <w:rPr>
                <w:rFonts w:ascii="Calibri" w:hAnsi="Calibri"/>
                <w:sz w:val="21"/>
              </w:rPr>
            </w:pPr>
          </w:p>
        </w:tc>
        <w:tc>
          <w:tcPr>
            <w:tcW w:w="2350" w:type="dxa"/>
            <w:gridSpan w:val="2"/>
            <w:tcBorders>
              <w:top w:val="single" w:color="auto" w:sz="4" w:space="0"/>
              <w:left w:val="single" w:color="auto" w:sz="4" w:space="0"/>
              <w:bottom w:val="single" w:color="auto" w:sz="4" w:space="0"/>
              <w:right w:val="single" w:color="auto" w:sz="4" w:space="0"/>
            </w:tcBorders>
            <w:shd w:val="clear" w:color="auto" w:fill="auto"/>
            <w:vAlign w:val="center"/>
          </w:tcPr>
          <w:p>
            <w:pPr>
              <w:adjustRightInd w:val="0"/>
              <w:snapToGrid w:val="0"/>
              <w:spacing w:line="400" w:lineRule="exact"/>
              <w:ind w:firstLine="0" w:firstLineChars="0"/>
              <w:jc w:val="left"/>
              <w:rPr>
                <w:b/>
                <w:color w:val="000000"/>
                <w:sz w:val="21"/>
                <w:szCs w:val="21"/>
                <w:u w:val="single"/>
                <w:lang w:val="zh-CN"/>
              </w:rPr>
            </w:pPr>
            <w:r>
              <w:rPr>
                <w:rFonts w:hint="eastAsia" w:cs="宋体"/>
                <w:color w:val="000000"/>
                <w:sz w:val="21"/>
                <w:szCs w:val="21"/>
                <w:u w:val="single"/>
              </w:rPr>
              <w:t>岳阳市饮用水源保护区（铁山水库-北干渠-金凤水库）应急指挥部</w:t>
            </w:r>
          </w:p>
        </w:tc>
        <w:tc>
          <w:tcPr>
            <w:tcW w:w="1590" w:type="dxa"/>
            <w:tcBorders>
              <w:top w:val="single" w:color="auto" w:sz="4" w:space="0"/>
              <w:left w:val="single" w:color="auto" w:sz="4" w:space="0"/>
              <w:bottom w:val="single" w:color="auto" w:sz="4" w:space="0"/>
              <w:right w:val="single" w:color="auto" w:sz="4" w:space="0"/>
            </w:tcBorders>
            <w:shd w:val="clear" w:color="auto" w:fill="auto"/>
            <w:vAlign w:val="center"/>
          </w:tcPr>
          <w:p>
            <w:pPr>
              <w:adjustRightInd w:val="0"/>
              <w:snapToGrid w:val="0"/>
              <w:spacing w:line="340" w:lineRule="exact"/>
              <w:ind w:firstLine="0" w:firstLineChars="0"/>
              <w:jc w:val="center"/>
              <w:rPr>
                <w:b/>
                <w:color w:val="000000"/>
                <w:sz w:val="21"/>
                <w:szCs w:val="21"/>
                <w:u w:val="single"/>
                <w:lang w:val="zh-CN"/>
              </w:rPr>
            </w:pPr>
            <w:r>
              <w:rPr>
                <w:sz w:val="21"/>
                <w:szCs w:val="21"/>
                <w:u w:val="single"/>
              </w:rPr>
              <w:t>8611558</w:t>
            </w:r>
          </w:p>
        </w:tc>
        <w:tc>
          <w:tcPr>
            <w:tcW w:w="1560" w:type="dxa"/>
            <w:tcBorders>
              <w:top w:val="single" w:color="auto" w:sz="4" w:space="0"/>
              <w:left w:val="single" w:color="auto" w:sz="4" w:space="0"/>
              <w:bottom w:val="single" w:color="auto" w:sz="4" w:space="0"/>
              <w:right w:val="single" w:color="auto" w:sz="4" w:space="0"/>
            </w:tcBorders>
            <w:shd w:val="clear" w:color="auto" w:fill="auto"/>
            <w:vAlign w:val="center"/>
          </w:tcPr>
          <w:p>
            <w:pPr>
              <w:adjustRightInd w:val="0"/>
              <w:snapToGrid w:val="0"/>
              <w:spacing w:line="400" w:lineRule="exact"/>
              <w:ind w:firstLine="0" w:firstLineChars="0"/>
              <w:jc w:val="center"/>
              <w:rPr>
                <w:color w:val="000000"/>
                <w:sz w:val="21"/>
                <w:szCs w:val="21"/>
                <w:u w:val="single"/>
              </w:rPr>
            </w:pPr>
            <w:r>
              <w:rPr>
                <w:rFonts w:hint="eastAsia" w:cs="宋体"/>
                <w:color w:val="000000"/>
                <w:sz w:val="21"/>
                <w:szCs w:val="21"/>
                <w:u w:val="single"/>
              </w:rPr>
              <w:t>市环境应急办</w:t>
            </w:r>
          </w:p>
        </w:tc>
        <w:tc>
          <w:tcPr>
            <w:tcW w:w="1912" w:type="dxa"/>
            <w:tcBorders>
              <w:top w:val="single" w:color="auto" w:sz="4" w:space="0"/>
              <w:left w:val="single" w:color="auto" w:sz="4" w:space="0"/>
              <w:bottom w:val="single" w:color="auto" w:sz="4" w:space="0"/>
              <w:right w:val="single" w:color="auto" w:sz="8" w:space="0"/>
            </w:tcBorders>
            <w:shd w:val="clear" w:color="auto" w:fill="auto"/>
            <w:vAlign w:val="center"/>
          </w:tcPr>
          <w:p>
            <w:pPr>
              <w:adjustRightInd w:val="0"/>
              <w:snapToGrid w:val="0"/>
              <w:spacing w:line="400" w:lineRule="exact"/>
              <w:ind w:firstLine="0" w:firstLineChars="0"/>
              <w:jc w:val="center"/>
              <w:rPr>
                <w:color w:val="000000"/>
                <w:sz w:val="21"/>
                <w:szCs w:val="21"/>
                <w:u w:val="single"/>
              </w:rPr>
            </w:pPr>
            <w:r>
              <w:rPr>
                <w:sz w:val="21"/>
                <w:szCs w:val="21"/>
                <w:u w:val="single"/>
              </w:rPr>
              <w:t>8879800</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cantSplit/>
          <w:trHeight w:val="567" w:hRule="atLeast"/>
          <w:jc w:val="center"/>
        </w:trPr>
        <w:tc>
          <w:tcPr>
            <w:tcW w:w="1093" w:type="dxa"/>
            <w:tcBorders>
              <w:top w:val="single" w:color="auto" w:sz="4" w:space="0"/>
              <w:left w:val="single" w:color="auto" w:sz="8" w:space="0"/>
              <w:bottom w:val="single" w:color="auto" w:sz="4" w:space="0"/>
              <w:right w:val="single" w:color="auto" w:sz="4" w:space="0"/>
            </w:tcBorders>
            <w:shd w:val="clear" w:color="auto" w:fill="auto"/>
            <w:vAlign w:val="center"/>
          </w:tcPr>
          <w:p>
            <w:pPr>
              <w:adjustRightInd w:val="0"/>
              <w:snapToGrid w:val="0"/>
              <w:spacing w:line="400" w:lineRule="exact"/>
              <w:ind w:firstLine="0" w:firstLineChars="0"/>
              <w:jc w:val="center"/>
              <w:rPr>
                <w:b/>
                <w:color w:val="000000"/>
                <w:sz w:val="21"/>
                <w:szCs w:val="21"/>
              </w:rPr>
            </w:pPr>
            <w:r>
              <w:rPr>
                <w:rFonts w:hint="eastAsia" w:cs="宋体"/>
                <w:b/>
                <w:color w:val="000000"/>
                <w:sz w:val="21"/>
                <w:szCs w:val="21"/>
              </w:rPr>
              <w:t>应急责</w:t>
            </w:r>
          </w:p>
          <w:p>
            <w:pPr>
              <w:adjustRightInd w:val="0"/>
              <w:snapToGrid w:val="0"/>
              <w:spacing w:line="400" w:lineRule="exact"/>
              <w:ind w:firstLine="0" w:firstLineChars="0"/>
              <w:jc w:val="center"/>
              <w:rPr>
                <w:b/>
                <w:color w:val="000000"/>
                <w:sz w:val="21"/>
                <w:szCs w:val="21"/>
              </w:rPr>
            </w:pPr>
            <w:r>
              <w:rPr>
                <w:rFonts w:hint="eastAsia" w:cs="宋体"/>
                <w:b/>
                <w:color w:val="000000"/>
                <w:sz w:val="21"/>
                <w:szCs w:val="21"/>
              </w:rPr>
              <w:t>任单位</w:t>
            </w:r>
          </w:p>
        </w:tc>
        <w:tc>
          <w:tcPr>
            <w:tcW w:w="7412" w:type="dxa"/>
            <w:gridSpan w:val="5"/>
            <w:tcBorders>
              <w:top w:val="single" w:color="auto" w:sz="4" w:space="0"/>
              <w:left w:val="single" w:color="auto" w:sz="4" w:space="0"/>
              <w:bottom w:val="single" w:color="auto" w:sz="4" w:space="0"/>
              <w:right w:val="single" w:color="auto" w:sz="8" w:space="0"/>
            </w:tcBorders>
            <w:shd w:val="clear" w:color="auto" w:fill="auto"/>
            <w:vAlign w:val="center"/>
          </w:tcPr>
          <w:p>
            <w:pPr>
              <w:adjustRightInd w:val="0"/>
              <w:snapToGrid w:val="0"/>
              <w:spacing w:line="400" w:lineRule="exact"/>
              <w:ind w:firstLine="0" w:firstLineChars="0"/>
              <w:jc w:val="left"/>
              <w:rPr>
                <w:color w:val="000000"/>
                <w:sz w:val="21"/>
                <w:szCs w:val="21"/>
              </w:rPr>
            </w:pPr>
            <w:r>
              <w:rPr>
                <w:rFonts w:hint="eastAsia" w:ascii="宋体" w:hAnsi="宋体" w:cs="宋体"/>
                <w:color w:val="000000"/>
                <w:sz w:val="21"/>
                <w:szCs w:val="21"/>
              </w:rPr>
              <w:t>事故责任单位、事发地人民政府、事发地环保局、岳阳市饮用水源保护区（铁山水库-北干渠-金凤水库）应急指挥部、岳阳市自来水公司、市铁山局等</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cantSplit/>
          <w:trHeight w:val="567" w:hRule="atLeast"/>
          <w:jc w:val="center"/>
        </w:trPr>
        <w:tc>
          <w:tcPr>
            <w:tcW w:w="1093" w:type="dxa"/>
            <w:tcBorders>
              <w:top w:val="single" w:color="auto" w:sz="4" w:space="0"/>
              <w:left w:val="single" w:color="auto" w:sz="8" w:space="0"/>
              <w:bottom w:val="single" w:color="auto" w:sz="8" w:space="0"/>
              <w:right w:val="single" w:color="auto" w:sz="4" w:space="0"/>
            </w:tcBorders>
            <w:shd w:val="clear" w:color="auto" w:fill="auto"/>
            <w:vAlign w:val="center"/>
          </w:tcPr>
          <w:p>
            <w:pPr>
              <w:adjustRightInd w:val="0"/>
              <w:snapToGrid w:val="0"/>
              <w:spacing w:line="400" w:lineRule="exact"/>
              <w:ind w:firstLine="0" w:firstLineChars="0"/>
              <w:jc w:val="center"/>
              <w:rPr>
                <w:b/>
                <w:color w:val="000000"/>
                <w:sz w:val="21"/>
                <w:szCs w:val="21"/>
              </w:rPr>
            </w:pPr>
            <w:r>
              <w:rPr>
                <w:rFonts w:hint="eastAsia" w:cs="宋体"/>
                <w:b/>
                <w:color w:val="000000"/>
                <w:sz w:val="21"/>
                <w:szCs w:val="21"/>
              </w:rPr>
              <w:t>应急处</w:t>
            </w:r>
          </w:p>
          <w:p>
            <w:pPr>
              <w:adjustRightInd w:val="0"/>
              <w:snapToGrid w:val="0"/>
              <w:spacing w:line="400" w:lineRule="exact"/>
              <w:ind w:firstLine="0" w:firstLineChars="0"/>
              <w:jc w:val="center"/>
              <w:rPr>
                <w:b/>
                <w:color w:val="000000"/>
                <w:sz w:val="21"/>
                <w:szCs w:val="21"/>
              </w:rPr>
            </w:pPr>
            <w:r>
              <w:rPr>
                <w:rFonts w:hint="eastAsia" w:cs="宋体"/>
                <w:b/>
                <w:color w:val="000000"/>
                <w:sz w:val="21"/>
                <w:szCs w:val="21"/>
              </w:rPr>
              <w:t>置措施</w:t>
            </w:r>
          </w:p>
        </w:tc>
        <w:tc>
          <w:tcPr>
            <w:tcW w:w="7412" w:type="dxa"/>
            <w:gridSpan w:val="5"/>
            <w:tcBorders>
              <w:top w:val="single" w:color="auto" w:sz="4" w:space="0"/>
              <w:left w:val="single" w:color="auto" w:sz="4" w:space="0"/>
              <w:bottom w:val="single" w:color="auto" w:sz="8" w:space="0"/>
              <w:right w:val="single" w:color="auto" w:sz="8" w:space="0"/>
            </w:tcBorders>
            <w:shd w:val="clear" w:color="auto" w:fill="auto"/>
          </w:tcPr>
          <w:p>
            <w:pPr>
              <w:adjustRightInd w:val="0"/>
              <w:snapToGrid w:val="0"/>
              <w:spacing w:line="400" w:lineRule="exact"/>
              <w:ind w:firstLine="0" w:firstLineChars="0"/>
              <w:jc w:val="left"/>
              <w:rPr>
                <w:color w:val="000000"/>
                <w:sz w:val="21"/>
                <w:szCs w:val="21"/>
              </w:rPr>
            </w:pPr>
            <w:r>
              <w:rPr>
                <w:rFonts w:hint="eastAsia" w:cs="宋体"/>
                <w:color w:val="000000"/>
                <w:sz w:val="21"/>
                <w:szCs w:val="21"/>
              </w:rPr>
              <w:t>启动岳阳市饮用水源保护区（铁山水库-北干渠-金凤水库）突发环境事件应急预案，并按照</w:t>
            </w:r>
            <w:r>
              <w:rPr>
                <w:color w:val="000000"/>
                <w:sz w:val="21"/>
                <w:szCs w:val="21"/>
              </w:rPr>
              <w:fldChar w:fldCharType="begin"/>
            </w:r>
            <w:r>
              <w:rPr>
                <w:color w:val="000000"/>
                <w:sz w:val="21"/>
                <w:szCs w:val="21"/>
              </w:rPr>
              <w:instrText xml:space="preserve"> = 3 \* ROMAN \* MERGEFORMAT </w:instrText>
            </w:r>
            <w:r>
              <w:rPr>
                <w:color w:val="000000"/>
                <w:sz w:val="21"/>
                <w:szCs w:val="21"/>
              </w:rPr>
              <w:fldChar w:fldCharType="separate"/>
            </w:r>
            <w:r>
              <w:rPr>
                <w:color w:val="000000"/>
                <w:sz w:val="21"/>
                <w:szCs w:val="21"/>
              </w:rPr>
              <w:t>II</w:t>
            </w:r>
            <w:r>
              <w:rPr>
                <w:color w:val="000000"/>
                <w:sz w:val="21"/>
                <w:szCs w:val="21"/>
              </w:rPr>
              <w:fldChar w:fldCharType="end"/>
            </w:r>
            <w:r>
              <w:rPr>
                <w:rFonts w:hint="eastAsia" w:cs="宋体"/>
                <w:color w:val="000000"/>
                <w:sz w:val="21"/>
                <w:szCs w:val="21"/>
              </w:rPr>
              <w:t>级响应执行；</w:t>
            </w:r>
          </w:p>
          <w:p>
            <w:pPr>
              <w:adjustRightInd w:val="0"/>
              <w:snapToGrid w:val="0"/>
              <w:spacing w:line="400" w:lineRule="exact"/>
              <w:ind w:firstLine="0" w:firstLineChars="0"/>
              <w:jc w:val="left"/>
              <w:rPr>
                <w:color w:val="000000"/>
                <w:sz w:val="21"/>
                <w:szCs w:val="21"/>
              </w:rPr>
            </w:pPr>
            <w:r>
              <w:rPr>
                <w:rFonts w:hint="eastAsia" w:cs="宋体"/>
                <w:color w:val="000000"/>
                <w:sz w:val="21"/>
                <w:szCs w:val="21"/>
              </w:rPr>
              <w:t>（</w:t>
            </w:r>
            <w:r>
              <w:rPr>
                <w:color w:val="000000"/>
                <w:sz w:val="21"/>
                <w:szCs w:val="21"/>
              </w:rPr>
              <w:t>1</w:t>
            </w:r>
            <w:r>
              <w:rPr>
                <w:rFonts w:hint="eastAsia" w:cs="宋体"/>
                <w:color w:val="000000"/>
                <w:sz w:val="21"/>
                <w:szCs w:val="21"/>
              </w:rPr>
              <w:t>）监测</w:t>
            </w:r>
            <w:r>
              <w:rPr>
                <w:color w:val="000000"/>
                <w:sz w:val="21"/>
                <w:szCs w:val="21"/>
              </w:rPr>
              <w:t xml:space="preserve">  </w:t>
            </w:r>
            <w:r>
              <w:rPr>
                <w:rFonts w:hint="eastAsia" w:cs="宋体"/>
                <w:color w:val="000000"/>
                <w:sz w:val="21"/>
                <w:szCs w:val="21"/>
              </w:rPr>
              <w:t>应急监测小组在岳阳市饮用水源保护区（铁山水库-北干渠-金凤水库）一级保护区、二级保护区等断面中超标断面处及水厂、岳阳市饮用水源保护区（铁山水库-北干渠-金凤水库）引水工程取水口等位置布点监测，监测因子为饮用水常规监测项目、重点监测超标因子；</w:t>
            </w:r>
          </w:p>
          <w:p>
            <w:pPr>
              <w:adjustRightInd w:val="0"/>
              <w:snapToGrid w:val="0"/>
              <w:spacing w:line="400" w:lineRule="exact"/>
              <w:ind w:firstLine="0" w:firstLineChars="0"/>
              <w:jc w:val="left"/>
              <w:rPr>
                <w:color w:val="000000"/>
                <w:sz w:val="21"/>
                <w:szCs w:val="21"/>
              </w:rPr>
            </w:pPr>
            <w:r>
              <w:rPr>
                <w:rFonts w:hint="eastAsia" w:cs="宋体"/>
                <w:color w:val="000000"/>
                <w:sz w:val="21"/>
                <w:szCs w:val="21"/>
              </w:rPr>
              <w:t>（</w:t>
            </w:r>
            <w:r>
              <w:rPr>
                <w:color w:val="000000"/>
                <w:sz w:val="21"/>
                <w:szCs w:val="21"/>
              </w:rPr>
              <w:t>2</w:t>
            </w:r>
            <w:r>
              <w:rPr>
                <w:rFonts w:hint="eastAsia" w:cs="宋体"/>
                <w:color w:val="000000"/>
                <w:sz w:val="21"/>
                <w:szCs w:val="21"/>
              </w:rPr>
              <w:t>）协调</w:t>
            </w:r>
            <w:r>
              <w:rPr>
                <w:color w:val="000000"/>
                <w:sz w:val="21"/>
                <w:szCs w:val="21"/>
              </w:rPr>
              <w:t xml:space="preserve">  </w:t>
            </w:r>
            <w:r>
              <w:rPr>
                <w:rFonts w:hint="eastAsia" w:cs="宋体"/>
                <w:color w:val="000000"/>
                <w:sz w:val="21"/>
                <w:szCs w:val="21"/>
              </w:rPr>
              <w:t>综合协调小组及时告知水厂，增加取水水质监测频次，密切关注出水水质情况，并将进出水水质异常情况报告岳阳市饮用水源保护区（铁山水库-北干渠-金凤水库）应急指挥部；</w:t>
            </w:r>
          </w:p>
          <w:p>
            <w:pPr>
              <w:adjustRightInd w:val="0"/>
              <w:snapToGrid w:val="0"/>
              <w:spacing w:line="400" w:lineRule="exact"/>
              <w:ind w:firstLine="0" w:firstLineChars="0"/>
              <w:jc w:val="left"/>
              <w:rPr>
                <w:color w:val="000000"/>
                <w:sz w:val="21"/>
                <w:szCs w:val="21"/>
              </w:rPr>
            </w:pPr>
            <w:r>
              <w:rPr>
                <w:rFonts w:hint="eastAsia" w:cs="宋体"/>
                <w:color w:val="000000"/>
                <w:sz w:val="21"/>
                <w:szCs w:val="21"/>
              </w:rPr>
              <w:t>（</w:t>
            </w:r>
            <w:r>
              <w:rPr>
                <w:color w:val="000000"/>
                <w:sz w:val="21"/>
                <w:szCs w:val="21"/>
              </w:rPr>
              <w:t>3</w:t>
            </w:r>
            <w:r>
              <w:rPr>
                <w:rFonts w:hint="eastAsia" w:cs="宋体"/>
                <w:color w:val="000000"/>
                <w:sz w:val="21"/>
                <w:szCs w:val="21"/>
              </w:rPr>
              <w:t>）保障</w:t>
            </w:r>
            <w:r>
              <w:rPr>
                <w:color w:val="000000"/>
                <w:sz w:val="21"/>
                <w:szCs w:val="21"/>
              </w:rPr>
              <w:t xml:space="preserve">  </w:t>
            </w:r>
            <w:r>
              <w:rPr>
                <w:rFonts w:hint="eastAsia" w:cs="宋体"/>
                <w:color w:val="000000"/>
                <w:sz w:val="21"/>
                <w:szCs w:val="21"/>
              </w:rPr>
              <w:t>后勤保障小组及时了解岳阳市饮用水源保护区（铁山水库-北干渠-金凤水库）内的供水情况，确保饮用水安全；</w:t>
            </w:r>
          </w:p>
          <w:p>
            <w:pPr>
              <w:adjustRightInd w:val="0"/>
              <w:snapToGrid w:val="0"/>
              <w:spacing w:line="400" w:lineRule="exact"/>
              <w:ind w:firstLine="0" w:firstLineChars="0"/>
              <w:jc w:val="left"/>
              <w:rPr>
                <w:color w:val="000000"/>
                <w:sz w:val="21"/>
                <w:szCs w:val="21"/>
              </w:rPr>
            </w:pPr>
            <w:r>
              <w:rPr>
                <w:rFonts w:hint="eastAsia" w:cs="宋体"/>
                <w:color w:val="000000"/>
                <w:sz w:val="21"/>
                <w:szCs w:val="21"/>
              </w:rPr>
              <w:t>（</w:t>
            </w:r>
            <w:r>
              <w:rPr>
                <w:color w:val="000000"/>
                <w:sz w:val="21"/>
                <w:szCs w:val="21"/>
              </w:rPr>
              <w:t>4</w:t>
            </w:r>
            <w:r>
              <w:rPr>
                <w:rFonts w:hint="eastAsia" w:cs="宋体"/>
                <w:color w:val="000000"/>
                <w:sz w:val="21"/>
                <w:szCs w:val="21"/>
              </w:rPr>
              <w:t>）处置</w:t>
            </w:r>
            <w:r>
              <w:rPr>
                <w:color w:val="000000"/>
                <w:sz w:val="21"/>
                <w:szCs w:val="21"/>
              </w:rPr>
              <w:t xml:space="preserve">  </w:t>
            </w:r>
            <w:r>
              <w:rPr>
                <w:rFonts w:hint="eastAsia" w:cs="宋体"/>
                <w:color w:val="000000"/>
                <w:sz w:val="21"/>
                <w:szCs w:val="21"/>
              </w:rPr>
              <w:t>污染控制小组根据超标因子及超标原因进行现场处置，如重金属超标可投放化学药剂、动植物尸体可实施打捞、浮油可收集等。</w:t>
            </w:r>
          </w:p>
          <w:p>
            <w:pPr>
              <w:adjustRightInd w:val="0"/>
              <w:snapToGrid w:val="0"/>
              <w:spacing w:line="400" w:lineRule="exact"/>
              <w:ind w:firstLine="0" w:firstLineChars="0"/>
              <w:jc w:val="left"/>
              <w:rPr>
                <w:color w:val="000000"/>
                <w:sz w:val="21"/>
                <w:szCs w:val="21"/>
              </w:rPr>
            </w:pPr>
            <w:r>
              <w:rPr>
                <w:rFonts w:hint="eastAsia" w:cs="宋体"/>
                <w:b/>
                <w:color w:val="000000"/>
                <w:sz w:val="21"/>
                <w:szCs w:val="21"/>
              </w:rPr>
              <w:t>备注：岳阳市饮用水源保护区（铁山水库-北干渠-金凤水库）涉及不同的职能部门，各相关职能部门应根据本部门职责要求履行相应的责任，确保将其危害程度减少到最小。</w:t>
            </w:r>
          </w:p>
        </w:tc>
      </w:tr>
    </w:tbl>
    <w:p>
      <w:pPr>
        <w:autoSpaceDE w:val="0"/>
        <w:autoSpaceDN w:val="0"/>
        <w:adjustRightInd w:val="0"/>
        <w:snapToGrid w:val="0"/>
        <w:spacing w:line="240" w:lineRule="auto"/>
        <w:ind w:firstLine="0" w:firstLineChars="0"/>
        <w:jc w:val="left"/>
        <w:rPr>
          <w:rFonts w:ascii="宋体" w:hAnsi="宋体" w:cs="宋体"/>
          <w:b/>
          <w:color w:val="000000"/>
          <w:szCs w:val="24"/>
          <w:lang w:val="zh-CN"/>
        </w:rPr>
      </w:pPr>
    </w:p>
    <w:p>
      <w:pPr>
        <w:ind w:firstLine="201"/>
        <w:rPr>
          <w:rFonts w:ascii="宋体" w:hAnsi="宋体" w:cs="宋体"/>
          <w:b/>
          <w:color w:val="000000"/>
          <w:sz w:val="10"/>
          <w:szCs w:val="10"/>
          <w:lang w:val="zh-CN"/>
        </w:rPr>
        <w:sectPr>
          <w:pgSz w:w="11906" w:h="16838"/>
          <w:pgMar w:top="1440" w:right="1800" w:bottom="1440" w:left="1800" w:header="851" w:footer="992" w:gutter="0"/>
          <w:cols w:space="0" w:num="1"/>
          <w:docGrid w:type="lines" w:linePitch="315" w:charSpace="0"/>
        </w:sectPr>
      </w:pPr>
    </w:p>
    <w:p>
      <w:pPr>
        <w:autoSpaceDE w:val="0"/>
        <w:autoSpaceDN w:val="0"/>
        <w:adjustRightInd w:val="0"/>
        <w:snapToGrid w:val="0"/>
        <w:ind w:firstLine="0" w:firstLineChars="0"/>
        <w:jc w:val="center"/>
        <w:rPr>
          <w:b/>
          <w:color w:val="000000"/>
          <w:sz w:val="21"/>
          <w:szCs w:val="21"/>
          <w:lang w:val="zh-CN"/>
        </w:rPr>
      </w:pPr>
      <w:r>
        <w:rPr>
          <w:rFonts w:hint="eastAsia" w:cs="宋体"/>
          <w:b/>
          <w:color w:val="000000"/>
          <w:sz w:val="21"/>
          <w:szCs w:val="21"/>
          <w:lang w:val="zh-CN"/>
        </w:rPr>
        <w:t>附件</w:t>
      </w:r>
      <w:r>
        <w:rPr>
          <w:rFonts w:hint="eastAsia"/>
          <w:b/>
          <w:color w:val="000000"/>
          <w:sz w:val="21"/>
          <w:szCs w:val="21"/>
        </w:rPr>
        <w:t>7</w:t>
      </w:r>
      <w:r>
        <w:rPr>
          <w:b/>
          <w:color w:val="000000"/>
          <w:sz w:val="21"/>
          <w:szCs w:val="21"/>
        </w:rPr>
        <w:t>-4</w:t>
      </w:r>
      <w:r>
        <w:rPr>
          <w:b/>
          <w:color w:val="000000"/>
          <w:sz w:val="21"/>
          <w:szCs w:val="21"/>
          <w:lang w:val="zh-CN"/>
        </w:rPr>
        <w:t xml:space="preserve">  </w:t>
      </w:r>
      <w:r>
        <w:rPr>
          <w:rFonts w:hint="eastAsia" w:cs="宋体"/>
          <w:b/>
          <w:color w:val="000000"/>
          <w:sz w:val="21"/>
          <w:szCs w:val="21"/>
          <w:lang w:val="zh-CN"/>
        </w:rPr>
        <w:t>暴雨引发次生环境事件应急卡</w:t>
      </w:r>
    </w:p>
    <w:tbl>
      <w:tblPr>
        <w:tblStyle w:val="47"/>
        <w:tblW w:w="8505" w:type="dxa"/>
        <w:jc w:val="center"/>
        <w:tblInd w:w="0" w:type="dxa"/>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
      <w:tblGrid>
        <w:gridCol w:w="953"/>
        <w:gridCol w:w="1245"/>
        <w:gridCol w:w="1215"/>
        <w:gridCol w:w="1635"/>
        <w:gridCol w:w="1530"/>
        <w:gridCol w:w="1927"/>
      </w:tblGrid>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cantSplit/>
          <w:trHeight w:val="397" w:hRule="atLeast"/>
          <w:jc w:val="center"/>
        </w:trPr>
        <w:tc>
          <w:tcPr>
            <w:tcW w:w="953" w:type="dxa"/>
            <w:vMerge w:val="restart"/>
            <w:tcBorders>
              <w:top w:val="single" w:color="auto" w:sz="8" w:space="0"/>
              <w:left w:val="single" w:color="auto" w:sz="8" w:space="0"/>
              <w:bottom w:val="single" w:color="auto" w:sz="4" w:space="0"/>
              <w:right w:val="single" w:color="auto" w:sz="4" w:space="0"/>
            </w:tcBorders>
            <w:shd w:val="clear" w:color="auto" w:fill="auto"/>
            <w:vAlign w:val="center"/>
          </w:tcPr>
          <w:p>
            <w:pPr>
              <w:adjustRightInd w:val="0"/>
              <w:snapToGrid w:val="0"/>
              <w:spacing w:line="320" w:lineRule="exact"/>
              <w:ind w:firstLine="0" w:firstLineChars="0"/>
              <w:jc w:val="center"/>
              <w:rPr>
                <w:b/>
                <w:color w:val="000000"/>
                <w:sz w:val="21"/>
                <w:szCs w:val="21"/>
              </w:rPr>
            </w:pPr>
            <w:r>
              <w:rPr>
                <w:rFonts w:hint="eastAsia" w:cs="宋体"/>
                <w:b/>
                <w:color w:val="000000"/>
                <w:sz w:val="21"/>
                <w:szCs w:val="21"/>
              </w:rPr>
              <w:t>风险</w:t>
            </w:r>
          </w:p>
          <w:p>
            <w:pPr>
              <w:adjustRightInd w:val="0"/>
              <w:snapToGrid w:val="0"/>
              <w:spacing w:line="320" w:lineRule="exact"/>
              <w:ind w:firstLine="0" w:firstLineChars="0"/>
              <w:jc w:val="center"/>
              <w:rPr>
                <w:b/>
                <w:color w:val="000000"/>
                <w:sz w:val="21"/>
                <w:szCs w:val="21"/>
              </w:rPr>
            </w:pPr>
            <w:r>
              <w:rPr>
                <w:rFonts w:hint="eastAsia" w:cs="宋体"/>
                <w:b/>
                <w:color w:val="000000"/>
                <w:sz w:val="21"/>
                <w:szCs w:val="21"/>
              </w:rPr>
              <w:t>特征</w:t>
            </w:r>
          </w:p>
        </w:tc>
        <w:tc>
          <w:tcPr>
            <w:tcW w:w="1245" w:type="dxa"/>
            <w:tcBorders>
              <w:top w:val="single" w:color="auto" w:sz="8" w:space="0"/>
              <w:left w:val="single" w:color="auto" w:sz="4" w:space="0"/>
              <w:bottom w:val="single" w:color="auto" w:sz="4" w:space="0"/>
              <w:right w:val="single" w:color="auto" w:sz="4" w:space="0"/>
            </w:tcBorders>
            <w:shd w:val="clear" w:color="auto" w:fill="auto"/>
            <w:vAlign w:val="center"/>
          </w:tcPr>
          <w:p>
            <w:pPr>
              <w:adjustRightInd w:val="0"/>
              <w:snapToGrid w:val="0"/>
              <w:spacing w:line="320" w:lineRule="exact"/>
              <w:ind w:firstLine="0" w:firstLineChars="0"/>
              <w:jc w:val="left"/>
              <w:rPr>
                <w:color w:val="000000"/>
                <w:sz w:val="21"/>
                <w:szCs w:val="21"/>
              </w:rPr>
            </w:pPr>
            <w:r>
              <w:rPr>
                <w:rFonts w:hint="eastAsia" w:cs="宋体"/>
                <w:color w:val="000000"/>
                <w:sz w:val="21"/>
                <w:szCs w:val="21"/>
              </w:rPr>
              <w:t>事故地点</w:t>
            </w:r>
          </w:p>
        </w:tc>
        <w:tc>
          <w:tcPr>
            <w:tcW w:w="6307" w:type="dxa"/>
            <w:gridSpan w:val="4"/>
            <w:tcBorders>
              <w:top w:val="single" w:color="auto" w:sz="8" w:space="0"/>
              <w:left w:val="single" w:color="auto" w:sz="4" w:space="0"/>
              <w:bottom w:val="single" w:color="auto" w:sz="4" w:space="0"/>
              <w:right w:val="single" w:color="auto" w:sz="8" w:space="0"/>
            </w:tcBorders>
            <w:shd w:val="clear" w:color="auto" w:fill="auto"/>
            <w:vAlign w:val="center"/>
          </w:tcPr>
          <w:p>
            <w:pPr>
              <w:adjustRightInd w:val="0"/>
              <w:snapToGrid w:val="0"/>
              <w:spacing w:line="320" w:lineRule="exact"/>
              <w:ind w:firstLine="0" w:firstLineChars="0"/>
              <w:jc w:val="left"/>
              <w:rPr>
                <w:color w:val="000000"/>
                <w:sz w:val="21"/>
                <w:szCs w:val="21"/>
              </w:rPr>
            </w:pPr>
            <w:r>
              <w:rPr>
                <w:rFonts w:hint="eastAsia" w:cs="宋体"/>
                <w:color w:val="000000"/>
                <w:sz w:val="21"/>
                <w:szCs w:val="21"/>
              </w:rPr>
              <w:t>岳阳市饮用水源保护区（铁山水库-北干渠-金凤水库）范围内出现强暴雨</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cantSplit/>
          <w:trHeight w:val="397" w:hRule="atLeast"/>
          <w:jc w:val="center"/>
        </w:trPr>
        <w:tc>
          <w:tcPr>
            <w:tcW w:w="953" w:type="dxa"/>
            <w:vMerge w:val="continue"/>
            <w:tcBorders>
              <w:top w:val="single" w:color="auto" w:sz="8" w:space="0"/>
              <w:left w:val="single" w:color="auto" w:sz="8" w:space="0"/>
              <w:bottom w:val="single" w:color="auto" w:sz="4" w:space="0"/>
              <w:right w:val="single" w:color="auto" w:sz="4" w:space="0"/>
            </w:tcBorders>
            <w:shd w:val="clear" w:color="auto" w:fill="auto"/>
            <w:vAlign w:val="center"/>
          </w:tcPr>
          <w:p>
            <w:pPr>
              <w:ind w:firstLine="420"/>
              <w:rPr>
                <w:rFonts w:ascii="Calibri" w:hAnsi="Calibri"/>
                <w:sz w:val="21"/>
              </w:rPr>
            </w:pPr>
          </w:p>
        </w:tc>
        <w:tc>
          <w:tcPr>
            <w:tcW w:w="1245" w:type="dxa"/>
            <w:tcBorders>
              <w:top w:val="single" w:color="auto" w:sz="4" w:space="0"/>
              <w:left w:val="single" w:color="auto" w:sz="4" w:space="0"/>
              <w:bottom w:val="single" w:color="auto" w:sz="4" w:space="0"/>
              <w:right w:val="single" w:color="auto" w:sz="4" w:space="0"/>
            </w:tcBorders>
            <w:shd w:val="clear" w:color="auto" w:fill="auto"/>
            <w:vAlign w:val="center"/>
          </w:tcPr>
          <w:p>
            <w:pPr>
              <w:adjustRightInd w:val="0"/>
              <w:snapToGrid w:val="0"/>
              <w:spacing w:line="320" w:lineRule="exact"/>
              <w:ind w:firstLine="0" w:firstLineChars="0"/>
              <w:jc w:val="left"/>
              <w:rPr>
                <w:color w:val="000000"/>
                <w:sz w:val="21"/>
                <w:szCs w:val="21"/>
              </w:rPr>
            </w:pPr>
            <w:r>
              <w:rPr>
                <w:rFonts w:hint="eastAsia" w:cs="宋体"/>
                <w:color w:val="000000"/>
                <w:sz w:val="21"/>
                <w:szCs w:val="21"/>
              </w:rPr>
              <w:t>风险物质</w:t>
            </w:r>
          </w:p>
        </w:tc>
        <w:tc>
          <w:tcPr>
            <w:tcW w:w="6307" w:type="dxa"/>
            <w:gridSpan w:val="4"/>
            <w:tcBorders>
              <w:top w:val="single" w:color="auto" w:sz="4" w:space="0"/>
              <w:left w:val="single" w:color="auto" w:sz="4" w:space="0"/>
              <w:bottom w:val="single" w:color="auto" w:sz="4" w:space="0"/>
              <w:right w:val="single" w:color="auto" w:sz="8" w:space="0"/>
            </w:tcBorders>
            <w:shd w:val="clear" w:color="auto" w:fill="auto"/>
            <w:vAlign w:val="center"/>
          </w:tcPr>
          <w:p>
            <w:pPr>
              <w:adjustRightInd w:val="0"/>
              <w:snapToGrid w:val="0"/>
              <w:spacing w:line="320" w:lineRule="exact"/>
              <w:ind w:firstLine="0" w:firstLineChars="0"/>
              <w:jc w:val="left"/>
              <w:rPr>
                <w:color w:val="000000"/>
                <w:sz w:val="21"/>
                <w:szCs w:val="21"/>
              </w:rPr>
            </w:pPr>
            <w:r>
              <w:rPr>
                <w:rFonts w:hint="eastAsia" w:cs="宋体"/>
                <w:color w:val="000000"/>
                <w:sz w:val="21"/>
                <w:szCs w:val="21"/>
              </w:rPr>
              <w:t>含</w:t>
            </w:r>
            <w:r>
              <w:rPr>
                <w:color w:val="000000"/>
                <w:sz w:val="21"/>
                <w:szCs w:val="21"/>
              </w:rPr>
              <w:t>COD</w:t>
            </w:r>
            <w:r>
              <w:rPr>
                <w:rFonts w:hint="eastAsia" w:cs="宋体"/>
                <w:color w:val="000000"/>
                <w:sz w:val="21"/>
                <w:szCs w:val="21"/>
              </w:rPr>
              <w:t>、氨氮、石油类等污水</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cantSplit/>
          <w:trHeight w:val="397" w:hRule="atLeast"/>
          <w:jc w:val="center"/>
        </w:trPr>
        <w:tc>
          <w:tcPr>
            <w:tcW w:w="953" w:type="dxa"/>
            <w:vMerge w:val="continue"/>
            <w:tcBorders>
              <w:top w:val="single" w:color="auto" w:sz="8" w:space="0"/>
              <w:left w:val="single" w:color="auto" w:sz="8" w:space="0"/>
              <w:bottom w:val="single" w:color="auto" w:sz="4" w:space="0"/>
              <w:right w:val="single" w:color="auto" w:sz="4" w:space="0"/>
            </w:tcBorders>
            <w:shd w:val="clear" w:color="auto" w:fill="auto"/>
            <w:vAlign w:val="center"/>
          </w:tcPr>
          <w:p>
            <w:pPr>
              <w:ind w:firstLine="420"/>
              <w:rPr>
                <w:rFonts w:ascii="Calibri" w:hAnsi="Calibri"/>
                <w:sz w:val="21"/>
              </w:rPr>
            </w:pPr>
          </w:p>
        </w:tc>
        <w:tc>
          <w:tcPr>
            <w:tcW w:w="1245" w:type="dxa"/>
            <w:tcBorders>
              <w:top w:val="single" w:color="auto" w:sz="4" w:space="0"/>
              <w:left w:val="single" w:color="auto" w:sz="4" w:space="0"/>
              <w:bottom w:val="single" w:color="auto" w:sz="4" w:space="0"/>
              <w:right w:val="single" w:color="auto" w:sz="4" w:space="0"/>
            </w:tcBorders>
            <w:shd w:val="clear" w:color="auto" w:fill="auto"/>
            <w:vAlign w:val="center"/>
          </w:tcPr>
          <w:p>
            <w:pPr>
              <w:adjustRightInd w:val="0"/>
              <w:snapToGrid w:val="0"/>
              <w:spacing w:line="320" w:lineRule="exact"/>
              <w:ind w:firstLine="0" w:firstLineChars="0"/>
              <w:jc w:val="left"/>
              <w:rPr>
                <w:color w:val="000000"/>
                <w:sz w:val="21"/>
                <w:szCs w:val="21"/>
              </w:rPr>
            </w:pPr>
            <w:r>
              <w:rPr>
                <w:rFonts w:hint="eastAsia" w:cs="宋体"/>
                <w:color w:val="000000"/>
                <w:sz w:val="21"/>
                <w:szCs w:val="21"/>
              </w:rPr>
              <w:t>事故说明</w:t>
            </w:r>
          </w:p>
        </w:tc>
        <w:tc>
          <w:tcPr>
            <w:tcW w:w="6307" w:type="dxa"/>
            <w:gridSpan w:val="4"/>
            <w:tcBorders>
              <w:top w:val="single" w:color="auto" w:sz="4" w:space="0"/>
              <w:left w:val="single" w:color="auto" w:sz="4" w:space="0"/>
              <w:bottom w:val="single" w:color="auto" w:sz="4" w:space="0"/>
              <w:right w:val="single" w:color="auto" w:sz="8" w:space="0"/>
            </w:tcBorders>
            <w:shd w:val="clear" w:color="auto" w:fill="auto"/>
            <w:vAlign w:val="center"/>
          </w:tcPr>
          <w:p>
            <w:pPr>
              <w:adjustRightInd w:val="0"/>
              <w:snapToGrid w:val="0"/>
              <w:spacing w:line="320" w:lineRule="exact"/>
              <w:ind w:firstLine="0" w:firstLineChars="0"/>
              <w:jc w:val="left"/>
              <w:rPr>
                <w:color w:val="000000"/>
                <w:sz w:val="21"/>
                <w:szCs w:val="21"/>
              </w:rPr>
            </w:pPr>
            <w:r>
              <w:rPr>
                <w:rFonts w:hint="eastAsia" w:cs="宋体"/>
                <w:color w:val="000000"/>
                <w:sz w:val="21"/>
                <w:szCs w:val="21"/>
              </w:rPr>
              <w:t>当岳阳市饮用水源保护区（铁山水库-北干渠-金凤水库）汇雨面积范围内发生强暴雨，可能造成固定环境风险源项的环境风险物质泄漏或非点源环境风险物质流失，进入岳阳市饮用水源保护区（铁山水库-北干渠-金凤水库）水质造成污染。</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cantSplit/>
          <w:trHeight w:val="397" w:hRule="atLeast"/>
          <w:jc w:val="center"/>
        </w:trPr>
        <w:tc>
          <w:tcPr>
            <w:tcW w:w="953" w:type="dxa"/>
            <w:tcBorders>
              <w:top w:val="single" w:color="auto" w:sz="4" w:space="0"/>
              <w:left w:val="single" w:color="auto" w:sz="8" w:space="0"/>
              <w:bottom w:val="single" w:color="auto" w:sz="4" w:space="0"/>
              <w:right w:val="single" w:color="auto" w:sz="4" w:space="0"/>
            </w:tcBorders>
            <w:shd w:val="clear" w:color="auto" w:fill="auto"/>
            <w:vAlign w:val="center"/>
          </w:tcPr>
          <w:p>
            <w:pPr>
              <w:adjustRightInd w:val="0"/>
              <w:snapToGrid w:val="0"/>
              <w:spacing w:line="320" w:lineRule="exact"/>
              <w:ind w:firstLine="0" w:firstLineChars="0"/>
              <w:jc w:val="center"/>
              <w:rPr>
                <w:b/>
                <w:color w:val="000000"/>
                <w:sz w:val="21"/>
                <w:szCs w:val="21"/>
              </w:rPr>
            </w:pPr>
            <w:r>
              <w:rPr>
                <w:rFonts w:hint="eastAsia" w:cs="宋体"/>
                <w:b/>
                <w:color w:val="000000"/>
                <w:sz w:val="21"/>
                <w:szCs w:val="21"/>
              </w:rPr>
              <w:t>应急</w:t>
            </w:r>
          </w:p>
          <w:p>
            <w:pPr>
              <w:adjustRightInd w:val="0"/>
              <w:snapToGrid w:val="0"/>
              <w:spacing w:line="320" w:lineRule="exact"/>
              <w:ind w:firstLine="0" w:firstLineChars="0"/>
              <w:jc w:val="center"/>
              <w:rPr>
                <w:b/>
                <w:color w:val="000000"/>
                <w:sz w:val="21"/>
                <w:szCs w:val="21"/>
              </w:rPr>
            </w:pPr>
            <w:r>
              <w:rPr>
                <w:rFonts w:hint="eastAsia" w:cs="宋体"/>
                <w:b/>
                <w:color w:val="000000"/>
                <w:sz w:val="21"/>
                <w:szCs w:val="21"/>
              </w:rPr>
              <w:t>程序</w:t>
            </w:r>
          </w:p>
        </w:tc>
        <w:tc>
          <w:tcPr>
            <w:tcW w:w="7552" w:type="dxa"/>
            <w:gridSpan w:val="5"/>
            <w:tcBorders>
              <w:top w:val="single" w:color="auto" w:sz="4" w:space="0"/>
              <w:left w:val="single" w:color="auto" w:sz="4" w:space="0"/>
              <w:bottom w:val="single" w:color="auto" w:sz="4" w:space="0"/>
              <w:right w:val="single" w:color="auto" w:sz="8" w:space="0"/>
            </w:tcBorders>
            <w:shd w:val="clear" w:color="auto" w:fill="auto"/>
          </w:tcPr>
          <w:p>
            <w:pPr>
              <w:adjustRightInd w:val="0"/>
              <w:snapToGrid w:val="0"/>
              <w:spacing w:line="320" w:lineRule="exact"/>
              <w:ind w:firstLine="0" w:firstLineChars="0"/>
              <w:jc w:val="left"/>
              <w:rPr>
                <w:color w:val="000000"/>
                <w:sz w:val="21"/>
                <w:szCs w:val="21"/>
              </w:rPr>
            </w:pPr>
            <w:r>
              <w:rPr>
                <w:rFonts w:hint="eastAsia" w:cs="宋体"/>
                <w:color w:val="000000"/>
                <w:sz w:val="21"/>
                <w:szCs w:val="21"/>
              </w:rPr>
              <w:t>事故责任单位负责人或发现人立即报告市铁山局，市铁山局立即赶赴现场指导事故先期处置工作，并判断事故等级情况；再根据事故的大小及发展态势向岳阳市饮用水源保护区（铁山水库-北干渠-金凤水库）突发环境事件应急指挥部报告，执行</w:t>
            </w:r>
            <w:r>
              <w:rPr>
                <w:color w:val="000000"/>
                <w:sz w:val="21"/>
                <w:szCs w:val="21"/>
              </w:rPr>
              <w:fldChar w:fldCharType="begin"/>
            </w:r>
            <w:r>
              <w:rPr>
                <w:color w:val="000000"/>
                <w:sz w:val="21"/>
                <w:szCs w:val="21"/>
              </w:rPr>
              <w:instrText xml:space="preserve"> = 3 \* ROMAN \* MERGEFORMAT </w:instrText>
            </w:r>
            <w:r>
              <w:rPr>
                <w:color w:val="000000"/>
                <w:sz w:val="21"/>
                <w:szCs w:val="21"/>
              </w:rPr>
              <w:fldChar w:fldCharType="separate"/>
            </w:r>
            <w:r>
              <w:rPr>
                <w:color w:val="000000"/>
                <w:sz w:val="21"/>
                <w:szCs w:val="21"/>
              </w:rPr>
              <w:t>II</w:t>
            </w:r>
            <w:r>
              <w:rPr>
                <w:color w:val="000000"/>
                <w:sz w:val="21"/>
                <w:szCs w:val="21"/>
              </w:rPr>
              <w:fldChar w:fldCharType="end"/>
            </w:r>
            <w:r>
              <w:rPr>
                <w:rFonts w:hint="eastAsia" w:cs="宋体"/>
                <w:color w:val="000000"/>
                <w:sz w:val="21"/>
                <w:szCs w:val="21"/>
              </w:rPr>
              <w:t>级响应程序。</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cantSplit/>
          <w:trHeight w:val="397" w:hRule="atLeast"/>
          <w:jc w:val="center"/>
        </w:trPr>
        <w:tc>
          <w:tcPr>
            <w:tcW w:w="953" w:type="dxa"/>
            <w:vMerge w:val="restart"/>
            <w:tcBorders>
              <w:top w:val="single" w:color="auto" w:sz="4" w:space="0"/>
              <w:left w:val="single" w:color="auto" w:sz="8" w:space="0"/>
              <w:bottom w:val="single" w:color="auto" w:sz="4" w:space="0"/>
              <w:right w:val="single" w:color="auto" w:sz="4" w:space="0"/>
            </w:tcBorders>
            <w:shd w:val="clear" w:color="auto" w:fill="auto"/>
            <w:vAlign w:val="center"/>
          </w:tcPr>
          <w:p>
            <w:pPr>
              <w:adjustRightInd w:val="0"/>
              <w:snapToGrid w:val="0"/>
              <w:spacing w:line="320" w:lineRule="exact"/>
              <w:ind w:firstLine="0" w:firstLineChars="0"/>
              <w:jc w:val="center"/>
              <w:rPr>
                <w:b/>
                <w:color w:val="000000"/>
                <w:sz w:val="21"/>
                <w:szCs w:val="21"/>
              </w:rPr>
            </w:pPr>
            <w:r>
              <w:rPr>
                <w:rFonts w:hint="eastAsia" w:cs="宋体"/>
                <w:b/>
                <w:color w:val="000000"/>
                <w:sz w:val="21"/>
                <w:szCs w:val="21"/>
              </w:rPr>
              <w:t>应急</w:t>
            </w:r>
          </w:p>
          <w:p>
            <w:pPr>
              <w:adjustRightInd w:val="0"/>
              <w:snapToGrid w:val="0"/>
              <w:spacing w:line="320" w:lineRule="exact"/>
              <w:ind w:firstLine="0" w:firstLineChars="0"/>
              <w:jc w:val="center"/>
              <w:rPr>
                <w:b/>
                <w:color w:val="000000"/>
                <w:sz w:val="21"/>
                <w:szCs w:val="21"/>
              </w:rPr>
            </w:pPr>
            <w:r>
              <w:rPr>
                <w:rFonts w:hint="eastAsia" w:cs="宋体"/>
                <w:b/>
                <w:color w:val="000000"/>
                <w:sz w:val="21"/>
                <w:szCs w:val="21"/>
              </w:rPr>
              <w:t>报告</w:t>
            </w:r>
          </w:p>
        </w:tc>
        <w:tc>
          <w:tcPr>
            <w:tcW w:w="2460" w:type="dxa"/>
            <w:gridSpan w:val="2"/>
            <w:tcBorders>
              <w:top w:val="single" w:color="auto" w:sz="4" w:space="0"/>
              <w:left w:val="single" w:color="auto" w:sz="4" w:space="0"/>
              <w:bottom w:val="single" w:color="auto" w:sz="4" w:space="0"/>
              <w:right w:val="single" w:color="auto" w:sz="4" w:space="0"/>
            </w:tcBorders>
            <w:shd w:val="clear" w:color="auto" w:fill="auto"/>
            <w:vAlign w:val="center"/>
          </w:tcPr>
          <w:p>
            <w:pPr>
              <w:adjustRightInd w:val="0"/>
              <w:snapToGrid w:val="0"/>
              <w:spacing w:line="320" w:lineRule="exact"/>
              <w:ind w:firstLine="0" w:firstLineChars="0"/>
              <w:jc w:val="center"/>
              <w:rPr>
                <w:color w:val="000000"/>
                <w:sz w:val="21"/>
                <w:szCs w:val="21"/>
              </w:rPr>
            </w:pPr>
            <w:r>
              <w:rPr>
                <w:rFonts w:hint="eastAsia" w:cs="宋体"/>
                <w:color w:val="000000"/>
                <w:sz w:val="21"/>
                <w:szCs w:val="21"/>
              </w:rPr>
              <w:t>报告内容</w:t>
            </w:r>
          </w:p>
        </w:tc>
        <w:tc>
          <w:tcPr>
            <w:tcW w:w="5092" w:type="dxa"/>
            <w:gridSpan w:val="3"/>
            <w:tcBorders>
              <w:top w:val="single" w:color="auto" w:sz="4" w:space="0"/>
              <w:left w:val="single" w:color="auto" w:sz="4" w:space="0"/>
              <w:bottom w:val="single" w:color="auto" w:sz="4" w:space="0"/>
              <w:right w:val="single" w:color="auto" w:sz="8" w:space="0"/>
            </w:tcBorders>
            <w:shd w:val="clear" w:color="auto" w:fill="auto"/>
            <w:vAlign w:val="center"/>
          </w:tcPr>
          <w:p>
            <w:pPr>
              <w:adjustRightInd w:val="0"/>
              <w:snapToGrid w:val="0"/>
              <w:spacing w:line="320" w:lineRule="exact"/>
              <w:ind w:firstLine="0" w:firstLineChars="0"/>
              <w:jc w:val="center"/>
              <w:rPr>
                <w:color w:val="000000"/>
                <w:sz w:val="21"/>
                <w:szCs w:val="21"/>
              </w:rPr>
            </w:pPr>
            <w:r>
              <w:rPr>
                <w:rFonts w:hint="eastAsia" w:cs="宋体"/>
                <w:color w:val="000000"/>
                <w:sz w:val="21"/>
                <w:szCs w:val="21"/>
              </w:rPr>
              <w:t>事故发生地点、主要风险物质、处置及扩散情况等</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cantSplit/>
          <w:trHeight w:val="397" w:hRule="atLeast"/>
          <w:jc w:val="center"/>
        </w:trPr>
        <w:tc>
          <w:tcPr>
            <w:tcW w:w="953" w:type="dxa"/>
            <w:vMerge w:val="continue"/>
            <w:tcBorders>
              <w:top w:val="single" w:color="auto" w:sz="4" w:space="0"/>
              <w:left w:val="single" w:color="auto" w:sz="8" w:space="0"/>
              <w:bottom w:val="single" w:color="auto" w:sz="4" w:space="0"/>
              <w:right w:val="single" w:color="auto" w:sz="4" w:space="0"/>
            </w:tcBorders>
            <w:shd w:val="clear" w:color="auto" w:fill="auto"/>
            <w:vAlign w:val="center"/>
          </w:tcPr>
          <w:p>
            <w:pPr>
              <w:ind w:firstLine="420"/>
              <w:rPr>
                <w:rFonts w:ascii="Calibri" w:hAnsi="Calibri"/>
                <w:sz w:val="21"/>
              </w:rPr>
            </w:pPr>
          </w:p>
        </w:tc>
        <w:tc>
          <w:tcPr>
            <w:tcW w:w="2460" w:type="dxa"/>
            <w:gridSpan w:val="2"/>
            <w:tcBorders>
              <w:top w:val="single" w:color="auto" w:sz="4" w:space="0"/>
              <w:left w:val="single" w:color="auto" w:sz="4" w:space="0"/>
              <w:bottom w:val="single" w:color="auto" w:sz="4" w:space="0"/>
              <w:right w:val="single" w:color="auto" w:sz="4" w:space="0"/>
            </w:tcBorders>
            <w:shd w:val="clear" w:color="auto" w:fill="auto"/>
            <w:vAlign w:val="center"/>
          </w:tcPr>
          <w:p>
            <w:pPr>
              <w:adjustRightInd w:val="0"/>
              <w:snapToGrid w:val="0"/>
              <w:spacing w:line="320" w:lineRule="exact"/>
              <w:ind w:firstLine="0" w:firstLineChars="0"/>
              <w:jc w:val="center"/>
              <w:rPr>
                <w:b/>
                <w:color w:val="000000"/>
                <w:sz w:val="21"/>
                <w:szCs w:val="21"/>
                <w:u w:val="single"/>
                <w:lang w:val="zh-CN"/>
              </w:rPr>
            </w:pPr>
            <w:r>
              <w:rPr>
                <w:rFonts w:hint="eastAsia" w:cs="宋体"/>
                <w:color w:val="000000"/>
                <w:sz w:val="21"/>
                <w:szCs w:val="21"/>
                <w:u w:val="single"/>
              </w:rPr>
              <w:t>岳阳市饮用水源保护区（铁山水库-北干渠-金凤水库）应急指挥部</w:t>
            </w:r>
          </w:p>
        </w:tc>
        <w:tc>
          <w:tcPr>
            <w:tcW w:w="1635" w:type="dxa"/>
            <w:tcBorders>
              <w:top w:val="single" w:color="auto" w:sz="4" w:space="0"/>
              <w:left w:val="single" w:color="auto" w:sz="4" w:space="0"/>
              <w:bottom w:val="single" w:color="auto" w:sz="4" w:space="0"/>
              <w:right w:val="single" w:color="auto" w:sz="4" w:space="0"/>
            </w:tcBorders>
            <w:shd w:val="clear" w:color="auto" w:fill="auto"/>
            <w:vAlign w:val="center"/>
          </w:tcPr>
          <w:p>
            <w:pPr>
              <w:adjustRightInd w:val="0"/>
              <w:snapToGrid w:val="0"/>
              <w:spacing w:line="340" w:lineRule="exact"/>
              <w:ind w:firstLine="0" w:firstLineChars="0"/>
              <w:jc w:val="center"/>
              <w:rPr>
                <w:b/>
                <w:color w:val="000000"/>
                <w:sz w:val="21"/>
                <w:szCs w:val="21"/>
                <w:u w:val="single"/>
                <w:lang w:val="zh-CN"/>
              </w:rPr>
            </w:pPr>
            <w:r>
              <w:rPr>
                <w:sz w:val="21"/>
                <w:szCs w:val="21"/>
                <w:u w:val="single"/>
              </w:rPr>
              <w:t>8611558</w:t>
            </w:r>
          </w:p>
        </w:tc>
        <w:tc>
          <w:tcPr>
            <w:tcW w:w="1530" w:type="dxa"/>
            <w:tcBorders>
              <w:top w:val="single" w:color="auto" w:sz="4" w:space="0"/>
              <w:left w:val="single" w:color="auto" w:sz="4" w:space="0"/>
              <w:bottom w:val="single" w:color="auto" w:sz="4" w:space="0"/>
              <w:right w:val="single" w:color="auto" w:sz="4" w:space="0"/>
            </w:tcBorders>
            <w:shd w:val="clear" w:color="auto" w:fill="auto"/>
            <w:vAlign w:val="center"/>
          </w:tcPr>
          <w:p>
            <w:pPr>
              <w:adjustRightInd w:val="0"/>
              <w:snapToGrid w:val="0"/>
              <w:spacing w:line="320" w:lineRule="exact"/>
              <w:ind w:firstLine="0" w:firstLineChars="0"/>
              <w:jc w:val="center"/>
              <w:rPr>
                <w:color w:val="000000"/>
                <w:sz w:val="21"/>
                <w:szCs w:val="21"/>
                <w:u w:val="single"/>
              </w:rPr>
            </w:pPr>
            <w:r>
              <w:rPr>
                <w:rFonts w:hint="eastAsia" w:cs="宋体"/>
                <w:color w:val="000000"/>
                <w:sz w:val="21"/>
                <w:szCs w:val="21"/>
                <w:u w:val="single"/>
              </w:rPr>
              <w:t>市环境应急办</w:t>
            </w:r>
          </w:p>
        </w:tc>
        <w:tc>
          <w:tcPr>
            <w:tcW w:w="1927" w:type="dxa"/>
            <w:tcBorders>
              <w:top w:val="single" w:color="auto" w:sz="4" w:space="0"/>
              <w:left w:val="single" w:color="auto" w:sz="4" w:space="0"/>
              <w:bottom w:val="single" w:color="auto" w:sz="4" w:space="0"/>
              <w:right w:val="single" w:color="auto" w:sz="8" w:space="0"/>
            </w:tcBorders>
            <w:shd w:val="clear" w:color="auto" w:fill="auto"/>
            <w:vAlign w:val="center"/>
          </w:tcPr>
          <w:p>
            <w:pPr>
              <w:adjustRightInd w:val="0"/>
              <w:snapToGrid w:val="0"/>
              <w:spacing w:line="320" w:lineRule="exact"/>
              <w:ind w:firstLine="0" w:firstLineChars="0"/>
              <w:jc w:val="center"/>
              <w:rPr>
                <w:color w:val="000000"/>
                <w:sz w:val="21"/>
                <w:szCs w:val="21"/>
                <w:u w:val="single"/>
              </w:rPr>
            </w:pPr>
            <w:r>
              <w:rPr>
                <w:sz w:val="21"/>
                <w:szCs w:val="21"/>
                <w:u w:val="single"/>
              </w:rPr>
              <w:t>8879800</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cantSplit/>
          <w:trHeight w:val="397" w:hRule="atLeast"/>
          <w:jc w:val="center"/>
        </w:trPr>
        <w:tc>
          <w:tcPr>
            <w:tcW w:w="953" w:type="dxa"/>
            <w:tcBorders>
              <w:top w:val="single" w:color="auto" w:sz="4" w:space="0"/>
              <w:left w:val="single" w:color="auto" w:sz="8" w:space="0"/>
              <w:bottom w:val="single" w:color="auto" w:sz="4" w:space="0"/>
              <w:right w:val="single" w:color="auto" w:sz="4" w:space="0"/>
            </w:tcBorders>
            <w:shd w:val="clear" w:color="auto" w:fill="auto"/>
            <w:vAlign w:val="center"/>
          </w:tcPr>
          <w:p>
            <w:pPr>
              <w:adjustRightInd w:val="0"/>
              <w:snapToGrid w:val="0"/>
              <w:spacing w:line="320" w:lineRule="exact"/>
              <w:ind w:firstLine="0" w:firstLineChars="0"/>
              <w:jc w:val="center"/>
              <w:rPr>
                <w:b/>
                <w:color w:val="000000"/>
                <w:sz w:val="21"/>
                <w:szCs w:val="21"/>
              </w:rPr>
            </w:pPr>
            <w:r>
              <w:rPr>
                <w:rFonts w:hint="eastAsia" w:cs="宋体"/>
                <w:b/>
                <w:color w:val="000000"/>
                <w:sz w:val="21"/>
                <w:szCs w:val="21"/>
              </w:rPr>
              <w:t>应急责</w:t>
            </w:r>
          </w:p>
          <w:p>
            <w:pPr>
              <w:adjustRightInd w:val="0"/>
              <w:snapToGrid w:val="0"/>
              <w:spacing w:line="320" w:lineRule="exact"/>
              <w:ind w:firstLine="0" w:firstLineChars="0"/>
              <w:jc w:val="center"/>
              <w:rPr>
                <w:b/>
                <w:color w:val="000000"/>
                <w:sz w:val="21"/>
                <w:szCs w:val="21"/>
              </w:rPr>
            </w:pPr>
            <w:r>
              <w:rPr>
                <w:rFonts w:hint="eastAsia" w:cs="宋体"/>
                <w:b/>
                <w:color w:val="000000"/>
                <w:sz w:val="21"/>
                <w:szCs w:val="21"/>
              </w:rPr>
              <w:t>任单位</w:t>
            </w:r>
          </w:p>
        </w:tc>
        <w:tc>
          <w:tcPr>
            <w:tcW w:w="7552" w:type="dxa"/>
            <w:gridSpan w:val="5"/>
            <w:tcBorders>
              <w:top w:val="single" w:color="auto" w:sz="4" w:space="0"/>
              <w:left w:val="single" w:color="auto" w:sz="4" w:space="0"/>
              <w:bottom w:val="single" w:color="auto" w:sz="4" w:space="0"/>
              <w:right w:val="single" w:color="auto" w:sz="8" w:space="0"/>
            </w:tcBorders>
            <w:shd w:val="clear" w:color="auto" w:fill="auto"/>
            <w:vAlign w:val="center"/>
          </w:tcPr>
          <w:p>
            <w:pPr>
              <w:adjustRightInd w:val="0"/>
              <w:snapToGrid w:val="0"/>
              <w:spacing w:line="320" w:lineRule="exact"/>
              <w:ind w:firstLine="0" w:firstLineChars="0"/>
              <w:jc w:val="left"/>
              <w:rPr>
                <w:color w:val="000000"/>
                <w:sz w:val="21"/>
                <w:szCs w:val="21"/>
              </w:rPr>
            </w:pPr>
            <w:r>
              <w:rPr>
                <w:rFonts w:hint="eastAsia" w:ascii="宋体" w:hAnsi="宋体" w:cs="宋体"/>
                <w:color w:val="000000"/>
                <w:sz w:val="21"/>
                <w:szCs w:val="21"/>
              </w:rPr>
              <w:t>事故责任单位、事发地人民政府、事发地环保局、岳阳市饮用水源保护区（铁山水库-北干渠-金凤水库）应急指挥部、岳阳市自来水公司、市铁山局等</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cantSplit/>
          <w:trHeight w:val="397" w:hRule="atLeast"/>
          <w:jc w:val="center"/>
        </w:trPr>
        <w:tc>
          <w:tcPr>
            <w:tcW w:w="953" w:type="dxa"/>
            <w:tcBorders>
              <w:top w:val="single" w:color="auto" w:sz="4" w:space="0"/>
              <w:left w:val="single" w:color="auto" w:sz="8" w:space="0"/>
              <w:bottom w:val="single" w:color="auto" w:sz="8" w:space="0"/>
              <w:right w:val="single" w:color="auto" w:sz="4" w:space="0"/>
            </w:tcBorders>
            <w:shd w:val="clear" w:color="auto" w:fill="auto"/>
            <w:vAlign w:val="center"/>
          </w:tcPr>
          <w:p>
            <w:pPr>
              <w:adjustRightInd w:val="0"/>
              <w:snapToGrid w:val="0"/>
              <w:spacing w:line="320" w:lineRule="exact"/>
              <w:ind w:firstLine="0" w:firstLineChars="0"/>
              <w:jc w:val="center"/>
              <w:rPr>
                <w:b/>
                <w:color w:val="000000"/>
                <w:sz w:val="21"/>
                <w:szCs w:val="21"/>
              </w:rPr>
            </w:pPr>
            <w:r>
              <w:rPr>
                <w:rFonts w:hint="eastAsia" w:cs="宋体"/>
                <w:b/>
                <w:color w:val="000000"/>
                <w:sz w:val="21"/>
                <w:szCs w:val="21"/>
              </w:rPr>
              <w:t>应急处</w:t>
            </w:r>
          </w:p>
          <w:p>
            <w:pPr>
              <w:adjustRightInd w:val="0"/>
              <w:snapToGrid w:val="0"/>
              <w:spacing w:line="320" w:lineRule="exact"/>
              <w:ind w:firstLine="0" w:firstLineChars="0"/>
              <w:jc w:val="center"/>
              <w:rPr>
                <w:b/>
                <w:color w:val="000000"/>
                <w:sz w:val="21"/>
                <w:szCs w:val="21"/>
              </w:rPr>
            </w:pPr>
            <w:r>
              <w:rPr>
                <w:rFonts w:hint="eastAsia" w:cs="宋体"/>
                <w:b/>
                <w:color w:val="000000"/>
                <w:sz w:val="21"/>
                <w:szCs w:val="21"/>
              </w:rPr>
              <w:t>置措施</w:t>
            </w:r>
          </w:p>
        </w:tc>
        <w:tc>
          <w:tcPr>
            <w:tcW w:w="7552" w:type="dxa"/>
            <w:gridSpan w:val="5"/>
            <w:tcBorders>
              <w:top w:val="single" w:color="auto" w:sz="4" w:space="0"/>
              <w:left w:val="single" w:color="auto" w:sz="4" w:space="0"/>
              <w:bottom w:val="single" w:color="auto" w:sz="8" w:space="0"/>
              <w:right w:val="single" w:color="auto" w:sz="8" w:space="0"/>
            </w:tcBorders>
            <w:shd w:val="clear" w:color="auto" w:fill="auto"/>
          </w:tcPr>
          <w:p>
            <w:pPr>
              <w:adjustRightInd w:val="0"/>
              <w:snapToGrid w:val="0"/>
              <w:spacing w:line="320" w:lineRule="exact"/>
              <w:ind w:firstLine="0" w:firstLineChars="0"/>
              <w:jc w:val="left"/>
              <w:rPr>
                <w:color w:val="000000"/>
                <w:sz w:val="21"/>
                <w:szCs w:val="21"/>
              </w:rPr>
            </w:pPr>
            <w:r>
              <w:rPr>
                <w:color w:val="000000"/>
                <w:sz w:val="21"/>
                <w:szCs w:val="21"/>
              </w:rPr>
              <w:t xml:space="preserve"> </w:t>
            </w:r>
            <w:r>
              <w:rPr>
                <w:rFonts w:hint="eastAsia" w:cs="宋体"/>
                <w:color w:val="000000"/>
                <w:sz w:val="21"/>
                <w:szCs w:val="21"/>
              </w:rPr>
              <w:t>暴雨时造成固定环境风险源单位的风险物质泄漏，事发责任单位启动本单位的应急预案，力争将环境风险物质控制在本单位内、不流入外环境；若环境风险物质已经流出饮用水水源保护区范围，向岳阳市饮用水源保护区（铁山水库-北干渠-金凤水库）扩散，则启动岳阳市饮用水源保护区（铁山水库-北干渠-金凤水库）突发环境事件应急预案，并按照</w:t>
            </w:r>
            <w:r>
              <w:rPr>
                <w:color w:val="000000"/>
                <w:sz w:val="21"/>
                <w:szCs w:val="21"/>
              </w:rPr>
              <w:fldChar w:fldCharType="begin"/>
            </w:r>
            <w:r>
              <w:rPr>
                <w:color w:val="000000"/>
                <w:sz w:val="21"/>
                <w:szCs w:val="21"/>
              </w:rPr>
              <w:instrText xml:space="preserve"> = 3 \* ROMAN \* MERGEFORMAT </w:instrText>
            </w:r>
            <w:r>
              <w:rPr>
                <w:color w:val="000000"/>
                <w:sz w:val="21"/>
                <w:szCs w:val="21"/>
              </w:rPr>
              <w:fldChar w:fldCharType="separate"/>
            </w:r>
            <w:r>
              <w:rPr>
                <w:color w:val="000000"/>
                <w:sz w:val="21"/>
                <w:szCs w:val="21"/>
              </w:rPr>
              <w:t>II</w:t>
            </w:r>
            <w:r>
              <w:rPr>
                <w:color w:val="000000"/>
                <w:sz w:val="21"/>
                <w:szCs w:val="21"/>
              </w:rPr>
              <w:fldChar w:fldCharType="end"/>
            </w:r>
            <w:r>
              <w:rPr>
                <w:rFonts w:hint="eastAsia" w:cs="宋体"/>
                <w:color w:val="000000"/>
                <w:sz w:val="21"/>
                <w:szCs w:val="21"/>
              </w:rPr>
              <w:t>级响应执行；</w:t>
            </w:r>
          </w:p>
          <w:p>
            <w:pPr>
              <w:adjustRightInd w:val="0"/>
              <w:snapToGrid w:val="0"/>
              <w:spacing w:line="320" w:lineRule="exact"/>
              <w:ind w:firstLine="0" w:firstLineChars="0"/>
              <w:jc w:val="left"/>
              <w:rPr>
                <w:color w:val="000000"/>
                <w:sz w:val="21"/>
                <w:szCs w:val="21"/>
              </w:rPr>
            </w:pPr>
            <w:r>
              <w:rPr>
                <w:rFonts w:hint="eastAsia" w:cs="宋体"/>
                <w:color w:val="000000"/>
                <w:sz w:val="21"/>
                <w:szCs w:val="21"/>
              </w:rPr>
              <w:t>（</w:t>
            </w:r>
            <w:r>
              <w:rPr>
                <w:color w:val="000000"/>
                <w:sz w:val="21"/>
                <w:szCs w:val="21"/>
              </w:rPr>
              <w:t>1</w:t>
            </w:r>
            <w:r>
              <w:rPr>
                <w:rFonts w:hint="eastAsia" w:cs="宋体"/>
                <w:color w:val="000000"/>
                <w:sz w:val="21"/>
                <w:szCs w:val="21"/>
              </w:rPr>
              <w:t>）截源</w:t>
            </w:r>
            <w:r>
              <w:rPr>
                <w:color w:val="000000"/>
                <w:sz w:val="21"/>
                <w:szCs w:val="21"/>
              </w:rPr>
              <w:t xml:space="preserve">  </w:t>
            </w:r>
            <w:r>
              <w:rPr>
                <w:rFonts w:hint="eastAsia" w:cs="宋体"/>
                <w:color w:val="000000"/>
                <w:sz w:val="21"/>
                <w:szCs w:val="21"/>
              </w:rPr>
              <w:t>污染控制小组可根据外流风险物质的种类在可能影响的流域采取以下截流措施：</w:t>
            </w:r>
          </w:p>
          <w:p>
            <w:pPr>
              <w:adjustRightInd w:val="0"/>
              <w:snapToGrid w:val="0"/>
              <w:spacing w:line="320" w:lineRule="exact"/>
              <w:ind w:firstLine="0" w:firstLineChars="0"/>
              <w:jc w:val="left"/>
              <w:rPr>
                <w:color w:val="000000"/>
                <w:sz w:val="21"/>
                <w:szCs w:val="21"/>
              </w:rPr>
            </w:pPr>
            <w:r>
              <w:rPr>
                <w:color w:val="000000"/>
                <w:sz w:val="21"/>
                <w:szCs w:val="21"/>
              </w:rPr>
              <w:fldChar w:fldCharType="begin"/>
            </w:r>
            <w:r>
              <w:rPr>
                <w:color w:val="000000"/>
                <w:sz w:val="21"/>
                <w:szCs w:val="21"/>
              </w:rPr>
              <w:instrText xml:space="preserve"> = 1 \* GB3 \* MERGEFORMAT </w:instrText>
            </w:r>
            <w:r>
              <w:rPr>
                <w:color w:val="000000"/>
                <w:sz w:val="21"/>
                <w:szCs w:val="21"/>
              </w:rPr>
              <w:fldChar w:fldCharType="separate"/>
            </w:r>
            <w:r>
              <w:rPr>
                <w:rFonts w:hint="eastAsia" w:cs="宋体"/>
                <w:color w:val="000000"/>
                <w:sz w:val="21"/>
                <w:szCs w:val="21"/>
              </w:rPr>
              <w:t>①</w:t>
            </w:r>
            <w:r>
              <w:rPr>
                <w:color w:val="000000"/>
                <w:sz w:val="21"/>
                <w:szCs w:val="21"/>
              </w:rPr>
              <w:fldChar w:fldCharType="end"/>
            </w:r>
            <w:r>
              <w:rPr>
                <w:rFonts w:hint="eastAsia" w:cs="宋体"/>
                <w:color w:val="000000"/>
                <w:sz w:val="21"/>
                <w:szCs w:val="21"/>
              </w:rPr>
              <w:t>含金属污水可以投放生石灰和硫化钠；</w:t>
            </w:r>
          </w:p>
          <w:p>
            <w:pPr>
              <w:adjustRightInd w:val="0"/>
              <w:snapToGrid w:val="0"/>
              <w:spacing w:line="320" w:lineRule="exact"/>
              <w:ind w:firstLine="0" w:firstLineChars="0"/>
              <w:jc w:val="left"/>
              <w:rPr>
                <w:color w:val="000000"/>
                <w:sz w:val="21"/>
                <w:szCs w:val="21"/>
              </w:rPr>
            </w:pPr>
            <w:r>
              <w:rPr>
                <w:color w:val="000000"/>
                <w:sz w:val="21"/>
                <w:szCs w:val="21"/>
              </w:rPr>
              <w:fldChar w:fldCharType="begin"/>
            </w:r>
            <w:r>
              <w:rPr>
                <w:color w:val="000000"/>
                <w:sz w:val="21"/>
                <w:szCs w:val="21"/>
              </w:rPr>
              <w:instrText xml:space="preserve"> = 2 \* GB3 \* MERGEFORMAT </w:instrText>
            </w:r>
            <w:r>
              <w:rPr>
                <w:color w:val="000000"/>
                <w:sz w:val="21"/>
                <w:szCs w:val="21"/>
              </w:rPr>
              <w:fldChar w:fldCharType="separate"/>
            </w:r>
            <w:r>
              <w:rPr>
                <w:rFonts w:hint="eastAsia" w:cs="宋体"/>
                <w:color w:val="000000"/>
                <w:sz w:val="21"/>
                <w:szCs w:val="21"/>
              </w:rPr>
              <w:t>②</w:t>
            </w:r>
            <w:r>
              <w:rPr>
                <w:color w:val="000000"/>
                <w:sz w:val="21"/>
                <w:szCs w:val="21"/>
              </w:rPr>
              <w:fldChar w:fldCharType="end"/>
            </w:r>
            <w:r>
              <w:rPr>
                <w:rFonts w:hint="eastAsia" w:cs="宋体"/>
                <w:color w:val="000000"/>
                <w:sz w:val="21"/>
                <w:szCs w:val="21"/>
              </w:rPr>
              <w:t>含油污水（油品泄漏）可设置拦油索、投放干稻草；</w:t>
            </w:r>
          </w:p>
          <w:p>
            <w:pPr>
              <w:adjustRightInd w:val="0"/>
              <w:snapToGrid w:val="0"/>
              <w:spacing w:line="320" w:lineRule="exact"/>
              <w:ind w:firstLine="0" w:firstLineChars="0"/>
              <w:jc w:val="left"/>
              <w:rPr>
                <w:color w:val="000000"/>
                <w:sz w:val="21"/>
                <w:szCs w:val="21"/>
              </w:rPr>
            </w:pPr>
            <w:r>
              <w:rPr>
                <w:color w:val="000000"/>
                <w:sz w:val="21"/>
                <w:szCs w:val="21"/>
              </w:rPr>
              <w:fldChar w:fldCharType="begin"/>
            </w:r>
            <w:r>
              <w:rPr>
                <w:color w:val="000000"/>
                <w:sz w:val="21"/>
                <w:szCs w:val="21"/>
              </w:rPr>
              <w:instrText xml:space="preserve"> = 3 \* GB3 \* MERGEFORMAT </w:instrText>
            </w:r>
            <w:r>
              <w:rPr>
                <w:color w:val="000000"/>
                <w:sz w:val="21"/>
                <w:szCs w:val="21"/>
              </w:rPr>
              <w:fldChar w:fldCharType="separate"/>
            </w:r>
            <w:r>
              <w:rPr>
                <w:rFonts w:hint="eastAsia" w:cs="宋体"/>
                <w:color w:val="000000"/>
                <w:sz w:val="21"/>
                <w:szCs w:val="21"/>
              </w:rPr>
              <w:t>③</w:t>
            </w:r>
            <w:r>
              <w:rPr>
                <w:color w:val="000000"/>
                <w:sz w:val="21"/>
                <w:szCs w:val="21"/>
              </w:rPr>
              <w:fldChar w:fldCharType="end"/>
            </w:r>
            <w:r>
              <w:rPr>
                <w:rFonts w:hint="eastAsia" w:cs="宋体"/>
                <w:color w:val="000000"/>
                <w:sz w:val="21"/>
                <w:szCs w:val="21"/>
              </w:rPr>
              <w:t>在岳阳市饮用水源保护区（铁山水库-北干渠-金凤水库）适当位置构筑拦截坝、滞污塘等。</w:t>
            </w:r>
          </w:p>
          <w:p>
            <w:pPr>
              <w:adjustRightInd w:val="0"/>
              <w:snapToGrid w:val="0"/>
              <w:spacing w:line="320" w:lineRule="exact"/>
              <w:ind w:firstLine="0" w:firstLineChars="0"/>
              <w:jc w:val="left"/>
              <w:rPr>
                <w:color w:val="000000"/>
                <w:sz w:val="21"/>
                <w:szCs w:val="21"/>
              </w:rPr>
            </w:pPr>
            <w:r>
              <w:rPr>
                <w:rFonts w:hint="eastAsia" w:cs="宋体"/>
                <w:color w:val="000000"/>
                <w:sz w:val="21"/>
                <w:szCs w:val="21"/>
              </w:rPr>
              <w:t>（</w:t>
            </w:r>
            <w:r>
              <w:rPr>
                <w:color w:val="000000"/>
                <w:sz w:val="21"/>
                <w:szCs w:val="21"/>
              </w:rPr>
              <w:t>2</w:t>
            </w:r>
            <w:r>
              <w:rPr>
                <w:rFonts w:hint="eastAsia" w:cs="宋体"/>
                <w:color w:val="000000"/>
                <w:sz w:val="21"/>
                <w:szCs w:val="21"/>
              </w:rPr>
              <w:t>）救护</w:t>
            </w:r>
            <w:r>
              <w:rPr>
                <w:color w:val="000000"/>
                <w:sz w:val="21"/>
                <w:szCs w:val="21"/>
              </w:rPr>
              <w:t xml:space="preserve">  </w:t>
            </w:r>
            <w:r>
              <w:rPr>
                <w:rFonts w:hint="eastAsia" w:cs="宋体"/>
                <w:color w:val="000000"/>
                <w:sz w:val="21"/>
                <w:szCs w:val="21"/>
              </w:rPr>
              <w:t>医疗救治小组负责组织救治受伤害人员；</w:t>
            </w:r>
          </w:p>
          <w:p>
            <w:pPr>
              <w:adjustRightInd w:val="0"/>
              <w:snapToGrid w:val="0"/>
              <w:spacing w:line="320" w:lineRule="exact"/>
              <w:ind w:firstLine="0" w:firstLineChars="0"/>
              <w:jc w:val="left"/>
              <w:rPr>
                <w:color w:val="000000"/>
                <w:sz w:val="21"/>
                <w:szCs w:val="21"/>
              </w:rPr>
            </w:pPr>
            <w:r>
              <w:rPr>
                <w:rFonts w:hint="eastAsia" w:cs="宋体"/>
                <w:color w:val="000000"/>
                <w:sz w:val="21"/>
                <w:szCs w:val="21"/>
              </w:rPr>
              <w:t>（</w:t>
            </w:r>
            <w:r>
              <w:rPr>
                <w:color w:val="000000"/>
                <w:sz w:val="21"/>
                <w:szCs w:val="21"/>
              </w:rPr>
              <w:t>3</w:t>
            </w:r>
            <w:r>
              <w:rPr>
                <w:rFonts w:hint="eastAsia" w:cs="宋体"/>
                <w:color w:val="000000"/>
                <w:sz w:val="21"/>
                <w:szCs w:val="21"/>
              </w:rPr>
              <w:t>）监测</w:t>
            </w:r>
            <w:r>
              <w:rPr>
                <w:color w:val="000000"/>
                <w:sz w:val="21"/>
                <w:szCs w:val="21"/>
              </w:rPr>
              <w:t xml:space="preserve">  </w:t>
            </w:r>
            <w:r>
              <w:rPr>
                <w:rFonts w:hint="eastAsia" w:cs="宋体"/>
                <w:color w:val="000000"/>
                <w:sz w:val="21"/>
                <w:szCs w:val="21"/>
              </w:rPr>
              <w:t>应急监测小组在岳阳市饮用水源保护区（铁山水库-北干渠-金凤水库）一级保护区、二级保护区等断面中超标断面处及水厂、岳阳市饮用水源保护区（铁山水库-北干渠-金凤水库）引水工程取水口等位置布点监测，监测因子为</w:t>
            </w:r>
            <w:r>
              <w:rPr>
                <w:rFonts w:hint="eastAsia" w:ascii="宋体" w:hAnsi="宋体" w:cs="宋体"/>
                <w:sz w:val="21"/>
                <w:szCs w:val="21"/>
              </w:rPr>
              <w:t>COD、氨氮、石油类等</w:t>
            </w:r>
            <w:r>
              <w:rPr>
                <w:rFonts w:hint="eastAsia" w:cs="宋体"/>
                <w:color w:val="000000"/>
                <w:sz w:val="21"/>
                <w:szCs w:val="21"/>
              </w:rPr>
              <w:t>；</w:t>
            </w:r>
          </w:p>
          <w:p>
            <w:pPr>
              <w:adjustRightInd w:val="0"/>
              <w:snapToGrid w:val="0"/>
              <w:spacing w:line="320" w:lineRule="exact"/>
              <w:ind w:firstLine="0" w:firstLineChars="0"/>
              <w:jc w:val="left"/>
              <w:rPr>
                <w:color w:val="000000"/>
                <w:sz w:val="21"/>
                <w:szCs w:val="21"/>
              </w:rPr>
            </w:pPr>
            <w:r>
              <w:rPr>
                <w:rFonts w:hint="eastAsia" w:cs="宋体"/>
                <w:color w:val="000000"/>
                <w:sz w:val="21"/>
                <w:szCs w:val="21"/>
              </w:rPr>
              <w:t>（</w:t>
            </w:r>
            <w:r>
              <w:rPr>
                <w:color w:val="000000"/>
                <w:sz w:val="21"/>
                <w:szCs w:val="21"/>
              </w:rPr>
              <w:t>4</w:t>
            </w:r>
            <w:r>
              <w:rPr>
                <w:rFonts w:hint="eastAsia" w:cs="宋体"/>
                <w:color w:val="000000"/>
                <w:sz w:val="21"/>
                <w:szCs w:val="21"/>
              </w:rPr>
              <w:t>）协调</w:t>
            </w:r>
            <w:r>
              <w:rPr>
                <w:color w:val="000000"/>
                <w:sz w:val="21"/>
                <w:szCs w:val="21"/>
              </w:rPr>
              <w:t xml:space="preserve">  </w:t>
            </w:r>
            <w:r>
              <w:rPr>
                <w:rFonts w:hint="eastAsia" w:cs="宋体"/>
                <w:color w:val="000000"/>
                <w:sz w:val="21"/>
                <w:szCs w:val="21"/>
              </w:rPr>
              <w:t>综合协调小组及时告知水厂，增加取水水质监测频次，密切关注出水水质情况，并将进出水水质异常情况报告岳阳市饮用水源保护区（铁山水库-北干渠-金凤水库）应急指挥部；</w:t>
            </w:r>
          </w:p>
          <w:p>
            <w:pPr>
              <w:adjustRightInd w:val="0"/>
              <w:snapToGrid w:val="0"/>
              <w:spacing w:line="320" w:lineRule="exact"/>
              <w:ind w:firstLine="0" w:firstLineChars="0"/>
              <w:jc w:val="left"/>
              <w:rPr>
                <w:color w:val="000000"/>
                <w:sz w:val="21"/>
                <w:szCs w:val="21"/>
              </w:rPr>
            </w:pPr>
            <w:r>
              <w:rPr>
                <w:rFonts w:hint="eastAsia" w:cs="宋体"/>
                <w:color w:val="000000"/>
                <w:sz w:val="21"/>
                <w:szCs w:val="21"/>
              </w:rPr>
              <w:t>（</w:t>
            </w:r>
            <w:r>
              <w:rPr>
                <w:color w:val="000000"/>
                <w:sz w:val="21"/>
                <w:szCs w:val="21"/>
              </w:rPr>
              <w:t>5</w:t>
            </w:r>
            <w:r>
              <w:rPr>
                <w:rFonts w:hint="eastAsia" w:cs="宋体"/>
                <w:color w:val="000000"/>
                <w:sz w:val="21"/>
                <w:szCs w:val="21"/>
              </w:rPr>
              <w:t>）善后</w:t>
            </w:r>
            <w:r>
              <w:rPr>
                <w:color w:val="000000"/>
                <w:sz w:val="21"/>
                <w:szCs w:val="21"/>
              </w:rPr>
              <w:t xml:space="preserve">  </w:t>
            </w:r>
            <w:r>
              <w:rPr>
                <w:rFonts w:hint="eastAsia" w:cs="宋体"/>
                <w:color w:val="000000"/>
                <w:sz w:val="21"/>
                <w:szCs w:val="21"/>
              </w:rPr>
              <w:t>善后处理小组负责做好饮用水正常供水保障工作，负责与其他相关单位联系。</w:t>
            </w:r>
          </w:p>
          <w:p>
            <w:pPr>
              <w:adjustRightInd w:val="0"/>
              <w:snapToGrid w:val="0"/>
              <w:spacing w:line="320" w:lineRule="exact"/>
              <w:ind w:firstLine="0" w:firstLineChars="0"/>
              <w:jc w:val="left"/>
              <w:rPr>
                <w:color w:val="000000"/>
                <w:sz w:val="21"/>
                <w:szCs w:val="21"/>
              </w:rPr>
            </w:pPr>
            <w:r>
              <w:rPr>
                <w:rFonts w:hint="eastAsia" w:cs="宋体"/>
                <w:b/>
                <w:color w:val="000000"/>
                <w:sz w:val="21"/>
                <w:szCs w:val="21"/>
              </w:rPr>
              <w:t>备注：岳阳市饮用水源保护区（铁山水库-北干渠-金凤水库）涉及不同的职能部门，各相关职能部门应根据本部门职责要求履行相应的责任，确保将其危害程度减少到最小。</w:t>
            </w:r>
          </w:p>
        </w:tc>
      </w:tr>
    </w:tbl>
    <w:p>
      <w:pPr>
        <w:widowControl/>
        <w:adjustRightInd w:val="0"/>
        <w:snapToGrid w:val="0"/>
        <w:spacing w:line="240" w:lineRule="auto"/>
        <w:ind w:firstLine="0" w:firstLineChars="0"/>
        <w:jc w:val="left"/>
        <w:rPr>
          <w:rFonts w:asciiTheme="minorEastAsia" w:hAnsiTheme="minorEastAsia" w:eastAsiaTheme="minorEastAsia"/>
          <w:b/>
          <w:sz w:val="10"/>
          <w:szCs w:val="10"/>
        </w:rPr>
      </w:pPr>
      <w:r>
        <w:rPr>
          <w:rFonts w:asciiTheme="minorEastAsia" w:hAnsiTheme="minorEastAsia" w:eastAsiaTheme="minorEastAsia"/>
          <w:b/>
          <w:sz w:val="10"/>
          <w:szCs w:val="10"/>
        </w:rPr>
        <w:br w:type="page"/>
      </w:r>
    </w:p>
    <w:p>
      <w:pPr>
        <w:autoSpaceDE w:val="0"/>
        <w:autoSpaceDN w:val="0"/>
        <w:adjustRightInd w:val="0"/>
        <w:snapToGrid w:val="0"/>
        <w:ind w:firstLine="0" w:firstLineChars="0"/>
        <w:jc w:val="center"/>
        <w:rPr>
          <w:b/>
          <w:color w:val="000000"/>
          <w:sz w:val="21"/>
          <w:szCs w:val="21"/>
          <w:u w:val="single"/>
          <w:lang w:val="zh-CN"/>
        </w:rPr>
      </w:pPr>
      <w:r>
        <w:rPr>
          <w:rFonts w:hint="eastAsia" w:cs="宋体"/>
          <w:b/>
          <w:color w:val="000000"/>
          <w:sz w:val="21"/>
          <w:szCs w:val="21"/>
          <w:u w:val="single"/>
          <w:lang w:val="zh-CN"/>
        </w:rPr>
        <w:t>附件</w:t>
      </w:r>
      <w:r>
        <w:rPr>
          <w:rFonts w:hint="eastAsia"/>
          <w:b/>
          <w:color w:val="000000"/>
          <w:sz w:val="21"/>
          <w:szCs w:val="21"/>
          <w:u w:val="single"/>
        </w:rPr>
        <w:t>7</w:t>
      </w:r>
      <w:r>
        <w:rPr>
          <w:b/>
          <w:color w:val="000000"/>
          <w:sz w:val="21"/>
          <w:szCs w:val="21"/>
          <w:u w:val="single"/>
        </w:rPr>
        <w:t>-</w:t>
      </w:r>
      <w:r>
        <w:rPr>
          <w:rFonts w:hint="eastAsia"/>
          <w:b/>
          <w:color w:val="000000"/>
          <w:sz w:val="21"/>
          <w:szCs w:val="21"/>
          <w:u w:val="single"/>
        </w:rPr>
        <w:t>5</w:t>
      </w:r>
      <w:r>
        <w:rPr>
          <w:b/>
          <w:color w:val="000000"/>
          <w:sz w:val="21"/>
          <w:szCs w:val="21"/>
          <w:u w:val="single"/>
          <w:lang w:val="zh-CN"/>
        </w:rPr>
        <w:t xml:space="preserve">  </w:t>
      </w:r>
      <w:r>
        <w:rPr>
          <w:rFonts w:hint="eastAsia"/>
          <w:b/>
          <w:color w:val="000000"/>
          <w:sz w:val="21"/>
          <w:szCs w:val="21"/>
          <w:u w:val="single"/>
          <w:lang w:val="zh-CN"/>
        </w:rPr>
        <w:t>水华爆发及</w:t>
      </w:r>
      <w:r>
        <w:rPr>
          <w:rFonts w:hint="eastAsia" w:cs="宋体"/>
          <w:b/>
          <w:color w:val="000000"/>
          <w:sz w:val="21"/>
          <w:szCs w:val="21"/>
          <w:u w:val="single"/>
          <w:lang w:val="zh-CN"/>
        </w:rPr>
        <w:t>次生环境事件应急卡</w:t>
      </w:r>
    </w:p>
    <w:tbl>
      <w:tblPr>
        <w:tblStyle w:val="47"/>
        <w:tblW w:w="8505" w:type="dxa"/>
        <w:jc w:val="center"/>
        <w:tblInd w:w="0" w:type="dxa"/>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
      <w:tblGrid>
        <w:gridCol w:w="953"/>
        <w:gridCol w:w="1245"/>
        <w:gridCol w:w="1215"/>
        <w:gridCol w:w="1635"/>
        <w:gridCol w:w="1530"/>
        <w:gridCol w:w="1927"/>
      </w:tblGrid>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cantSplit/>
          <w:trHeight w:val="397" w:hRule="atLeast"/>
          <w:jc w:val="center"/>
        </w:trPr>
        <w:tc>
          <w:tcPr>
            <w:tcW w:w="953" w:type="dxa"/>
            <w:vMerge w:val="restart"/>
            <w:tcBorders>
              <w:top w:val="single" w:color="auto" w:sz="8" w:space="0"/>
              <w:left w:val="single" w:color="auto" w:sz="8" w:space="0"/>
              <w:bottom w:val="single" w:color="auto" w:sz="4" w:space="0"/>
              <w:right w:val="single" w:color="auto" w:sz="4" w:space="0"/>
            </w:tcBorders>
            <w:shd w:val="clear" w:color="auto" w:fill="auto"/>
            <w:vAlign w:val="center"/>
          </w:tcPr>
          <w:p>
            <w:pPr>
              <w:adjustRightInd w:val="0"/>
              <w:snapToGrid w:val="0"/>
              <w:spacing w:line="400" w:lineRule="exact"/>
              <w:ind w:firstLine="0" w:firstLineChars="0"/>
              <w:jc w:val="center"/>
              <w:rPr>
                <w:b/>
                <w:color w:val="000000"/>
                <w:sz w:val="21"/>
                <w:szCs w:val="21"/>
                <w:u w:val="single"/>
              </w:rPr>
            </w:pPr>
            <w:r>
              <w:rPr>
                <w:rFonts w:hint="eastAsia" w:cs="宋体"/>
                <w:b/>
                <w:color w:val="000000"/>
                <w:sz w:val="21"/>
                <w:szCs w:val="21"/>
                <w:u w:val="single"/>
              </w:rPr>
              <w:t>风险</w:t>
            </w:r>
          </w:p>
          <w:p>
            <w:pPr>
              <w:adjustRightInd w:val="0"/>
              <w:snapToGrid w:val="0"/>
              <w:spacing w:line="400" w:lineRule="exact"/>
              <w:ind w:firstLine="0" w:firstLineChars="0"/>
              <w:jc w:val="center"/>
              <w:rPr>
                <w:b/>
                <w:color w:val="000000"/>
                <w:sz w:val="21"/>
                <w:szCs w:val="21"/>
                <w:u w:val="single"/>
              </w:rPr>
            </w:pPr>
            <w:r>
              <w:rPr>
                <w:rFonts w:hint="eastAsia" w:cs="宋体"/>
                <w:b/>
                <w:color w:val="000000"/>
                <w:sz w:val="21"/>
                <w:szCs w:val="21"/>
                <w:u w:val="single"/>
              </w:rPr>
              <w:t>特征</w:t>
            </w:r>
          </w:p>
        </w:tc>
        <w:tc>
          <w:tcPr>
            <w:tcW w:w="1245" w:type="dxa"/>
            <w:tcBorders>
              <w:top w:val="single" w:color="auto" w:sz="8" w:space="0"/>
              <w:left w:val="single" w:color="auto" w:sz="4" w:space="0"/>
              <w:bottom w:val="single" w:color="auto" w:sz="4" w:space="0"/>
              <w:right w:val="single" w:color="auto" w:sz="4" w:space="0"/>
            </w:tcBorders>
            <w:shd w:val="clear" w:color="auto" w:fill="auto"/>
            <w:vAlign w:val="center"/>
          </w:tcPr>
          <w:p>
            <w:pPr>
              <w:adjustRightInd w:val="0"/>
              <w:snapToGrid w:val="0"/>
              <w:spacing w:line="400" w:lineRule="exact"/>
              <w:ind w:firstLine="0" w:firstLineChars="0"/>
              <w:jc w:val="left"/>
              <w:rPr>
                <w:color w:val="000000"/>
                <w:sz w:val="21"/>
                <w:szCs w:val="21"/>
                <w:u w:val="single"/>
              </w:rPr>
            </w:pPr>
            <w:r>
              <w:rPr>
                <w:rFonts w:hint="eastAsia" w:cs="宋体"/>
                <w:color w:val="000000"/>
                <w:sz w:val="21"/>
                <w:szCs w:val="21"/>
                <w:u w:val="single"/>
              </w:rPr>
              <w:t>事故地点</w:t>
            </w:r>
          </w:p>
        </w:tc>
        <w:tc>
          <w:tcPr>
            <w:tcW w:w="6307" w:type="dxa"/>
            <w:gridSpan w:val="4"/>
            <w:tcBorders>
              <w:top w:val="single" w:color="auto" w:sz="8" w:space="0"/>
              <w:left w:val="single" w:color="auto" w:sz="4" w:space="0"/>
              <w:bottom w:val="single" w:color="auto" w:sz="4" w:space="0"/>
              <w:right w:val="single" w:color="auto" w:sz="8" w:space="0"/>
            </w:tcBorders>
            <w:shd w:val="clear" w:color="auto" w:fill="auto"/>
            <w:vAlign w:val="center"/>
          </w:tcPr>
          <w:p>
            <w:pPr>
              <w:adjustRightInd w:val="0"/>
              <w:snapToGrid w:val="0"/>
              <w:spacing w:line="400" w:lineRule="exact"/>
              <w:ind w:firstLine="0" w:firstLineChars="0"/>
              <w:jc w:val="left"/>
              <w:rPr>
                <w:color w:val="000000"/>
                <w:sz w:val="21"/>
                <w:szCs w:val="21"/>
                <w:u w:val="single"/>
              </w:rPr>
            </w:pPr>
            <w:r>
              <w:rPr>
                <w:rFonts w:hint="eastAsia" w:cs="宋体"/>
                <w:color w:val="000000"/>
                <w:sz w:val="21"/>
                <w:szCs w:val="21"/>
                <w:u w:val="single"/>
              </w:rPr>
              <w:t>铁山水库、金凤水库</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cantSplit/>
          <w:trHeight w:val="397" w:hRule="atLeast"/>
          <w:jc w:val="center"/>
        </w:trPr>
        <w:tc>
          <w:tcPr>
            <w:tcW w:w="953" w:type="dxa"/>
            <w:vMerge w:val="continue"/>
            <w:tcBorders>
              <w:top w:val="single" w:color="auto" w:sz="8" w:space="0"/>
              <w:left w:val="single" w:color="auto" w:sz="8" w:space="0"/>
              <w:bottom w:val="single" w:color="auto" w:sz="4" w:space="0"/>
              <w:right w:val="single" w:color="auto" w:sz="4" w:space="0"/>
            </w:tcBorders>
            <w:shd w:val="clear" w:color="auto" w:fill="auto"/>
            <w:vAlign w:val="center"/>
          </w:tcPr>
          <w:p>
            <w:pPr>
              <w:spacing w:line="400" w:lineRule="exact"/>
              <w:ind w:firstLine="420"/>
              <w:rPr>
                <w:rFonts w:ascii="Calibri" w:hAnsi="Calibri"/>
                <w:sz w:val="21"/>
                <w:u w:val="single"/>
              </w:rPr>
            </w:pPr>
          </w:p>
        </w:tc>
        <w:tc>
          <w:tcPr>
            <w:tcW w:w="1245" w:type="dxa"/>
            <w:tcBorders>
              <w:top w:val="single" w:color="auto" w:sz="4" w:space="0"/>
              <w:left w:val="single" w:color="auto" w:sz="4" w:space="0"/>
              <w:bottom w:val="single" w:color="auto" w:sz="4" w:space="0"/>
              <w:right w:val="single" w:color="auto" w:sz="4" w:space="0"/>
            </w:tcBorders>
            <w:shd w:val="clear" w:color="auto" w:fill="auto"/>
            <w:vAlign w:val="center"/>
          </w:tcPr>
          <w:p>
            <w:pPr>
              <w:adjustRightInd w:val="0"/>
              <w:snapToGrid w:val="0"/>
              <w:spacing w:line="400" w:lineRule="exact"/>
              <w:ind w:firstLine="0" w:firstLineChars="0"/>
              <w:jc w:val="left"/>
              <w:rPr>
                <w:color w:val="000000"/>
                <w:sz w:val="21"/>
                <w:szCs w:val="21"/>
                <w:u w:val="single"/>
              </w:rPr>
            </w:pPr>
            <w:r>
              <w:rPr>
                <w:rFonts w:hint="eastAsia" w:cs="宋体"/>
                <w:color w:val="000000"/>
                <w:sz w:val="21"/>
                <w:szCs w:val="21"/>
                <w:u w:val="single"/>
              </w:rPr>
              <w:t>风险物质</w:t>
            </w:r>
          </w:p>
        </w:tc>
        <w:tc>
          <w:tcPr>
            <w:tcW w:w="6307" w:type="dxa"/>
            <w:gridSpan w:val="4"/>
            <w:tcBorders>
              <w:top w:val="single" w:color="auto" w:sz="4" w:space="0"/>
              <w:left w:val="single" w:color="auto" w:sz="4" w:space="0"/>
              <w:bottom w:val="single" w:color="auto" w:sz="4" w:space="0"/>
              <w:right w:val="single" w:color="auto" w:sz="8" w:space="0"/>
            </w:tcBorders>
            <w:shd w:val="clear" w:color="auto" w:fill="auto"/>
            <w:vAlign w:val="center"/>
          </w:tcPr>
          <w:p>
            <w:pPr>
              <w:adjustRightInd w:val="0"/>
              <w:snapToGrid w:val="0"/>
              <w:spacing w:line="400" w:lineRule="exact"/>
              <w:ind w:firstLine="0" w:firstLineChars="0"/>
              <w:jc w:val="left"/>
              <w:rPr>
                <w:color w:val="000000"/>
                <w:sz w:val="21"/>
                <w:szCs w:val="21"/>
                <w:u w:val="single"/>
              </w:rPr>
            </w:pPr>
            <w:r>
              <w:rPr>
                <w:rFonts w:hint="eastAsia" w:ascii="宋体" w:hAnsi="宋体" w:cs="宋体"/>
                <w:sz w:val="21"/>
                <w:szCs w:val="21"/>
                <w:u w:val="single"/>
              </w:rPr>
              <w:t>含氨氮、磷污水</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cantSplit/>
          <w:trHeight w:val="397" w:hRule="atLeast"/>
          <w:jc w:val="center"/>
        </w:trPr>
        <w:tc>
          <w:tcPr>
            <w:tcW w:w="953" w:type="dxa"/>
            <w:vMerge w:val="continue"/>
            <w:tcBorders>
              <w:top w:val="single" w:color="auto" w:sz="8" w:space="0"/>
              <w:left w:val="single" w:color="auto" w:sz="8" w:space="0"/>
              <w:bottom w:val="single" w:color="auto" w:sz="4" w:space="0"/>
              <w:right w:val="single" w:color="auto" w:sz="4" w:space="0"/>
            </w:tcBorders>
            <w:shd w:val="clear" w:color="auto" w:fill="auto"/>
            <w:vAlign w:val="center"/>
          </w:tcPr>
          <w:p>
            <w:pPr>
              <w:spacing w:line="400" w:lineRule="exact"/>
              <w:ind w:firstLine="420"/>
              <w:rPr>
                <w:rFonts w:ascii="Calibri" w:hAnsi="Calibri"/>
                <w:sz w:val="21"/>
                <w:u w:val="single"/>
              </w:rPr>
            </w:pPr>
          </w:p>
        </w:tc>
        <w:tc>
          <w:tcPr>
            <w:tcW w:w="1245" w:type="dxa"/>
            <w:tcBorders>
              <w:top w:val="single" w:color="auto" w:sz="4" w:space="0"/>
              <w:left w:val="single" w:color="auto" w:sz="4" w:space="0"/>
              <w:bottom w:val="single" w:color="auto" w:sz="4" w:space="0"/>
              <w:right w:val="single" w:color="auto" w:sz="4" w:space="0"/>
            </w:tcBorders>
            <w:shd w:val="clear" w:color="auto" w:fill="auto"/>
            <w:vAlign w:val="center"/>
          </w:tcPr>
          <w:p>
            <w:pPr>
              <w:adjustRightInd w:val="0"/>
              <w:snapToGrid w:val="0"/>
              <w:spacing w:line="400" w:lineRule="exact"/>
              <w:ind w:firstLine="0" w:firstLineChars="0"/>
              <w:jc w:val="left"/>
              <w:rPr>
                <w:color w:val="000000"/>
                <w:sz w:val="21"/>
                <w:szCs w:val="21"/>
                <w:u w:val="single"/>
              </w:rPr>
            </w:pPr>
            <w:r>
              <w:rPr>
                <w:rFonts w:hint="eastAsia" w:cs="宋体"/>
                <w:color w:val="000000"/>
                <w:sz w:val="21"/>
                <w:szCs w:val="21"/>
                <w:u w:val="single"/>
              </w:rPr>
              <w:t>事故说明</w:t>
            </w:r>
          </w:p>
        </w:tc>
        <w:tc>
          <w:tcPr>
            <w:tcW w:w="6307" w:type="dxa"/>
            <w:gridSpan w:val="4"/>
            <w:tcBorders>
              <w:top w:val="single" w:color="auto" w:sz="4" w:space="0"/>
              <w:left w:val="single" w:color="auto" w:sz="4" w:space="0"/>
              <w:bottom w:val="single" w:color="auto" w:sz="4" w:space="0"/>
              <w:right w:val="single" w:color="auto" w:sz="8" w:space="0"/>
            </w:tcBorders>
            <w:shd w:val="clear" w:color="auto" w:fill="auto"/>
            <w:vAlign w:val="center"/>
          </w:tcPr>
          <w:p>
            <w:pPr>
              <w:adjustRightInd w:val="0"/>
              <w:snapToGrid w:val="0"/>
              <w:spacing w:line="400" w:lineRule="exact"/>
              <w:ind w:firstLine="0" w:firstLineChars="0"/>
              <w:jc w:val="left"/>
              <w:rPr>
                <w:color w:val="000000"/>
                <w:sz w:val="21"/>
                <w:szCs w:val="21"/>
                <w:u w:val="single"/>
              </w:rPr>
            </w:pPr>
            <w:r>
              <w:rPr>
                <w:rFonts w:hint="eastAsia" w:ascii="宋体" w:hAnsi="宋体" w:cs="宋体"/>
                <w:bCs/>
                <w:sz w:val="21"/>
                <w:szCs w:val="21"/>
                <w:u w:val="single"/>
              </w:rPr>
              <w:t>水体出现富营养化现象时,藻类大量繁殖,水质恶化而有腥臭,水中缺氧,造成鱼类窒息死亡。若水华爆发处理不当或不及时，则会造成水体污染，影响饮用水取水及供水安全。</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cantSplit/>
          <w:trHeight w:val="397" w:hRule="atLeast"/>
          <w:jc w:val="center"/>
        </w:trPr>
        <w:tc>
          <w:tcPr>
            <w:tcW w:w="953" w:type="dxa"/>
            <w:tcBorders>
              <w:top w:val="single" w:color="auto" w:sz="4" w:space="0"/>
              <w:left w:val="single" w:color="auto" w:sz="8" w:space="0"/>
              <w:bottom w:val="single" w:color="auto" w:sz="4" w:space="0"/>
              <w:right w:val="single" w:color="auto" w:sz="4" w:space="0"/>
            </w:tcBorders>
            <w:shd w:val="clear" w:color="auto" w:fill="auto"/>
            <w:vAlign w:val="center"/>
          </w:tcPr>
          <w:p>
            <w:pPr>
              <w:adjustRightInd w:val="0"/>
              <w:snapToGrid w:val="0"/>
              <w:spacing w:line="400" w:lineRule="exact"/>
              <w:ind w:firstLine="0" w:firstLineChars="0"/>
              <w:jc w:val="center"/>
              <w:rPr>
                <w:b/>
                <w:color w:val="000000"/>
                <w:sz w:val="21"/>
                <w:szCs w:val="21"/>
                <w:u w:val="single"/>
              </w:rPr>
            </w:pPr>
            <w:r>
              <w:rPr>
                <w:rFonts w:hint="eastAsia" w:cs="宋体"/>
                <w:b/>
                <w:color w:val="000000"/>
                <w:sz w:val="21"/>
                <w:szCs w:val="21"/>
                <w:u w:val="single"/>
              </w:rPr>
              <w:t>应急</w:t>
            </w:r>
          </w:p>
          <w:p>
            <w:pPr>
              <w:adjustRightInd w:val="0"/>
              <w:snapToGrid w:val="0"/>
              <w:spacing w:line="400" w:lineRule="exact"/>
              <w:ind w:firstLine="0" w:firstLineChars="0"/>
              <w:jc w:val="center"/>
              <w:rPr>
                <w:b/>
                <w:color w:val="000000"/>
                <w:sz w:val="21"/>
                <w:szCs w:val="21"/>
                <w:u w:val="single"/>
              </w:rPr>
            </w:pPr>
            <w:r>
              <w:rPr>
                <w:rFonts w:hint="eastAsia" w:cs="宋体"/>
                <w:b/>
                <w:color w:val="000000"/>
                <w:sz w:val="21"/>
                <w:szCs w:val="21"/>
                <w:u w:val="single"/>
              </w:rPr>
              <w:t>程序</w:t>
            </w:r>
          </w:p>
        </w:tc>
        <w:tc>
          <w:tcPr>
            <w:tcW w:w="7552" w:type="dxa"/>
            <w:gridSpan w:val="5"/>
            <w:tcBorders>
              <w:top w:val="single" w:color="auto" w:sz="4" w:space="0"/>
              <w:left w:val="single" w:color="auto" w:sz="4" w:space="0"/>
              <w:bottom w:val="single" w:color="auto" w:sz="4" w:space="0"/>
              <w:right w:val="single" w:color="auto" w:sz="8" w:space="0"/>
            </w:tcBorders>
            <w:shd w:val="clear" w:color="auto" w:fill="auto"/>
          </w:tcPr>
          <w:p>
            <w:pPr>
              <w:adjustRightInd w:val="0"/>
              <w:snapToGrid w:val="0"/>
              <w:spacing w:line="400" w:lineRule="exact"/>
              <w:ind w:firstLine="0" w:firstLineChars="0"/>
              <w:jc w:val="left"/>
              <w:rPr>
                <w:color w:val="000000"/>
                <w:sz w:val="21"/>
                <w:szCs w:val="21"/>
                <w:u w:val="single"/>
              </w:rPr>
            </w:pPr>
            <w:r>
              <w:rPr>
                <w:rFonts w:hint="eastAsia" w:cs="宋体"/>
                <w:color w:val="000000"/>
                <w:sz w:val="21"/>
                <w:szCs w:val="21"/>
                <w:u w:val="single"/>
              </w:rPr>
              <w:t>事故责任单位负责人或发现人立即报告市铁山局，市铁山局立即赶赴现场指导事故先期处置工作，并判断事故等级情况；再根据事故的大小及发展态势向岳阳市饮用水源保护区（铁山水库-北干渠-金凤水库）突发环境事件应急指挥部报告，执行</w:t>
            </w:r>
            <w:r>
              <w:rPr>
                <w:color w:val="000000"/>
                <w:sz w:val="21"/>
                <w:szCs w:val="21"/>
                <w:u w:val="single"/>
              </w:rPr>
              <w:fldChar w:fldCharType="begin"/>
            </w:r>
            <w:r>
              <w:rPr>
                <w:color w:val="000000"/>
                <w:sz w:val="21"/>
                <w:szCs w:val="21"/>
                <w:u w:val="single"/>
              </w:rPr>
              <w:instrText xml:space="preserve"> = 3 \* ROMAN \* MERGEFORMAT </w:instrText>
            </w:r>
            <w:r>
              <w:rPr>
                <w:color w:val="000000"/>
                <w:sz w:val="21"/>
                <w:szCs w:val="21"/>
                <w:u w:val="single"/>
              </w:rPr>
              <w:fldChar w:fldCharType="separate"/>
            </w:r>
            <w:r>
              <w:rPr>
                <w:color w:val="000000"/>
                <w:sz w:val="21"/>
                <w:szCs w:val="21"/>
                <w:u w:val="single"/>
              </w:rPr>
              <w:t>II</w:t>
            </w:r>
            <w:r>
              <w:rPr>
                <w:color w:val="000000"/>
                <w:sz w:val="21"/>
                <w:szCs w:val="21"/>
                <w:u w:val="single"/>
              </w:rPr>
              <w:fldChar w:fldCharType="end"/>
            </w:r>
            <w:r>
              <w:rPr>
                <w:rFonts w:hint="eastAsia" w:cs="宋体"/>
                <w:color w:val="000000"/>
                <w:sz w:val="21"/>
                <w:szCs w:val="21"/>
                <w:u w:val="single"/>
              </w:rPr>
              <w:t>级响应程序。</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cantSplit/>
          <w:trHeight w:val="397" w:hRule="atLeast"/>
          <w:jc w:val="center"/>
        </w:trPr>
        <w:tc>
          <w:tcPr>
            <w:tcW w:w="953" w:type="dxa"/>
            <w:vMerge w:val="restart"/>
            <w:tcBorders>
              <w:top w:val="single" w:color="auto" w:sz="4" w:space="0"/>
              <w:left w:val="single" w:color="auto" w:sz="8" w:space="0"/>
              <w:bottom w:val="single" w:color="auto" w:sz="4" w:space="0"/>
              <w:right w:val="single" w:color="auto" w:sz="4" w:space="0"/>
            </w:tcBorders>
            <w:shd w:val="clear" w:color="auto" w:fill="auto"/>
            <w:vAlign w:val="center"/>
          </w:tcPr>
          <w:p>
            <w:pPr>
              <w:adjustRightInd w:val="0"/>
              <w:snapToGrid w:val="0"/>
              <w:spacing w:line="400" w:lineRule="exact"/>
              <w:ind w:firstLine="0" w:firstLineChars="0"/>
              <w:jc w:val="center"/>
              <w:rPr>
                <w:b/>
                <w:color w:val="000000"/>
                <w:sz w:val="21"/>
                <w:szCs w:val="21"/>
                <w:u w:val="single"/>
              </w:rPr>
            </w:pPr>
            <w:r>
              <w:rPr>
                <w:rFonts w:hint="eastAsia" w:cs="宋体"/>
                <w:b/>
                <w:color w:val="000000"/>
                <w:sz w:val="21"/>
                <w:szCs w:val="21"/>
                <w:u w:val="single"/>
              </w:rPr>
              <w:t>应急</w:t>
            </w:r>
          </w:p>
          <w:p>
            <w:pPr>
              <w:adjustRightInd w:val="0"/>
              <w:snapToGrid w:val="0"/>
              <w:spacing w:line="400" w:lineRule="exact"/>
              <w:ind w:firstLine="0" w:firstLineChars="0"/>
              <w:jc w:val="center"/>
              <w:rPr>
                <w:b/>
                <w:color w:val="000000"/>
                <w:sz w:val="21"/>
                <w:szCs w:val="21"/>
                <w:u w:val="single"/>
              </w:rPr>
            </w:pPr>
            <w:r>
              <w:rPr>
                <w:rFonts w:hint="eastAsia" w:cs="宋体"/>
                <w:b/>
                <w:color w:val="000000"/>
                <w:sz w:val="21"/>
                <w:szCs w:val="21"/>
                <w:u w:val="single"/>
              </w:rPr>
              <w:t>报告</w:t>
            </w:r>
          </w:p>
        </w:tc>
        <w:tc>
          <w:tcPr>
            <w:tcW w:w="2460" w:type="dxa"/>
            <w:gridSpan w:val="2"/>
            <w:tcBorders>
              <w:top w:val="single" w:color="auto" w:sz="4" w:space="0"/>
              <w:left w:val="single" w:color="auto" w:sz="4" w:space="0"/>
              <w:bottom w:val="single" w:color="auto" w:sz="4" w:space="0"/>
              <w:right w:val="single" w:color="auto" w:sz="4" w:space="0"/>
            </w:tcBorders>
            <w:shd w:val="clear" w:color="auto" w:fill="auto"/>
            <w:vAlign w:val="center"/>
          </w:tcPr>
          <w:p>
            <w:pPr>
              <w:adjustRightInd w:val="0"/>
              <w:snapToGrid w:val="0"/>
              <w:spacing w:line="400" w:lineRule="exact"/>
              <w:ind w:firstLine="0" w:firstLineChars="0"/>
              <w:jc w:val="center"/>
              <w:rPr>
                <w:color w:val="000000"/>
                <w:sz w:val="21"/>
                <w:szCs w:val="21"/>
                <w:u w:val="single"/>
              </w:rPr>
            </w:pPr>
            <w:r>
              <w:rPr>
                <w:rFonts w:hint="eastAsia" w:cs="宋体"/>
                <w:color w:val="000000"/>
                <w:sz w:val="21"/>
                <w:szCs w:val="21"/>
                <w:u w:val="single"/>
              </w:rPr>
              <w:t>报告内容</w:t>
            </w:r>
          </w:p>
        </w:tc>
        <w:tc>
          <w:tcPr>
            <w:tcW w:w="5092" w:type="dxa"/>
            <w:gridSpan w:val="3"/>
            <w:tcBorders>
              <w:top w:val="single" w:color="auto" w:sz="4" w:space="0"/>
              <w:left w:val="single" w:color="auto" w:sz="4" w:space="0"/>
              <w:bottom w:val="single" w:color="auto" w:sz="4" w:space="0"/>
              <w:right w:val="single" w:color="auto" w:sz="8" w:space="0"/>
            </w:tcBorders>
            <w:shd w:val="clear" w:color="auto" w:fill="auto"/>
            <w:vAlign w:val="center"/>
          </w:tcPr>
          <w:p>
            <w:pPr>
              <w:adjustRightInd w:val="0"/>
              <w:snapToGrid w:val="0"/>
              <w:spacing w:line="400" w:lineRule="exact"/>
              <w:ind w:firstLine="0" w:firstLineChars="0"/>
              <w:jc w:val="center"/>
              <w:rPr>
                <w:color w:val="000000"/>
                <w:sz w:val="21"/>
                <w:szCs w:val="21"/>
                <w:u w:val="single"/>
              </w:rPr>
            </w:pPr>
            <w:r>
              <w:rPr>
                <w:rFonts w:hint="eastAsia" w:cs="宋体"/>
                <w:color w:val="000000"/>
                <w:sz w:val="21"/>
                <w:szCs w:val="21"/>
                <w:u w:val="single"/>
              </w:rPr>
              <w:t>事故发生地点、主要风险物质、处置及扩散情况等</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cantSplit/>
          <w:trHeight w:val="397" w:hRule="atLeast"/>
          <w:jc w:val="center"/>
        </w:trPr>
        <w:tc>
          <w:tcPr>
            <w:tcW w:w="953" w:type="dxa"/>
            <w:vMerge w:val="continue"/>
            <w:tcBorders>
              <w:top w:val="single" w:color="auto" w:sz="4" w:space="0"/>
              <w:left w:val="single" w:color="auto" w:sz="8" w:space="0"/>
              <w:bottom w:val="single" w:color="auto" w:sz="4" w:space="0"/>
              <w:right w:val="single" w:color="auto" w:sz="4" w:space="0"/>
            </w:tcBorders>
            <w:shd w:val="clear" w:color="auto" w:fill="auto"/>
            <w:vAlign w:val="center"/>
          </w:tcPr>
          <w:p>
            <w:pPr>
              <w:spacing w:line="400" w:lineRule="exact"/>
              <w:ind w:firstLine="420"/>
              <w:rPr>
                <w:rFonts w:ascii="Calibri" w:hAnsi="Calibri"/>
                <w:sz w:val="21"/>
                <w:u w:val="single"/>
              </w:rPr>
            </w:pPr>
          </w:p>
        </w:tc>
        <w:tc>
          <w:tcPr>
            <w:tcW w:w="2460" w:type="dxa"/>
            <w:gridSpan w:val="2"/>
            <w:tcBorders>
              <w:top w:val="single" w:color="auto" w:sz="4" w:space="0"/>
              <w:left w:val="single" w:color="auto" w:sz="4" w:space="0"/>
              <w:bottom w:val="single" w:color="auto" w:sz="4" w:space="0"/>
              <w:right w:val="single" w:color="auto" w:sz="4" w:space="0"/>
            </w:tcBorders>
            <w:shd w:val="clear" w:color="auto" w:fill="auto"/>
            <w:vAlign w:val="center"/>
          </w:tcPr>
          <w:p>
            <w:pPr>
              <w:adjustRightInd w:val="0"/>
              <w:snapToGrid w:val="0"/>
              <w:spacing w:line="400" w:lineRule="exact"/>
              <w:ind w:firstLine="0" w:firstLineChars="0"/>
              <w:jc w:val="center"/>
              <w:rPr>
                <w:b/>
                <w:color w:val="000000"/>
                <w:sz w:val="21"/>
                <w:szCs w:val="21"/>
                <w:u w:val="single"/>
                <w:lang w:val="zh-CN"/>
              </w:rPr>
            </w:pPr>
            <w:r>
              <w:rPr>
                <w:rFonts w:hint="eastAsia" w:cs="宋体"/>
                <w:color w:val="000000"/>
                <w:sz w:val="21"/>
                <w:szCs w:val="21"/>
                <w:u w:val="single"/>
              </w:rPr>
              <w:t>岳阳市饮用水源保护区（铁山水库-北干渠-金凤水库）应急指挥部</w:t>
            </w:r>
          </w:p>
        </w:tc>
        <w:tc>
          <w:tcPr>
            <w:tcW w:w="1635" w:type="dxa"/>
            <w:tcBorders>
              <w:top w:val="single" w:color="auto" w:sz="4" w:space="0"/>
              <w:left w:val="single" w:color="auto" w:sz="4" w:space="0"/>
              <w:bottom w:val="single" w:color="auto" w:sz="4" w:space="0"/>
              <w:right w:val="single" w:color="auto" w:sz="4" w:space="0"/>
            </w:tcBorders>
            <w:shd w:val="clear" w:color="auto" w:fill="auto"/>
            <w:vAlign w:val="center"/>
          </w:tcPr>
          <w:p>
            <w:pPr>
              <w:adjustRightInd w:val="0"/>
              <w:snapToGrid w:val="0"/>
              <w:spacing w:line="400" w:lineRule="exact"/>
              <w:ind w:firstLine="0" w:firstLineChars="0"/>
              <w:jc w:val="center"/>
              <w:rPr>
                <w:b/>
                <w:color w:val="000000"/>
                <w:sz w:val="21"/>
                <w:szCs w:val="21"/>
                <w:u w:val="single"/>
                <w:lang w:val="zh-CN"/>
              </w:rPr>
            </w:pPr>
            <w:r>
              <w:rPr>
                <w:sz w:val="21"/>
                <w:szCs w:val="21"/>
                <w:u w:val="single"/>
              </w:rPr>
              <w:t>8611558</w:t>
            </w:r>
          </w:p>
        </w:tc>
        <w:tc>
          <w:tcPr>
            <w:tcW w:w="1530" w:type="dxa"/>
            <w:tcBorders>
              <w:top w:val="single" w:color="auto" w:sz="4" w:space="0"/>
              <w:left w:val="single" w:color="auto" w:sz="4" w:space="0"/>
              <w:bottom w:val="single" w:color="auto" w:sz="4" w:space="0"/>
              <w:right w:val="single" w:color="auto" w:sz="4" w:space="0"/>
            </w:tcBorders>
            <w:shd w:val="clear" w:color="auto" w:fill="auto"/>
            <w:vAlign w:val="center"/>
          </w:tcPr>
          <w:p>
            <w:pPr>
              <w:adjustRightInd w:val="0"/>
              <w:snapToGrid w:val="0"/>
              <w:spacing w:line="400" w:lineRule="exact"/>
              <w:ind w:firstLine="0" w:firstLineChars="0"/>
              <w:jc w:val="center"/>
              <w:rPr>
                <w:color w:val="000000"/>
                <w:sz w:val="21"/>
                <w:szCs w:val="21"/>
                <w:u w:val="single"/>
              </w:rPr>
            </w:pPr>
            <w:r>
              <w:rPr>
                <w:rFonts w:hint="eastAsia" w:cs="宋体"/>
                <w:color w:val="000000"/>
                <w:sz w:val="21"/>
                <w:szCs w:val="21"/>
                <w:u w:val="single"/>
              </w:rPr>
              <w:t>市环境应急办</w:t>
            </w:r>
          </w:p>
        </w:tc>
        <w:tc>
          <w:tcPr>
            <w:tcW w:w="1927" w:type="dxa"/>
            <w:tcBorders>
              <w:top w:val="single" w:color="auto" w:sz="4" w:space="0"/>
              <w:left w:val="single" w:color="auto" w:sz="4" w:space="0"/>
              <w:bottom w:val="single" w:color="auto" w:sz="4" w:space="0"/>
              <w:right w:val="single" w:color="auto" w:sz="8" w:space="0"/>
            </w:tcBorders>
            <w:shd w:val="clear" w:color="auto" w:fill="auto"/>
            <w:vAlign w:val="center"/>
          </w:tcPr>
          <w:p>
            <w:pPr>
              <w:adjustRightInd w:val="0"/>
              <w:snapToGrid w:val="0"/>
              <w:spacing w:line="400" w:lineRule="exact"/>
              <w:ind w:firstLine="0" w:firstLineChars="0"/>
              <w:jc w:val="center"/>
              <w:rPr>
                <w:color w:val="000000"/>
                <w:sz w:val="21"/>
                <w:szCs w:val="21"/>
                <w:u w:val="single"/>
              </w:rPr>
            </w:pPr>
            <w:r>
              <w:rPr>
                <w:sz w:val="21"/>
                <w:szCs w:val="21"/>
                <w:u w:val="single"/>
              </w:rPr>
              <w:t>8879800</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cantSplit/>
          <w:trHeight w:val="397" w:hRule="atLeast"/>
          <w:jc w:val="center"/>
        </w:trPr>
        <w:tc>
          <w:tcPr>
            <w:tcW w:w="953" w:type="dxa"/>
            <w:tcBorders>
              <w:top w:val="single" w:color="auto" w:sz="4" w:space="0"/>
              <w:left w:val="single" w:color="auto" w:sz="8" w:space="0"/>
              <w:bottom w:val="single" w:color="auto" w:sz="4" w:space="0"/>
              <w:right w:val="single" w:color="auto" w:sz="4" w:space="0"/>
            </w:tcBorders>
            <w:shd w:val="clear" w:color="auto" w:fill="auto"/>
            <w:vAlign w:val="center"/>
          </w:tcPr>
          <w:p>
            <w:pPr>
              <w:adjustRightInd w:val="0"/>
              <w:snapToGrid w:val="0"/>
              <w:spacing w:line="400" w:lineRule="exact"/>
              <w:ind w:firstLine="0" w:firstLineChars="0"/>
              <w:jc w:val="center"/>
              <w:rPr>
                <w:b/>
                <w:color w:val="000000"/>
                <w:sz w:val="21"/>
                <w:szCs w:val="21"/>
                <w:u w:val="single"/>
              </w:rPr>
            </w:pPr>
            <w:r>
              <w:rPr>
                <w:rFonts w:hint="eastAsia" w:cs="宋体"/>
                <w:b/>
                <w:color w:val="000000"/>
                <w:sz w:val="21"/>
                <w:szCs w:val="21"/>
                <w:u w:val="single"/>
              </w:rPr>
              <w:t>应急责</w:t>
            </w:r>
          </w:p>
          <w:p>
            <w:pPr>
              <w:adjustRightInd w:val="0"/>
              <w:snapToGrid w:val="0"/>
              <w:spacing w:line="400" w:lineRule="exact"/>
              <w:ind w:firstLine="0" w:firstLineChars="0"/>
              <w:jc w:val="center"/>
              <w:rPr>
                <w:b/>
                <w:color w:val="000000"/>
                <w:sz w:val="21"/>
                <w:szCs w:val="21"/>
                <w:u w:val="single"/>
              </w:rPr>
            </w:pPr>
            <w:r>
              <w:rPr>
                <w:rFonts w:hint="eastAsia" w:cs="宋体"/>
                <w:b/>
                <w:color w:val="000000"/>
                <w:sz w:val="21"/>
                <w:szCs w:val="21"/>
                <w:u w:val="single"/>
              </w:rPr>
              <w:t>任单位</w:t>
            </w:r>
          </w:p>
        </w:tc>
        <w:tc>
          <w:tcPr>
            <w:tcW w:w="7552" w:type="dxa"/>
            <w:gridSpan w:val="5"/>
            <w:tcBorders>
              <w:top w:val="single" w:color="auto" w:sz="4" w:space="0"/>
              <w:left w:val="single" w:color="auto" w:sz="4" w:space="0"/>
              <w:bottom w:val="single" w:color="auto" w:sz="4" w:space="0"/>
              <w:right w:val="single" w:color="auto" w:sz="8" w:space="0"/>
            </w:tcBorders>
            <w:shd w:val="clear" w:color="auto" w:fill="auto"/>
            <w:vAlign w:val="center"/>
          </w:tcPr>
          <w:p>
            <w:pPr>
              <w:adjustRightInd w:val="0"/>
              <w:snapToGrid w:val="0"/>
              <w:spacing w:line="400" w:lineRule="exact"/>
              <w:ind w:firstLine="0" w:firstLineChars="0"/>
              <w:jc w:val="left"/>
              <w:rPr>
                <w:color w:val="000000"/>
                <w:sz w:val="21"/>
                <w:szCs w:val="21"/>
                <w:u w:val="single"/>
              </w:rPr>
            </w:pPr>
            <w:r>
              <w:rPr>
                <w:rFonts w:hint="eastAsia" w:ascii="宋体" w:hAnsi="宋体" w:cs="宋体"/>
                <w:color w:val="000000"/>
                <w:sz w:val="21"/>
                <w:szCs w:val="21"/>
                <w:u w:val="single"/>
              </w:rPr>
              <w:t>事故责任单位、事发地人民政府、事发地环保局、岳阳市饮用水源保护区（铁山水库-北干渠-金凤水库）应急指挥部、岳阳市自来水公司、市铁山局等</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cantSplit/>
          <w:trHeight w:val="397" w:hRule="atLeast"/>
          <w:jc w:val="center"/>
        </w:trPr>
        <w:tc>
          <w:tcPr>
            <w:tcW w:w="953" w:type="dxa"/>
            <w:tcBorders>
              <w:top w:val="single" w:color="auto" w:sz="4" w:space="0"/>
              <w:left w:val="single" w:color="auto" w:sz="8" w:space="0"/>
              <w:bottom w:val="single" w:color="auto" w:sz="8" w:space="0"/>
              <w:right w:val="single" w:color="auto" w:sz="4" w:space="0"/>
            </w:tcBorders>
            <w:shd w:val="clear" w:color="auto" w:fill="auto"/>
            <w:vAlign w:val="center"/>
          </w:tcPr>
          <w:p>
            <w:pPr>
              <w:adjustRightInd w:val="0"/>
              <w:snapToGrid w:val="0"/>
              <w:spacing w:line="400" w:lineRule="exact"/>
              <w:ind w:firstLine="0" w:firstLineChars="0"/>
              <w:jc w:val="center"/>
              <w:rPr>
                <w:b/>
                <w:color w:val="000000"/>
                <w:sz w:val="21"/>
                <w:szCs w:val="21"/>
                <w:u w:val="single"/>
              </w:rPr>
            </w:pPr>
            <w:r>
              <w:rPr>
                <w:rFonts w:hint="eastAsia" w:cs="宋体"/>
                <w:b/>
                <w:color w:val="000000"/>
                <w:sz w:val="21"/>
                <w:szCs w:val="21"/>
                <w:u w:val="single"/>
              </w:rPr>
              <w:t>应急处</w:t>
            </w:r>
          </w:p>
          <w:p>
            <w:pPr>
              <w:adjustRightInd w:val="0"/>
              <w:snapToGrid w:val="0"/>
              <w:spacing w:line="400" w:lineRule="exact"/>
              <w:ind w:firstLine="0" w:firstLineChars="0"/>
              <w:jc w:val="center"/>
              <w:rPr>
                <w:b/>
                <w:color w:val="000000"/>
                <w:sz w:val="21"/>
                <w:szCs w:val="21"/>
                <w:u w:val="single"/>
              </w:rPr>
            </w:pPr>
            <w:r>
              <w:rPr>
                <w:rFonts w:hint="eastAsia" w:cs="宋体"/>
                <w:b/>
                <w:color w:val="000000"/>
                <w:sz w:val="21"/>
                <w:szCs w:val="21"/>
                <w:u w:val="single"/>
              </w:rPr>
              <w:t>置措施</w:t>
            </w:r>
          </w:p>
        </w:tc>
        <w:tc>
          <w:tcPr>
            <w:tcW w:w="7552" w:type="dxa"/>
            <w:gridSpan w:val="5"/>
            <w:tcBorders>
              <w:top w:val="single" w:color="auto" w:sz="4" w:space="0"/>
              <w:left w:val="single" w:color="auto" w:sz="4" w:space="0"/>
              <w:bottom w:val="single" w:color="auto" w:sz="8" w:space="0"/>
              <w:right w:val="single" w:color="auto" w:sz="8" w:space="0"/>
            </w:tcBorders>
            <w:shd w:val="clear" w:color="auto" w:fill="auto"/>
          </w:tcPr>
          <w:p>
            <w:pPr>
              <w:pStyle w:val="65"/>
              <w:spacing w:line="400" w:lineRule="exact"/>
              <w:jc w:val="left"/>
              <w:rPr>
                <w:u w:val="single"/>
              </w:rPr>
            </w:pPr>
            <w:r>
              <w:rPr>
                <w:u w:val="single"/>
              </w:rPr>
              <w:t xml:space="preserve"> </w:t>
            </w:r>
            <w:r>
              <w:rPr>
                <w:rFonts w:hint="eastAsia"/>
                <w:u w:val="single"/>
              </w:rPr>
              <w:t>发现铁山水库、金凤水库饮用水地发生水华爆发时，则启动饮用水源地环境应急预案，并按照县级（</w:t>
            </w:r>
            <w:r>
              <w:rPr>
                <w:color w:val="000000"/>
                <w:szCs w:val="21"/>
                <w:u w:val="single"/>
              </w:rPr>
              <w:fldChar w:fldCharType="begin"/>
            </w:r>
            <w:r>
              <w:rPr>
                <w:color w:val="000000"/>
                <w:szCs w:val="21"/>
                <w:u w:val="single"/>
              </w:rPr>
              <w:instrText xml:space="preserve"> = 3 \* ROMAN \* MERGEFORMAT </w:instrText>
            </w:r>
            <w:r>
              <w:rPr>
                <w:color w:val="000000"/>
                <w:szCs w:val="21"/>
                <w:u w:val="single"/>
              </w:rPr>
              <w:fldChar w:fldCharType="separate"/>
            </w:r>
            <w:r>
              <w:rPr>
                <w:color w:val="000000"/>
                <w:szCs w:val="21"/>
                <w:u w:val="single"/>
              </w:rPr>
              <w:t>II</w:t>
            </w:r>
            <w:r>
              <w:rPr>
                <w:color w:val="000000"/>
                <w:szCs w:val="21"/>
                <w:u w:val="single"/>
              </w:rPr>
              <w:fldChar w:fldCharType="end"/>
            </w:r>
            <w:r>
              <w:rPr>
                <w:rFonts w:hint="eastAsia"/>
                <w:u w:val="single"/>
              </w:rPr>
              <w:t>级）响应执行；</w:t>
            </w:r>
          </w:p>
          <w:p>
            <w:pPr>
              <w:pStyle w:val="65"/>
              <w:spacing w:line="400" w:lineRule="exact"/>
              <w:jc w:val="left"/>
              <w:rPr>
                <w:u w:val="single"/>
              </w:rPr>
            </w:pPr>
            <w:r>
              <w:rPr>
                <w:rFonts w:hint="eastAsia"/>
                <w:u w:val="single"/>
              </w:rPr>
              <w:t xml:space="preserve">（1）截源  </w:t>
            </w:r>
            <w:r>
              <w:rPr>
                <w:rFonts w:hint="eastAsia"/>
                <w:color w:val="000000"/>
                <w:szCs w:val="21"/>
                <w:u w:val="single"/>
              </w:rPr>
              <w:t>岳阳市饮用水源保护区（铁山水库-北干渠-金凤水库）应急指挥部</w:t>
            </w:r>
            <w:r>
              <w:rPr>
                <w:rFonts w:hint="eastAsia"/>
                <w:u w:val="single"/>
              </w:rPr>
              <w:t>可根据水华爆发的区域范围（重点区域：铁山水库入库河口及铁山水库取水口附近水域）采取以下措施从源头上控制水华爆发：</w:t>
            </w:r>
          </w:p>
          <w:p>
            <w:pPr>
              <w:pStyle w:val="65"/>
              <w:spacing w:line="400" w:lineRule="exact"/>
              <w:jc w:val="left"/>
              <w:rPr>
                <w:u w:val="single"/>
              </w:rPr>
            </w:pPr>
            <w:r>
              <w:rPr>
                <w:rFonts w:hint="eastAsia"/>
                <w:u w:val="single"/>
              </w:rPr>
              <w:fldChar w:fldCharType="begin"/>
            </w:r>
            <w:r>
              <w:rPr>
                <w:rFonts w:hint="eastAsia"/>
                <w:u w:val="single"/>
              </w:rPr>
              <w:instrText xml:space="preserve"> = 1 \* GB3 \* MERGEFORMAT </w:instrText>
            </w:r>
            <w:r>
              <w:rPr>
                <w:rFonts w:hint="eastAsia"/>
                <w:u w:val="single"/>
              </w:rPr>
              <w:fldChar w:fldCharType="separate"/>
            </w:r>
            <w:r>
              <w:rPr>
                <w:rFonts w:hint="eastAsia"/>
                <w:u w:val="single"/>
              </w:rPr>
              <w:t>①</w:t>
            </w:r>
            <w:r>
              <w:rPr>
                <w:rFonts w:hint="eastAsia"/>
                <w:u w:val="single"/>
              </w:rPr>
              <w:fldChar w:fldCharType="end"/>
            </w:r>
            <w:r>
              <w:rPr>
                <w:rFonts w:hint="eastAsia"/>
                <w:u w:val="single"/>
              </w:rPr>
              <w:t>机械除藻  通过打捞船及人工围捕等机械清除的物理措施除藻；</w:t>
            </w:r>
          </w:p>
          <w:p>
            <w:pPr>
              <w:pStyle w:val="65"/>
              <w:spacing w:line="400" w:lineRule="exact"/>
              <w:jc w:val="left"/>
              <w:rPr>
                <w:u w:val="single"/>
              </w:rPr>
            </w:pPr>
            <w:r>
              <w:rPr>
                <w:rFonts w:hint="eastAsia"/>
                <w:u w:val="single"/>
              </w:rPr>
              <w:fldChar w:fldCharType="begin"/>
            </w:r>
            <w:r>
              <w:rPr>
                <w:rFonts w:hint="eastAsia"/>
                <w:u w:val="single"/>
              </w:rPr>
              <w:instrText xml:space="preserve"> = 2 \* GB3 \* MERGEFORMAT </w:instrText>
            </w:r>
            <w:r>
              <w:rPr>
                <w:rFonts w:hint="eastAsia"/>
                <w:u w:val="single"/>
              </w:rPr>
              <w:fldChar w:fldCharType="separate"/>
            </w:r>
            <w:r>
              <w:rPr>
                <w:rFonts w:hint="eastAsia"/>
                <w:u w:val="single"/>
              </w:rPr>
              <w:t>②</w:t>
            </w:r>
            <w:r>
              <w:rPr>
                <w:rFonts w:hint="eastAsia"/>
                <w:u w:val="single"/>
              </w:rPr>
              <w:fldChar w:fldCharType="end"/>
            </w:r>
            <w:r>
              <w:rPr>
                <w:rFonts w:hint="eastAsia"/>
                <w:u w:val="single"/>
              </w:rPr>
              <w:t>药剂除藻  按照</w:t>
            </w:r>
            <w:r>
              <w:rPr>
                <w:u w:val="single"/>
              </w:rPr>
              <w:t>2.5~15mg/L</w:t>
            </w:r>
            <w:r>
              <w:rPr>
                <w:rFonts w:hint="eastAsia"/>
                <w:u w:val="single"/>
              </w:rPr>
              <w:t>向水华爆发水域投放</w:t>
            </w:r>
            <w:r>
              <w:rPr>
                <w:u w:val="single"/>
              </w:rPr>
              <w:t>PAFC</w:t>
            </w:r>
            <w:r>
              <w:rPr>
                <w:rFonts w:hint="eastAsia"/>
                <w:u w:val="single"/>
              </w:rPr>
              <w:t>（聚合氯化铝铁）除藻；</w:t>
            </w:r>
          </w:p>
          <w:p>
            <w:pPr>
              <w:pStyle w:val="65"/>
              <w:spacing w:line="400" w:lineRule="exact"/>
              <w:jc w:val="left"/>
              <w:rPr>
                <w:u w:val="single"/>
              </w:rPr>
            </w:pPr>
            <w:r>
              <w:rPr>
                <w:rFonts w:hint="eastAsia"/>
                <w:u w:val="single"/>
              </w:rPr>
              <w:fldChar w:fldCharType="begin"/>
            </w:r>
            <w:r>
              <w:rPr>
                <w:rFonts w:hint="eastAsia"/>
                <w:u w:val="single"/>
              </w:rPr>
              <w:instrText xml:space="preserve"> = 3 \* GB3 \* MERGEFORMAT </w:instrText>
            </w:r>
            <w:r>
              <w:rPr>
                <w:rFonts w:hint="eastAsia"/>
                <w:u w:val="single"/>
              </w:rPr>
              <w:fldChar w:fldCharType="separate"/>
            </w:r>
            <w:r>
              <w:rPr>
                <w:rFonts w:hint="eastAsia"/>
                <w:u w:val="single"/>
              </w:rPr>
              <w:t>③</w:t>
            </w:r>
            <w:r>
              <w:rPr>
                <w:rFonts w:hint="eastAsia"/>
                <w:u w:val="single"/>
              </w:rPr>
              <w:fldChar w:fldCharType="end"/>
            </w:r>
            <w:r>
              <w:rPr>
                <w:rFonts w:hint="eastAsia"/>
                <w:u w:val="single"/>
              </w:rPr>
              <w:t>光敏剂（</w:t>
            </w:r>
            <w:r>
              <w:rPr>
                <w:u w:val="single"/>
              </w:rPr>
              <w:t>H</w:t>
            </w:r>
            <w:r>
              <w:rPr>
                <w:u w:val="single"/>
                <w:vertAlign w:val="subscript"/>
              </w:rPr>
              <w:t>2</w:t>
            </w:r>
            <w:r>
              <w:rPr>
                <w:u w:val="single"/>
              </w:rPr>
              <w:t>O</w:t>
            </w:r>
            <w:r>
              <w:rPr>
                <w:u w:val="single"/>
                <w:vertAlign w:val="subscript"/>
              </w:rPr>
              <w:t>2</w:t>
            </w:r>
            <w:r>
              <w:rPr>
                <w:rFonts w:hint="eastAsia"/>
                <w:u w:val="single"/>
              </w:rPr>
              <w:t>）抑藻  按照</w:t>
            </w:r>
            <w:r>
              <w:rPr>
                <w:u w:val="single"/>
              </w:rPr>
              <w:t>2mg/L</w:t>
            </w:r>
            <w:r>
              <w:rPr>
                <w:rFonts w:hint="eastAsia"/>
                <w:u w:val="single"/>
              </w:rPr>
              <w:t>向水华爆发水域投放光敏剂（</w:t>
            </w:r>
            <w:r>
              <w:rPr>
                <w:u w:val="single"/>
              </w:rPr>
              <w:t>H</w:t>
            </w:r>
            <w:r>
              <w:rPr>
                <w:u w:val="single"/>
                <w:vertAlign w:val="subscript"/>
              </w:rPr>
              <w:t>2</w:t>
            </w:r>
            <w:r>
              <w:rPr>
                <w:u w:val="single"/>
              </w:rPr>
              <w:t>O</w:t>
            </w:r>
            <w:r>
              <w:rPr>
                <w:u w:val="single"/>
                <w:vertAlign w:val="subscript"/>
              </w:rPr>
              <w:t>2</w:t>
            </w:r>
            <w:r>
              <w:rPr>
                <w:rFonts w:hint="eastAsia"/>
                <w:u w:val="single"/>
              </w:rPr>
              <w:t>）抑藻。</w:t>
            </w:r>
          </w:p>
          <w:p>
            <w:pPr>
              <w:pStyle w:val="65"/>
              <w:spacing w:line="400" w:lineRule="exact"/>
              <w:jc w:val="left"/>
              <w:rPr>
                <w:u w:val="single"/>
              </w:rPr>
            </w:pPr>
            <w:r>
              <w:rPr>
                <w:rFonts w:hint="eastAsia"/>
                <w:u w:val="single"/>
              </w:rPr>
              <w:t>（2）监测  应急监测小组在铁山水库入库河口及铁山水库取水口附近水域处布点监测，监测因子为总磷、总氮、叶绿素a、澡生物量、透明度、高锰酸盐等；</w:t>
            </w:r>
          </w:p>
          <w:p>
            <w:pPr>
              <w:pStyle w:val="65"/>
              <w:spacing w:line="400" w:lineRule="exact"/>
              <w:jc w:val="left"/>
              <w:rPr>
                <w:u w:val="single"/>
              </w:rPr>
            </w:pPr>
            <w:r>
              <w:rPr>
                <w:rFonts w:hint="eastAsia"/>
                <w:u w:val="single"/>
              </w:rPr>
              <w:t>（3）协调  综合协调小组及时告知岳阳市各自来水厂，增加取水水质监测频次，密切关注供水的出水水质情况，并将进出水水质异常情况报告</w:t>
            </w:r>
            <w:r>
              <w:rPr>
                <w:rFonts w:hint="eastAsia"/>
                <w:color w:val="000000"/>
                <w:szCs w:val="21"/>
                <w:u w:val="single"/>
              </w:rPr>
              <w:t>岳阳市饮用水源保护区（铁山水库-北干渠-金凤水库）应急指挥部</w:t>
            </w:r>
            <w:r>
              <w:rPr>
                <w:rFonts w:hint="eastAsia"/>
                <w:u w:val="single"/>
              </w:rPr>
              <w:t>；</w:t>
            </w:r>
          </w:p>
          <w:p>
            <w:pPr>
              <w:pStyle w:val="65"/>
              <w:spacing w:line="400" w:lineRule="exact"/>
              <w:jc w:val="left"/>
              <w:rPr>
                <w:u w:val="single"/>
              </w:rPr>
            </w:pPr>
            <w:r>
              <w:rPr>
                <w:rFonts w:hint="eastAsia"/>
                <w:u w:val="single"/>
              </w:rPr>
              <w:t>（4）善后  清除、打捞上岸后的水华应及时就近安全处置。</w:t>
            </w:r>
          </w:p>
          <w:p>
            <w:pPr>
              <w:adjustRightInd w:val="0"/>
              <w:snapToGrid w:val="0"/>
              <w:spacing w:line="400" w:lineRule="exact"/>
              <w:ind w:firstLine="0" w:firstLineChars="0"/>
              <w:jc w:val="left"/>
              <w:rPr>
                <w:color w:val="000000"/>
                <w:sz w:val="21"/>
                <w:szCs w:val="21"/>
                <w:u w:val="single"/>
              </w:rPr>
            </w:pPr>
            <w:r>
              <w:rPr>
                <w:rFonts w:hint="eastAsia" w:cs="宋体"/>
                <w:b/>
                <w:color w:val="000000"/>
                <w:sz w:val="21"/>
                <w:szCs w:val="21"/>
                <w:u w:val="single"/>
              </w:rPr>
              <w:t>备注：岳阳市饮用水源保护区（铁山水库-北干渠-金凤水库）涉及不同的职能部门，各相关职能部门应根据本部门职责要求履行相应的责任，确保将其危害程度减少到最小。</w:t>
            </w:r>
          </w:p>
        </w:tc>
      </w:tr>
    </w:tbl>
    <w:p>
      <w:pPr>
        <w:widowControl/>
        <w:adjustRightInd w:val="0"/>
        <w:snapToGrid w:val="0"/>
        <w:spacing w:line="240" w:lineRule="auto"/>
        <w:ind w:firstLine="0" w:firstLineChars="0"/>
        <w:jc w:val="left"/>
        <w:rPr>
          <w:rFonts w:asciiTheme="minorEastAsia" w:hAnsiTheme="minorEastAsia" w:eastAsiaTheme="minorEastAsia"/>
          <w:b/>
          <w:sz w:val="10"/>
          <w:szCs w:val="10"/>
        </w:rPr>
      </w:pPr>
    </w:p>
    <w:sectPr>
      <w:pgSz w:w="11906" w:h="16838"/>
      <w:pgMar w:top="1440" w:right="1417" w:bottom="1440" w:left="1417" w:header="851" w:footer="992" w:gutter="0"/>
      <w:cols w:space="0" w:num="1"/>
      <w:docGrid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altName w:val="宋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Arial">
    <w:panose1 w:val="020B0604020202020204"/>
    <w:charset w:val="00"/>
    <w:family w:val="swiss"/>
    <w:pitch w:val="default"/>
    <w:sig w:usb0="E0002AFF" w:usb1="C0007843" w:usb2="00000009" w:usb3="00000000" w:csb0="400001FF" w:csb1="FFFF0000"/>
  </w:font>
  <w:font w:name="Courier New">
    <w:panose1 w:val="02070309020205020404"/>
    <w:charset w:val="00"/>
    <w:family w:val="modern"/>
    <w:pitch w:val="default"/>
    <w:sig w:usb0="E0002AFF" w:usb1="C0007843" w:usb2="00000009" w:usb3="00000000" w:csb0="400001FF" w:csb1="FFFF0000"/>
  </w:font>
  <w:font w:name="楷体_GB2312">
    <w:altName w:val="微软雅黑"/>
    <w:panose1 w:val="00000000000000000000"/>
    <w:charset w:val="86"/>
    <w:family w:val="modern"/>
    <w:pitch w:val="default"/>
    <w:sig w:usb0="00000000" w:usb1="00000000" w:usb2="00000010" w:usb3="00000000" w:csb0="00040000" w:csb1="00000000"/>
  </w:font>
  <w:font w:name="Cambria">
    <w:panose1 w:val="02040503050406030204"/>
    <w:charset w:val="00"/>
    <w:family w:val="roman"/>
    <w:pitch w:val="default"/>
    <w:sig w:usb0="E00002FF" w:usb1="400004FF" w:usb2="00000000" w:usb3="00000000" w:csb0="2000019F" w:csb1="00000000"/>
  </w:font>
  <w:font w:name="Menlo">
    <w:altName w:val="AMGDT"/>
    <w:panose1 w:val="00000000000000000000"/>
    <w:charset w:val="00"/>
    <w:family w:val="auto"/>
    <w:pitch w:val="default"/>
    <w:sig w:usb0="00000000" w:usb1="00000000" w:usb2="00000000" w:usb3="00000000" w:csb0="00000000" w:csb1="00000000"/>
  </w:font>
  <w:font w:name="新宋体">
    <w:panose1 w:val="02010609030101010101"/>
    <w:charset w:val="86"/>
    <w:family w:val="modern"/>
    <w:pitch w:val="default"/>
    <w:sig w:usb0="00000003" w:usb1="288F0000" w:usb2="00000006" w:usb3="00000000" w:csb0="00040001" w:csb1="00000000"/>
  </w:font>
  <w:font w:name="HiddenHorzOCl">
    <w:altName w:val="宋体"/>
    <w:panose1 w:val="00000000000000000000"/>
    <w:charset w:val="86"/>
    <w:family w:val="swiss"/>
    <w:pitch w:val="default"/>
    <w:sig w:usb0="00000000" w:usb1="00000000" w:usb2="00000010" w:usb3="00000000" w:csb0="00040000" w:csb1="00000000"/>
  </w:font>
  <w:font w:name="TimesNewRomanPSMT">
    <w:altName w:val="Times New Roman"/>
    <w:panose1 w:val="00000000000000000000"/>
    <w:charset w:val="00"/>
    <w:family w:val="roman"/>
    <w:pitch w:val="default"/>
    <w:sig w:usb0="00000000" w:usb1="00000000" w:usb2="00000000" w:usb3="00000000" w:csb0="00000000" w:csb1="00000000"/>
  </w:font>
  <w:font w:name="仿宋_GB2312">
    <w:altName w:val="微软雅黑"/>
    <w:panose1 w:val="00000000000000000000"/>
    <w:charset w:val="86"/>
    <w:family w:val="modern"/>
    <w:pitch w:val="default"/>
    <w:sig w:usb0="00000000" w:usb1="00000000" w:usb2="00000010" w:usb3="00000000" w:csb0="00040000" w:csb1="00000000"/>
  </w:font>
  <w:font w:name="仿宋">
    <w:altName w:val="微软雅黑"/>
    <w:panose1 w:val="00000000000000000000"/>
    <w:charset w:val="86"/>
    <w:family w:val="auto"/>
    <w:pitch w:val="default"/>
    <w:sig w:usb0="00000000" w:usb1="00000000" w:usb2="00000016" w:usb3="00000000" w:csb0="00040001" w:csb1="00000000"/>
  </w:font>
  <w:font w:name="ˎ̥">
    <w:altName w:val="Times New Roman"/>
    <w:panose1 w:val="00000000000000000000"/>
    <w:charset w:val="00"/>
    <w:family w:val="auto"/>
    <w:pitch w:val="default"/>
    <w:sig w:usb0="00000000" w:usb1="00000000" w:usb2="00000000" w:usb3="00000000" w:csb0="00000000" w:csb1="00000000"/>
  </w:font>
  <w:font w:name="微软雅黑">
    <w:panose1 w:val="020B0503020204020204"/>
    <w:charset w:val="86"/>
    <w:family w:val="auto"/>
    <w:pitch w:val="default"/>
    <w:sig w:usb0="80000287" w:usb1="280F3C52"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2"/>
      <w:tabs>
        <w:tab w:val="left" w:pos="3765"/>
        <w:tab w:val="clear" w:pos="4153"/>
      </w:tabs>
      <w:ind w:right="360" w:rightChars="150" w:firstLine="3870" w:firstLineChars="2150"/>
    </w:pPr>
    <w:r>
      <w:rPr>
        <w:rFonts w:hint="eastAsia"/>
      </w:rPr>
      <w:tab/>
    </w: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2"/>
      <w:ind w:firstLine="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2"/>
      <w:ind w:firstLine="36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2"/>
      <w:ind w:firstLine="360"/>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2"/>
      <w:tabs>
        <w:tab w:val="left" w:pos="3765"/>
        <w:tab w:val="clear" w:pos="4153"/>
      </w:tabs>
      <w:ind w:right="360" w:rightChars="150" w:firstLine="3870" w:firstLineChars="2150"/>
    </w:pPr>
    <w:r>
      <w:pict>
        <v:shape id="_x0000_s3073" o:spid="_x0000_s3073" o:spt="202" type="#_x0000_t202" style="position:absolute;left:0pt;margin-top:0pt;height:144pt;width:144pt;mso-position-horizontal:center;mso-position-horizontal-relative:margin;mso-wrap-style:none;z-index:251661312;mso-width-relative:page;mso-height-relative:page;" filled="f" stroked="f" coordsize="21600,21600">
          <v:path/>
          <v:fill on="f" focussize="0,0"/>
          <v:stroke on="f" joinstyle="miter"/>
          <v:imagedata o:title=""/>
          <o:lock v:ext="edit"/>
          <v:textbox inset="0mm,0mm,0mm,0mm" style="mso-fit-shape-to-text:t;">
            <w:txbxContent>
              <w:p>
                <w:pPr>
                  <w:pStyle w:val="22"/>
                  <w:ind w:firstLine="0" w:firstLineChars="0"/>
                  <w:jc w:val="center"/>
                </w:pPr>
                <w:r>
                  <w:fldChar w:fldCharType="begin"/>
                </w:r>
                <w:r>
                  <w:instrText xml:space="preserve"> PAGE  \* MERGEFORMAT </w:instrText>
                </w:r>
                <w:r>
                  <w:fldChar w:fldCharType="separate"/>
                </w:r>
                <w:r>
                  <w:t>III</w:t>
                </w:r>
                <w:r>
                  <w:fldChar w:fldCharType="end"/>
                </w:r>
              </w:p>
            </w:txbxContent>
          </v:textbox>
        </v:shape>
      </w:pict>
    </w:r>
    <w:r>
      <w:rPr>
        <w:rFonts w:hint="eastAsia"/>
      </w:rPr>
      <w:tab/>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2"/>
      <w:ind w:right="360" w:firstLine="360"/>
      <w:jc w:val="center"/>
    </w:pPr>
    <w:r>
      <w:pict>
        <v:shape id="_x0000_s3074" o:spid="_x0000_s3074" o:spt="202" type="#_x0000_t202" style="position:absolute;left:0pt;margin-top:0pt;height:144pt;width:144pt;mso-position-horizontal:center;mso-position-horizontal-relative:margin;mso-wrap-style:none;z-index:251668480;mso-width-relative:page;mso-height-relative:page;" filled="f" stroked="f" coordsize="21600,21600">
          <v:path/>
          <v:fill on="f" focussize="0,0"/>
          <v:stroke on="f" joinstyle="miter"/>
          <v:imagedata o:title=""/>
          <o:lock v:ext="edit"/>
          <v:textbox inset="0mm,0mm,0mm,0mm" style="mso-fit-shape-to-text:t;">
            <w:txbxContent>
              <w:p>
                <w:pPr>
                  <w:pStyle w:val="22"/>
                  <w:adjustRightInd w:val="0"/>
                  <w:ind w:firstLine="0" w:firstLineChars="0"/>
                  <w:jc w:val="center"/>
                  <w:rPr>
                    <w:rStyle w:val="36"/>
                  </w:rPr>
                </w:pPr>
                <w:r>
                  <w:fldChar w:fldCharType="begin"/>
                </w:r>
                <w:r>
                  <w:rPr>
                    <w:rStyle w:val="36"/>
                  </w:rPr>
                  <w:instrText xml:space="preserve">PAGE  </w:instrText>
                </w:r>
                <w:r>
                  <w:fldChar w:fldCharType="separate"/>
                </w:r>
                <w:r>
                  <w:rPr>
                    <w:rStyle w:val="36"/>
                  </w:rPr>
                  <w:t>72</w:t>
                </w:r>
                <w:r>
                  <w:fldChar w:fldCharType="end"/>
                </w:r>
              </w:p>
            </w:txbxContent>
          </v:textbox>
        </v:shape>
      </w:pict>
    </w:r>
    <w:r>
      <w:pict>
        <v:shape id="_x0000_s3075" o:spid="_x0000_s3075" o:spt="202" type="#_x0000_t202" style="position:absolute;left:0pt;margin-top:0pt;height:20.7pt;width:21.75pt;mso-position-horizontal:center;mso-position-horizontal-relative:margin;z-index:251665408;mso-width-relative:page;mso-height-relative:page;" filled="f" stroked="f" coordsize="21600,21600">
          <v:path/>
          <v:fill on="f" focussize="0,0"/>
          <v:stroke on="f" joinstyle="miter"/>
          <v:imagedata o:title=""/>
          <o:lock v:ext="edit"/>
          <v:textbox inset="0mm,0mm,0mm,0mm" style="mso-fit-shape-to-text:t;">
            <w:txbxContent>
              <w:p/>
            </w:txbxContent>
          </v:textbox>
        </v:shape>
      </w:pict>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2"/>
      <w:framePr w:wrap="around" w:vAnchor="text" w:hAnchor="margin" w:xAlign="right" w:y="1"/>
      <w:ind w:firstLine="360"/>
      <w:rPr>
        <w:rStyle w:val="36"/>
      </w:rPr>
    </w:pPr>
    <w:r>
      <w:fldChar w:fldCharType="begin"/>
    </w:r>
    <w:r>
      <w:rPr>
        <w:rStyle w:val="36"/>
      </w:rPr>
      <w:instrText xml:space="preserve">PAGE  </w:instrText>
    </w:r>
    <w:r>
      <w:fldChar w:fldCharType="end"/>
    </w:r>
  </w:p>
  <w:p>
    <w:pPr>
      <w:pStyle w:val="22"/>
      <w:ind w:right="360" w:firstLine="360"/>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2"/>
      <w:ind w:firstLine="360"/>
    </w:pP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2"/>
      <w:ind w:right="360" w:firstLine="360"/>
      <w:jc w:val="center"/>
    </w:pPr>
    <w:r>
      <w:pict>
        <v:shape id="_x0000_s3076" o:spid="_x0000_s3076" o:spt="202" type="#_x0000_t202" style="position:absolute;left:0pt;margin-top:0pt;height:144pt;width:144pt;mso-position-horizontal:center;mso-position-horizontal-relative:margin;mso-wrap-style:none;z-index:251663360;mso-width-relative:page;mso-height-relative:page;" filled="f" stroked="f" coordsize="21600,21600">
          <v:path/>
          <v:fill on="f" focussize="0,0"/>
          <v:stroke on="f" joinstyle="miter"/>
          <v:imagedata o:title=""/>
          <o:lock v:ext="edit"/>
          <v:textbox inset="0mm,0mm,0mm,0mm" style="mso-fit-shape-to-text:t;">
            <w:txbxContent>
              <w:p>
                <w:pPr>
                  <w:pStyle w:val="22"/>
                  <w:adjustRightInd w:val="0"/>
                  <w:ind w:firstLine="0" w:firstLineChars="0"/>
                  <w:jc w:val="center"/>
                  <w:rPr>
                    <w:rStyle w:val="36"/>
                  </w:rPr>
                </w:pPr>
                <w:r>
                  <w:fldChar w:fldCharType="begin"/>
                </w:r>
                <w:r>
                  <w:rPr>
                    <w:rStyle w:val="36"/>
                  </w:rPr>
                  <w:instrText xml:space="preserve">PAGE  </w:instrText>
                </w:r>
                <w:r>
                  <w:fldChar w:fldCharType="separate"/>
                </w:r>
                <w:r>
                  <w:rPr>
                    <w:rStyle w:val="36"/>
                  </w:rPr>
                  <w:t>104</w:t>
                </w:r>
                <w:r>
                  <w:fldChar w:fldCharType="end"/>
                </w:r>
              </w:p>
            </w:txbxContent>
          </v:textbox>
        </v:shape>
      </w:pict>
    </w:r>
    <w:r>
      <w:pict>
        <v:shape id="文本框 9226" o:spid="_x0000_s3077" o:spt="202" type="#_x0000_t202" style="position:absolute;left:0pt;margin-top:0pt;height:20.7pt;width:21.75pt;mso-position-horizontal:center;mso-position-horizontal-relative:margin;z-index:251660288;mso-width-relative:page;mso-height-relative:page;" filled="f" stroked="f" coordsize="21600,21600">
          <v:path/>
          <v:fill on="f" focussize="0,0"/>
          <v:stroke on="f" joinstyle="miter"/>
          <v:imagedata o:title=""/>
          <o:lock v:ext="edit"/>
          <v:textbox inset="0mm,0mm,0mm,0mm" style="mso-fit-shape-to-text:t;">
            <w:txbxContent>
              <w:p/>
            </w:txbxContent>
          </v:textbox>
        </v:shape>
      </w:pict>
    </w: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2"/>
      <w:ind w:firstLine="360"/>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3"/>
      <w:pBdr>
        <w:bottom w:val="none" w:color="auto" w:sz="0" w:space="0"/>
      </w:pBdr>
      <w:ind w:firstLine="360"/>
    </w:pP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3"/>
      <w:ind w:firstLine="360"/>
    </w:pPr>
  </w:p>
</w:hdr>
</file>

<file path=word/header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3"/>
      <w:spacing w:line="240" w:lineRule="auto"/>
      <w:ind w:firstLine="360"/>
      <w:rPr>
        <w:color w:val="000000" w:themeColor="text1"/>
      </w:rPr>
    </w:pPr>
    <w:r>
      <w:rPr>
        <w:rFonts w:hint="eastAsia"/>
        <w:color w:val="000000" w:themeColor="text1"/>
      </w:rPr>
      <w:t>岳阳市饮用水源保护区（铁山水库-北干渠-金凤水库）突发环境事件应急预案</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3"/>
      <w:ind w:firstLine="360"/>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3"/>
      <w:ind w:firstLine="360"/>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3"/>
      <w:spacing w:line="240" w:lineRule="auto"/>
      <w:ind w:firstLine="360"/>
    </w:pPr>
    <w:r>
      <w:rPr>
        <w:rFonts w:hint="eastAsia"/>
      </w:rPr>
      <w:t>岳阳市饮用水源保护区（铁山水库-北干渠-金凤水库）突发环境事件应急预案</w:t>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3"/>
      <w:ind w:firstLine="360"/>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3"/>
      <w:ind w:firstLine="360"/>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3"/>
      <w:spacing w:line="240" w:lineRule="auto"/>
      <w:ind w:firstLine="360"/>
      <w:rPr>
        <w:color w:val="000000" w:themeColor="text1"/>
      </w:rPr>
    </w:pPr>
    <w:r>
      <w:rPr>
        <w:rFonts w:hint="eastAsia"/>
        <w:color w:val="000000" w:themeColor="text1"/>
      </w:rPr>
      <w:t>岳阳市饮用水源保护区（铁山水库-北干渠-金凤水库）突发环境事件应急预案</w:t>
    </w: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3"/>
      <w:pBdr>
        <w:bottom w:val="none" w:color="auto" w:sz="0" w:space="0"/>
      </w:pBdr>
      <w:ind w:firstLine="360"/>
    </w:pPr>
  </w:p>
  <w:p>
    <w:pPr>
      <w:pStyle w:val="23"/>
      <w:spacing w:line="240" w:lineRule="auto"/>
      <w:ind w:firstLine="360"/>
    </w:pPr>
    <w:r>
      <w:rPr>
        <w:rFonts w:hint="eastAsia"/>
      </w:rPr>
      <w:t>岳阳市饮用水源保护区（铁山水库-北干渠-金凤水库）突发环境事件应急预案</w:t>
    </w: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3"/>
      <w:ind w:firstLine="360"/>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674B6A7E"/>
    <w:multiLevelType w:val="multilevel"/>
    <w:tmpl w:val="674B6A7E"/>
    <w:lvl w:ilvl="0" w:tentative="0">
      <w:start w:val="1"/>
      <w:numFmt w:val="decimal"/>
      <w:lvlText w:val="%1"/>
      <w:lvlJc w:val="left"/>
      <w:pPr>
        <w:ind w:left="375" w:hanging="375"/>
      </w:pPr>
      <w:rPr>
        <w:rFonts w:hint="default"/>
      </w:rPr>
    </w:lvl>
    <w:lvl w:ilvl="1" w:tentative="0">
      <w:start w:val="2"/>
      <w:numFmt w:val="decimal"/>
      <w:lvlText w:val="%1.%2"/>
      <w:lvlJc w:val="left"/>
      <w:pPr>
        <w:ind w:left="375" w:hanging="375"/>
      </w:pPr>
      <w:rPr>
        <w:rFonts w:hint="default"/>
      </w:rPr>
    </w:lvl>
    <w:lvl w:ilvl="2" w:tentative="0">
      <w:start w:val="1"/>
      <w:numFmt w:val="decimal"/>
      <w:lvlText w:val="%1.%2.%3"/>
      <w:lvlJc w:val="left"/>
      <w:pPr>
        <w:ind w:left="720" w:hanging="720"/>
      </w:pPr>
      <w:rPr>
        <w:rFonts w:hint="default"/>
      </w:rPr>
    </w:lvl>
    <w:lvl w:ilvl="3" w:tentative="0">
      <w:start w:val="1"/>
      <w:numFmt w:val="decimal"/>
      <w:lvlText w:val="%1.%2.%3.%4"/>
      <w:lvlJc w:val="left"/>
      <w:pPr>
        <w:ind w:left="720" w:hanging="720"/>
      </w:pPr>
      <w:rPr>
        <w:rFonts w:hint="default"/>
      </w:rPr>
    </w:lvl>
    <w:lvl w:ilvl="4" w:tentative="0">
      <w:start w:val="1"/>
      <w:numFmt w:val="decimal"/>
      <w:lvlText w:val="%1.%2.%3.%4.%5"/>
      <w:lvlJc w:val="left"/>
      <w:pPr>
        <w:ind w:left="1080" w:hanging="1080"/>
      </w:pPr>
      <w:rPr>
        <w:rFonts w:hint="default"/>
      </w:rPr>
    </w:lvl>
    <w:lvl w:ilvl="5" w:tentative="0">
      <w:start w:val="1"/>
      <w:numFmt w:val="decimal"/>
      <w:lvlText w:val="%1.%2.%3.%4.%5.%6"/>
      <w:lvlJc w:val="left"/>
      <w:pPr>
        <w:ind w:left="1080" w:hanging="1080"/>
      </w:pPr>
      <w:rPr>
        <w:rFonts w:hint="default"/>
      </w:rPr>
    </w:lvl>
    <w:lvl w:ilvl="6" w:tentative="0">
      <w:start w:val="1"/>
      <w:numFmt w:val="decimal"/>
      <w:lvlText w:val="%1.%2.%3.%4.%5.%6.%7"/>
      <w:lvlJc w:val="left"/>
      <w:pPr>
        <w:ind w:left="1440" w:hanging="1440"/>
      </w:pPr>
      <w:rPr>
        <w:rFonts w:hint="default"/>
      </w:rPr>
    </w:lvl>
    <w:lvl w:ilvl="7" w:tentative="0">
      <w:start w:val="1"/>
      <w:numFmt w:val="decimal"/>
      <w:lvlText w:val="%1.%2.%3.%4.%5.%6.%7.%8"/>
      <w:lvlJc w:val="left"/>
      <w:pPr>
        <w:ind w:left="1440" w:hanging="1440"/>
      </w:pPr>
      <w:rPr>
        <w:rFonts w:hint="default"/>
      </w:rPr>
    </w:lvl>
    <w:lvl w:ilvl="8" w:tentative="0">
      <w:start w:val="1"/>
      <w:numFmt w:val="decimal"/>
      <w:lvlText w:val="%1.%2.%3.%4.%5.%6.%7.%8.%9"/>
      <w:lvlJc w:val="left"/>
      <w:pPr>
        <w:ind w:left="1800" w:hanging="1800"/>
      </w:pPr>
      <w:rPr>
        <w:rFont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hdrShapeDefaults>
    <o:shapelayout v:ext="edit">
      <o:idmap v:ext="edit" data="3"/>
    </o:shapelayout>
  </w:hdrShapeDefaults>
  <w:compat>
    <w:spaceForUL/>
    <w:balanceSingleByteDoubleByteWidth/>
    <w:doNotLeaveBackslashAlone/>
    <w:ulTrailSpace/>
    <w:doNotExpandShiftReturn/>
    <w:adjustLineHeightInTable/>
    <w:useFELayout/>
    <w:doNotUseIndentAsNumberingTabStop/>
    <w:useAltKinsokuLineBreakRules/>
    <w:compatSetting w:name="compatibilityMode" w:uri="http://schemas.microsoft.com/office/word" w:val="12"/>
  </w:compat>
  <w:rsids>
    <w:rsidRoot w:val="00172A27"/>
    <w:rsid w:val="00001251"/>
    <w:rsid w:val="0000159E"/>
    <w:rsid w:val="00001AC6"/>
    <w:rsid w:val="0000369C"/>
    <w:rsid w:val="000039F7"/>
    <w:rsid w:val="0000798A"/>
    <w:rsid w:val="00010EF9"/>
    <w:rsid w:val="000126F8"/>
    <w:rsid w:val="00012955"/>
    <w:rsid w:val="00014FAF"/>
    <w:rsid w:val="00015F21"/>
    <w:rsid w:val="00023A5F"/>
    <w:rsid w:val="000240CE"/>
    <w:rsid w:val="00024AD2"/>
    <w:rsid w:val="00026175"/>
    <w:rsid w:val="00032AFC"/>
    <w:rsid w:val="00033548"/>
    <w:rsid w:val="00034164"/>
    <w:rsid w:val="00036B20"/>
    <w:rsid w:val="00036D30"/>
    <w:rsid w:val="00037E20"/>
    <w:rsid w:val="000410CE"/>
    <w:rsid w:val="000410CF"/>
    <w:rsid w:val="00043877"/>
    <w:rsid w:val="00046E5E"/>
    <w:rsid w:val="00047669"/>
    <w:rsid w:val="00052C86"/>
    <w:rsid w:val="000539D2"/>
    <w:rsid w:val="00055AF1"/>
    <w:rsid w:val="000568DA"/>
    <w:rsid w:val="00060400"/>
    <w:rsid w:val="000607EB"/>
    <w:rsid w:val="00060841"/>
    <w:rsid w:val="000632AD"/>
    <w:rsid w:val="000638EC"/>
    <w:rsid w:val="0006552F"/>
    <w:rsid w:val="00065E10"/>
    <w:rsid w:val="000701A1"/>
    <w:rsid w:val="0007144F"/>
    <w:rsid w:val="0007283C"/>
    <w:rsid w:val="00072ECD"/>
    <w:rsid w:val="000750C7"/>
    <w:rsid w:val="000759F6"/>
    <w:rsid w:val="000805A7"/>
    <w:rsid w:val="00082886"/>
    <w:rsid w:val="00083B4F"/>
    <w:rsid w:val="000840FC"/>
    <w:rsid w:val="000872B6"/>
    <w:rsid w:val="00087E8E"/>
    <w:rsid w:val="000910C3"/>
    <w:rsid w:val="00092946"/>
    <w:rsid w:val="00093204"/>
    <w:rsid w:val="00096CE3"/>
    <w:rsid w:val="00096F84"/>
    <w:rsid w:val="00097A7E"/>
    <w:rsid w:val="00097E0C"/>
    <w:rsid w:val="000A3DDC"/>
    <w:rsid w:val="000A68B6"/>
    <w:rsid w:val="000B0A7D"/>
    <w:rsid w:val="000B1AE8"/>
    <w:rsid w:val="000B2F7E"/>
    <w:rsid w:val="000B3687"/>
    <w:rsid w:val="000B5595"/>
    <w:rsid w:val="000B60A3"/>
    <w:rsid w:val="000C1CD2"/>
    <w:rsid w:val="000C2324"/>
    <w:rsid w:val="000C27FD"/>
    <w:rsid w:val="000C39B4"/>
    <w:rsid w:val="000C502D"/>
    <w:rsid w:val="000C5DE3"/>
    <w:rsid w:val="000C61D5"/>
    <w:rsid w:val="000C6B82"/>
    <w:rsid w:val="000C7D63"/>
    <w:rsid w:val="000D007A"/>
    <w:rsid w:val="000D0358"/>
    <w:rsid w:val="000D1A46"/>
    <w:rsid w:val="000D2D5E"/>
    <w:rsid w:val="000D3DF6"/>
    <w:rsid w:val="000D4253"/>
    <w:rsid w:val="000D4875"/>
    <w:rsid w:val="000D4F87"/>
    <w:rsid w:val="000D769F"/>
    <w:rsid w:val="000E0C41"/>
    <w:rsid w:val="000E0F15"/>
    <w:rsid w:val="000E34E4"/>
    <w:rsid w:val="000E40E4"/>
    <w:rsid w:val="000E4783"/>
    <w:rsid w:val="000E6348"/>
    <w:rsid w:val="000E742B"/>
    <w:rsid w:val="000F11CA"/>
    <w:rsid w:val="000F1CA4"/>
    <w:rsid w:val="000F3AAA"/>
    <w:rsid w:val="000F4C22"/>
    <w:rsid w:val="000F4CCE"/>
    <w:rsid w:val="000F6DA7"/>
    <w:rsid w:val="000F77EA"/>
    <w:rsid w:val="00100EEF"/>
    <w:rsid w:val="001016B3"/>
    <w:rsid w:val="0010236A"/>
    <w:rsid w:val="00105023"/>
    <w:rsid w:val="00105F7B"/>
    <w:rsid w:val="00107B0F"/>
    <w:rsid w:val="00110356"/>
    <w:rsid w:val="001107DF"/>
    <w:rsid w:val="0011378E"/>
    <w:rsid w:val="00114C94"/>
    <w:rsid w:val="001170D8"/>
    <w:rsid w:val="0011784D"/>
    <w:rsid w:val="00121E16"/>
    <w:rsid w:val="0012215D"/>
    <w:rsid w:val="001228BD"/>
    <w:rsid w:val="00122EB6"/>
    <w:rsid w:val="00124B91"/>
    <w:rsid w:val="001254F8"/>
    <w:rsid w:val="001272F9"/>
    <w:rsid w:val="00130328"/>
    <w:rsid w:val="001313EF"/>
    <w:rsid w:val="00132A2E"/>
    <w:rsid w:val="00134424"/>
    <w:rsid w:val="00136416"/>
    <w:rsid w:val="001374E3"/>
    <w:rsid w:val="00143237"/>
    <w:rsid w:val="00143DEF"/>
    <w:rsid w:val="00144051"/>
    <w:rsid w:val="00146429"/>
    <w:rsid w:val="00146689"/>
    <w:rsid w:val="001468F7"/>
    <w:rsid w:val="00146DC2"/>
    <w:rsid w:val="00146FF6"/>
    <w:rsid w:val="00153905"/>
    <w:rsid w:val="00154ADE"/>
    <w:rsid w:val="00155BA1"/>
    <w:rsid w:val="00157B73"/>
    <w:rsid w:val="0016309A"/>
    <w:rsid w:val="00164BF5"/>
    <w:rsid w:val="001658FD"/>
    <w:rsid w:val="001679C9"/>
    <w:rsid w:val="001715A4"/>
    <w:rsid w:val="001718C3"/>
    <w:rsid w:val="00171C59"/>
    <w:rsid w:val="00172A27"/>
    <w:rsid w:val="001745EF"/>
    <w:rsid w:val="001751B7"/>
    <w:rsid w:val="001755C2"/>
    <w:rsid w:val="00176904"/>
    <w:rsid w:val="00184040"/>
    <w:rsid w:val="001856C5"/>
    <w:rsid w:val="001873AC"/>
    <w:rsid w:val="001926E6"/>
    <w:rsid w:val="00193014"/>
    <w:rsid w:val="00193AFF"/>
    <w:rsid w:val="0019488C"/>
    <w:rsid w:val="001962D7"/>
    <w:rsid w:val="001965F5"/>
    <w:rsid w:val="0019783B"/>
    <w:rsid w:val="001A0A18"/>
    <w:rsid w:val="001A2805"/>
    <w:rsid w:val="001A47C4"/>
    <w:rsid w:val="001A4AC9"/>
    <w:rsid w:val="001A6031"/>
    <w:rsid w:val="001A60EB"/>
    <w:rsid w:val="001B0EB4"/>
    <w:rsid w:val="001B229B"/>
    <w:rsid w:val="001B2813"/>
    <w:rsid w:val="001B4268"/>
    <w:rsid w:val="001B5947"/>
    <w:rsid w:val="001C039C"/>
    <w:rsid w:val="001C1264"/>
    <w:rsid w:val="001C14AE"/>
    <w:rsid w:val="001C1BE9"/>
    <w:rsid w:val="001C276A"/>
    <w:rsid w:val="001C5B94"/>
    <w:rsid w:val="001D257B"/>
    <w:rsid w:val="001D3629"/>
    <w:rsid w:val="001D4197"/>
    <w:rsid w:val="001D45F7"/>
    <w:rsid w:val="001D542F"/>
    <w:rsid w:val="001D5AF3"/>
    <w:rsid w:val="001D7862"/>
    <w:rsid w:val="001E1998"/>
    <w:rsid w:val="001E473C"/>
    <w:rsid w:val="001E5A20"/>
    <w:rsid w:val="001E6492"/>
    <w:rsid w:val="001E7999"/>
    <w:rsid w:val="001F31D2"/>
    <w:rsid w:val="001F356D"/>
    <w:rsid w:val="001F4569"/>
    <w:rsid w:val="001F62D5"/>
    <w:rsid w:val="002008D0"/>
    <w:rsid w:val="002018E6"/>
    <w:rsid w:val="002020F7"/>
    <w:rsid w:val="002050B2"/>
    <w:rsid w:val="002054EE"/>
    <w:rsid w:val="00205BCF"/>
    <w:rsid w:val="00212086"/>
    <w:rsid w:val="00212A70"/>
    <w:rsid w:val="00212AC8"/>
    <w:rsid w:val="00213BF9"/>
    <w:rsid w:val="00216A6A"/>
    <w:rsid w:val="00220A46"/>
    <w:rsid w:val="00220F60"/>
    <w:rsid w:val="0022553B"/>
    <w:rsid w:val="002278F8"/>
    <w:rsid w:val="002310FD"/>
    <w:rsid w:val="00232D5F"/>
    <w:rsid w:val="002356A0"/>
    <w:rsid w:val="0023580E"/>
    <w:rsid w:val="002358EB"/>
    <w:rsid w:val="0023602D"/>
    <w:rsid w:val="0023773D"/>
    <w:rsid w:val="002400D8"/>
    <w:rsid w:val="00240AD3"/>
    <w:rsid w:val="0024422A"/>
    <w:rsid w:val="00246B8C"/>
    <w:rsid w:val="0024795B"/>
    <w:rsid w:val="00247F99"/>
    <w:rsid w:val="002554E5"/>
    <w:rsid w:val="00256E92"/>
    <w:rsid w:val="002606FB"/>
    <w:rsid w:val="00261526"/>
    <w:rsid w:val="002617AF"/>
    <w:rsid w:val="00261DB6"/>
    <w:rsid w:val="0026561B"/>
    <w:rsid w:val="0026755D"/>
    <w:rsid w:val="00270E8F"/>
    <w:rsid w:val="00271769"/>
    <w:rsid w:val="0027248A"/>
    <w:rsid w:val="002725C0"/>
    <w:rsid w:val="002725D4"/>
    <w:rsid w:val="00275CAC"/>
    <w:rsid w:val="0027637D"/>
    <w:rsid w:val="0028202B"/>
    <w:rsid w:val="00282607"/>
    <w:rsid w:val="00285EB2"/>
    <w:rsid w:val="0028694D"/>
    <w:rsid w:val="0028798C"/>
    <w:rsid w:val="00287CAF"/>
    <w:rsid w:val="00293289"/>
    <w:rsid w:val="00293AC2"/>
    <w:rsid w:val="00296469"/>
    <w:rsid w:val="00296C25"/>
    <w:rsid w:val="0029727D"/>
    <w:rsid w:val="002A1EF9"/>
    <w:rsid w:val="002A3166"/>
    <w:rsid w:val="002A3BA7"/>
    <w:rsid w:val="002A447C"/>
    <w:rsid w:val="002A475D"/>
    <w:rsid w:val="002A4C07"/>
    <w:rsid w:val="002B11B3"/>
    <w:rsid w:val="002B18DD"/>
    <w:rsid w:val="002B18F5"/>
    <w:rsid w:val="002B1E71"/>
    <w:rsid w:val="002B6215"/>
    <w:rsid w:val="002C0358"/>
    <w:rsid w:val="002C07B3"/>
    <w:rsid w:val="002C11C9"/>
    <w:rsid w:val="002C122A"/>
    <w:rsid w:val="002D0D4C"/>
    <w:rsid w:val="002D1312"/>
    <w:rsid w:val="002D2FAC"/>
    <w:rsid w:val="002D4335"/>
    <w:rsid w:val="002D575A"/>
    <w:rsid w:val="002D682E"/>
    <w:rsid w:val="002D7FBB"/>
    <w:rsid w:val="002E1663"/>
    <w:rsid w:val="002E2BCC"/>
    <w:rsid w:val="002E33E6"/>
    <w:rsid w:val="002F0B85"/>
    <w:rsid w:val="002F0ECD"/>
    <w:rsid w:val="002F523E"/>
    <w:rsid w:val="002F5501"/>
    <w:rsid w:val="002F5901"/>
    <w:rsid w:val="002F7FEA"/>
    <w:rsid w:val="00302798"/>
    <w:rsid w:val="00302AA3"/>
    <w:rsid w:val="00303686"/>
    <w:rsid w:val="00303EF9"/>
    <w:rsid w:val="00304785"/>
    <w:rsid w:val="003047F0"/>
    <w:rsid w:val="00307BEA"/>
    <w:rsid w:val="003123E5"/>
    <w:rsid w:val="00315793"/>
    <w:rsid w:val="003157F5"/>
    <w:rsid w:val="0031768F"/>
    <w:rsid w:val="00317898"/>
    <w:rsid w:val="00320A91"/>
    <w:rsid w:val="00322728"/>
    <w:rsid w:val="00323757"/>
    <w:rsid w:val="003238F3"/>
    <w:rsid w:val="00324893"/>
    <w:rsid w:val="0033020D"/>
    <w:rsid w:val="00330B03"/>
    <w:rsid w:val="003315B3"/>
    <w:rsid w:val="003315E1"/>
    <w:rsid w:val="00331A50"/>
    <w:rsid w:val="00332A80"/>
    <w:rsid w:val="00334529"/>
    <w:rsid w:val="0033555B"/>
    <w:rsid w:val="0034046E"/>
    <w:rsid w:val="00340BF7"/>
    <w:rsid w:val="00341D66"/>
    <w:rsid w:val="0034346A"/>
    <w:rsid w:val="003464D7"/>
    <w:rsid w:val="003473B4"/>
    <w:rsid w:val="00350B01"/>
    <w:rsid w:val="00352162"/>
    <w:rsid w:val="00353257"/>
    <w:rsid w:val="003561AE"/>
    <w:rsid w:val="0035691B"/>
    <w:rsid w:val="003605AE"/>
    <w:rsid w:val="00360B88"/>
    <w:rsid w:val="00361F30"/>
    <w:rsid w:val="00362DDD"/>
    <w:rsid w:val="00363860"/>
    <w:rsid w:val="00365084"/>
    <w:rsid w:val="0036668F"/>
    <w:rsid w:val="00366EAC"/>
    <w:rsid w:val="00370205"/>
    <w:rsid w:val="00372CF9"/>
    <w:rsid w:val="00374232"/>
    <w:rsid w:val="00374507"/>
    <w:rsid w:val="0037501C"/>
    <w:rsid w:val="003755AF"/>
    <w:rsid w:val="00377F7E"/>
    <w:rsid w:val="0038201C"/>
    <w:rsid w:val="00382B72"/>
    <w:rsid w:val="003867C5"/>
    <w:rsid w:val="00386B92"/>
    <w:rsid w:val="003871BF"/>
    <w:rsid w:val="0038759E"/>
    <w:rsid w:val="00390CA0"/>
    <w:rsid w:val="00391EC5"/>
    <w:rsid w:val="00393558"/>
    <w:rsid w:val="00394073"/>
    <w:rsid w:val="00394913"/>
    <w:rsid w:val="00395083"/>
    <w:rsid w:val="003950E0"/>
    <w:rsid w:val="00397312"/>
    <w:rsid w:val="003A3010"/>
    <w:rsid w:val="003A40D0"/>
    <w:rsid w:val="003B35A8"/>
    <w:rsid w:val="003B3EF5"/>
    <w:rsid w:val="003B484B"/>
    <w:rsid w:val="003B4D97"/>
    <w:rsid w:val="003C0873"/>
    <w:rsid w:val="003C2835"/>
    <w:rsid w:val="003C2E64"/>
    <w:rsid w:val="003C39B3"/>
    <w:rsid w:val="003C582C"/>
    <w:rsid w:val="003C5C91"/>
    <w:rsid w:val="003C7AA0"/>
    <w:rsid w:val="003D1604"/>
    <w:rsid w:val="003D1929"/>
    <w:rsid w:val="003D37E9"/>
    <w:rsid w:val="003D5541"/>
    <w:rsid w:val="003D6BF2"/>
    <w:rsid w:val="003D74E4"/>
    <w:rsid w:val="003E0CA3"/>
    <w:rsid w:val="003E0D46"/>
    <w:rsid w:val="003E3F5D"/>
    <w:rsid w:val="003F0C56"/>
    <w:rsid w:val="003F249E"/>
    <w:rsid w:val="003F2F8A"/>
    <w:rsid w:val="003F3CEF"/>
    <w:rsid w:val="003F6082"/>
    <w:rsid w:val="003F6201"/>
    <w:rsid w:val="003F6209"/>
    <w:rsid w:val="004009E9"/>
    <w:rsid w:val="00411E00"/>
    <w:rsid w:val="00413145"/>
    <w:rsid w:val="00413FA8"/>
    <w:rsid w:val="00415F26"/>
    <w:rsid w:val="00417AB2"/>
    <w:rsid w:val="00420046"/>
    <w:rsid w:val="00421176"/>
    <w:rsid w:val="004215F9"/>
    <w:rsid w:val="0042491E"/>
    <w:rsid w:val="00425C6F"/>
    <w:rsid w:val="00426974"/>
    <w:rsid w:val="0042768E"/>
    <w:rsid w:val="0043373E"/>
    <w:rsid w:val="00433F39"/>
    <w:rsid w:val="00434078"/>
    <w:rsid w:val="00435865"/>
    <w:rsid w:val="00437B95"/>
    <w:rsid w:val="00444C37"/>
    <w:rsid w:val="004450AF"/>
    <w:rsid w:val="00446B43"/>
    <w:rsid w:val="00446B91"/>
    <w:rsid w:val="00450181"/>
    <w:rsid w:val="00450628"/>
    <w:rsid w:val="00454077"/>
    <w:rsid w:val="00456821"/>
    <w:rsid w:val="004573B1"/>
    <w:rsid w:val="00460358"/>
    <w:rsid w:val="00461D9B"/>
    <w:rsid w:val="004635F0"/>
    <w:rsid w:val="00463BED"/>
    <w:rsid w:val="0046562B"/>
    <w:rsid w:val="004656C3"/>
    <w:rsid w:val="00466778"/>
    <w:rsid w:val="00470774"/>
    <w:rsid w:val="00470D41"/>
    <w:rsid w:val="00472245"/>
    <w:rsid w:val="00474D9F"/>
    <w:rsid w:val="004758A3"/>
    <w:rsid w:val="004771B1"/>
    <w:rsid w:val="004776C1"/>
    <w:rsid w:val="00477CEB"/>
    <w:rsid w:val="00480BE0"/>
    <w:rsid w:val="00480DBB"/>
    <w:rsid w:val="004833F0"/>
    <w:rsid w:val="004848EE"/>
    <w:rsid w:val="004851E1"/>
    <w:rsid w:val="00487887"/>
    <w:rsid w:val="004936A7"/>
    <w:rsid w:val="0049772C"/>
    <w:rsid w:val="00497F44"/>
    <w:rsid w:val="004A0171"/>
    <w:rsid w:val="004A20AD"/>
    <w:rsid w:val="004A3658"/>
    <w:rsid w:val="004A4C68"/>
    <w:rsid w:val="004A58E3"/>
    <w:rsid w:val="004A635F"/>
    <w:rsid w:val="004A6921"/>
    <w:rsid w:val="004B0060"/>
    <w:rsid w:val="004B17E2"/>
    <w:rsid w:val="004B3BE2"/>
    <w:rsid w:val="004B4284"/>
    <w:rsid w:val="004B77EE"/>
    <w:rsid w:val="004B7E57"/>
    <w:rsid w:val="004C0A98"/>
    <w:rsid w:val="004C0D63"/>
    <w:rsid w:val="004C3339"/>
    <w:rsid w:val="004C38D2"/>
    <w:rsid w:val="004C39B5"/>
    <w:rsid w:val="004C582E"/>
    <w:rsid w:val="004D0E7C"/>
    <w:rsid w:val="004D1BF5"/>
    <w:rsid w:val="004D31A6"/>
    <w:rsid w:val="004D35F8"/>
    <w:rsid w:val="004D3DBA"/>
    <w:rsid w:val="004D7611"/>
    <w:rsid w:val="004E11FC"/>
    <w:rsid w:val="004E3B8D"/>
    <w:rsid w:val="004E4F92"/>
    <w:rsid w:val="004E5ACE"/>
    <w:rsid w:val="004E739C"/>
    <w:rsid w:val="004F076B"/>
    <w:rsid w:val="004F0AE1"/>
    <w:rsid w:val="004F191A"/>
    <w:rsid w:val="004F24EF"/>
    <w:rsid w:val="004F2C81"/>
    <w:rsid w:val="004F3D9C"/>
    <w:rsid w:val="0050016B"/>
    <w:rsid w:val="0050049F"/>
    <w:rsid w:val="005009EF"/>
    <w:rsid w:val="00502849"/>
    <w:rsid w:val="005055C9"/>
    <w:rsid w:val="0050612D"/>
    <w:rsid w:val="00511F0B"/>
    <w:rsid w:val="00512A1F"/>
    <w:rsid w:val="00513704"/>
    <w:rsid w:val="00514C65"/>
    <w:rsid w:val="00515BC4"/>
    <w:rsid w:val="005164FB"/>
    <w:rsid w:val="005177E0"/>
    <w:rsid w:val="005178AF"/>
    <w:rsid w:val="0052004C"/>
    <w:rsid w:val="00520DD8"/>
    <w:rsid w:val="00523299"/>
    <w:rsid w:val="00523C73"/>
    <w:rsid w:val="005315EF"/>
    <w:rsid w:val="00533FC1"/>
    <w:rsid w:val="0053455F"/>
    <w:rsid w:val="005364B8"/>
    <w:rsid w:val="00537C62"/>
    <w:rsid w:val="00540868"/>
    <w:rsid w:val="00540980"/>
    <w:rsid w:val="00542738"/>
    <w:rsid w:val="00542D8F"/>
    <w:rsid w:val="00542F5B"/>
    <w:rsid w:val="00546418"/>
    <w:rsid w:val="00546CF0"/>
    <w:rsid w:val="0054779E"/>
    <w:rsid w:val="0054782F"/>
    <w:rsid w:val="00551034"/>
    <w:rsid w:val="005511ED"/>
    <w:rsid w:val="00553391"/>
    <w:rsid w:val="00553F6B"/>
    <w:rsid w:val="005558D3"/>
    <w:rsid w:val="005565C8"/>
    <w:rsid w:val="005579D2"/>
    <w:rsid w:val="0056063C"/>
    <w:rsid w:val="00561288"/>
    <w:rsid w:val="0056187A"/>
    <w:rsid w:val="00562321"/>
    <w:rsid w:val="005627C7"/>
    <w:rsid w:val="0056600D"/>
    <w:rsid w:val="00573F91"/>
    <w:rsid w:val="00574E2B"/>
    <w:rsid w:val="00575D05"/>
    <w:rsid w:val="00581201"/>
    <w:rsid w:val="00584B90"/>
    <w:rsid w:val="0058576B"/>
    <w:rsid w:val="00590657"/>
    <w:rsid w:val="0059231E"/>
    <w:rsid w:val="005927F3"/>
    <w:rsid w:val="00592B78"/>
    <w:rsid w:val="00593C92"/>
    <w:rsid w:val="00594ACB"/>
    <w:rsid w:val="0059520B"/>
    <w:rsid w:val="00595BA0"/>
    <w:rsid w:val="00597040"/>
    <w:rsid w:val="00597A35"/>
    <w:rsid w:val="00597CED"/>
    <w:rsid w:val="005A4209"/>
    <w:rsid w:val="005A5A0D"/>
    <w:rsid w:val="005A6150"/>
    <w:rsid w:val="005B1BE2"/>
    <w:rsid w:val="005B2FBC"/>
    <w:rsid w:val="005B726E"/>
    <w:rsid w:val="005B76F8"/>
    <w:rsid w:val="005C23CF"/>
    <w:rsid w:val="005C32E7"/>
    <w:rsid w:val="005C40F5"/>
    <w:rsid w:val="005C6400"/>
    <w:rsid w:val="005C794D"/>
    <w:rsid w:val="005D233A"/>
    <w:rsid w:val="005D3AD2"/>
    <w:rsid w:val="005D4BB7"/>
    <w:rsid w:val="005D4EFD"/>
    <w:rsid w:val="005D5D9D"/>
    <w:rsid w:val="005D6C9F"/>
    <w:rsid w:val="005E5344"/>
    <w:rsid w:val="005E77AB"/>
    <w:rsid w:val="005E7AEC"/>
    <w:rsid w:val="005F0133"/>
    <w:rsid w:val="005F363D"/>
    <w:rsid w:val="005F3C9E"/>
    <w:rsid w:val="005F5AF6"/>
    <w:rsid w:val="005F7534"/>
    <w:rsid w:val="00600108"/>
    <w:rsid w:val="006008BF"/>
    <w:rsid w:val="00600BAE"/>
    <w:rsid w:val="00601623"/>
    <w:rsid w:val="00602190"/>
    <w:rsid w:val="0060253B"/>
    <w:rsid w:val="0060311F"/>
    <w:rsid w:val="00605CC6"/>
    <w:rsid w:val="0061006A"/>
    <w:rsid w:val="00611B8B"/>
    <w:rsid w:val="00612677"/>
    <w:rsid w:val="006127DF"/>
    <w:rsid w:val="0061298E"/>
    <w:rsid w:val="00616B00"/>
    <w:rsid w:val="00616D52"/>
    <w:rsid w:val="006175DB"/>
    <w:rsid w:val="006214A3"/>
    <w:rsid w:val="00622B19"/>
    <w:rsid w:val="00622E78"/>
    <w:rsid w:val="00624384"/>
    <w:rsid w:val="0062527D"/>
    <w:rsid w:val="006264D2"/>
    <w:rsid w:val="006264DC"/>
    <w:rsid w:val="006304A5"/>
    <w:rsid w:val="00630789"/>
    <w:rsid w:val="00632720"/>
    <w:rsid w:val="00633FF3"/>
    <w:rsid w:val="00634573"/>
    <w:rsid w:val="006365B8"/>
    <w:rsid w:val="006379D0"/>
    <w:rsid w:val="00640AC6"/>
    <w:rsid w:val="0064152E"/>
    <w:rsid w:val="006427CD"/>
    <w:rsid w:val="006468D9"/>
    <w:rsid w:val="00647AF2"/>
    <w:rsid w:val="006512E9"/>
    <w:rsid w:val="00651497"/>
    <w:rsid w:val="00651950"/>
    <w:rsid w:val="00651CF2"/>
    <w:rsid w:val="006524C3"/>
    <w:rsid w:val="0065291E"/>
    <w:rsid w:val="00655EBC"/>
    <w:rsid w:val="00662B8A"/>
    <w:rsid w:val="00665357"/>
    <w:rsid w:val="006667DB"/>
    <w:rsid w:val="0066771C"/>
    <w:rsid w:val="00667E60"/>
    <w:rsid w:val="00670717"/>
    <w:rsid w:val="00670BF0"/>
    <w:rsid w:val="0067137A"/>
    <w:rsid w:val="006719D1"/>
    <w:rsid w:val="006759DC"/>
    <w:rsid w:val="00675F5D"/>
    <w:rsid w:val="00683EE8"/>
    <w:rsid w:val="00685F24"/>
    <w:rsid w:val="006870CA"/>
    <w:rsid w:val="0068778F"/>
    <w:rsid w:val="0069073C"/>
    <w:rsid w:val="00692878"/>
    <w:rsid w:val="00693336"/>
    <w:rsid w:val="006A07C6"/>
    <w:rsid w:val="006A2DF5"/>
    <w:rsid w:val="006A3085"/>
    <w:rsid w:val="006A30CD"/>
    <w:rsid w:val="006A32EE"/>
    <w:rsid w:val="006A4789"/>
    <w:rsid w:val="006B041B"/>
    <w:rsid w:val="006B3534"/>
    <w:rsid w:val="006B447B"/>
    <w:rsid w:val="006B6703"/>
    <w:rsid w:val="006B716D"/>
    <w:rsid w:val="006B79D0"/>
    <w:rsid w:val="006C30AD"/>
    <w:rsid w:val="006C4532"/>
    <w:rsid w:val="006C4929"/>
    <w:rsid w:val="006C5961"/>
    <w:rsid w:val="006C71EF"/>
    <w:rsid w:val="006D000F"/>
    <w:rsid w:val="006D02F2"/>
    <w:rsid w:val="006D0BBA"/>
    <w:rsid w:val="006D0BED"/>
    <w:rsid w:val="006D3EDC"/>
    <w:rsid w:val="006D6E1C"/>
    <w:rsid w:val="006D7E33"/>
    <w:rsid w:val="006E1205"/>
    <w:rsid w:val="006E1C3C"/>
    <w:rsid w:val="006E4762"/>
    <w:rsid w:val="006E53C9"/>
    <w:rsid w:val="006E6857"/>
    <w:rsid w:val="006E7B68"/>
    <w:rsid w:val="006F003B"/>
    <w:rsid w:val="006F014E"/>
    <w:rsid w:val="006F5B47"/>
    <w:rsid w:val="006F65FB"/>
    <w:rsid w:val="006F6B0A"/>
    <w:rsid w:val="006F76B7"/>
    <w:rsid w:val="006F7DAF"/>
    <w:rsid w:val="007008FE"/>
    <w:rsid w:val="00701396"/>
    <w:rsid w:val="0070593D"/>
    <w:rsid w:val="0070605B"/>
    <w:rsid w:val="007068CB"/>
    <w:rsid w:val="00706EF6"/>
    <w:rsid w:val="00707206"/>
    <w:rsid w:val="0071000C"/>
    <w:rsid w:val="00710FDF"/>
    <w:rsid w:val="00712D18"/>
    <w:rsid w:val="0071349A"/>
    <w:rsid w:val="007136CC"/>
    <w:rsid w:val="0071383B"/>
    <w:rsid w:val="00715950"/>
    <w:rsid w:val="007171B9"/>
    <w:rsid w:val="00717CA3"/>
    <w:rsid w:val="00721536"/>
    <w:rsid w:val="0072388C"/>
    <w:rsid w:val="0072390E"/>
    <w:rsid w:val="00723AF4"/>
    <w:rsid w:val="00723D93"/>
    <w:rsid w:val="007268C5"/>
    <w:rsid w:val="0072705E"/>
    <w:rsid w:val="00727685"/>
    <w:rsid w:val="007277B5"/>
    <w:rsid w:val="007314C7"/>
    <w:rsid w:val="00731C4A"/>
    <w:rsid w:val="00732250"/>
    <w:rsid w:val="0073393F"/>
    <w:rsid w:val="00733D33"/>
    <w:rsid w:val="00735C21"/>
    <w:rsid w:val="00740BE9"/>
    <w:rsid w:val="00743A02"/>
    <w:rsid w:val="00745305"/>
    <w:rsid w:val="0074716E"/>
    <w:rsid w:val="0074720C"/>
    <w:rsid w:val="007475CC"/>
    <w:rsid w:val="00751019"/>
    <w:rsid w:val="00751220"/>
    <w:rsid w:val="00752798"/>
    <w:rsid w:val="007556A9"/>
    <w:rsid w:val="00756F61"/>
    <w:rsid w:val="00763835"/>
    <w:rsid w:val="00763FFD"/>
    <w:rsid w:val="00766536"/>
    <w:rsid w:val="007665D8"/>
    <w:rsid w:val="0077006F"/>
    <w:rsid w:val="0077230C"/>
    <w:rsid w:val="00772782"/>
    <w:rsid w:val="00773699"/>
    <w:rsid w:val="00774432"/>
    <w:rsid w:val="00775324"/>
    <w:rsid w:val="0077610A"/>
    <w:rsid w:val="00776CAC"/>
    <w:rsid w:val="00781B7D"/>
    <w:rsid w:val="00784D30"/>
    <w:rsid w:val="00786162"/>
    <w:rsid w:val="00786ED9"/>
    <w:rsid w:val="00787990"/>
    <w:rsid w:val="00787CE5"/>
    <w:rsid w:val="00791EF3"/>
    <w:rsid w:val="007954CF"/>
    <w:rsid w:val="007A1058"/>
    <w:rsid w:val="007A1717"/>
    <w:rsid w:val="007A28FB"/>
    <w:rsid w:val="007A2D82"/>
    <w:rsid w:val="007A3C87"/>
    <w:rsid w:val="007A5C46"/>
    <w:rsid w:val="007B0F47"/>
    <w:rsid w:val="007B273A"/>
    <w:rsid w:val="007B34BF"/>
    <w:rsid w:val="007B3938"/>
    <w:rsid w:val="007B40E6"/>
    <w:rsid w:val="007B4C05"/>
    <w:rsid w:val="007B5755"/>
    <w:rsid w:val="007B75B8"/>
    <w:rsid w:val="007C16D3"/>
    <w:rsid w:val="007C16E0"/>
    <w:rsid w:val="007C1FD8"/>
    <w:rsid w:val="007C2041"/>
    <w:rsid w:val="007C4A4B"/>
    <w:rsid w:val="007C668B"/>
    <w:rsid w:val="007C7FA8"/>
    <w:rsid w:val="007C7FAD"/>
    <w:rsid w:val="007D150F"/>
    <w:rsid w:val="007D1914"/>
    <w:rsid w:val="007D2680"/>
    <w:rsid w:val="007D2DE0"/>
    <w:rsid w:val="007D6B28"/>
    <w:rsid w:val="007D6CAB"/>
    <w:rsid w:val="007E0B3B"/>
    <w:rsid w:val="007E1575"/>
    <w:rsid w:val="007E28E1"/>
    <w:rsid w:val="007E3B84"/>
    <w:rsid w:val="007E3FB5"/>
    <w:rsid w:val="007F0EBA"/>
    <w:rsid w:val="007F2752"/>
    <w:rsid w:val="007F501B"/>
    <w:rsid w:val="007F66F8"/>
    <w:rsid w:val="008005C3"/>
    <w:rsid w:val="008009C9"/>
    <w:rsid w:val="008012B5"/>
    <w:rsid w:val="00801338"/>
    <w:rsid w:val="008053C7"/>
    <w:rsid w:val="0080616C"/>
    <w:rsid w:val="008064E8"/>
    <w:rsid w:val="00806C22"/>
    <w:rsid w:val="008076F2"/>
    <w:rsid w:val="00813010"/>
    <w:rsid w:val="00813451"/>
    <w:rsid w:val="00814E6E"/>
    <w:rsid w:val="00817E10"/>
    <w:rsid w:val="008209C5"/>
    <w:rsid w:val="0082210F"/>
    <w:rsid w:val="0082553D"/>
    <w:rsid w:val="00826249"/>
    <w:rsid w:val="00832AC1"/>
    <w:rsid w:val="008339A1"/>
    <w:rsid w:val="0083417A"/>
    <w:rsid w:val="0083464D"/>
    <w:rsid w:val="00834EA2"/>
    <w:rsid w:val="0083549A"/>
    <w:rsid w:val="00835D8F"/>
    <w:rsid w:val="0083605E"/>
    <w:rsid w:val="00841F8C"/>
    <w:rsid w:val="008436B1"/>
    <w:rsid w:val="00843B90"/>
    <w:rsid w:val="00843FC9"/>
    <w:rsid w:val="00844528"/>
    <w:rsid w:val="00847BC7"/>
    <w:rsid w:val="00852A43"/>
    <w:rsid w:val="00853A56"/>
    <w:rsid w:val="0085422B"/>
    <w:rsid w:val="00854F6E"/>
    <w:rsid w:val="00855863"/>
    <w:rsid w:val="00856A05"/>
    <w:rsid w:val="008615A0"/>
    <w:rsid w:val="0086729D"/>
    <w:rsid w:val="00871EBD"/>
    <w:rsid w:val="00874639"/>
    <w:rsid w:val="00874661"/>
    <w:rsid w:val="008750E8"/>
    <w:rsid w:val="00876052"/>
    <w:rsid w:val="00880367"/>
    <w:rsid w:val="0088211D"/>
    <w:rsid w:val="008824DC"/>
    <w:rsid w:val="008827C5"/>
    <w:rsid w:val="008830A1"/>
    <w:rsid w:val="00884E3B"/>
    <w:rsid w:val="00890BEB"/>
    <w:rsid w:val="00891E1E"/>
    <w:rsid w:val="008923EB"/>
    <w:rsid w:val="0089246C"/>
    <w:rsid w:val="00893667"/>
    <w:rsid w:val="00893E3E"/>
    <w:rsid w:val="00895687"/>
    <w:rsid w:val="00895FFC"/>
    <w:rsid w:val="008969E3"/>
    <w:rsid w:val="00896E00"/>
    <w:rsid w:val="008A0617"/>
    <w:rsid w:val="008A14D9"/>
    <w:rsid w:val="008A1D5B"/>
    <w:rsid w:val="008A2074"/>
    <w:rsid w:val="008A513C"/>
    <w:rsid w:val="008A5E06"/>
    <w:rsid w:val="008A7625"/>
    <w:rsid w:val="008A79C4"/>
    <w:rsid w:val="008A7C0C"/>
    <w:rsid w:val="008B0BC3"/>
    <w:rsid w:val="008B4C0B"/>
    <w:rsid w:val="008B715D"/>
    <w:rsid w:val="008B7E50"/>
    <w:rsid w:val="008C130D"/>
    <w:rsid w:val="008C20CE"/>
    <w:rsid w:val="008C2B07"/>
    <w:rsid w:val="008C3A9D"/>
    <w:rsid w:val="008C3FDF"/>
    <w:rsid w:val="008C523D"/>
    <w:rsid w:val="008C5673"/>
    <w:rsid w:val="008C6B3B"/>
    <w:rsid w:val="008C798A"/>
    <w:rsid w:val="008C79DA"/>
    <w:rsid w:val="008D14FD"/>
    <w:rsid w:val="008D2FAC"/>
    <w:rsid w:val="008D76AD"/>
    <w:rsid w:val="008E1673"/>
    <w:rsid w:val="008E1685"/>
    <w:rsid w:val="008E1938"/>
    <w:rsid w:val="008E2411"/>
    <w:rsid w:val="008E3951"/>
    <w:rsid w:val="008E421B"/>
    <w:rsid w:val="008E4C2D"/>
    <w:rsid w:val="008E5F65"/>
    <w:rsid w:val="008E6568"/>
    <w:rsid w:val="008E6F02"/>
    <w:rsid w:val="008F0A60"/>
    <w:rsid w:val="008F2DF5"/>
    <w:rsid w:val="008F6E4E"/>
    <w:rsid w:val="008F7732"/>
    <w:rsid w:val="008F7DD7"/>
    <w:rsid w:val="009020E9"/>
    <w:rsid w:val="009021C4"/>
    <w:rsid w:val="0090422D"/>
    <w:rsid w:val="00907203"/>
    <w:rsid w:val="009108D9"/>
    <w:rsid w:val="00910A80"/>
    <w:rsid w:val="00911192"/>
    <w:rsid w:val="009113D5"/>
    <w:rsid w:val="009149E3"/>
    <w:rsid w:val="00915CE6"/>
    <w:rsid w:val="00916E6C"/>
    <w:rsid w:val="009172C9"/>
    <w:rsid w:val="00920880"/>
    <w:rsid w:val="00920BFE"/>
    <w:rsid w:val="009219BA"/>
    <w:rsid w:val="00922919"/>
    <w:rsid w:val="00922C7D"/>
    <w:rsid w:val="00926465"/>
    <w:rsid w:val="00927297"/>
    <w:rsid w:val="0092761E"/>
    <w:rsid w:val="00927A1F"/>
    <w:rsid w:val="009300D2"/>
    <w:rsid w:val="009302FA"/>
    <w:rsid w:val="00933231"/>
    <w:rsid w:val="0093431A"/>
    <w:rsid w:val="0093742A"/>
    <w:rsid w:val="009418BB"/>
    <w:rsid w:val="00944D30"/>
    <w:rsid w:val="0095281A"/>
    <w:rsid w:val="009538DC"/>
    <w:rsid w:val="00957A7C"/>
    <w:rsid w:val="00960F4B"/>
    <w:rsid w:val="00961340"/>
    <w:rsid w:val="00961ABB"/>
    <w:rsid w:val="00963183"/>
    <w:rsid w:val="009637A4"/>
    <w:rsid w:val="009639CB"/>
    <w:rsid w:val="009645A3"/>
    <w:rsid w:val="00965A4C"/>
    <w:rsid w:val="00967252"/>
    <w:rsid w:val="00971AFA"/>
    <w:rsid w:val="00973F51"/>
    <w:rsid w:val="009741E9"/>
    <w:rsid w:val="00976069"/>
    <w:rsid w:val="00976460"/>
    <w:rsid w:val="009808D1"/>
    <w:rsid w:val="0098133A"/>
    <w:rsid w:val="0098279C"/>
    <w:rsid w:val="00983610"/>
    <w:rsid w:val="00987EC7"/>
    <w:rsid w:val="00990736"/>
    <w:rsid w:val="00992BFA"/>
    <w:rsid w:val="00995B54"/>
    <w:rsid w:val="00996159"/>
    <w:rsid w:val="009A06AF"/>
    <w:rsid w:val="009A0769"/>
    <w:rsid w:val="009A0F9F"/>
    <w:rsid w:val="009A262D"/>
    <w:rsid w:val="009A2BE4"/>
    <w:rsid w:val="009A36C9"/>
    <w:rsid w:val="009A6B88"/>
    <w:rsid w:val="009B0ADE"/>
    <w:rsid w:val="009B2522"/>
    <w:rsid w:val="009B2CAB"/>
    <w:rsid w:val="009B3129"/>
    <w:rsid w:val="009B33C2"/>
    <w:rsid w:val="009B45F8"/>
    <w:rsid w:val="009B697A"/>
    <w:rsid w:val="009B79D6"/>
    <w:rsid w:val="009C1E18"/>
    <w:rsid w:val="009C35C4"/>
    <w:rsid w:val="009C4E7D"/>
    <w:rsid w:val="009C58E6"/>
    <w:rsid w:val="009C59B2"/>
    <w:rsid w:val="009D050D"/>
    <w:rsid w:val="009D1047"/>
    <w:rsid w:val="009D5715"/>
    <w:rsid w:val="009D66CA"/>
    <w:rsid w:val="009E51A6"/>
    <w:rsid w:val="009E5E00"/>
    <w:rsid w:val="009F0205"/>
    <w:rsid w:val="009F05A7"/>
    <w:rsid w:val="009F07D1"/>
    <w:rsid w:val="009F1CE0"/>
    <w:rsid w:val="009F2EB8"/>
    <w:rsid w:val="009F7470"/>
    <w:rsid w:val="00A04623"/>
    <w:rsid w:val="00A04850"/>
    <w:rsid w:val="00A05063"/>
    <w:rsid w:val="00A06D64"/>
    <w:rsid w:val="00A073EF"/>
    <w:rsid w:val="00A07D0B"/>
    <w:rsid w:val="00A10A7C"/>
    <w:rsid w:val="00A110A0"/>
    <w:rsid w:val="00A11AA5"/>
    <w:rsid w:val="00A13051"/>
    <w:rsid w:val="00A13798"/>
    <w:rsid w:val="00A140C1"/>
    <w:rsid w:val="00A1680F"/>
    <w:rsid w:val="00A25CB6"/>
    <w:rsid w:val="00A278B6"/>
    <w:rsid w:val="00A30226"/>
    <w:rsid w:val="00A312B8"/>
    <w:rsid w:val="00A31376"/>
    <w:rsid w:val="00A3185D"/>
    <w:rsid w:val="00A3315A"/>
    <w:rsid w:val="00A3343F"/>
    <w:rsid w:val="00A343AA"/>
    <w:rsid w:val="00A345F2"/>
    <w:rsid w:val="00A35F5E"/>
    <w:rsid w:val="00A40D3F"/>
    <w:rsid w:val="00A42DA2"/>
    <w:rsid w:val="00A4405E"/>
    <w:rsid w:val="00A44096"/>
    <w:rsid w:val="00A44EDA"/>
    <w:rsid w:val="00A466C5"/>
    <w:rsid w:val="00A53A68"/>
    <w:rsid w:val="00A554DA"/>
    <w:rsid w:val="00A569F5"/>
    <w:rsid w:val="00A56DA9"/>
    <w:rsid w:val="00A60DB1"/>
    <w:rsid w:val="00A614A3"/>
    <w:rsid w:val="00A619AF"/>
    <w:rsid w:val="00A61C54"/>
    <w:rsid w:val="00A61C82"/>
    <w:rsid w:val="00A6207B"/>
    <w:rsid w:val="00A62B56"/>
    <w:rsid w:val="00A63E8D"/>
    <w:rsid w:val="00A649E7"/>
    <w:rsid w:val="00A66E05"/>
    <w:rsid w:val="00A673EB"/>
    <w:rsid w:val="00A736AA"/>
    <w:rsid w:val="00A759F0"/>
    <w:rsid w:val="00A75F1D"/>
    <w:rsid w:val="00A7624E"/>
    <w:rsid w:val="00A77031"/>
    <w:rsid w:val="00A83B60"/>
    <w:rsid w:val="00A8617F"/>
    <w:rsid w:val="00A941EA"/>
    <w:rsid w:val="00A95170"/>
    <w:rsid w:val="00AA04F7"/>
    <w:rsid w:val="00AA1409"/>
    <w:rsid w:val="00AA1E55"/>
    <w:rsid w:val="00AA3961"/>
    <w:rsid w:val="00AA5D66"/>
    <w:rsid w:val="00AA7846"/>
    <w:rsid w:val="00AA7B1F"/>
    <w:rsid w:val="00AB0FB9"/>
    <w:rsid w:val="00AB15ED"/>
    <w:rsid w:val="00AB4381"/>
    <w:rsid w:val="00AB5852"/>
    <w:rsid w:val="00AB703F"/>
    <w:rsid w:val="00AB7A4B"/>
    <w:rsid w:val="00AC0E96"/>
    <w:rsid w:val="00AC25CD"/>
    <w:rsid w:val="00AC2FFB"/>
    <w:rsid w:val="00AC3929"/>
    <w:rsid w:val="00AC4293"/>
    <w:rsid w:val="00AC454F"/>
    <w:rsid w:val="00AC6143"/>
    <w:rsid w:val="00AC6808"/>
    <w:rsid w:val="00AC6B20"/>
    <w:rsid w:val="00AD4451"/>
    <w:rsid w:val="00AD4B01"/>
    <w:rsid w:val="00AD5124"/>
    <w:rsid w:val="00AE3023"/>
    <w:rsid w:val="00AE703B"/>
    <w:rsid w:val="00AE7E18"/>
    <w:rsid w:val="00AF4B9F"/>
    <w:rsid w:val="00AF4D77"/>
    <w:rsid w:val="00B00339"/>
    <w:rsid w:val="00B02CF7"/>
    <w:rsid w:val="00B04BE1"/>
    <w:rsid w:val="00B062AA"/>
    <w:rsid w:val="00B11F32"/>
    <w:rsid w:val="00B12DF0"/>
    <w:rsid w:val="00B2019A"/>
    <w:rsid w:val="00B20290"/>
    <w:rsid w:val="00B20971"/>
    <w:rsid w:val="00B20DC8"/>
    <w:rsid w:val="00B22923"/>
    <w:rsid w:val="00B23B2F"/>
    <w:rsid w:val="00B268FE"/>
    <w:rsid w:val="00B27651"/>
    <w:rsid w:val="00B27F29"/>
    <w:rsid w:val="00B30122"/>
    <w:rsid w:val="00B32EAB"/>
    <w:rsid w:val="00B41341"/>
    <w:rsid w:val="00B417BA"/>
    <w:rsid w:val="00B450A3"/>
    <w:rsid w:val="00B4570B"/>
    <w:rsid w:val="00B546B3"/>
    <w:rsid w:val="00B55959"/>
    <w:rsid w:val="00B56CB8"/>
    <w:rsid w:val="00B56FFD"/>
    <w:rsid w:val="00B60379"/>
    <w:rsid w:val="00B62A93"/>
    <w:rsid w:val="00B66288"/>
    <w:rsid w:val="00B67DAC"/>
    <w:rsid w:val="00B72116"/>
    <w:rsid w:val="00B72703"/>
    <w:rsid w:val="00B75686"/>
    <w:rsid w:val="00B75D14"/>
    <w:rsid w:val="00B7606F"/>
    <w:rsid w:val="00B773A7"/>
    <w:rsid w:val="00B838C4"/>
    <w:rsid w:val="00B85225"/>
    <w:rsid w:val="00B85FF1"/>
    <w:rsid w:val="00B86A92"/>
    <w:rsid w:val="00B9164F"/>
    <w:rsid w:val="00B952CA"/>
    <w:rsid w:val="00B96A3E"/>
    <w:rsid w:val="00BA0816"/>
    <w:rsid w:val="00BA0F83"/>
    <w:rsid w:val="00BA363F"/>
    <w:rsid w:val="00BA3E1A"/>
    <w:rsid w:val="00BA40B5"/>
    <w:rsid w:val="00BA4366"/>
    <w:rsid w:val="00BA59F4"/>
    <w:rsid w:val="00BA71AD"/>
    <w:rsid w:val="00BA7B0F"/>
    <w:rsid w:val="00BB097F"/>
    <w:rsid w:val="00BB0C10"/>
    <w:rsid w:val="00BB0C7F"/>
    <w:rsid w:val="00BB1E75"/>
    <w:rsid w:val="00BB20C6"/>
    <w:rsid w:val="00BB2634"/>
    <w:rsid w:val="00BB3E6B"/>
    <w:rsid w:val="00BB4908"/>
    <w:rsid w:val="00BB5F02"/>
    <w:rsid w:val="00BB7281"/>
    <w:rsid w:val="00BB7A66"/>
    <w:rsid w:val="00BC0505"/>
    <w:rsid w:val="00BC17FD"/>
    <w:rsid w:val="00BC29FA"/>
    <w:rsid w:val="00BC4034"/>
    <w:rsid w:val="00BC45E6"/>
    <w:rsid w:val="00BC5905"/>
    <w:rsid w:val="00BC594B"/>
    <w:rsid w:val="00BC5F94"/>
    <w:rsid w:val="00BC62DD"/>
    <w:rsid w:val="00BC6825"/>
    <w:rsid w:val="00BC7257"/>
    <w:rsid w:val="00BC7C6F"/>
    <w:rsid w:val="00BD2FA7"/>
    <w:rsid w:val="00BD574C"/>
    <w:rsid w:val="00BD6095"/>
    <w:rsid w:val="00BE0AF6"/>
    <w:rsid w:val="00BE30BB"/>
    <w:rsid w:val="00BE39AA"/>
    <w:rsid w:val="00BE5FAF"/>
    <w:rsid w:val="00BE5FD6"/>
    <w:rsid w:val="00BE60FF"/>
    <w:rsid w:val="00BE74C2"/>
    <w:rsid w:val="00BE7667"/>
    <w:rsid w:val="00BF120B"/>
    <w:rsid w:val="00BF21DE"/>
    <w:rsid w:val="00BF2F4A"/>
    <w:rsid w:val="00BF58EA"/>
    <w:rsid w:val="00BF5E50"/>
    <w:rsid w:val="00BF663B"/>
    <w:rsid w:val="00BF7DD5"/>
    <w:rsid w:val="00C000C2"/>
    <w:rsid w:val="00C011C0"/>
    <w:rsid w:val="00C03282"/>
    <w:rsid w:val="00C0389C"/>
    <w:rsid w:val="00C0655D"/>
    <w:rsid w:val="00C067F6"/>
    <w:rsid w:val="00C103A8"/>
    <w:rsid w:val="00C10700"/>
    <w:rsid w:val="00C12691"/>
    <w:rsid w:val="00C13703"/>
    <w:rsid w:val="00C13A96"/>
    <w:rsid w:val="00C1531F"/>
    <w:rsid w:val="00C15CC0"/>
    <w:rsid w:val="00C15F11"/>
    <w:rsid w:val="00C16788"/>
    <w:rsid w:val="00C16F52"/>
    <w:rsid w:val="00C17B2C"/>
    <w:rsid w:val="00C221D7"/>
    <w:rsid w:val="00C26D6D"/>
    <w:rsid w:val="00C27398"/>
    <w:rsid w:val="00C31414"/>
    <w:rsid w:val="00C31946"/>
    <w:rsid w:val="00C321C9"/>
    <w:rsid w:val="00C32474"/>
    <w:rsid w:val="00C330FF"/>
    <w:rsid w:val="00C33568"/>
    <w:rsid w:val="00C3385E"/>
    <w:rsid w:val="00C34006"/>
    <w:rsid w:val="00C349AA"/>
    <w:rsid w:val="00C423F9"/>
    <w:rsid w:val="00C450BE"/>
    <w:rsid w:val="00C4517B"/>
    <w:rsid w:val="00C506D0"/>
    <w:rsid w:val="00C510BB"/>
    <w:rsid w:val="00C553A0"/>
    <w:rsid w:val="00C5693F"/>
    <w:rsid w:val="00C578F7"/>
    <w:rsid w:val="00C57B84"/>
    <w:rsid w:val="00C60864"/>
    <w:rsid w:val="00C6329B"/>
    <w:rsid w:val="00C64631"/>
    <w:rsid w:val="00C65510"/>
    <w:rsid w:val="00C65F48"/>
    <w:rsid w:val="00C66DA9"/>
    <w:rsid w:val="00C7168E"/>
    <w:rsid w:val="00C71AD6"/>
    <w:rsid w:val="00C77242"/>
    <w:rsid w:val="00C77676"/>
    <w:rsid w:val="00C81811"/>
    <w:rsid w:val="00C82051"/>
    <w:rsid w:val="00C85A66"/>
    <w:rsid w:val="00C85A81"/>
    <w:rsid w:val="00C91321"/>
    <w:rsid w:val="00C9249B"/>
    <w:rsid w:val="00C94EBF"/>
    <w:rsid w:val="00C95264"/>
    <w:rsid w:val="00C974A7"/>
    <w:rsid w:val="00CA02D5"/>
    <w:rsid w:val="00CA181B"/>
    <w:rsid w:val="00CA5710"/>
    <w:rsid w:val="00CA5D2C"/>
    <w:rsid w:val="00CA7151"/>
    <w:rsid w:val="00CB2F68"/>
    <w:rsid w:val="00CB51C8"/>
    <w:rsid w:val="00CB5474"/>
    <w:rsid w:val="00CB7982"/>
    <w:rsid w:val="00CC34CC"/>
    <w:rsid w:val="00CC3C70"/>
    <w:rsid w:val="00CC50BF"/>
    <w:rsid w:val="00CD29F0"/>
    <w:rsid w:val="00CD44BA"/>
    <w:rsid w:val="00CD6355"/>
    <w:rsid w:val="00CE3039"/>
    <w:rsid w:val="00CE7E30"/>
    <w:rsid w:val="00CF7EC8"/>
    <w:rsid w:val="00D00451"/>
    <w:rsid w:val="00D00DED"/>
    <w:rsid w:val="00D01CAE"/>
    <w:rsid w:val="00D040FE"/>
    <w:rsid w:val="00D04292"/>
    <w:rsid w:val="00D05548"/>
    <w:rsid w:val="00D0667C"/>
    <w:rsid w:val="00D07099"/>
    <w:rsid w:val="00D13F13"/>
    <w:rsid w:val="00D14411"/>
    <w:rsid w:val="00D16142"/>
    <w:rsid w:val="00D2053B"/>
    <w:rsid w:val="00D22C2D"/>
    <w:rsid w:val="00D23DA7"/>
    <w:rsid w:val="00D23E0A"/>
    <w:rsid w:val="00D24709"/>
    <w:rsid w:val="00D27BEE"/>
    <w:rsid w:val="00D313D8"/>
    <w:rsid w:val="00D32380"/>
    <w:rsid w:val="00D3248A"/>
    <w:rsid w:val="00D32D25"/>
    <w:rsid w:val="00D33B17"/>
    <w:rsid w:val="00D3495C"/>
    <w:rsid w:val="00D35DF4"/>
    <w:rsid w:val="00D36395"/>
    <w:rsid w:val="00D368F8"/>
    <w:rsid w:val="00D4314C"/>
    <w:rsid w:val="00D47531"/>
    <w:rsid w:val="00D47FF6"/>
    <w:rsid w:val="00D508AA"/>
    <w:rsid w:val="00D51EEF"/>
    <w:rsid w:val="00D547D9"/>
    <w:rsid w:val="00D5601D"/>
    <w:rsid w:val="00D57576"/>
    <w:rsid w:val="00D60766"/>
    <w:rsid w:val="00D61273"/>
    <w:rsid w:val="00D648CB"/>
    <w:rsid w:val="00D64CC0"/>
    <w:rsid w:val="00D70385"/>
    <w:rsid w:val="00D71D63"/>
    <w:rsid w:val="00D7203C"/>
    <w:rsid w:val="00D72E99"/>
    <w:rsid w:val="00D737ED"/>
    <w:rsid w:val="00D73CC6"/>
    <w:rsid w:val="00D771DA"/>
    <w:rsid w:val="00D8046A"/>
    <w:rsid w:val="00D80EA3"/>
    <w:rsid w:val="00D81578"/>
    <w:rsid w:val="00D82BD5"/>
    <w:rsid w:val="00D831F2"/>
    <w:rsid w:val="00D86EF4"/>
    <w:rsid w:val="00D87C06"/>
    <w:rsid w:val="00D87E4E"/>
    <w:rsid w:val="00D90BE9"/>
    <w:rsid w:val="00D912EE"/>
    <w:rsid w:val="00D9184C"/>
    <w:rsid w:val="00D91D4E"/>
    <w:rsid w:val="00D93AEC"/>
    <w:rsid w:val="00D953B9"/>
    <w:rsid w:val="00D96DF7"/>
    <w:rsid w:val="00D977FD"/>
    <w:rsid w:val="00D97F4D"/>
    <w:rsid w:val="00DA0184"/>
    <w:rsid w:val="00DA20F2"/>
    <w:rsid w:val="00DA3AC5"/>
    <w:rsid w:val="00DA4CB4"/>
    <w:rsid w:val="00DA4CCF"/>
    <w:rsid w:val="00DA6065"/>
    <w:rsid w:val="00DA7542"/>
    <w:rsid w:val="00DB0121"/>
    <w:rsid w:val="00DB20F7"/>
    <w:rsid w:val="00DB2381"/>
    <w:rsid w:val="00DB297C"/>
    <w:rsid w:val="00DB2B35"/>
    <w:rsid w:val="00DB3198"/>
    <w:rsid w:val="00DB329C"/>
    <w:rsid w:val="00DB53A9"/>
    <w:rsid w:val="00DB6056"/>
    <w:rsid w:val="00DB63A7"/>
    <w:rsid w:val="00DC2C49"/>
    <w:rsid w:val="00DC2E24"/>
    <w:rsid w:val="00DC45DA"/>
    <w:rsid w:val="00DC66E0"/>
    <w:rsid w:val="00DD1823"/>
    <w:rsid w:val="00DD2577"/>
    <w:rsid w:val="00DD306F"/>
    <w:rsid w:val="00DD3CF6"/>
    <w:rsid w:val="00DD414C"/>
    <w:rsid w:val="00DD4ED5"/>
    <w:rsid w:val="00DD6428"/>
    <w:rsid w:val="00DD6E3F"/>
    <w:rsid w:val="00DE2ECE"/>
    <w:rsid w:val="00DE3FBB"/>
    <w:rsid w:val="00DE67D4"/>
    <w:rsid w:val="00DE6A42"/>
    <w:rsid w:val="00DE7129"/>
    <w:rsid w:val="00DE71F1"/>
    <w:rsid w:val="00DF3AA9"/>
    <w:rsid w:val="00DF3B49"/>
    <w:rsid w:val="00DF3C6E"/>
    <w:rsid w:val="00DF4222"/>
    <w:rsid w:val="00DF6FF7"/>
    <w:rsid w:val="00DF7248"/>
    <w:rsid w:val="00E00161"/>
    <w:rsid w:val="00E01FF3"/>
    <w:rsid w:val="00E027F2"/>
    <w:rsid w:val="00E03180"/>
    <w:rsid w:val="00E0449E"/>
    <w:rsid w:val="00E13B13"/>
    <w:rsid w:val="00E14858"/>
    <w:rsid w:val="00E14E6B"/>
    <w:rsid w:val="00E152FE"/>
    <w:rsid w:val="00E15560"/>
    <w:rsid w:val="00E16302"/>
    <w:rsid w:val="00E16503"/>
    <w:rsid w:val="00E16EFB"/>
    <w:rsid w:val="00E214A8"/>
    <w:rsid w:val="00E32C97"/>
    <w:rsid w:val="00E32D32"/>
    <w:rsid w:val="00E34308"/>
    <w:rsid w:val="00E357D4"/>
    <w:rsid w:val="00E35D89"/>
    <w:rsid w:val="00E35DDE"/>
    <w:rsid w:val="00E360D4"/>
    <w:rsid w:val="00E401CF"/>
    <w:rsid w:val="00E41321"/>
    <w:rsid w:val="00E41858"/>
    <w:rsid w:val="00E42892"/>
    <w:rsid w:val="00E44DE1"/>
    <w:rsid w:val="00E44F62"/>
    <w:rsid w:val="00E4551B"/>
    <w:rsid w:val="00E464C9"/>
    <w:rsid w:val="00E46704"/>
    <w:rsid w:val="00E46E1A"/>
    <w:rsid w:val="00E476B2"/>
    <w:rsid w:val="00E5090D"/>
    <w:rsid w:val="00E50E9D"/>
    <w:rsid w:val="00E516C8"/>
    <w:rsid w:val="00E522F2"/>
    <w:rsid w:val="00E533F7"/>
    <w:rsid w:val="00E53841"/>
    <w:rsid w:val="00E57A3D"/>
    <w:rsid w:val="00E57AB0"/>
    <w:rsid w:val="00E57CB3"/>
    <w:rsid w:val="00E629E9"/>
    <w:rsid w:val="00E62CF3"/>
    <w:rsid w:val="00E63992"/>
    <w:rsid w:val="00E6671C"/>
    <w:rsid w:val="00E66B48"/>
    <w:rsid w:val="00E723E6"/>
    <w:rsid w:val="00E736E2"/>
    <w:rsid w:val="00E74D1A"/>
    <w:rsid w:val="00E75436"/>
    <w:rsid w:val="00E761F6"/>
    <w:rsid w:val="00E76A7D"/>
    <w:rsid w:val="00E775E2"/>
    <w:rsid w:val="00E8105D"/>
    <w:rsid w:val="00E824DB"/>
    <w:rsid w:val="00E82AEA"/>
    <w:rsid w:val="00E82AF6"/>
    <w:rsid w:val="00E859B5"/>
    <w:rsid w:val="00E8649F"/>
    <w:rsid w:val="00E87A29"/>
    <w:rsid w:val="00E92CB5"/>
    <w:rsid w:val="00E92D80"/>
    <w:rsid w:val="00E95F5D"/>
    <w:rsid w:val="00E9692A"/>
    <w:rsid w:val="00E969FA"/>
    <w:rsid w:val="00EA39B4"/>
    <w:rsid w:val="00EA434E"/>
    <w:rsid w:val="00EA512E"/>
    <w:rsid w:val="00EA58D8"/>
    <w:rsid w:val="00EA7C69"/>
    <w:rsid w:val="00EB0FCF"/>
    <w:rsid w:val="00EB2118"/>
    <w:rsid w:val="00EB4CB3"/>
    <w:rsid w:val="00EB64E0"/>
    <w:rsid w:val="00EC112B"/>
    <w:rsid w:val="00EC7DB3"/>
    <w:rsid w:val="00ED0428"/>
    <w:rsid w:val="00ED24BA"/>
    <w:rsid w:val="00ED28C4"/>
    <w:rsid w:val="00ED362F"/>
    <w:rsid w:val="00ED4EF2"/>
    <w:rsid w:val="00ED53D8"/>
    <w:rsid w:val="00ED5613"/>
    <w:rsid w:val="00ED6A9D"/>
    <w:rsid w:val="00ED79AC"/>
    <w:rsid w:val="00ED7ECF"/>
    <w:rsid w:val="00ED7EE4"/>
    <w:rsid w:val="00EE04B1"/>
    <w:rsid w:val="00EE0B57"/>
    <w:rsid w:val="00EE1EC5"/>
    <w:rsid w:val="00EE5DFE"/>
    <w:rsid w:val="00EE6D0B"/>
    <w:rsid w:val="00EE7B91"/>
    <w:rsid w:val="00EF0F0C"/>
    <w:rsid w:val="00EF1133"/>
    <w:rsid w:val="00EF145C"/>
    <w:rsid w:val="00EF1E5C"/>
    <w:rsid w:val="00EF478F"/>
    <w:rsid w:val="00EF4CB0"/>
    <w:rsid w:val="00EF5CB8"/>
    <w:rsid w:val="00F000D3"/>
    <w:rsid w:val="00F00310"/>
    <w:rsid w:val="00F045DA"/>
    <w:rsid w:val="00F047C9"/>
    <w:rsid w:val="00F04B26"/>
    <w:rsid w:val="00F0707F"/>
    <w:rsid w:val="00F077C7"/>
    <w:rsid w:val="00F109E7"/>
    <w:rsid w:val="00F10FF0"/>
    <w:rsid w:val="00F1290B"/>
    <w:rsid w:val="00F12C3C"/>
    <w:rsid w:val="00F1691B"/>
    <w:rsid w:val="00F16D7C"/>
    <w:rsid w:val="00F172E2"/>
    <w:rsid w:val="00F24D94"/>
    <w:rsid w:val="00F2658F"/>
    <w:rsid w:val="00F26FDB"/>
    <w:rsid w:val="00F313D3"/>
    <w:rsid w:val="00F32398"/>
    <w:rsid w:val="00F33F7E"/>
    <w:rsid w:val="00F348DD"/>
    <w:rsid w:val="00F36ADB"/>
    <w:rsid w:val="00F370E1"/>
    <w:rsid w:val="00F403F4"/>
    <w:rsid w:val="00F41E97"/>
    <w:rsid w:val="00F47163"/>
    <w:rsid w:val="00F476EB"/>
    <w:rsid w:val="00F513E9"/>
    <w:rsid w:val="00F529AB"/>
    <w:rsid w:val="00F5537D"/>
    <w:rsid w:val="00F5714C"/>
    <w:rsid w:val="00F62A92"/>
    <w:rsid w:val="00F639F3"/>
    <w:rsid w:val="00F70273"/>
    <w:rsid w:val="00F71BF9"/>
    <w:rsid w:val="00F73780"/>
    <w:rsid w:val="00F745D9"/>
    <w:rsid w:val="00F76871"/>
    <w:rsid w:val="00F80BCF"/>
    <w:rsid w:val="00F816F7"/>
    <w:rsid w:val="00F81E19"/>
    <w:rsid w:val="00F8201A"/>
    <w:rsid w:val="00F83F56"/>
    <w:rsid w:val="00F84A5E"/>
    <w:rsid w:val="00F85394"/>
    <w:rsid w:val="00F9153A"/>
    <w:rsid w:val="00F92B0E"/>
    <w:rsid w:val="00F94352"/>
    <w:rsid w:val="00F952A8"/>
    <w:rsid w:val="00F959F6"/>
    <w:rsid w:val="00F967D1"/>
    <w:rsid w:val="00F9704D"/>
    <w:rsid w:val="00FA064B"/>
    <w:rsid w:val="00FA0FA2"/>
    <w:rsid w:val="00FA3DB4"/>
    <w:rsid w:val="00FA5A37"/>
    <w:rsid w:val="00FA73D2"/>
    <w:rsid w:val="00FB0336"/>
    <w:rsid w:val="00FB2360"/>
    <w:rsid w:val="00FB4329"/>
    <w:rsid w:val="00FB7E56"/>
    <w:rsid w:val="00FC4380"/>
    <w:rsid w:val="00FC48B7"/>
    <w:rsid w:val="00FC5F2C"/>
    <w:rsid w:val="00FC6F8F"/>
    <w:rsid w:val="00FC7068"/>
    <w:rsid w:val="00FC7354"/>
    <w:rsid w:val="00FD472D"/>
    <w:rsid w:val="00FD70FA"/>
    <w:rsid w:val="00FD70FB"/>
    <w:rsid w:val="00FE04F3"/>
    <w:rsid w:val="00FE0E72"/>
    <w:rsid w:val="00FE0F35"/>
    <w:rsid w:val="00FE20DD"/>
    <w:rsid w:val="00FE37B5"/>
    <w:rsid w:val="00FE3E7B"/>
    <w:rsid w:val="00FE7D41"/>
    <w:rsid w:val="00FE7E9C"/>
    <w:rsid w:val="00FF0E97"/>
    <w:rsid w:val="00FF13EE"/>
    <w:rsid w:val="00FF1795"/>
    <w:rsid w:val="00FF44D0"/>
    <w:rsid w:val="00FF44FF"/>
    <w:rsid w:val="00FF4669"/>
    <w:rsid w:val="00FF48A8"/>
    <w:rsid w:val="01A26A33"/>
    <w:rsid w:val="01A7057A"/>
    <w:rsid w:val="021E6B79"/>
    <w:rsid w:val="022051F4"/>
    <w:rsid w:val="026D457A"/>
    <w:rsid w:val="0272036A"/>
    <w:rsid w:val="02774A55"/>
    <w:rsid w:val="028470A6"/>
    <w:rsid w:val="02BB6A8E"/>
    <w:rsid w:val="03306DB2"/>
    <w:rsid w:val="0335338E"/>
    <w:rsid w:val="0346332B"/>
    <w:rsid w:val="037235CC"/>
    <w:rsid w:val="03CD7AAF"/>
    <w:rsid w:val="04977BBE"/>
    <w:rsid w:val="04AE2242"/>
    <w:rsid w:val="053C7CC5"/>
    <w:rsid w:val="056E55CD"/>
    <w:rsid w:val="05BA414D"/>
    <w:rsid w:val="06A004EB"/>
    <w:rsid w:val="06C72649"/>
    <w:rsid w:val="07937A3A"/>
    <w:rsid w:val="07B4079A"/>
    <w:rsid w:val="07E30F67"/>
    <w:rsid w:val="07E830C6"/>
    <w:rsid w:val="08016F7E"/>
    <w:rsid w:val="08107716"/>
    <w:rsid w:val="091F0795"/>
    <w:rsid w:val="09373865"/>
    <w:rsid w:val="0AE02CF0"/>
    <w:rsid w:val="0B912BCA"/>
    <w:rsid w:val="0BAA64CD"/>
    <w:rsid w:val="0BC17B3A"/>
    <w:rsid w:val="0BED650C"/>
    <w:rsid w:val="0C06133D"/>
    <w:rsid w:val="0C223504"/>
    <w:rsid w:val="0C266A13"/>
    <w:rsid w:val="0C443435"/>
    <w:rsid w:val="0C4F0FAF"/>
    <w:rsid w:val="0C5E36D3"/>
    <w:rsid w:val="0C8F75AB"/>
    <w:rsid w:val="0CA94D02"/>
    <w:rsid w:val="0D27510D"/>
    <w:rsid w:val="0DFC61BE"/>
    <w:rsid w:val="0E4A55B5"/>
    <w:rsid w:val="0E826D27"/>
    <w:rsid w:val="0ECD518C"/>
    <w:rsid w:val="0F27003A"/>
    <w:rsid w:val="0F2D7413"/>
    <w:rsid w:val="0F351D8E"/>
    <w:rsid w:val="0F920E7D"/>
    <w:rsid w:val="0FB938F5"/>
    <w:rsid w:val="0FCB5C93"/>
    <w:rsid w:val="0FEA7E55"/>
    <w:rsid w:val="0FF54CC0"/>
    <w:rsid w:val="100C4131"/>
    <w:rsid w:val="10447949"/>
    <w:rsid w:val="10637201"/>
    <w:rsid w:val="10A35D35"/>
    <w:rsid w:val="10AB7004"/>
    <w:rsid w:val="11882A9C"/>
    <w:rsid w:val="119417F6"/>
    <w:rsid w:val="126B4F41"/>
    <w:rsid w:val="126E10A2"/>
    <w:rsid w:val="12737E97"/>
    <w:rsid w:val="128827D1"/>
    <w:rsid w:val="129154C3"/>
    <w:rsid w:val="12AF71D1"/>
    <w:rsid w:val="132219C3"/>
    <w:rsid w:val="13703AB0"/>
    <w:rsid w:val="13864DDE"/>
    <w:rsid w:val="13DF52C1"/>
    <w:rsid w:val="143442D0"/>
    <w:rsid w:val="14501AFD"/>
    <w:rsid w:val="14706FE4"/>
    <w:rsid w:val="148D6C6E"/>
    <w:rsid w:val="149E1FAF"/>
    <w:rsid w:val="15120570"/>
    <w:rsid w:val="15C743A0"/>
    <w:rsid w:val="15F6765B"/>
    <w:rsid w:val="162D3C4A"/>
    <w:rsid w:val="16451A66"/>
    <w:rsid w:val="16B72B9D"/>
    <w:rsid w:val="16CF2563"/>
    <w:rsid w:val="16E82CE5"/>
    <w:rsid w:val="17203F2F"/>
    <w:rsid w:val="17243EF8"/>
    <w:rsid w:val="17EB1B7D"/>
    <w:rsid w:val="180C6DE7"/>
    <w:rsid w:val="1836257F"/>
    <w:rsid w:val="184B5C74"/>
    <w:rsid w:val="18770316"/>
    <w:rsid w:val="18D41F63"/>
    <w:rsid w:val="1938264C"/>
    <w:rsid w:val="196040B5"/>
    <w:rsid w:val="19C57091"/>
    <w:rsid w:val="19D75270"/>
    <w:rsid w:val="1A331FBA"/>
    <w:rsid w:val="1A3E6986"/>
    <w:rsid w:val="1A6C1897"/>
    <w:rsid w:val="1AB976E7"/>
    <w:rsid w:val="1BD646EB"/>
    <w:rsid w:val="1C22022D"/>
    <w:rsid w:val="1C587A46"/>
    <w:rsid w:val="1C8057BA"/>
    <w:rsid w:val="1CA67DB0"/>
    <w:rsid w:val="1CD01740"/>
    <w:rsid w:val="1CF156B2"/>
    <w:rsid w:val="1D017318"/>
    <w:rsid w:val="1E073886"/>
    <w:rsid w:val="1E1536DE"/>
    <w:rsid w:val="1E1C2722"/>
    <w:rsid w:val="1F096909"/>
    <w:rsid w:val="1F2D7DA2"/>
    <w:rsid w:val="1F356DA3"/>
    <w:rsid w:val="1F7A748C"/>
    <w:rsid w:val="205F169B"/>
    <w:rsid w:val="208F4F89"/>
    <w:rsid w:val="20C232E4"/>
    <w:rsid w:val="22372C06"/>
    <w:rsid w:val="225738F7"/>
    <w:rsid w:val="227313AA"/>
    <w:rsid w:val="229449C3"/>
    <w:rsid w:val="22A1153F"/>
    <w:rsid w:val="22D47179"/>
    <w:rsid w:val="22F17E5D"/>
    <w:rsid w:val="23727296"/>
    <w:rsid w:val="237D088A"/>
    <w:rsid w:val="23F0516D"/>
    <w:rsid w:val="24050767"/>
    <w:rsid w:val="243E3708"/>
    <w:rsid w:val="24785D70"/>
    <w:rsid w:val="24CE1257"/>
    <w:rsid w:val="24E768D7"/>
    <w:rsid w:val="25DB3035"/>
    <w:rsid w:val="261450DA"/>
    <w:rsid w:val="262500D8"/>
    <w:rsid w:val="26532817"/>
    <w:rsid w:val="267C1BFD"/>
    <w:rsid w:val="268B4F15"/>
    <w:rsid w:val="26AE6ACA"/>
    <w:rsid w:val="26CC4EE4"/>
    <w:rsid w:val="26FE0384"/>
    <w:rsid w:val="27045A7D"/>
    <w:rsid w:val="27302859"/>
    <w:rsid w:val="276D51ED"/>
    <w:rsid w:val="277E3589"/>
    <w:rsid w:val="278D4E38"/>
    <w:rsid w:val="28167986"/>
    <w:rsid w:val="281B056A"/>
    <w:rsid w:val="28502296"/>
    <w:rsid w:val="28690CFE"/>
    <w:rsid w:val="289D3C1D"/>
    <w:rsid w:val="28ED372C"/>
    <w:rsid w:val="2900299B"/>
    <w:rsid w:val="290E1C85"/>
    <w:rsid w:val="29DD31CB"/>
    <w:rsid w:val="29ED5295"/>
    <w:rsid w:val="2A124092"/>
    <w:rsid w:val="2A5417C0"/>
    <w:rsid w:val="2AFB195A"/>
    <w:rsid w:val="2B2031B4"/>
    <w:rsid w:val="2B4C1D16"/>
    <w:rsid w:val="2B693F34"/>
    <w:rsid w:val="2B7F3817"/>
    <w:rsid w:val="2B84089B"/>
    <w:rsid w:val="2BA474E3"/>
    <w:rsid w:val="2BC21E47"/>
    <w:rsid w:val="2BE65A8F"/>
    <w:rsid w:val="2BF90ADF"/>
    <w:rsid w:val="2C342F0F"/>
    <w:rsid w:val="2D0545E2"/>
    <w:rsid w:val="2D1C4613"/>
    <w:rsid w:val="2D32779E"/>
    <w:rsid w:val="2D6D46C7"/>
    <w:rsid w:val="2DDE39F8"/>
    <w:rsid w:val="2DFD7FFE"/>
    <w:rsid w:val="2E375DE3"/>
    <w:rsid w:val="2E7C6D38"/>
    <w:rsid w:val="2E9C15D7"/>
    <w:rsid w:val="2F186E78"/>
    <w:rsid w:val="2F3464E5"/>
    <w:rsid w:val="2F587936"/>
    <w:rsid w:val="2F752300"/>
    <w:rsid w:val="2F9B60A0"/>
    <w:rsid w:val="2FCC77C3"/>
    <w:rsid w:val="2FFA1EF3"/>
    <w:rsid w:val="301174C0"/>
    <w:rsid w:val="3019694E"/>
    <w:rsid w:val="306C5333"/>
    <w:rsid w:val="30880053"/>
    <w:rsid w:val="30F42845"/>
    <w:rsid w:val="317B6586"/>
    <w:rsid w:val="318F2366"/>
    <w:rsid w:val="31B44C62"/>
    <w:rsid w:val="31EA4E3F"/>
    <w:rsid w:val="32181B2F"/>
    <w:rsid w:val="323B37FE"/>
    <w:rsid w:val="323D12F5"/>
    <w:rsid w:val="3259340F"/>
    <w:rsid w:val="32821FF1"/>
    <w:rsid w:val="329222B5"/>
    <w:rsid w:val="32BE3D89"/>
    <w:rsid w:val="32C04199"/>
    <w:rsid w:val="32E47C06"/>
    <w:rsid w:val="33DB64E7"/>
    <w:rsid w:val="33F220A0"/>
    <w:rsid w:val="3423798A"/>
    <w:rsid w:val="345B5ABF"/>
    <w:rsid w:val="35184ACC"/>
    <w:rsid w:val="35C6394D"/>
    <w:rsid w:val="35FC6372"/>
    <w:rsid w:val="36487012"/>
    <w:rsid w:val="368315CC"/>
    <w:rsid w:val="37395268"/>
    <w:rsid w:val="375708F8"/>
    <w:rsid w:val="37DA7D19"/>
    <w:rsid w:val="37DF403D"/>
    <w:rsid w:val="37FF657D"/>
    <w:rsid w:val="380568A0"/>
    <w:rsid w:val="38607D7D"/>
    <w:rsid w:val="386153D3"/>
    <w:rsid w:val="392A5242"/>
    <w:rsid w:val="395A283E"/>
    <w:rsid w:val="3981368D"/>
    <w:rsid w:val="39EB02C6"/>
    <w:rsid w:val="3A274132"/>
    <w:rsid w:val="3A6F5CB8"/>
    <w:rsid w:val="3B381FA1"/>
    <w:rsid w:val="3B440E83"/>
    <w:rsid w:val="3B730A24"/>
    <w:rsid w:val="3BBB2F27"/>
    <w:rsid w:val="3BE960F6"/>
    <w:rsid w:val="3C242E97"/>
    <w:rsid w:val="3C2E0147"/>
    <w:rsid w:val="3CAA0C96"/>
    <w:rsid w:val="3D0B7AE9"/>
    <w:rsid w:val="3D201EA4"/>
    <w:rsid w:val="3D2228D0"/>
    <w:rsid w:val="3D2A1F96"/>
    <w:rsid w:val="3DD3754B"/>
    <w:rsid w:val="3E551651"/>
    <w:rsid w:val="3E5A2601"/>
    <w:rsid w:val="3F18458C"/>
    <w:rsid w:val="3F674CEC"/>
    <w:rsid w:val="3FF125DF"/>
    <w:rsid w:val="3FF957D7"/>
    <w:rsid w:val="40070C17"/>
    <w:rsid w:val="40861545"/>
    <w:rsid w:val="409D1079"/>
    <w:rsid w:val="40CB71C1"/>
    <w:rsid w:val="411C1467"/>
    <w:rsid w:val="41E77DF5"/>
    <w:rsid w:val="42166CEF"/>
    <w:rsid w:val="423323DF"/>
    <w:rsid w:val="425B47C4"/>
    <w:rsid w:val="42BC1A7D"/>
    <w:rsid w:val="431220F8"/>
    <w:rsid w:val="431A2035"/>
    <w:rsid w:val="43854FD2"/>
    <w:rsid w:val="44873F45"/>
    <w:rsid w:val="4572292F"/>
    <w:rsid w:val="459842DD"/>
    <w:rsid w:val="46291925"/>
    <w:rsid w:val="46BF3ACD"/>
    <w:rsid w:val="46DA4A86"/>
    <w:rsid w:val="47354AB7"/>
    <w:rsid w:val="47A72A4C"/>
    <w:rsid w:val="48526B16"/>
    <w:rsid w:val="486573A5"/>
    <w:rsid w:val="48AA57EB"/>
    <w:rsid w:val="48C7534B"/>
    <w:rsid w:val="49C56C21"/>
    <w:rsid w:val="4A173750"/>
    <w:rsid w:val="4A235BBB"/>
    <w:rsid w:val="4A6F1CCE"/>
    <w:rsid w:val="4BB21F56"/>
    <w:rsid w:val="4BF44FB9"/>
    <w:rsid w:val="4C0A3A16"/>
    <w:rsid w:val="4C16187E"/>
    <w:rsid w:val="4C2B1199"/>
    <w:rsid w:val="4CE63472"/>
    <w:rsid w:val="4D264104"/>
    <w:rsid w:val="4D9E621E"/>
    <w:rsid w:val="4E005543"/>
    <w:rsid w:val="4E3750AD"/>
    <w:rsid w:val="4E7131B9"/>
    <w:rsid w:val="4EA23A65"/>
    <w:rsid w:val="4F7B5614"/>
    <w:rsid w:val="4FDF66C8"/>
    <w:rsid w:val="5128044F"/>
    <w:rsid w:val="515E52DE"/>
    <w:rsid w:val="52277343"/>
    <w:rsid w:val="530A18EB"/>
    <w:rsid w:val="534B4AE9"/>
    <w:rsid w:val="53A23ACA"/>
    <w:rsid w:val="53A82962"/>
    <w:rsid w:val="53BC6B95"/>
    <w:rsid w:val="54556889"/>
    <w:rsid w:val="54895CF2"/>
    <w:rsid w:val="54CA0502"/>
    <w:rsid w:val="551371B1"/>
    <w:rsid w:val="55352C72"/>
    <w:rsid w:val="5555357F"/>
    <w:rsid w:val="55610A5D"/>
    <w:rsid w:val="55D75B82"/>
    <w:rsid w:val="55F154C3"/>
    <w:rsid w:val="56022F72"/>
    <w:rsid w:val="56153CFB"/>
    <w:rsid w:val="56595DC7"/>
    <w:rsid w:val="5677530A"/>
    <w:rsid w:val="567A48D4"/>
    <w:rsid w:val="568C669E"/>
    <w:rsid w:val="56D61669"/>
    <w:rsid w:val="56EF6099"/>
    <w:rsid w:val="573E0654"/>
    <w:rsid w:val="579F5E56"/>
    <w:rsid w:val="57A85BA0"/>
    <w:rsid w:val="57AA5618"/>
    <w:rsid w:val="581E0D7A"/>
    <w:rsid w:val="58C7028C"/>
    <w:rsid w:val="594D09CB"/>
    <w:rsid w:val="5A704EC3"/>
    <w:rsid w:val="5A72325B"/>
    <w:rsid w:val="5A7A1AE3"/>
    <w:rsid w:val="5AC66570"/>
    <w:rsid w:val="5AC97100"/>
    <w:rsid w:val="5AD03314"/>
    <w:rsid w:val="5B0949CB"/>
    <w:rsid w:val="5B700B6A"/>
    <w:rsid w:val="5B71431E"/>
    <w:rsid w:val="5BBD021F"/>
    <w:rsid w:val="5BF447AE"/>
    <w:rsid w:val="5C7D1249"/>
    <w:rsid w:val="5D0E3ECA"/>
    <w:rsid w:val="5D5A753D"/>
    <w:rsid w:val="5DA253E4"/>
    <w:rsid w:val="5E006069"/>
    <w:rsid w:val="5E2032C1"/>
    <w:rsid w:val="5E2B0465"/>
    <w:rsid w:val="5E4A4819"/>
    <w:rsid w:val="5E694E7E"/>
    <w:rsid w:val="5EB9411A"/>
    <w:rsid w:val="5EEF1C24"/>
    <w:rsid w:val="5F9C3483"/>
    <w:rsid w:val="5FBA68B0"/>
    <w:rsid w:val="5FEC34BF"/>
    <w:rsid w:val="6000264E"/>
    <w:rsid w:val="60011E6A"/>
    <w:rsid w:val="6025654E"/>
    <w:rsid w:val="60265FDD"/>
    <w:rsid w:val="60494979"/>
    <w:rsid w:val="604C7B5F"/>
    <w:rsid w:val="605B0353"/>
    <w:rsid w:val="60652C37"/>
    <w:rsid w:val="6087500D"/>
    <w:rsid w:val="60B94B89"/>
    <w:rsid w:val="61863800"/>
    <w:rsid w:val="618E1005"/>
    <w:rsid w:val="61995F8B"/>
    <w:rsid w:val="62B45458"/>
    <w:rsid w:val="63AF2F6E"/>
    <w:rsid w:val="63CD0319"/>
    <w:rsid w:val="63E0523B"/>
    <w:rsid w:val="63F12EAD"/>
    <w:rsid w:val="64022F9B"/>
    <w:rsid w:val="64084CCC"/>
    <w:rsid w:val="646645A7"/>
    <w:rsid w:val="648A2309"/>
    <w:rsid w:val="64AA2DF8"/>
    <w:rsid w:val="64B735CF"/>
    <w:rsid w:val="656B3D62"/>
    <w:rsid w:val="66993C45"/>
    <w:rsid w:val="66E500FE"/>
    <w:rsid w:val="675713BD"/>
    <w:rsid w:val="684270C5"/>
    <w:rsid w:val="68610B75"/>
    <w:rsid w:val="69185124"/>
    <w:rsid w:val="697040E8"/>
    <w:rsid w:val="69B934B3"/>
    <w:rsid w:val="69D26AC5"/>
    <w:rsid w:val="69D61F02"/>
    <w:rsid w:val="6A42613C"/>
    <w:rsid w:val="6AFB4460"/>
    <w:rsid w:val="6C0059B9"/>
    <w:rsid w:val="6C6E3742"/>
    <w:rsid w:val="6C822D10"/>
    <w:rsid w:val="6C8673FB"/>
    <w:rsid w:val="6CA97811"/>
    <w:rsid w:val="6D023357"/>
    <w:rsid w:val="6D1E348F"/>
    <w:rsid w:val="6E6151AA"/>
    <w:rsid w:val="6E7D04C3"/>
    <w:rsid w:val="6EC45203"/>
    <w:rsid w:val="6EC81912"/>
    <w:rsid w:val="6ED73481"/>
    <w:rsid w:val="6EE9049C"/>
    <w:rsid w:val="6EF06434"/>
    <w:rsid w:val="6EF241A3"/>
    <w:rsid w:val="6F066A15"/>
    <w:rsid w:val="6F557C95"/>
    <w:rsid w:val="6FD56E32"/>
    <w:rsid w:val="7109680C"/>
    <w:rsid w:val="713A3A8B"/>
    <w:rsid w:val="71627C89"/>
    <w:rsid w:val="71C50A7A"/>
    <w:rsid w:val="71EA5771"/>
    <w:rsid w:val="722417E4"/>
    <w:rsid w:val="725B615A"/>
    <w:rsid w:val="72E15E6A"/>
    <w:rsid w:val="732152AF"/>
    <w:rsid w:val="73287E46"/>
    <w:rsid w:val="735F60BE"/>
    <w:rsid w:val="73761102"/>
    <w:rsid w:val="73D97E6D"/>
    <w:rsid w:val="74A40A25"/>
    <w:rsid w:val="74AD3FA1"/>
    <w:rsid w:val="74F548F7"/>
    <w:rsid w:val="75250050"/>
    <w:rsid w:val="75D03E5C"/>
    <w:rsid w:val="75DD190B"/>
    <w:rsid w:val="765623F0"/>
    <w:rsid w:val="76BB48DC"/>
    <w:rsid w:val="76C01388"/>
    <w:rsid w:val="76C35963"/>
    <w:rsid w:val="771D0600"/>
    <w:rsid w:val="773B53EF"/>
    <w:rsid w:val="7751678E"/>
    <w:rsid w:val="77A32DCD"/>
    <w:rsid w:val="77AE37CD"/>
    <w:rsid w:val="77DD02CE"/>
    <w:rsid w:val="780B5E6B"/>
    <w:rsid w:val="783756E9"/>
    <w:rsid w:val="78A356F1"/>
    <w:rsid w:val="78FD1F79"/>
    <w:rsid w:val="791A1DF3"/>
    <w:rsid w:val="79AD1479"/>
    <w:rsid w:val="79CB78A7"/>
    <w:rsid w:val="79F212C8"/>
    <w:rsid w:val="7AE35EA6"/>
    <w:rsid w:val="7AEA708E"/>
    <w:rsid w:val="7B9C5ED3"/>
    <w:rsid w:val="7BEF0B26"/>
    <w:rsid w:val="7BF46270"/>
    <w:rsid w:val="7C0F58A9"/>
    <w:rsid w:val="7C34722C"/>
    <w:rsid w:val="7CC366E6"/>
    <w:rsid w:val="7CC87610"/>
    <w:rsid w:val="7CF81356"/>
    <w:rsid w:val="7D18484B"/>
    <w:rsid w:val="7D4C7CE2"/>
    <w:rsid w:val="7D924FA3"/>
    <w:rsid w:val="7D963E3E"/>
    <w:rsid w:val="7DC26256"/>
    <w:rsid w:val="7DCC03E7"/>
    <w:rsid w:val="7DDE5139"/>
    <w:rsid w:val="7E25450E"/>
    <w:rsid w:val="7E8D7606"/>
    <w:rsid w:val="7F401087"/>
    <w:rsid w:val="7F955FA9"/>
    <w:rsid w:val="7FFE4EE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2"/>
      <o:rules v:ext="edit">
        <o:r id="V:Rule1" type="callout" idref="#AutoShape 125"/>
        <o:r id="V:Rule2" type="connector" idref="#_x0000_s2089"/>
      </o:rules>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Calibri" w:hAnsi="Calibri" w:eastAsia="宋体"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iPriority="9" w:semiHidden="0"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nhideWhenUsed="0" w:uiPriority="39" w:semiHidden="0" w:name="toc 1"/>
    <w:lsdException w:qFormat="1" w:unhideWhenUsed="0" w:uiPriority="39" w:semiHidden="0" w:name="toc 2"/>
    <w:lsdException w:qFormat="1" w:unhideWhenUsed="0" w:uiPriority="39" w:semiHidden="0" w:name="toc 3"/>
    <w:lsdException w:qFormat="1" w:unhideWhenUsed="0" w:uiPriority="39" w:semiHidden="0" w:name="toc 4"/>
    <w:lsdException w:qFormat="1" w:unhideWhenUsed="0" w:uiPriority="39" w:semiHidden="0" w:name="toc 5"/>
    <w:lsdException w:qFormat="1" w:unhideWhenUsed="0" w:uiPriority="39" w:semiHidden="0" w:name="toc 6"/>
    <w:lsdException w:qFormat="1" w:unhideWhenUsed="0" w:uiPriority="39" w:semiHidden="0" w:name="toc 7"/>
    <w:lsdException w:qFormat="1" w:unhideWhenUsed="0" w:uiPriority="39" w:semiHidden="0" w:name="toc 8"/>
    <w:lsdException w:qFormat="1" w:unhideWhenUsed="0" w:uiPriority="39" w:semiHidden="0" w:name="toc 9"/>
    <w:lsdException w:qFormat="1" w:unhideWhenUsed="0" w:uiPriority="99" w:semiHidden="0" w:name="Normal Indent"/>
    <w:lsdException w:uiPriority="99" w:name="footnote text"/>
    <w:lsdException w:qFormat="1" w:unhideWhenUsed="0" w:uiPriority="0" w:semiHidden="0"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qFormat="1" w:unhideWhenUsed="0" w:uiPriority="0" w:semiHidden="0" w:name="annotation reference"/>
    <w:lsdException w:uiPriority="99" w:name="line number"/>
    <w:lsdException w:qFormat="1" w:unhideWhenUsed="0" w:uiPriority="0" w:semiHidden="0"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0" w:semiHidden="0" w:name="Title"/>
    <w:lsdException w:uiPriority="99" w:name="Closing"/>
    <w:lsdException w:uiPriority="99" w:name="Signature"/>
    <w:lsdException w:uiPriority="1" w:name="Default Paragraph Font"/>
    <w:lsdException w:qFormat="1" w:uiPriority="99" w:semiHidden="0" w:name="Body Text"/>
    <w:lsdException w:qFormat="1" w:unhideWhenUsed="0" w:uiPriority="99" w:semiHidden="0"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qFormat="1" w:uiPriority="99" w:semiHidden="0" w:name="Date"/>
    <w:lsdException w:qFormat="1" w:unhideWhenUsed="0" w:uiPriority="99" w:semiHidden="0" w:name="Body Text First Indent"/>
    <w:lsdException w:uiPriority="99" w:name="Body Text First Indent 2"/>
    <w:lsdException w:uiPriority="99" w:name="Note Heading"/>
    <w:lsdException w:qFormat="1" w:unhideWhenUsed="0" w:uiPriority="99" w:semiHidden="0" w:name="Body Text 2"/>
    <w:lsdException w:uiPriority="99" w:name="Body Text 3"/>
    <w:lsdException w:qFormat="1" w:unhideWhenUsed="0" w:uiPriority="0" w:semiHidden="0" w:name="Body Text Indent 2"/>
    <w:lsdException w:qFormat="1" w:uiPriority="99" w:semiHidden="0" w:name="Body Text Indent 3"/>
    <w:lsdException w:uiPriority="99" w:name="Block Text"/>
    <w:lsdException w:qFormat="1" w:unhideWhenUsed="0" w:uiPriority="99" w:semiHidden="0" w:name="Hyperlink"/>
    <w:lsdException w:qFormat="1" w:uiPriority="99" w:semiHidden="0" w:name="FollowedHyperlink"/>
    <w:lsdException w:qFormat="1" w:unhideWhenUsed="0" w:uiPriority="22" w:semiHidden="0" w:name="Strong"/>
    <w:lsdException w:qFormat="1" w:unhideWhenUsed="0" w:uiPriority="20" w:semiHidden="0" w:name="Emphasis"/>
    <w:lsdException w:qFormat="1" w:unhideWhenUsed="0" w:uiPriority="99" w:name="Document Map"/>
    <w:lsdException w:qFormat="1" w:unhideWhenUsed="0" w:uiPriority="99" w:semiHidden="0" w:name="Plain Text"/>
    <w:lsdException w:uiPriority="99" w:name="E-mail Signature"/>
    <w:lsdException w:qFormat="1" w:uiPriority="99" w:semiHidden="0" w:name="Normal (Web)"/>
    <w:lsdException w:uiPriority="99" w:name="HTML Acronym"/>
    <w:lsdException w:uiPriority="99" w:name="HTML Address"/>
    <w:lsdException w:qFormat="1" w:uiPriority="99" w:name="HTML Cite"/>
    <w:lsdException w:qFormat="1" w:uiPriority="99" w:semiHidden="0" w:name="HTML Code"/>
    <w:lsdException w:qFormat="1" w:uiPriority="99" w:semiHidden="0" w:name="HTML Definition"/>
    <w:lsdException w:qFormat="1" w:uiPriority="99" w:semiHidden="0" w:name="HTML Keyboard"/>
    <w:lsdException w:qFormat="1" w:uiPriority="99" w:semiHidden="0" w:name="HTML Preformatted"/>
    <w:lsdException w:qFormat="1" w:uiPriority="99" w:semiHidden="0" w:name="HTML Sample"/>
    <w:lsdException w:uiPriority="99" w:name="HTML Typewriter"/>
    <w:lsdException w:qFormat="1" w:uiPriority="99" w:name="HTML Variable"/>
    <w:lsdException w:qFormat="1" w:uiPriority="99" w:name="Normal Table"/>
    <w:lsdException w:qFormat="1" w:unhideWhenUsed="0" w:uiPriority="0"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nhideWhenUsed="0" w:uiPriority="0" w:name="Balloon Text"/>
    <w:lsdException w:qFormat="1" w:unhideWhenUsed="0" w:uiPriority="0"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spacing w:line="360" w:lineRule="auto"/>
      <w:ind w:firstLine="480" w:firstLineChars="200"/>
      <w:jc w:val="both"/>
    </w:pPr>
    <w:rPr>
      <w:rFonts w:ascii="Times New Roman" w:hAnsi="Times New Roman" w:eastAsia="宋体" w:cs="Times New Roman"/>
      <w:kern w:val="2"/>
      <w:sz w:val="24"/>
      <w:szCs w:val="22"/>
      <w:lang w:val="en-US" w:eastAsia="zh-CN" w:bidi="ar-SA"/>
    </w:rPr>
  </w:style>
  <w:style w:type="paragraph" w:styleId="2">
    <w:name w:val="heading 1"/>
    <w:basedOn w:val="1"/>
    <w:next w:val="1"/>
    <w:link w:val="52"/>
    <w:qFormat/>
    <w:uiPriority w:val="0"/>
    <w:pPr>
      <w:keepNext/>
      <w:keepLines/>
      <w:spacing w:before="340" w:after="330" w:line="578" w:lineRule="auto"/>
      <w:outlineLvl w:val="0"/>
    </w:pPr>
    <w:rPr>
      <w:b/>
      <w:bCs/>
      <w:kern w:val="44"/>
      <w:sz w:val="44"/>
      <w:szCs w:val="44"/>
    </w:rPr>
  </w:style>
  <w:style w:type="paragraph" w:styleId="3">
    <w:name w:val="heading 2"/>
    <w:basedOn w:val="1"/>
    <w:next w:val="4"/>
    <w:link w:val="49"/>
    <w:qFormat/>
    <w:uiPriority w:val="0"/>
    <w:pPr>
      <w:keepNext/>
      <w:keepLines/>
      <w:ind w:firstLine="0" w:firstLineChars="0"/>
      <w:outlineLvl w:val="1"/>
    </w:pPr>
    <w:rPr>
      <w:b/>
      <w:sz w:val="28"/>
      <w:szCs w:val="20"/>
    </w:rPr>
  </w:style>
  <w:style w:type="paragraph" w:styleId="5">
    <w:name w:val="heading 3"/>
    <w:basedOn w:val="1"/>
    <w:next w:val="1"/>
    <w:link w:val="53"/>
    <w:qFormat/>
    <w:uiPriority w:val="0"/>
    <w:pPr>
      <w:keepNext/>
      <w:keepLines/>
      <w:ind w:firstLine="0" w:firstLineChars="0"/>
      <w:outlineLvl w:val="2"/>
    </w:pPr>
    <w:rPr>
      <w:b/>
      <w:bCs/>
      <w:szCs w:val="24"/>
    </w:rPr>
  </w:style>
  <w:style w:type="paragraph" w:styleId="6">
    <w:name w:val="heading 4"/>
    <w:basedOn w:val="1"/>
    <w:next w:val="1"/>
    <w:link w:val="54"/>
    <w:qFormat/>
    <w:uiPriority w:val="0"/>
    <w:pPr>
      <w:keepNext/>
      <w:keepLines/>
      <w:spacing w:before="280" w:after="290" w:line="376" w:lineRule="auto"/>
      <w:outlineLvl w:val="3"/>
    </w:pPr>
    <w:rPr>
      <w:rFonts w:ascii="Arial" w:hAnsi="Arial" w:eastAsia="黑体"/>
      <w:b/>
      <w:bCs/>
      <w:sz w:val="28"/>
      <w:szCs w:val="28"/>
    </w:rPr>
  </w:style>
  <w:style w:type="paragraph" w:styleId="7">
    <w:name w:val="heading 5"/>
    <w:basedOn w:val="1"/>
    <w:next w:val="1"/>
    <w:link w:val="104"/>
    <w:unhideWhenUsed/>
    <w:qFormat/>
    <w:uiPriority w:val="9"/>
    <w:pPr>
      <w:keepNext/>
      <w:keepLines/>
      <w:spacing w:line="372" w:lineRule="auto"/>
      <w:outlineLvl w:val="4"/>
    </w:pPr>
    <w:rPr>
      <w:b/>
      <w:sz w:val="28"/>
    </w:rPr>
  </w:style>
  <w:style w:type="character" w:default="1" w:styleId="34">
    <w:name w:val="Default Paragraph Font"/>
    <w:semiHidden/>
    <w:unhideWhenUsed/>
    <w:uiPriority w:val="1"/>
  </w:style>
  <w:style w:type="table" w:default="1" w:styleId="47">
    <w:name w:val="Normal Table"/>
    <w:semiHidden/>
    <w:unhideWhenUsed/>
    <w:qFormat/>
    <w:uiPriority w:val="99"/>
    <w:tblPr>
      <w:tblLayout w:type="fixed"/>
      <w:tblCellMar>
        <w:top w:w="0" w:type="dxa"/>
        <w:left w:w="108" w:type="dxa"/>
        <w:bottom w:w="0" w:type="dxa"/>
        <w:right w:w="108" w:type="dxa"/>
      </w:tblCellMar>
    </w:tblPr>
  </w:style>
  <w:style w:type="paragraph" w:styleId="4">
    <w:name w:val="Normal Indent"/>
    <w:basedOn w:val="1"/>
    <w:qFormat/>
    <w:uiPriority w:val="99"/>
    <w:pPr>
      <w:ind w:firstLine="420"/>
    </w:pPr>
  </w:style>
  <w:style w:type="paragraph" w:styleId="8">
    <w:name w:val="annotation subject"/>
    <w:basedOn w:val="9"/>
    <w:next w:val="9"/>
    <w:link w:val="79"/>
    <w:semiHidden/>
    <w:qFormat/>
    <w:uiPriority w:val="0"/>
    <w:rPr>
      <w:b/>
      <w:bCs/>
    </w:rPr>
  </w:style>
  <w:style w:type="paragraph" w:styleId="9">
    <w:name w:val="annotation text"/>
    <w:basedOn w:val="1"/>
    <w:link w:val="74"/>
    <w:qFormat/>
    <w:uiPriority w:val="0"/>
    <w:pPr>
      <w:jc w:val="left"/>
    </w:pPr>
  </w:style>
  <w:style w:type="paragraph" w:styleId="10">
    <w:name w:val="toc 7"/>
    <w:basedOn w:val="1"/>
    <w:next w:val="1"/>
    <w:qFormat/>
    <w:uiPriority w:val="39"/>
    <w:pPr>
      <w:ind w:left="1440"/>
      <w:jc w:val="left"/>
    </w:pPr>
    <w:rPr>
      <w:rFonts w:asciiTheme="minorHAnsi" w:hAnsiTheme="minorHAnsi" w:cstheme="minorHAnsi"/>
      <w:sz w:val="18"/>
      <w:szCs w:val="18"/>
    </w:rPr>
  </w:style>
  <w:style w:type="paragraph" w:styleId="11">
    <w:name w:val="Body Text First Indent"/>
    <w:basedOn w:val="12"/>
    <w:link w:val="119"/>
    <w:qFormat/>
    <w:uiPriority w:val="99"/>
    <w:pPr>
      <w:adjustRightInd w:val="0"/>
      <w:snapToGrid w:val="0"/>
      <w:spacing w:after="0"/>
      <w:ind w:firstLine="200"/>
    </w:pPr>
    <w:rPr>
      <w:kern w:val="0"/>
      <w:szCs w:val="20"/>
    </w:rPr>
  </w:style>
  <w:style w:type="paragraph" w:styleId="12">
    <w:name w:val="Body Text"/>
    <w:basedOn w:val="1"/>
    <w:link w:val="122"/>
    <w:unhideWhenUsed/>
    <w:qFormat/>
    <w:uiPriority w:val="99"/>
    <w:pPr>
      <w:spacing w:after="120"/>
    </w:pPr>
  </w:style>
  <w:style w:type="paragraph" w:styleId="13">
    <w:name w:val="Document Map"/>
    <w:basedOn w:val="1"/>
    <w:link w:val="55"/>
    <w:semiHidden/>
    <w:qFormat/>
    <w:uiPriority w:val="99"/>
    <w:pPr>
      <w:shd w:val="clear" w:color="auto" w:fill="000080"/>
    </w:pPr>
    <w:rPr>
      <w:rFonts w:asciiTheme="minorHAnsi" w:hAnsiTheme="minorHAnsi" w:cstheme="minorBidi"/>
    </w:rPr>
  </w:style>
  <w:style w:type="paragraph" w:styleId="14">
    <w:name w:val="Body Text Indent"/>
    <w:basedOn w:val="1"/>
    <w:link w:val="70"/>
    <w:qFormat/>
    <w:uiPriority w:val="99"/>
    <w:pPr>
      <w:spacing w:line="460" w:lineRule="exact"/>
      <w:ind w:firstLine="500"/>
    </w:pPr>
    <w:rPr>
      <w:sz w:val="25"/>
    </w:rPr>
  </w:style>
  <w:style w:type="paragraph" w:styleId="15">
    <w:name w:val="toc 5"/>
    <w:basedOn w:val="1"/>
    <w:next w:val="1"/>
    <w:qFormat/>
    <w:uiPriority w:val="39"/>
    <w:pPr>
      <w:ind w:left="960"/>
      <w:jc w:val="left"/>
    </w:pPr>
    <w:rPr>
      <w:rFonts w:asciiTheme="minorHAnsi" w:hAnsiTheme="minorHAnsi" w:cstheme="minorHAnsi"/>
      <w:sz w:val="18"/>
      <w:szCs w:val="18"/>
    </w:rPr>
  </w:style>
  <w:style w:type="paragraph" w:styleId="16">
    <w:name w:val="toc 3"/>
    <w:basedOn w:val="1"/>
    <w:next w:val="1"/>
    <w:qFormat/>
    <w:uiPriority w:val="39"/>
    <w:pPr>
      <w:ind w:left="480"/>
      <w:jc w:val="left"/>
    </w:pPr>
    <w:rPr>
      <w:rFonts w:asciiTheme="minorHAnsi" w:hAnsiTheme="minorHAnsi" w:cstheme="minorHAnsi"/>
      <w:i/>
      <w:iCs/>
      <w:sz w:val="20"/>
      <w:szCs w:val="20"/>
    </w:rPr>
  </w:style>
  <w:style w:type="paragraph" w:styleId="17">
    <w:name w:val="Plain Text"/>
    <w:basedOn w:val="1"/>
    <w:link w:val="81"/>
    <w:qFormat/>
    <w:uiPriority w:val="99"/>
    <w:rPr>
      <w:rFonts w:ascii="宋体" w:hAnsi="Courier New" w:cs="楷体_GB2312"/>
      <w:szCs w:val="21"/>
    </w:rPr>
  </w:style>
  <w:style w:type="paragraph" w:styleId="18">
    <w:name w:val="toc 8"/>
    <w:basedOn w:val="1"/>
    <w:next w:val="1"/>
    <w:qFormat/>
    <w:uiPriority w:val="39"/>
    <w:pPr>
      <w:ind w:left="1680"/>
      <w:jc w:val="left"/>
    </w:pPr>
    <w:rPr>
      <w:rFonts w:asciiTheme="minorHAnsi" w:hAnsiTheme="minorHAnsi" w:cstheme="minorHAnsi"/>
      <w:sz w:val="18"/>
      <w:szCs w:val="18"/>
    </w:rPr>
  </w:style>
  <w:style w:type="paragraph" w:styleId="19">
    <w:name w:val="Date"/>
    <w:basedOn w:val="1"/>
    <w:next w:val="1"/>
    <w:link w:val="106"/>
    <w:unhideWhenUsed/>
    <w:qFormat/>
    <w:uiPriority w:val="99"/>
    <w:pPr>
      <w:ind w:left="100" w:leftChars="2500"/>
    </w:pPr>
  </w:style>
  <w:style w:type="paragraph" w:styleId="20">
    <w:name w:val="Body Text Indent 2"/>
    <w:basedOn w:val="1"/>
    <w:link w:val="69"/>
    <w:qFormat/>
    <w:uiPriority w:val="0"/>
    <w:pPr>
      <w:spacing w:after="120" w:line="480" w:lineRule="auto"/>
      <w:ind w:left="420" w:leftChars="200"/>
    </w:pPr>
  </w:style>
  <w:style w:type="paragraph" w:styleId="21">
    <w:name w:val="Balloon Text"/>
    <w:basedOn w:val="1"/>
    <w:link w:val="77"/>
    <w:semiHidden/>
    <w:qFormat/>
    <w:uiPriority w:val="0"/>
    <w:rPr>
      <w:sz w:val="18"/>
      <w:szCs w:val="18"/>
    </w:rPr>
  </w:style>
  <w:style w:type="paragraph" w:styleId="22">
    <w:name w:val="footer"/>
    <w:basedOn w:val="1"/>
    <w:link w:val="118"/>
    <w:unhideWhenUsed/>
    <w:qFormat/>
    <w:uiPriority w:val="99"/>
    <w:pPr>
      <w:tabs>
        <w:tab w:val="center" w:pos="4153"/>
        <w:tab w:val="right" w:pos="8306"/>
      </w:tabs>
      <w:snapToGrid w:val="0"/>
      <w:jc w:val="left"/>
    </w:pPr>
    <w:rPr>
      <w:sz w:val="18"/>
      <w:szCs w:val="18"/>
    </w:rPr>
  </w:style>
  <w:style w:type="paragraph" w:styleId="23">
    <w:name w:val="header"/>
    <w:basedOn w:val="1"/>
    <w:link w:val="50"/>
    <w:unhideWhenUsed/>
    <w:qFormat/>
    <w:uiPriority w:val="99"/>
    <w:pPr>
      <w:pBdr>
        <w:bottom w:val="single" w:color="auto" w:sz="6" w:space="1"/>
      </w:pBdr>
      <w:tabs>
        <w:tab w:val="center" w:pos="4153"/>
        <w:tab w:val="right" w:pos="8306"/>
      </w:tabs>
      <w:snapToGrid w:val="0"/>
      <w:jc w:val="center"/>
    </w:pPr>
    <w:rPr>
      <w:sz w:val="18"/>
      <w:szCs w:val="18"/>
    </w:rPr>
  </w:style>
  <w:style w:type="paragraph" w:styleId="24">
    <w:name w:val="toc 1"/>
    <w:basedOn w:val="1"/>
    <w:next w:val="1"/>
    <w:qFormat/>
    <w:uiPriority w:val="39"/>
    <w:pPr>
      <w:spacing w:before="120" w:after="120"/>
      <w:jc w:val="left"/>
    </w:pPr>
    <w:rPr>
      <w:rFonts w:asciiTheme="minorHAnsi" w:hAnsiTheme="minorHAnsi" w:cstheme="minorHAnsi"/>
      <w:b/>
      <w:bCs/>
      <w:caps/>
      <w:sz w:val="20"/>
      <w:szCs w:val="20"/>
    </w:rPr>
  </w:style>
  <w:style w:type="paragraph" w:styleId="25">
    <w:name w:val="toc 4"/>
    <w:basedOn w:val="1"/>
    <w:next w:val="1"/>
    <w:qFormat/>
    <w:uiPriority w:val="39"/>
    <w:pPr>
      <w:ind w:left="720"/>
      <w:jc w:val="left"/>
    </w:pPr>
    <w:rPr>
      <w:rFonts w:asciiTheme="minorHAnsi" w:hAnsiTheme="minorHAnsi" w:cstheme="minorHAnsi"/>
      <w:sz w:val="18"/>
      <w:szCs w:val="18"/>
    </w:rPr>
  </w:style>
  <w:style w:type="paragraph" w:styleId="26">
    <w:name w:val="toc 6"/>
    <w:basedOn w:val="1"/>
    <w:next w:val="1"/>
    <w:qFormat/>
    <w:uiPriority w:val="39"/>
    <w:pPr>
      <w:ind w:left="1200"/>
      <w:jc w:val="left"/>
    </w:pPr>
    <w:rPr>
      <w:rFonts w:asciiTheme="minorHAnsi" w:hAnsiTheme="minorHAnsi" w:cstheme="minorHAnsi"/>
      <w:sz w:val="18"/>
      <w:szCs w:val="18"/>
    </w:rPr>
  </w:style>
  <w:style w:type="paragraph" w:styleId="27">
    <w:name w:val="Body Text Indent 3"/>
    <w:basedOn w:val="1"/>
    <w:link w:val="105"/>
    <w:unhideWhenUsed/>
    <w:qFormat/>
    <w:uiPriority w:val="99"/>
    <w:pPr>
      <w:ind w:left="420" w:leftChars="200"/>
    </w:pPr>
    <w:rPr>
      <w:sz w:val="16"/>
    </w:rPr>
  </w:style>
  <w:style w:type="paragraph" w:styleId="28">
    <w:name w:val="toc 2"/>
    <w:basedOn w:val="1"/>
    <w:next w:val="1"/>
    <w:qFormat/>
    <w:uiPriority w:val="39"/>
    <w:pPr>
      <w:ind w:left="240"/>
      <w:jc w:val="left"/>
    </w:pPr>
    <w:rPr>
      <w:smallCaps/>
      <w:sz w:val="20"/>
      <w:szCs w:val="20"/>
    </w:rPr>
  </w:style>
  <w:style w:type="paragraph" w:styleId="29">
    <w:name w:val="toc 9"/>
    <w:basedOn w:val="1"/>
    <w:next w:val="1"/>
    <w:qFormat/>
    <w:uiPriority w:val="39"/>
    <w:pPr>
      <w:ind w:left="1920"/>
      <w:jc w:val="left"/>
    </w:pPr>
    <w:rPr>
      <w:rFonts w:asciiTheme="minorHAnsi" w:hAnsiTheme="minorHAnsi" w:cstheme="minorHAnsi"/>
      <w:sz w:val="18"/>
      <w:szCs w:val="18"/>
    </w:rPr>
  </w:style>
  <w:style w:type="paragraph" w:styleId="30">
    <w:name w:val="Body Text 2"/>
    <w:basedOn w:val="1"/>
    <w:link w:val="56"/>
    <w:qFormat/>
    <w:uiPriority w:val="99"/>
    <w:pPr>
      <w:spacing w:after="120" w:line="480" w:lineRule="auto"/>
      <w:ind w:firstLine="0" w:firstLineChars="0"/>
    </w:pPr>
    <w:rPr>
      <w:rFonts w:ascii="Calibri" w:hAnsi="Calibri" w:eastAsiaTheme="minorEastAsia" w:cstheme="minorBidi"/>
    </w:rPr>
  </w:style>
  <w:style w:type="paragraph" w:styleId="31">
    <w:name w:val="HTML Preformatted"/>
    <w:basedOn w:val="1"/>
    <w:link w:val="103"/>
    <w:unhideWhenUsed/>
    <w:qFormat/>
    <w:uiPriority w:val="99"/>
    <w:rPr>
      <w:rFonts w:ascii="Courier New" w:hAnsi="Courier New"/>
      <w:sz w:val="20"/>
    </w:rPr>
  </w:style>
  <w:style w:type="paragraph" w:styleId="32">
    <w:name w:val="Normal (Web)"/>
    <w:basedOn w:val="1"/>
    <w:unhideWhenUsed/>
    <w:qFormat/>
    <w:uiPriority w:val="99"/>
    <w:pPr>
      <w:widowControl/>
      <w:spacing w:before="100" w:beforeAutospacing="1" w:after="100" w:afterAutospacing="1" w:line="240" w:lineRule="auto"/>
      <w:ind w:firstLine="0" w:firstLineChars="0"/>
      <w:jc w:val="left"/>
    </w:pPr>
    <w:rPr>
      <w:rFonts w:ascii="宋体" w:hAnsi="宋体" w:cs="宋体"/>
      <w:kern w:val="0"/>
      <w:szCs w:val="24"/>
    </w:rPr>
  </w:style>
  <w:style w:type="paragraph" w:styleId="33">
    <w:name w:val="Title"/>
    <w:basedOn w:val="1"/>
    <w:next w:val="1"/>
    <w:link w:val="98"/>
    <w:qFormat/>
    <w:uiPriority w:val="0"/>
    <w:pPr>
      <w:ind w:firstLine="0" w:firstLineChars="0"/>
      <w:jc w:val="left"/>
      <w:outlineLvl w:val="2"/>
    </w:pPr>
    <w:rPr>
      <w:rFonts w:ascii="Cambria" w:hAnsi="Cambria"/>
      <w:b/>
      <w:bCs/>
      <w:szCs w:val="32"/>
    </w:rPr>
  </w:style>
  <w:style w:type="character" w:styleId="35">
    <w:name w:val="Strong"/>
    <w:basedOn w:val="34"/>
    <w:qFormat/>
    <w:uiPriority w:val="22"/>
    <w:rPr>
      <w:b/>
    </w:rPr>
  </w:style>
  <w:style w:type="character" w:styleId="36">
    <w:name w:val="page number"/>
    <w:basedOn w:val="34"/>
    <w:qFormat/>
    <w:uiPriority w:val="0"/>
  </w:style>
  <w:style w:type="character" w:styleId="37">
    <w:name w:val="FollowedHyperlink"/>
    <w:basedOn w:val="34"/>
    <w:unhideWhenUsed/>
    <w:qFormat/>
    <w:uiPriority w:val="99"/>
    <w:rPr>
      <w:color w:val="2FA4E7"/>
      <w:u w:val="none"/>
    </w:rPr>
  </w:style>
  <w:style w:type="character" w:styleId="38">
    <w:name w:val="Emphasis"/>
    <w:basedOn w:val="34"/>
    <w:qFormat/>
    <w:uiPriority w:val="20"/>
  </w:style>
  <w:style w:type="character" w:styleId="39">
    <w:name w:val="HTML Definition"/>
    <w:basedOn w:val="34"/>
    <w:unhideWhenUsed/>
    <w:qFormat/>
    <w:uiPriority w:val="99"/>
  </w:style>
  <w:style w:type="character" w:styleId="40">
    <w:name w:val="HTML Variable"/>
    <w:basedOn w:val="34"/>
    <w:semiHidden/>
    <w:unhideWhenUsed/>
    <w:qFormat/>
    <w:uiPriority w:val="99"/>
  </w:style>
  <w:style w:type="character" w:styleId="41">
    <w:name w:val="Hyperlink"/>
    <w:qFormat/>
    <w:uiPriority w:val="99"/>
    <w:rPr>
      <w:color w:val="333333"/>
      <w:u w:val="none"/>
    </w:rPr>
  </w:style>
  <w:style w:type="character" w:styleId="42">
    <w:name w:val="HTML Code"/>
    <w:basedOn w:val="34"/>
    <w:unhideWhenUsed/>
    <w:qFormat/>
    <w:uiPriority w:val="99"/>
    <w:rPr>
      <w:rFonts w:ascii="Menlo" w:hAnsi="Menlo" w:eastAsia="Menlo" w:cs="Menlo"/>
      <w:color w:val="C7254E"/>
      <w:sz w:val="21"/>
      <w:szCs w:val="21"/>
      <w:shd w:val="clear" w:color="auto" w:fill="F9F2F4"/>
    </w:rPr>
  </w:style>
  <w:style w:type="character" w:styleId="43">
    <w:name w:val="annotation reference"/>
    <w:qFormat/>
    <w:uiPriority w:val="0"/>
    <w:rPr>
      <w:sz w:val="21"/>
      <w:szCs w:val="21"/>
    </w:rPr>
  </w:style>
  <w:style w:type="character" w:styleId="44">
    <w:name w:val="HTML Cite"/>
    <w:basedOn w:val="34"/>
    <w:semiHidden/>
    <w:unhideWhenUsed/>
    <w:qFormat/>
    <w:uiPriority w:val="99"/>
  </w:style>
  <w:style w:type="character" w:styleId="45">
    <w:name w:val="HTML Keyboard"/>
    <w:basedOn w:val="34"/>
    <w:unhideWhenUsed/>
    <w:qFormat/>
    <w:uiPriority w:val="99"/>
    <w:rPr>
      <w:rFonts w:hint="default" w:ascii="Menlo" w:hAnsi="Menlo" w:eastAsia="Menlo" w:cs="Menlo"/>
      <w:color w:val="FFFFFF"/>
      <w:sz w:val="21"/>
      <w:szCs w:val="21"/>
      <w:shd w:val="clear" w:color="auto" w:fill="333333"/>
    </w:rPr>
  </w:style>
  <w:style w:type="character" w:styleId="46">
    <w:name w:val="HTML Sample"/>
    <w:basedOn w:val="34"/>
    <w:unhideWhenUsed/>
    <w:qFormat/>
    <w:uiPriority w:val="99"/>
    <w:rPr>
      <w:rFonts w:hint="default" w:ascii="Menlo" w:hAnsi="Menlo" w:eastAsia="Menlo" w:cs="Menlo"/>
      <w:sz w:val="21"/>
      <w:szCs w:val="21"/>
    </w:rPr>
  </w:style>
  <w:style w:type="table" w:styleId="48">
    <w:name w:val="Table Grid"/>
    <w:basedOn w:val="47"/>
    <w:qFormat/>
    <w:uiPriority w:val="0"/>
    <w:pPr>
      <w:widowControl w:val="0"/>
      <w:jc w:val="both"/>
    </w:pPr>
    <w:rPr>
      <w:rFonts w:ascii="Times New Roman" w:hAnsi="Times New Roman"/>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cPr>
      <w:tcBorders>
        <w:top w:val="single" w:color="auto" w:sz="4" w:space="0"/>
        <w:left w:val="single" w:color="auto" w:sz="4" w:space="0"/>
        <w:bottom w:val="single" w:color="auto" w:sz="4" w:space="0"/>
        <w:right w:val="single" w:color="auto" w:sz="4" w:space="0"/>
      </w:tcBorders>
    </w:tcPr>
  </w:style>
  <w:style w:type="character" w:customStyle="1" w:styleId="49">
    <w:name w:val="标题 2 Char"/>
    <w:basedOn w:val="34"/>
    <w:link w:val="3"/>
    <w:qFormat/>
    <w:uiPriority w:val="0"/>
    <w:rPr>
      <w:rFonts w:ascii="Times New Roman" w:hAnsi="Times New Roman" w:eastAsia="宋体" w:cs="Times New Roman"/>
      <w:b/>
      <w:sz w:val="28"/>
      <w:szCs w:val="20"/>
    </w:rPr>
  </w:style>
  <w:style w:type="character" w:customStyle="1" w:styleId="50">
    <w:name w:val="页眉 Char"/>
    <w:basedOn w:val="34"/>
    <w:link w:val="23"/>
    <w:qFormat/>
    <w:uiPriority w:val="99"/>
    <w:rPr>
      <w:sz w:val="18"/>
      <w:szCs w:val="18"/>
    </w:rPr>
  </w:style>
  <w:style w:type="character" w:customStyle="1" w:styleId="51">
    <w:name w:val="页脚 Char"/>
    <w:basedOn w:val="34"/>
    <w:link w:val="22"/>
    <w:qFormat/>
    <w:uiPriority w:val="99"/>
    <w:rPr>
      <w:sz w:val="18"/>
      <w:szCs w:val="18"/>
    </w:rPr>
  </w:style>
  <w:style w:type="character" w:customStyle="1" w:styleId="52">
    <w:name w:val="标题 1 Char"/>
    <w:basedOn w:val="34"/>
    <w:link w:val="2"/>
    <w:qFormat/>
    <w:uiPriority w:val="0"/>
    <w:rPr>
      <w:rFonts w:ascii="Times New Roman" w:hAnsi="Times New Roman" w:eastAsia="宋体" w:cs="Times New Roman"/>
      <w:b/>
      <w:bCs/>
      <w:kern w:val="44"/>
      <w:sz w:val="44"/>
      <w:szCs w:val="44"/>
    </w:rPr>
  </w:style>
  <w:style w:type="character" w:customStyle="1" w:styleId="53">
    <w:name w:val="标题 3 Char"/>
    <w:basedOn w:val="34"/>
    <w:link w:val="5"/>
    <w:qFormat/>
    <w:uiPriority w:val="0"/>
    <w:rPr>
      <w:rFonts w:ascii="Times New Roman" w:hAnsi="Times New Roman" w:eastAsia="宋体" w:cs="Times New Roman"/>
      <w:b/>
      <w:bCs/>
      <w:sz w:val="24"/>
      <w:szCs w:val="24"/>
    </w:rPr>
  </w:style>
  <w:style w:type="character" w:customStyle="1" w:styleId="54">
    <w:name w:val="标题 4 Char"/>
    <w:basedOn w:val="34"/>
    <w:link w:val="6"/>
    <w:qFormat/>
    <w:uiPriority w:val="0"/>
    <w:rPr>
      <w:rFonts w:ascii="Arial" w:hAnsi="Arial" w:eastAsia="黑体" w:cs="Times New Roman"/>
      <w:b/>
      <w:bCs/>
      <w:sz w:val="28"/>
      <w:szCs w:val="28"/>
    </w:rPr>
  </w:style>
  <w:style w:type="character" w:customStyle="1" w:styleId="55">
    <w:name w:val="文档结构图 Char"/>
    <w:link w:val="13"/>
    <w:semiHidden/>
    <w:qFormat/>
    <w:locked/>
    <w:uiPriority w:val="99"/>
    <w:rPr>
      <w:rFonts w:eastAsia="宋体"/>
      <w:sz w:val="24"/>
      <w:shd w:val="clear" w:color="auto" w:fill="000080"/>
    </w:rPr>
  </w:style>
  <w:style w:type="character" w:customStyle="1" w:styleId="56">
    <w:name w:val="正文文本 2 Char"/>
    <w:link w:val="30"/>
    <w:qFormat/>
    <w:uiPriority w:val="99"/>
    <w:rPr>
      <w:rFonts w:ascii="Calibri" w:hAnsi="Calibri"/>
      <w:sz w:val="24"/>
    </w:rPr>
  </w:style>
  <w:style w:type="character" w:customStyle="1" w:styleId="57">
    <w:name w:val="3标题(治) Char"/>
    <w:link w:val="58"/>
    <w:qFormat/>
    <w:uiPriority w:val="0"/>
    <w:rPr>
      <w:rFonts w:ascii="黑体" w:eastAsia="黑体"/>
      <w:b/>
      <w:sz w:val="28"/>
      <w:szCs w:val="28"/>
    </w:rPr>
  </w:style>
  <w:style w:type="paragraph" w:customStyle="1" w:styleId="58">
    <w:name w:val="3标题(治)"/>
    <w:basedOn w:val="5"/>
    <w:link w:val="57"/>
    <w:qFormat/>
    <w:uiPriority w:val="0"/>
    <w:pPr>
      <w:tabs>
        <w:tab w:val="left" w:pos="720"/>
      </w:tabs>
      <w:spacing w:beforeLines="25" w:afterLines="25"/>
    </w:pPr>
    <w:rPr>
      <w:rFonts w:ascii="黑体" w:eastAsia="黑体" w:hAnsiTheme="minorHAnsi" w:cstheme="minorBidi"/>
      <w:bCs w:val="0"/>
      <w:sz w:val="28"/>
      <w:szCs w:val="28"/>
    </w:rPr>
  </w:style>
  <w:style w:type="character" w:customStyle="1" w:styleId="59">
    <w:name w:val="_Style 2"/>
    <w:qFormat/>
    <w:uiPriority w:val="0"/>
    <w:rPr>
      <w:rFonts w:eastAsia="黑体"/>
      <w:bCs/>
      <w:iCs/>
      <w:color w:val="000000"/>
      <w:kern w:val="2"/>
      <w:sz w:val="24"/>
      <w:szCs w:val="21"/>
      <w:lang w:val="en-US" w:eastAsia="zh-CN" w:bidi="ar-SA"/>
    </w:rPr>
  </w:style>
  <w:style w:type="character" w:customStyle="1" w:styleId="60">
    <w:name w:val="headline3 Char"/>
    <w:link w:val="61"/>
    <w:qFormat/>
    <w:uiPriority w:val="0"/>
    <w:rPr>
      <w:rFonts w:eastAsia="宋体"/>
      <w:b/>
      <w:color w:val="0D0D0D"/>
      <w:sz w:val="28"/>
      <w:szCs w:val="24"/>
    </w:rPr>
  </w:style>
  <w:style w:type="paragraph" w:customStyle="1" w:styleId="61">
    <w:name w:val="headline3"/>
    <w:basedOn w:val="1"/>
    <w:link w:val="60"/>
    <w:qFormat/>
    <w:uiPriority w:val="0"/>
    <w:pPr>
      <w:keepNext/>
      <w:keepLines/>
      <w:suppressAutoHyphens/>
      <w:topLinePunct/>
      <w:ind w:firstLine="0" w:firstLineChars="0"/>
      <w:jc w:val="left"/>
      <w:outlineLvl w:val="2"/>
    </w:pPr>
    <w:rPr>
      <w:rFonts w:asciiTheme="minorHAnsi" w:hAnsiTheme="minorHAnsi" w:cstheme="minorBidi"/>
      <w:b/>
      <w:color w:val="0D0D0D"/>
      <w:sz w:val="28"/>
      <w:szCs w:val="24"/>
    </w:rPr>
  </w:style>
  <w:style w:type="character" w:customStyle="1" w:styleId="62">
    <w:name w:val="标题2 Char"/>
    <w:link w:val="63"/>
    <w:qFormat/>
    <w:uiPriority w:val="0"/>
    <w:rPr>
      <w:bCs/>
    </w:rPr>
  </w:style>
  <w:style w:type="paragraph" w:customStyle="1" w:styleId="63">
    <w:name w:val="标题2"/>
    <w:basedOn w:val="3"/>
    <w:next w:val="64"/>
    <w:link w:val="62"/>
    <w:qFormat/>
    <w:uiPriority w:val="0"/>
    <w:pPr>
      <w:spacing w:beforeLines="30" w:afterLines="30"/>
      <w:jc w:val="left"/>
    </w:pPr>
    <w:rPr>
      <w:rFonts w:asciiTheme="minorHAnsi" w:hAnsiTheme="minorHAnsi" w:eastAsiaTheme="minorEastAsia" w:cstheme="minorBidi"/>
      <w:b w:val="0"/>
      <w:bCs/>
      <w:sz w:val="21"/>
      <w:szCs w:val="22"/>
    </w:rPr>
  </w:style>
  <w:style w:type="paragraph" w:customStyle="1" w:styleId="64">
    <w:name w:val="标题3"/>
    <w:next w:val="6"/>
    <w:qFormat/>
    <w:uiPriority w:val="0"/>
    <w:pPr>
      <w:spacing w:line="360" w:lineRule="auto"/>
    </w:pPr>
    <w:rPr>
      <w:rFonts w:ascii="Times New Roman" w:hAnsi="Times New Roman" w:eastAsia="宋体" w:cs="Times New Roman"/>
      <w:b/>
      <w:bCs/>
      <w:kern w:val="2"/>
      <w:sz w:val="24"/>
      <w:szCs w:val="32"/>
      <w:lang w:val="en-US" w:eastAsia="zh-CN" w:bidi="ar-SA"/>
    </w:rPr>
  </w:style>
  <w:style w:type="paragraph" w:customStyle="1" w:styleId="65">
    <w:name w:val="表格内文字"/>
    <w:qFormat/>
    <w:uiPriority w:val="0"/>
    <w:pPr>
      <w:spacing w:line="264" w:lineRule="auto"/>
      <w:jc w:val="center"/>
    </w:pPr>
    <w:rPr>
      <w:rFonts w:ascii="Times New Roman" w:hAnsi="Times New Roman" w:eastAsia="宋体" w:cs="宋体"/>
      <w:kern w:val="2"/>
      <w:sz w:val="21"/>
      <w:szCs w:val="22"/>
      <w:lang w:val="en-US" w:eastAsia="zh-CN" w:bidi="ar-SA"/>
    </w:rPr>
  </w:style>
  <w:style w:type="paragraph" w:customStyle="1" w:styleId="66">
    <w:name w:val="表文字"/>
    <w:basedOn w:val="1"/>
    <w:qFormat/>
    <w:uiPriority w:val="0"/>
    <w:pPr>
      <w:widowControl/>
      <w:overflowPunct w:val="0"/>
      <w:autoSpaceDE w:val="0"/>
      <w:autoSpaceDN w:val="0"/>
      <w:adjustRightInd w:val="0"/>
      <w:spacing w:line="240" w:lineRule="atLeast"/>
      <w:ind w:firstLine="0" w:firstLineChars="0"/>
      <w:jc w:val="center"/>
      <w:textAlignment w:val="baseline"/>
    </w:pPr>
    <w:rPr>
      <w:rFonts w:ascii="宋体" w:hAnsi="宋体" w:cs="宋体"/>
      <w:kern w:val="0"/>
      <w:szCs w:val="20"/>
    </w:rPr>
  </w:style>
  <w:style w:type="paragraph" w:customStyle="1" w:styleId="67">
    <w:name w:val="表格的标题"/>
    <w:basedOn w:val="1"/>
    <w:qFormat/>
    <w:uiPriority w:val="0"/>
    <w:pPr>
      <w:widowControl/>
      <w:tabs>
        <w:tab w:val="left" w:pos="1021"/>
      </w:tabs>
      <w:adjustRightInd w:val="0"/>
      <w:spacing w:afterLines="10" w:line="240" w:lineRule="auto"/>
      <w:ind w:firstLine="0" w:firstLineChars="0"/>
      <w:jc w:val="center"/>
      <w:textAlignment w:val="baseline"/>
    </w:pPr>
    <w:rPr>
      <w:rFonts w:ascii="宋体" w:hAnsi="宋体" w:eastAsia="黑体" w:cs="宋体"/>
      <w:color w:val="000000"/>
      <w:kern w:val="24"/>
      <w:szCs w:val="24"/>
    </w:rPr>
  </w:style>
  <w:style w:type="paragraph" w:customStyle="1" w:styleId="68">
    <w:name w:val="_Style 1"/>
    <w:qFormat/>
    <w:uiPriority w:val="0"/>
    <w:pPr>
      <w:widowControl w:val="0"/>
      <w:spacing w:line="360" w:lineRule="exact"/>
      <w:jc w:val="center"/>
    </w:pPr>
    <w:rPr>
      <w:rFonts w:ascii="Times New Roman" w:hAnsi="Times New Roman" w:eastAsia="新宋体" w:cs="Times New Roman"/>
      <w:kern w:val="2"/>
      <w:sz w:val="21"/>
      <w:szCs w:val="22"/>
      <w:lang w:val="en-US" w:eastAsia="zh-CN" w:bidi="ar-SA"/>
    </w:rPr>
  </w:style>
  <w:style w:type="character" w:customStyle="1" w:styleId="69">
    <w:name w:val="正文文本缩进 2 Char"/>
    <w:basedOn w:val="34"/>
    <w:link w:val="20"/>
    <w:qFormat/>
    <w:uiPriority w:val="0"/>
    <w:rPr>
      <w:rFonts w:ascii="Times New Roman" w:hAnsi="Times New Roman" w:eastAsia="宋体" w:cs="Times New Roman"/>
      <w:sz w:val="24"/>
    </w:rPr>
  </w:style>
  <w:style w:type="character" w:customStyle="1" w:styleId="70">
    <w:name w:val="正文文本缩进 Char"/>
    <w:basedOn w:val="34"/>
    <w:link w:val="14"/>
    <w:qFormat/>
    <w:uiPriority w:val="99"/>
    <w:rPr>
      <w:rFonts w:ascii="Times New Roman" w:hAnsi="Times New Roman" w:eastAsia="宋体" w:cs="Times New Roman"/>
      <w:sz w:val="25"/>
    </w:rPr>
  </w:style>
  <w:style w:type="character" w:customStyle="1" w:styleId="71">
    <w:name w:val="正文文本 2 Char1"/>
    <w:basedOn w:val="34"/>
    <w:semiHidden/>
    <w:qFormat/>
    <w:uiPriority w:val="99"/>
    <w:rPr>
      <w:rFonts w:ascii="Times New Roman" w:hAnsi="Times New Roman" w:eastAsia="宋体" w:cs="Times New Roman"/>
      <w:sz w:val="24"/>
    </w:rPr>
  </w:style>
  <w:style w:type="character" w:customStyle="1" w:styleId="72">
    <w:name w:val="正文文本 Char"/>
    <w:basedOn w:val="34"/>
    <w:link w:val="12"/>
    <w:semiHidden/>
    <w:qFormat/>
    <w:uiPriority w:val="99"/>
    <w:rPr>
      <w:rFonts w:ascii="Times New Roman" w:hAnsi="Times New Roman" w:eastAsia="宋体" w:cs="Times New Roman"/>
      <w:sz w:val="24"/>
    </w:rPr>
  </w:style>
  <w:style w:type="character" w:customStyle="1" w:styleId="73">
    <w:name w:val="正文首行缩进 Char"/>
    <w:basedOn w:val="72"/>
    <w:link w:val="11"/>
    <w:qFormat/>
    <w:uiPriority w:val="99"/>
    <w:rPr>
      <w:rFonts w:ascii="Times New Roman" w:hAnsi="Times New Roman" w:eastAsia="宋体" w:cs="Times New Roman"/>
      <w:sz w:val="24"/>
    </w:rPr>
  </w:style>
  <w:style w:type="character" w:customStyle="1" w:styleId="74">
    <w:name w:val="批注文字 Char"/>
    <w:basedOn w:val="34"/>
    <w:link w:val="9"/>
    <w:semiHidden/>
    <w:qFormat/>
    <w:uiPriority w:val="0"/>
    <w:rPr>
      <w:rFonts w:ascii="Times New Roman" w:hAnsi="Times New Roman" w:eastAsia="宋体" w:cs="Times New Roman"/>
      <w:sz w:val="24"/>
    </w:rPr>
  </w:style>
  <w:style w:type="paragraph" w:customStyle="1" w:styleId="75">
    <w:name w:val="样式 小四 行距: 1.5 倍行距 首行缩进:  2 字符"/>
    <w:basedOn w:val="1"/>
    <w:qFormat/>
    <w:uiPriority w:val="0"/>
    <w:pPr>
      <w:widowControl/>
      <w:spacing w:line="460" w:lineRule="exact"/>
      <w:ind w:firstLine="200"/>
      <w:jc w:val="left"/>
    </w:pPr>
    <w:rPr>
      <w:rFonts w:cs="宋体"/>
    </w:rPr>
  </w:style>
  <w:style w:type="paragraph" w:customStyle="1" w:styleId="76">
    <w:name w:val="Char1 Char Char Char"/>
    <w:basedOn w:val="1"/>
    <w:qFormat/>
    <w:uiPriority w:val="0"/>
    <w:pPr>
      <w:widowControl/>
      <w:spacing w:line="240" w:lineRule="auto"/>
      <w:ind w:firstLine="0" w:firstLineChars="0"/>
      <w:jc w:val="left"/>
    </w:pPr>
    <w:rPr>
      <w:rFonts w:ascii="宋体" w:hAnsi="宋体" w:cs="宋体"/>
      <w:kern w:val="0"/>
      <w:szCs w:val="20"/>
    </w:rPr>
  </w:style>
  <w:style w:type="character" w:customStyle="1" w:styleId="77">
    <w:name w:val="批注框文本 Char"/>
    <w:basedOn w:val="34"/>
    <w:link w:val="21"/>
    <w:semiHidden/>
    <w:qFormat/>
    <w:uiPriority w:val="0"/>
    <w:rPr>
      <w:rFonts w:ascii="Times New Roman" w:hAnsi="Times New Roman" w:eastAsia="宋体" w:cs="Times New Roman"/>
      <w:sz w:val="18"/>
      <w:szCs w:val="18"/>
    </w:rPr>
  </w:style>
  <w:style w:type="character" w:customStyle="1" w:styleId="78">
    <w:name w:val="文档结构图 Char1"/>
    <w:basedOn w:val="34"/>
    <w:semiHidden/>
    <w:qFormat/>
    <w:uiPriority w:val="99"/>
    <w:rPr>
      <w:rFonts w:ascii="宋体" w:hAnsi="Times New Roman" w:eastAsia="宋体" w:cs="Times New Roman"/>
      <w:sz w:val="18"/>
      <w:szCs w:val="18"/>
    </w:rPr>
  </w:style>
  <w:style w:type="character" w:customStyle="1" w:styleId="79">
    <w:name w:val="批注主题 Char"/>
    <w:basedOn w:val="74"/>
    <w:link w:val="8"/>
    <w:semiHidden/>
    <w:qFormat/>
    <w:uiPriority w:val="0"/>
    <w:rPr>
      <w:rFonts w:ascii="Times New Roman" w:hAnsi="Times New Roman" w:eastAsia="宋体" w:cs="Times New Roman"/>
      <w:b/>
      <w:bCs/>
      <w:sz w:val="24"/>
    </w:rPr>
  </w:style>
  <w:style w:type="paragraph" w:customStyle="1" w:styleId="80">
    <w:name w:val="表格文字"/>
    <w:basedOn w:val="11"/>
    <w:link w:val="101"/>
    <w:qFormat/>
    <w:uiPriority w:val="0"/>
    <w:pPr>
      <w:widowControl/>
      <w:spacing w:line="240" w:lineRule="auto"/>
      <w:ind w:firstLine="0" w:firstLineChars="0"/>
      <w:jc w:val="center"/>
    </w:pPr>
    <w:rPr>
      <w:rFonts w:ascii="宋体" w:hAnsi="宋体" w:cs="宋体"/>
      <w:szCs w:val="24"/>
    </w:rPr>
  </w:style>
  <w:style w:type="character" w:customStyle="1" w:styleId="81">
    <w:name w:val="纯文本 Char"/>
    <w:basedOn w:val="34"/>
    <w:link w:val="17"/>
    <w:qFormat/>
    <w:uiPriority w:val="99"/>
    <w:rPr>
      <w:rFonts w:ascii="宋体" w:hAnsi="Courier New" w:eastAsia="宋体" w:cs="楷体_GB2312"/>
      <w:sz w:val="24"/>
      <w:szCs w:val="21"/>
    </w:rPr>
  </w:style>
  <w:style w:type="paragraph" w:customStyle="1" w:styleId="82">
    <w:name w:val="WPS Plain"/>
    <w:qFormat/>
    <w:uiPriority w:val="0"/>
    <w:rPr>
      <w:rFonts w:ascii="Calibri" w:hAnsi="Calibri" w:eastAsia="宋体" w:cs="Times New Roman"/>
      <w:sz w:val="21"/>
      <w:szCs w:val="22"/>
      <w:lang w:val="en-US" w:eastAsia="zh-CN" w:bidi="ar-SA"/>
    </w:rPr>
  </w:style>
  <w:style w:type="paragraph" w:customStyle="1" w:styleId="83">
    <w:name w:val="Char Char Char Char Char Char Char Char Char Char Char"/>
    <w:basedOn w:val="1"/>
    <w:qFormat/>
    <w:uiPriority w:val="0"/>
    <w:pPr>
      <w:spacing w:line="240" w:lineRule="auto"/>
      <w:ind w:firstLine="0" w:firstLineChars="0"/>
    </w:pPr>
    <w:rPr>
      <w:sz w:val="28"/>
      <w:szCs w:val="28"/>
    </w:rPr>
  </w:style>
  <w:style w:type="paragraph" w:customStyle="1" w:styleId="84">
    <w:name w:val="p0"/>
    <w:basedOn w:val="1"/>
    <w:qFormat/>
    <w:uiPriority w:val="0"/>
    <w:pPr>
      <w:widowControl/>
      <w:spacing w:before="100" w:beforeAutospacing="1" w:after="100" w:afterAutospacing="1" w:line="240" w:lineRule="auto"/>
      <w:ind w:firstLine="0" w:firstLineChars="0"/>
      <w:jc w:val="left"/>
    </w:pPr>
    <w:rPr>
      <w:rFonts w:ascii="宋体" w:hAnsi="宋体" w:cs="宋体"/>
      <w:kern w:val="0"/>
      <w:szCs w:val="24"/>
    </w:rPr>
  </w:style>
  <w:style w:type="paragraph" w:customStyle="1" w:styleId="85">
    <w:name w:val="标题1"/>
    <w:basedOn w:val="2"/>
    <w:qFormat/>
    <w:uiPriority w:val="0"/>
    <w:pPr>
      <w:tabs>
        <w:tab w:val="left" w:pos="425"/>
      </w:tabs>
      <w:spacing w:beforeLines="50" w:afterLines="50" w:line="360" w:lineRule="auto"/>
      <w:ind w:firstLine="0" w:firstLineChars="0"/>
      <w:jc w:val="left"/>
    </w:pPr>
    <w:rPr>
      <w:kern w:val="2"/>
      <w:sz w:val="30"/>
      <w:szCs w:val="20"/>
    </w:rPr>
  </w:style>
  <w:style w:type="paragraph" w:customStyle="1" w:styleId="86">
    <w:name w:val="报告正文缩进"/>
    <w:basedOn w:val="1"/>
    <w:qFormat/>
    <w:uiPriority w:val="0"/>
    <w:pPr>
      <w:widowControl/>
      <w:adjustRightInd w:val="0"/>
      <w:snapToGrid w:val="0"/>
      <w:spacing w:line="480" w:lineRule="exact"/>
      <w:jc w:val="left"/>
    </w:pPr>
    <w:rPr>
      <w:kern w:val="0"/>
      <w:szCs w:val="24"/>
    </w:rPr>
  </w:style>
  <w:style w:type="paragraph" w:customStyle="1" w:styleId="87">
    <w:name w:val="预案正文"/>
    <w:basedOn w:val="1"/>
    <w:qFormat/>
    <w:uiPriority w:val="0"/>
    <w:pPr>
      <w:widowControl/>
      <w:adjustRightInd w:val="0"/>
      <w:snapToGrid w:val="0"/>
      <w:spacing w:line="240" w:lineRule="auto"/>
      <w:ind w:firstLine="200"/>
      <w:jc w:val="left"/>
    </w:pPr>
    <w:rPr>
      <w:rFonts w:ascii="宋体" w:hAnsi="宋体" w:cs="宋体"/>
      <w:kern w:val="0"/>
      <w:szCs w:val="28"/>
    </w:rPr>
  </w:style>
  <w:style w:type="paragraph" w:customStyle="1" w:styleId="88">
    <w:name w:val="Default"/>
    <w:qFormat/>
    <w:uiPriority w:val="0"/>
    <w:pPr>
      <w:widowControl w:val="0"/>
      <w:autoSpaceDE w:val="0"/>
      <w:autoSpaceDN w:val="0"/>
      <w:adjustRightInd w:val="0"/>
    </w:pPr>
    <w:rPr>
      <w:rFonts w:ascii="HiddenHorzOCl" w:hAnsi="Calibri" w:eastAsia="HiddenHorzOCl" w:cs="HiddenHorzOCl"/>
      <w:color w:val="000000"/>
      <w:sz w:val="24"/>
      <w:szCs w:val="24"/>
      <w:lang w:val="en-US" w:eastAsia="zh-CN" w:bidi="ar-SA"/>
    </w:rPr>
  </w:style>
  <w:style w:type="paragraph" w:customStyle="1" w:styleId="89">
    <w:name w:val="sheet"/>
    <w:basedOn w:val="1"/>
    <w:link w:val="90"/>
    <w:qFormat/>
    <w:uiPriority w:val="99"/>
    <w:pPr>
      <w:suppressAutoHyphens/>
      <w:topLinePunct/>
      <w:spacing w:line="240" w:lineRule="auto"/>
      <w:ind w:firstLine="0" w:firstLineChars="0"/>
      <w:jc w:val="center"/>
    </w:pPr>
    <w:rPr>
      <w:kern w:val="0"/>
      <w:szCs w:val="20"/>
    </w:rPr>
  </w:style>
  <w:style w:type="character" w:customStyle="1" w:styleId="90">
    <w:name w:val="sheet Char"/>
    <w:link w:val="89"/>
    <w:qFormat/>
    <w:locked/>
    <w:uiPriority w:val="99"/>
    <w:rPr>
      <w:rFonts w:ascii="Times New Roman" w:hAnsi="Times New Roman" w:eastAsia="宋体" w:cs="Times New Roman"/>
      <w:kern w:val="0"/>
      <w:sz w:val="24"/>
      <w:szCs w:val="20"/>
    </w:rPr>
  </w:style>
  <w:style w:type="paragraph" w:customStyle="1" w:styleId="91">
    <w:name w:val="table caption"/>
    <w:qFormat/>
    <w:uiPriority w:val="99"/>
    <w:pPr>
      <w:spacing w:before="120" w:after="120"/>
      <w:jc w:val="center"/>
    </w:pPr>
    <w:rPr>
      <w:rFonts w:ascii="Times New Roman" w:hAnsi="Times New Roman" w:eastAsia="黑体" w:cs="Times New Roman"/>
      <w:b/>
      <w:kern w:val="2"/>
      <w:sz w:val="24"/>
      <w:szCs w:val="24"/>
      <w:lang w:val="en-US" w:eastAsia="zh-CN" w:bidi="ar-SA"/>
    </w:rPr>
  </w:style>
  <w:style w:type="character" w:customStyle="1" w:styleId="92">
    <w:name w:val="fontstyle01"/>
    <w:basedOn w:val="34"/>
    <w:qFormat/>
    <w:uiPriority w:val="0"/>
    <w:rPr>
      <w:rFonts w:hint="eastAsia" w:ascii="宋体" w:hAnsi="宋体" w:eastAsia="宋体"/>
      <w:color w:val="000000"/>
      <w:sz w:val="22"/>
      <w:szCs w:val="22"/>
    </w:rPr>
  </w:style>
  <w:style w:type="character" w:customStyle="1" w:styleId="93">
    <w:name w:val="fontstyle21"/>
    <w:basedOn w:val="34"/>
    <w:qFormat/>
    <w:uiPriority w:val="0"/>
    <w:rPr>
      <w:rFonts w:hint="default" w:ascii="TimesNewRomanPSMT" w:hAnsi="TimesNewRomanPSMT"/>
      <w:color w:val="000000"/>
      <w:sz w:val="22"/>
      <w:szCs w:val="22"/>
    </w:rPr>
  </w:style>
  <w:style w:type="paragraph" w:customStyle="1" w:styleId="94">
    <w:name w:val="正"/>
    <w:basedOn w:val="1"/>
    <w:link w:val="95"/>
    <w:qFormat/>
    <w:uiPriority w:val="0"/>
    <w:pPr>
      <w:autoSpaceDE w:val="0"/>
      <w:autoSpaceDN w:val="0"/>
      <w:ind w:firstLine="200"/>
      <w:jc w:val="left"/>
    </w:pPr>
    <w:rPr>
      <w:bCs/>
      <w:color w:val="000000"/>
      <w:kern w:val="0"/>
      <w:szCs w:val="28"/>
    </w:rPr>
  </w:style>
  <w:style w:type="character" w:customStyle="1" w:styleId="95">
    <w:name w:val="正 Char"/>
    <w:link w:val="94"/>
    <w:qFormat/>
    <w:uiPriority w:val="0"/>
    <w:rPr>
      <w:rFonts w:ascii="Times New Roman" w:hAnsi="Times New Roman" w:eastAsia="宋体" w:cs="Times New Roman"/>
      <w:bCs/>
      <w:color w:val="000000"/>
      <w:kern w:val="0"/>
      <w:sz w:val="24"/>
      <w:szCs w:val="28"/>
    </w:rPr>
  </w:style>
  <w:style w:type="paragraph" w:customStyle="1" w:styleId="96">
    <w:name w:val="图表标题"/>
    <w:basedOn w:val="1"/>
    <w:link w:val="97"/>
    <w:qFormat/>
    <w:uiPriority w:val="0"/>
    <w:pPr>
      <w:autoSpaceDE w:val="0"/>
      <w:autoSpaceDN w:val="0"/>
      <w:adjustRightInd w:val="0"/>
      <w:spacing w:line="240" w:lineRule="auto"/>
      <w:ind w:firstLine="0" w:firstLineChars="0"/>
      <w:jc w:val="center"/>
      <w:outlineLvl w:val="3"/>
    </w:pPr>
    <w:rPr>
      <w:rFonts w:eastAsia="黑体"/>
      <w:kern w:val="0"/>
      <w:szCs w:val="28"/>
    </w:rPr>
  </w:style>
  <w:style w:type="character" w:customStyle="1" w:styleId="97">
    <w:name w:val="图表标题 Char"/>
    <w:link w:val="96"/>
    <w:qFormat/>
    <w:uiPriority w:val="0"/>
    <w:rPr>
      <w:rFonts w:ascii="Times New Roman" w:hAnsi="Times New Roman" w:eastAsia="黑体" w:cs="Times New Roman"/>
      <w:kern w:val="0"/>
      <w:sz w:val="24"/>
      <w:szCs w:val="28"/>
    </w:rPr>
  </w:style>
  <w:style w:type="character" w:customStyle="1" w:styleId="98">
    <w:name w:val="标题 Char"/>
    <w:basedOn w:val="34"/>
    <w:link w:val="33"/>
    <w:qFormat/>
    <w:uiPriority w:val="0"/>
    <w:rPr>
      <w:rFonts w:ascii="Cambria" w:hAnsi="Cambria" w:eastAsia="宋体" w:cs="Times New Roman"/>
      <w:b/>
      <w:bCs/>
      <w:sz w:val="24"/>
      <w:szCs w:val="32"/>
    </w:rPr>
  </w:style>
  <w:style w:type="character" w:customStyle="1" w:styleId="99">
    <w:name w:val="tpc_content1"/>
    <w:qFormat/>
    <w:uiPriority w:val="0"/>
    <w:rPr>
      <w:sz w:val="20"/>
      <w:szCs w:val="20"/>
    </w:rPr>
  </w:style>
  <w:style w:type="paragraph" w:styleId="100">
    <w:name w:val="List Paragraph"/>
    <w:basedOn w:val="1"/>
    <w:qFormat/>
    <w:uiPriority w:val="34"/>
    <w:pPr>
      <w:ind w:firstLine="420"/>
    </w:pPr>
  </w:style>
  <w:style w:type="character" w:customStyle="1" w:styleId="101">
    <w:name w:val="表格文字 Char"/>
    <w:link w:val="80"/>
    <w:qFormat/>
    <w:locked/>
    <w:uiPriority w:val="0"/>
    <w:rPr>
      <w:rFonts w:ascii="宋体" w:hAnsi="宋体" w:eastAsia="宋体" w:cs="宋体"/>
      <w:kern w:val="0"/>
      <w:sz w:val="24"/>
      <w:szCs w:val="24"/>
    </w:rPr>
  </w:style>
  <w:style w:type="character" w:customStyle="1" w:styleId="102">
    <w:name w:val="占位符文本1"/>
    <w:basedOn w:val="34"/>
    <w:qFormat/>
    <w:uiPriority w:val="0"/>
    <w:rPr>
      <w:color w:val="808080"/>
    </w:rPr>
  </w:style>
  <w:style w:type="character" w:customStyle="1" w:styleId="103">
    <w:name w:val="HTML 预设格式 Char"/>
    <w:basedOn w:val="34"/>
    <w:link w:val="31"/>
    <w:qFormat/>
    <w:uiPriority w:val="0"/>
    <w:rPr>
      <w:rFonts w:hint="eastAsia" w:ascii="宋体" w:hAnsi="宋体" w:eastAsia="宋体" w:cs="宋体"/>
      <w:sz w:val="24"/>
      <w:szCs w:val="24"/>
    </w:rPr>
  </w:style>
  <w:style w:type="character" w:customStyle="1" w:styleId="104">
    <w:name w:val="标题 5 Char"/>
    <w:basedOn w:val="34"/>
    <w:link w:val="7"/>
    <w:qFormat/>
    <w:uiPriority w:val="0"/>
    <w:rPr>
      <w:b/>
      <w:kern w:val="2"/>
      <w:sz w:val="28"/>
      <w:szCs w:val="28"/>
    </w:rPr>
  </w:style>
  <w:style w:type="character" w:customStyle="1" w:styleId="105">
    <w:name w:val="正文文本缩进 3 Char"/>
    <w:basedOn w:val="34"/>
    <w:link w:val="27"/>
    <w:qFormat/>
    <w:uiPriority w:val="0"/>
    <w:rPr>
      <w:rFonts w:hint="default" w:ascii="Times New Roman" w:hAnsi="Times New Roman" w:cs="Times New Roman"/>
      <w:kern w:val="2"/>
      <w:sz w:val="16"/>
      <w:szCs w:val="16"/>
    </w:rPr>
  </w:style>
  <w:style w:type="character" w:customStyle="1" w:styleId="106">
    <w:name w:val="日期 Char"/>
    <w:basedOn w:val="34"/>
    <w:link w:val="19"/>
    <w:qFormat/>
    <w:uiPriority w:val="0"/>
    <w:rPr>
      <w:kern w:val="2"/>
      <w:sz w:val="21"/>
      <w:szCs w:val="21"/>
    </w:rPr>
  </w:style>
  <w:style w:type="character" w:customStyle="1" w:styleId="107">
    <w:name w:val="apple-converted-space"/>
    <w:basedOn w:val="34"/>
    <w:qFormat/>
    <w:uiPriority w:val="0"/>
  </w:style>
  <w:style w:type="character" w:customStyle="1" w:styleId="108">
    <w:name w:val="description"/>
    <w:basedOn w:val="34"/>
    <w:qFormat/>
    <w:uiPriority w:val="0"/>
  </w:style>
  <w:style w:type="character" w:customStyle="1" w:styleId="109">
    <w:name w:val="hover29"/>
    <w:basedOn w:val="34"/>
    <w:qFormat/>
    <w:uiPriority w:val="0"/>
    <w:rPr>
      <w:color w:val="000000"/>
      <w:shd w:val="clear" w:color="auto" w:fill="FFFFFF"/>
    </w:rPr>
  </w:style>
  <w:style w:type="character" w:customStyle="1" w:styleId="110">
    <w:name w:val="wx-space"/>
    <w:basedOn w:val="34"/>
    <w:qFormat/>
    <w:uiPriority w:val="0"/>
  </w:style>
  <w:style w:type="character" w:customStyle="1" w:styleId="111">
    <w:name w:val="wx-space1"/>
    <w:basedOn w:val="34"/>
    <w:qFormat/>
    <w:uiPriority w:val="0"/>
  </w:style>
  <w:style w:type="character" w:customStyle="1" w:styleId="112">
    <w:name w:val="time"/>
    <w:basedOn w:val="34"/>
    <w:qFormat/>
    <w:uiPriority w:val="0"/>
    <w:rPr>
      <w:color w:val="999999"/>
      <w:sz w:val="18"/>
      <w:szCs w:val="18"/>
    </w:rPr>
  </w:style>
  <w:style w:type="character" w:customStyle="1" w:styleId="113">
    <w:name w:val="time1"/>
    <w:basedOn w:val="34"/>
    <w:qFormat/>
    <w:uiPriority w:val="0"/>
    <w:rPr>
      <w:color w:val="333333"/>
      <w:bdr w:val="single" w:color="FFFFFF" w:sz="6" w:space="0"/>
    </w:rPr>
  </w:style>
  <w:style w:type="character" w:customStyle="1" w:styleId="114">
    <w:name w:val="newsimg"/>
    <w:basedOn w:val="34"/>
    <w:qFormat/>
    <w:uiPriority w:val="0"/>
  </w:style>
  <w:style w:type="character" w:customStyle="1" w:styleId="115">
    <w:name w:val="hover23"/>
    <w:basedOn w:val="34"/>
    <w:qFormat/>
    <w:uiPriority w:val="0"/>
    <w:rPr>
      <w:color w:val="000000"/>
      <w:shd w:val="clear" w:color="auto" w:fill="FFFFFF"/>
    </w:rPr>
  </w:style>
  <w:style w:type="character" w:customStyle="1" w:styleId="116">
    <w:name w:val="hover25"/>
    <w:basedOn w:val="34"/>
    <w:qFormat/>
    <w:uiPriority w:val="0"/>
    <w:rPr>
      <w:color w:val="000000"/>
      <w:shd w:val="clear" w:color="auto" w:fill="FFFFFF"/>
    </w:rPr>
  </w:style>
  <w:style w:type="character" w:customStyle="1" w:styleId="117">
    <w:name w:val="hover26"/>
    <w:basedOn w:val="34"/>
    <w:qFormat/>
    <w:uiPriority w:val="0"/>
    <w:rPr>
      <w:color w:val="000000"/>
      <w:shd w:val="clear" w:color="auto" w:fill="FFFFFF"/>
    </w:rPr>
  </w:style>
  <w:style w:type="character" w:customStyle="1" w:styleId="118">
    <w:name w:val="页脚 Char1"/>
    <w:basedOn w:val="34"/>
    <w:link w:val="22"/>
    <w:qFormat/>
    <w:uiPriority w:val="0"/>
    <w:rPr>
      <w:rFonts w:hint="eastAsia" w:ascii="宋体" w:hAnsi="宋体" w:eastAsia="宋体" w:cs="宋体"/>
      <w:sz w:val="18"/>
      <w:szCs w:val="18"/>
    </w:rPr>
  </w:style>
  <w:style w:type="character" w:customStyle="1" w:styleId="119">
    <w:name w:val="正文首行缩进 Char1"/>
    <w:link w:val="11"/>
    <w:qFormat/>
    <w:uiPriority w:val="0"/>
    <w:rPr>
      <w:kern w:val="2"/>
    </w:rPr>
  </w:style>
  <w:style w:type="paragraph" w:customStyle="1" w:styleId="120">
    <w:name w:val="msolistparagraph"/>
    <w:basedOn w:val="1"/>
    <w:qFormat/>
    <w:uiPriority w:val="0"/>
    <w:pPr>
      <w:ind w:firstLine="420"/>
    </w:pPr>
    <w:rPr>
      <w:sz w:val="20"/>
      <w:szCs w:val="20"/>
    </w:rPr>
  </w:style>
  <w:style w:type="character" w:customStyle="1" w:styleId="121">
    <w:name w:val="style11"/>
    <w:basedOn w:val="34"/>
    <w:qFormat/>
    <w:uiPriority w:val="0"/>
    <w:rPr>
      <w:b/>
      <w:color w:val="FF0000"/>
      <w:sz w:val="26"/>
      <w:szCs w:val="26"/>
    </w:rPr>
  </w:style>
  <w:style w:type="character" w:customStyle="1" w:styleId="122">
    <w:name w:val="正文文本 Char1"/>
    <w:basedOn w:val="34"/>
    <w:link w:val="12"/>
    <w:qFormat/>
    <w:uiPriority w:val="0"/>
    <w:rPr>
      <w:kern w:val="2"/>
    </w:rPr>
  </w:style>
  <w:style w:type="character" w:customStyle="1" w:styleId="123">
    <w:name w:val="15"/>
    <w:basedOn w:val="34"/>
    <w:qFormat/>
    <w:uiPriority w:val="0"/>
    <w:rPr>
      <w:rFonts w:hint="default" w:ascii="Times New Roman" w:hAnsi="Times New Roman" w:cs="Times New Roman"/>
      <w:sz w:val="20"/>
      <w:szCs w:val="20"/>
    </w:rPr>
  </w:style>
  <w:style w:type="character" w:customStyle="1" w:styleId="124">
    <w:name w:val="fontstrikethrough"/>
    <w:basedOn w:val="34"/>
    <w:qFormat/>
    <w:uiPriority w:val="0"/>
    <w:rPr>
      <w:strike/>
    </w:rPr>
  </w:style>
  <w:style w:type="character" w:customStyle="1" w:styleId="125">
    <w:name w:val="fontborder"/>
    <w:basedOn w:val="34"/>
    <w:qFormat/>
    <w:uiPriority w:val="0"/>
    <w:rPr>
      <w:bdr w:val="single" w:color="000000" w:sz="6" w:space="0"/>
    </w:rPr>
  </w:style>
</w:styles>
</file>

<file path=word/_rels/document.xml.rels><?xml version="1.0" encoding="UTF-8" standalone="yes"?>
<Relationships xmlns="http://schemas.openxmlformats.org/package/2006/relationships"><Relationship Id="rId94" Type="http://schemas.openxmlformats.org/officeDocument/2006/relationships/fontTable" Target="fontTable.xml"/><Relationship Id="rId93" Type="http://schemas.openxmlformats.org/officeDocument/2006/relationships/customXml" Target="../customXml/item2.xml"/><Relationship Id="rId92" Type="http://schemas.openxmlformats.org/officeDocument/2006/relationships/numbering" Target="numbering.xml"/><Relationship Id="rId91" Type="http://schemas.openxmlformats.org/officeDocument/2006/relationships/customXml" Target="../customXml/item1.xml"/><Relationship Id="rId90" Type="http://schemas.openxmlformats.org/officeDocument/2006/relationships/image" Target="media/image64.jpeg"/><Relationship Id="rId9" Type="http://schemas.openxmlformats.org/officeDocument/2006/relationships/footer" Target="footer4.xml"/><Relationship Id="rId89" Type="http://schemas.openxmlformats.org/officeDocument/2006/relationships/image" Target="media/image63.jpeg"/><Relationship Id="rId88" Type="http://schemas.openxmlformats.org/officeDocument/2006/relationships/image" Target="media/image62.jpeg"/><Relationship Id="rId87" Type="http://schemas.openxmlformats.org/officeDocument/2006/relationships/image" Target="media/image61.jpeg"/><Relationship Id="rId86" Type="http://schemas.openxmlformats.org/officeDocument/2006/relationships/image" Target="media/image60.jpeg"/><Relationship Id="rId85" Type="http://schemas.openxmlformats.org/officeDocument/2006/relationships/image" Target="media/image59.jpeg"/><Relationship Id="rId84" Type="http://schemas.openxmlformats.org/officeDocument/2006/relationships/image" Target="media/image58.jpeg"/><Relationship Id="rId83" Type="http://schemas.openxmlformats.org/officeDocument/2006/relationships/image" Target="media/image57.jpeg"/><Relationship Id="rId82" Type="http://schemas.openxmlformats.org/officeDocument/2006/relationships/image" Target="media/image56.jpeg"/><Relationship Id="rId81" Type="http://schemas.openxmlformats.org/officeDocument/2006/relationships/image" Target="media/image55.jpeg"/><Relationship Id="rId80" Type="http://schemas.openxmlformats.org/officeDocument/2006/relationships/image" Target="media/image54.png"/><Relationship Id="rId8" Type="http://schemas.openxmlformats.org/officeDocument/2006/relationships/footer" Target="footer3.xml"/><Relationship Id="rId79" Type="http://schemas.openxmlformats.org/officeDocument/2006/relationships/image" Target="media/image53.jpeg"/><Relationship Id="rId78" Type="http://schemas.openxmlformats.org/officeDocument/2006/relationships/image" Target="file:///C:\Users\&#29579;&#24658;\AppData\Roaming\Tencent\Users\553853554\QQ\WinTemp\RichOle\IJ(7XGQ@G6H~$W%2525257b%2525255d2%2525255bONX%2525257b7.png" TargetMode="External"/><Relationship Id="rId77" Type="http://schemas.openxmlformats.org/officeDocument/2006/relationships/image" Target="media/image52.jpeg"/><Relationship Id="rId76" Type="http://schemas.openxmlformats.org/officeDocument/2006/relationships/image" Target="media/image51.png"/><Relationship Id="rId75" Type="http://schemas.openxmlformats.org/officeDocument/2006/relationships/image" Target="media/image50.png"/><Relationship Id="rId74" Type="http://schemas.openxmlformats.org/officeDocument/2006/relationships/image" Target="media/image49.png"/><Relationship Id="rId73" Type="http://schemas.openxmlformats.org/officeDocument/2006/relationships/image" Target="media/image48.jpeg"/><Relationship Id="rId72" Type="http://schemas.openxmlformats.org/officeDocument/2006/relationships/image" Target="media/image47.png"/><Relationship Id="rId71" Type="http://schemas.openxmlformats.org/officeDocument/2006/relationships/image" Target="media/image46.jpeg"/><Relationship Id="rId70" Type="http://schemas.openxmlformats.org/officeDocument/2006/relationships/image" Target="media/image45.jpeg"/><Relationship Id="rId7" Type="http://schemas.openxmlformats.org/officeDocument/2006/relationships/footer" Target="footer2.xml"/><Relationship Id="rId69" Type="http://schemas.openxmlformats.org/officeDocument/2006/relationships/image" Target="media/image44.jpeg"/><Relationship Id="rId68" Type="http://schemas.openxmlformats.org/officeDocument/2006/relationships/image" Target="media/image43.jpeg"/><Relationship Id="rId67" Type="http://schemas.openxmlformats.org/officeDocument/2006/relationships/image" Target="media/image42.jpeg"/><Relationship Id="rId66" Type="http://schemas.openxmlformats.org/officeDocument/2006/relationships/image" Target="media/image41.jpeg"/><Relationship Id="rId65" Type="http://schemas.openxmlformats.org/officeDocument/2006/relationships/image" Target="media/image40.png"/><Relationship Id="rId64" Type="http://schemas.openxmlformats.org/officeDocument/2006/relationships/image" Target="media/image39.jpeg"/><Relationship Id="rId63" Type="http://schemas.openxmlformats.org/officeDocument/2006/relationships/image" Target="media/image38.jpeg"/><Relationship Id="rId62" Type="http://schemas.openxmlformats.org/officeDocument/2006/relationships/image" Target="media/image37.jpeg"/><Relationship Id="rId61" Type="http://schemas.openxmlformats.org/officeDocument/2006/relationships/image" Target="media/image36.jpeg"/><Relationship Id="rId60" Type="http://schemas.openxmlformats.org/officeDocument/2006/relationships/image" Target="media/image35.png"/><Relationship Id="rId6" Type="http://schemas.openxmlformats.org/officeDocument/2006/relationships/footer" Target="footer1.xml"/><Relationship Id="rId59" Type="http://schemas.openxmlformats.org/officeDocument/2006/relationships/image" Target="media/image34.png"/><Relationship Id="rId58" Type="http://schemas.openxmlformats.org/officeDocument/2006/relationships/image" Target="media/image33.jpeg"/><Relationship Id="rId57" Type="http://schemas.openxmlformats.org/officeDocument/2006/relationships/image" Target="media/image32.jpeg"/><Relationship Id="rId56" Type="http://schemas.openxmlformats.org/officeDocument/2006/relationships/image" Target="media/image31.jpeg"/><Relationship Id="rId55" Type="http://schemas.openxmlformats.org/officeDocument/2006/relationships/image" Target="media/image30.jpeg"/><Relationship Id="rId54" Type="http://schemas.openxmlformats.org/officeDocument/2006/relationships/image" Target="media/image29.jpeg"/><Relationship Id="rId53" Type="http://schemas.openxmlformats.org/officeDocument/2006/relationships/image" Target="media/image28.jpeg"/><Relationship Id="rId52" Type="http://schemas.openxmlformats.org/officeDocument/2006/relationships/image" Target="media/image27.jpeg"/><Relationship Id="rId51" Type="http://schemas.openxmlformats.org/officeDocument/2006/relationships/image" Target="media/image26.jpeg"/><Relationship Id="rId50" Type="http://schemas.openxmlformats.org/officeDocument/2006/relationships/image" Target="media/image25.jpeg"/><Relationship Id="rId5" Type="http://schemas.openxmlformats.org/officeDocument/2006/relationships/header" Target="header3.xml"/><Relationship Id="rId49" Type="http://schemas.openxmlformats.org/officeDocument/2006/relationships/image" Target="media/image24.jpeg"/><Relationship Id="rId48" Type="http://schemas.openxmlformats.org/officeDocument/2006/relationships/image" Target="media/image23.jpeg"/><Relationship Id="rId47" Type="http://schemas.openxmlformats.org/officeDocument/2006/relationships/image" Target="media/image22.jpeg"/><Relationship Id="rId46" Type="http://schemas.openxmlformats.org/officeDocument/2006/relationships/image" Target="media/image21.jpeg"/><Relationship Id="rId45" Type="http://schemas.openxmlformats.org/officeDocument/2006/relationships/image" Target="media/image20.jpeg"/><Relationship Id="rId44" Type="http://schemas.openxmlformats.org/officeDocument/2006/relationships/image" Target="media/image19.jpeg"/><Relationship Id="rId43" Type="http://schemas.openxmlformats.org/officeDocument/2006/relationships/image" Target="media/image18.jpeg"/><Relationship Id="rId42" Type="http://schemas.openxmlformats.org/officeDocument/2006/relationships/image" Target="media/image17.jpeg"/><Relationship Id="rId41" Type="http://schemas.openxmlformats.org/officeDocument/2006/relationships/image" Target="media/image16.jpeg"/><Relationship Id="rId40" Type="http://schemas.openxmlformats.org/officeDocument/2006/relationships/image" Target="media/image15.jpeg"/><Relationship Id="rId4" Type="http://schemas.openxmlformats.org/officeDocument/2006/relationships/header" Target="header2.xml"/><Relationship Id="rId39" Type="http://schemas.openxmlformats.org/officeDocument/2006/relationships/image" Target="media/image14.png"/><Relationship Id="rId38" Type="http://schemas.openxmlformats.org/officeDocument/2006/relationships/image" Target="media/image13.png"/><Relationship Id="rId37" Type="http://schemas.openxmlformats.org/officeDocument/2006/relationships/image" Target="media/image12.wmf"/><Relationship Id="rId36" Type="http://schemas.openxmlformats.org/officeDocument/2006/relationships/oleObject" Target="embeddings/oleObject1.bin"/><Relationship Id="rId35" Type="http://schemas.openxmlformats.org/officeDocument/2006/relationships/image" Target="media/image11.png"/><Relationship Id="rId34" Type="http://schemas.openxmlformats.org/officeDocument/2006/relationships/image" Target="media/image10.png"/><Relationship Id="rId33" Type="http://schemas.openxmlformats.org/officeDocument/2006/relationships/image" Target="media/image9.png"/><Relationship Id="rId32" Type="http://schemas.openxmlformats.org/officeDocument/2006/relationships/image" Target="media/image8.png"/><Relationship Id="rId31" Type="http://schemas.openxmlformats.org/officeDocument/2006/relationships/image" Target="media/image7.png"/><Relationship Id="rId30" Type="http://schemas.openxmlformats.org/officeDocument/2006/relationships/image" Target="media/image6.jpeg"/><Relationship Id="rId3" Type="http://schemas.openxmlformats.org/officeDocument/2006/relationships/header" Target="header1.xml"/><Relationship Id="rId29" Type="http://schemas.openxmlformats.org/officeDocument/2006/relationships/image" Target="media/image5.png"/><Relationship Id="rId28" Type="http://schemas.openxmlformats.org/officeDocument/2006/relationships/image" Target="media/image4.jpeg"/><Relationship Id="rId27" Type="http://schemas.openxmlformats.org/officeDocument/2006/relationships/image" Target="media/image3.png"/><Relationship Id="rId26" Type="http://schemas.openxmlformats.org/officeDocument/2006/relationships/image" Target="media/image2.png"/><Relationship Id="rId25" Type="http://schemas.openxmlformats.org/officeDocument/2006/relationships/image" Target="media/image1.jpeg"/><Relationship Id="rId24" Type="http://schemas.openxmlformats.org/officeDocument/2006/relationships/theme" Target="theme/theme1.xml"/><Relationship Id="rId23" Type="http://schemas.openxmlformats.org/officeDocument/2006/relationships/header" Target="header11.xml"/><Relationship Id="rId22" Type="http://schemas.openxmlformats.org/officeDocument/2006/relationships/footer" Target="footer10.xml"/><Relationship Id="rId21" Type="http://schemas.openxmlformats.org/officeDocument/2006/relationships/footer" Target="footer9.xml"/><Relationship Id="rId20" Type="http://schemas.openxmlformats.org/officeDocument/2006/relationships/header" Target="header10.xml"/><Relationship Id="rId2" Type="http://schemas.openxmlformats.org/officeDocument/2006/relationships/settings" Target="settings.xml"/><Relationship Id="rId19" Type="http://schemas.openxmlformats.org/officeDocument/2006/relationships/header" Target="header9.xml"/><Relationship Id="rId18" Type="http://schemas.openxmlformats.org/officeDocument/2006/relationships/header" Target="header8.xml"/><Relationship Id="rId17" Type="http://schemas.openxmlformats.org/officeDocument/2006/relationships/footer" Target="footer8.xml"/><Relationship Id="rId16" Type="http://schemas.openxmlformats.org/officeDocument/2006/relationships/header" Target="header7.xml"/><Relationship Id="rId15" Type="http://schemas.openxmlformats.org/officeDocument/2006/relationships/footer" Target="footer7.xml"/><Relationship Id="rId14" Type="http://schemas.openxmlformats.org/officeDocument/2006/relationships/footer" Target="footer6.xml"/><Relationship Id="rId13" Type="http://schemas.openxmlformats.org/officeDocument/2006/relationships/footer" Target="footer5.xml"/><Relationship Id="rId12" Type="http://schemas.openxmlformats.org/officeDocument/2006/relationships/header" Target="header6.xml"/><Relationship Id="rId11" Type="http://schemas.openxmlformats.org/officeDocument/2006/relationships/header" Target="header5.xml"/><Relationship Id="rId10" Type="http://schemas.openxmlformats.org/officeDocument/2006/relationships/header" Target="header4.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ops>
  <customShpExts>
    <customShpInfo spid="_x0000_s3073"/>
    <customShpInfo spid="_x0000_s3074"/>
    <customShpInfo spid="_x0000_s3075"/>
    <customShpInfo spid="_x0000_s3076"/>
    <customShpInfo spid="_x0000_s3077"/>
    <customShpInfo spid="_x0000_s2086"/>
    <customShpInfo spid="_x0000_s2087"/>
    <customShpInfo spid="_x0000_s2094"/>
    <customShpInfo spid="_x0000_s2093"/>
    <customShpInfo spid="_x0000_s2090"/>
    <customShpInfo spid="_x0000_s2089"/>
    <customShpInfo spid="_x0000_s2088"/>
  </customShpExts>
</s:customData>
</file>

<file path=customXml/item2.xml><?xml version="1.0" encoding="utf-8"?>
<b:Sources xmlns:b="http://schemas.openxmlformats.org/officeDocument/2006/bibliography" xmlns="http://schemas.openxmlformats.org/officeDocument/2006/bibliography" SelectedStyle="" StyleName=""/>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3BEC7F8B-B2B5-4C5F-87ED-06B04674BA1F}">
  <ds:schemaRefs/>
</ds:datastoreItem>
</file>

<file path=docProps/app.xml><?xml version="1.0" encoding="utf-8"?>
<Properties xmlns="http://schemas.openxmlformats.org/officeDocument/2006/extended-properties" xmlns:vt="http://schemas.openxmlformats.org/officeDocument/2006/docPropsVTypes">
  <Template>Normal</Template>
  <Company>微软中国</Company>
  <Pages>125</Pages>
  <Words>11854</Words>
  <Characters>67570</Characters>
  <Lines>563</Lines>
  <Paragraphs>158</Paragraphs>
  <TotalTime>12</TotalTime>
  <ScaleCrop>false</ScaleCrop>
  <LinksUpToDate>false</LinksUpToDate>
  <CharactersWithSpaces>79266</CharactersWithSpaces>
  <Application>WPS Office_11.1.0.8213_F1E327BC-269C-435d-A152-05C5408002CA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2018-07-23T01:52:00Z</dcterms:created>
  <dc:creator>蔡青</dc:creator>
  <cp:lastModifiedBy>江湖散人</cp:lastModifiedBy>
  <dcterms:modified xsi:type="dcterms:W3CDTF">2019-02-19T08:01:23Z</dcterms:modified>
  <cp:revision>30</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2052-11.1.0.8213</vt:lpwstr>
  </property>
</Properties>
</file>