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color w:val="000000"/>
          <w:sz w:val="32"/>
        </w:rPr>
      </w:pPr>
    </w:p>
    <w:p>
      <w:pPr>
        <w:jc w:val="center"/>
        <w:rPr>
          <w:b/>
          <w:color w:val="000000"/>
          <w:sz w:val="32"/>
        </w:rPr>
      </w:pPr>
    </w:p>
    <w:p>
      <w:pPr>
        <w:jc w:val="center"/>
        <w:rPr>
          <w:color w:val="000000"/>
          <w:sz w:val="32"/>
        </w:rPr>
      </w:pPr>
    </w:p>
    <w:p>
      <w:pPr>
        <w:jc w:val="center"/>
        <w:rPr>
          <w:color w:val="000000"/>
          <w:sz w:val="32"/>
        </w:rPr>
      </w:pPr>
    </w:p>
    <w:p>
      <w:pPr>
        <w:jc w:val="center"/>
        <w:rPr>
          <w:b/>
          <w:color w:val="000000"/>
          <w:sz w:val="72"/>
        </w:rPr>
      </w:pPr>
      <w:r>
        <w:rPr>
          <w:b/>
          <w:color w:val="000000"/>
          <w:sz w:val="72"/>
        </w:rPr>
        <w:t>建设项目环境影响报告表</w:t>
      </w:r>
    </w:p>
    <w:p>
      <w:pPr>
        <w:rPr>
          <w:color w:val="000000"/>
          <w:sz w:val="32"/>
        </w:rPr>
      </w:pPr>
    </w:p>
    <w:p>
      <w:pPr>
        <w:rPr>
          <w:color w:val="000000"/>
          <w:sz w:val="32"/>
        </w:rPr>
      </w:pPr>
    </w:p>
    <w:p>
      <w:pPr>
        <w:rPr>
          <w:color w:val="000000"/>
          <w:sz w:val="32"/>
        </w:rPr>
      </w:pPr>
    </w:p>
    <w:p>
      <w:pPr>
        <w:rPr>
          <w:color w:val="000000"/>
          <w:sz w:val="32"/>
        </w:rPr>
      </w:pPr>
    </w:p>
    <w:p>
      <w:pPr>
        <w:rPr>
          <w:color w:val="000000"/>
          <w:sz w:val="32"/>
        </w:rPr>
      </w:pPr>
    </w:p>
    <w:p>
      <w:pPr>
        <w:spacing w:line="1200" w:lineRule="exact"/>
        <w:ind w:left="3162" w:leftChars="250" w:hanging="2637" w:hangingChars="824"/>
        <w:rPr>
          <w:bCs/>
          <w:sz w:val="30"/>
          <w:szCs w:val="30"/>
          <w:u w:val="single"/>
        </w:rPr>
      </w:pPr>
      <w:r>
        <w:rPr>
          <w:color w:val="000000"/>
          <w:sz w:val="32"/>
        </w:rPr>
        <w:t>项  目  名  称：</w:t>
      </w:r>
      <w:r>
        <w:rPr>
          <w:rFonts w:hint="eastAsia"/>
          <w:color w:val="000000"/>
          <w:sz w:val="32"/>
          <w:u w:val="single"/>
          <w:lang w:val="en-US" w:eastAsia="zh-CN"/>
        </w:rPr>
        <w:t xml:space="preserve">       </w:t>
      </w:r>
      <w:r>
        <w:rPr>
          <w:rFonts w:hint="eastAsia"/>
          <w:bCs/>
          <w:sz w:val="30"/>
          <w:szCs w:val="30"/>
          <w:u w:val="single"/>
          <w:lang w:eastAsia="zh-CN"/>
        </w:rPr>
        <w:t>置田庄路</w:t>
      </w:r>
      <w:r>
        <w:rPr>
          <w:rFonts w:hint="eastAsia"/>
          <w:bCs/>
          <w:sz w:val="30"/>
          <w:szCs w:val="30"/>
          <w:u w:val="single"/>
          <w:lang w:val="en-US" w:eastAsia="zh-CN"/>
        </w:rPr>
        <w:t>地下</w:t>
      </w:r>
      <w:r>
        <w:rPr>
          <w:rFonts w:hint="eastAsia"/>
          <w:bCs/>
          <w:sz w:val="30"/>
          <w:szCs w:val="30"/>
          <w:u w:val="single"/>
        </w:rPr>
        <w:t xml:space="preserve">综合管廊工程  </w:t>
      </w:r>
      <w:r>
        <w:rPr>
          <w:rFonts w:hint="eastAsia"/>
          <w:bCs/>
          <w:sz w:val="30"/>
          <w:szCs w:val="30"/>
          <w:u w:val="single"/>
          <w:lang w:val="en-US" w:eastAsia="zh-CN"/>
        </w:rPr>
        <w:t xml:space="preserve">      </w:t>
      </w:r>
    </w:p>
    <w:p>
      <w:pPr>
        <w:rPr>
          <w:color w:val="000000"/>
          <w:sz w:val="32"/>
        </w:rPr>
      </w:pPr>
    </w:p>
    <w:p>
      <w:pPr>
        <w:ind w:firstLine="630"/>
        <w:rPr>
          <w:color w:val="000000"/>
          <w:sz w:val="32"/>
          <w:u w:val="single"/>
        </w:rPr>
      </w:pPr>
      <w:r>
        <w:rPr>
          <w:color w:val="000000"/>
          <w:sz w:val="32"/>
        </w:rPr>
        <w:t>建  设  单  位：</w:t>
      </w:r>
      <w:r>
        <w:rPr>
          <w:rFonts w:hint="eastAsia"/>
          <w:color w:val="000000"/>
          <w:sz w:val="32"/>
          <w:u w:val="single"/>
        </w:rPr>
        <w:t xml:space="preserve"> </w:t>
      </w:r>
      <w:r>
        <w:rPr>
          <w:rFonts w:hint="eastAsia"/>
          <w:color w:val="000000"/>
          <w:sz w:val="32"/>
          <w:u w:val="single"/>
          <w:lang w:val="en-US" w:eastAsia="zh-CN"/>
        </w:rPr>
        <w:t xml:space="preserve">      </w:t>
      </w:r>
      <w:r>
        <w:rPr>
          <w:rFonts w:hint="eastAsia"/>
          <w:sz w:val="30"/>
          <w:szCs w:val="30"/>
          <w:u w:val="single"/>
          <w:lang w:eastAsia="zh-CN"/>
        </w:rPr>
        <w:t>岳阳市城市建设投资</w:t>
      </w:r>
      <w:r>
        <w:rPr>
          <w:rFonts w:hint="eastAsia"/>
          <w:sz w:val="30"/>
          <w:szCs w:val="30"/>
          <w:u w:val="single"/>
        </w:rPr>
        <w:t>有限公司</w:t>
      </w:r>
      <w:r>
        <w:rPr>
          <w:color w:val="000000"/>
          <w:sz w:val="32"/>
          <w:u w:val="single"/>
        </w:rPr>
        <w:t xml:space="preserve"> </w:t>
      </w:r>
      <w:r>
        <w:rPr>
          <w:rFonts w:hint="eastAsia"/>
          <w:color w:val="000000"/>
          <w:sz w:val="32"/>
          <w:u w:val="single"/>
        </w:rPr>
        <w:t xml:space="preserve">    </w:t>
      </w:r>
      <w:r>
        <w:rPr>
          <w:color w:val="000000"/>
          <w:sz w:val="32"/>
          <w:u w:val="single"/>
        </w:rPr>
        <w:t xml:space="preserve"> </w:t>
      </w:r>
    </w:p>
    <w:p>
      <w:pPr>
        <w:rPr>
          <w:color w:val="000000"/>
        </w:rPr>
      </w:pPr>
    </w:p>
    <w:p>
      <w:pPr>
        <w:rPr>
          <w:color w:val="000000"/>
          <w:sz w:val="32"/>
          <w:u w:val="single"/>
        </w:rPr>
      </w:pPr>
    </w:p>
    <w:p>
      <w:pPr>
        <w:rPr>
          <w:color w:val="000000"/>
          <w:sz w:val="32"/>
          <w:u w:val="single"/>
        </w:rPr>
      </w:pPr>
    </w:p>
    <w:p>
      <w:pPr>
        <w:rPr>
          <w:color w:val="000000"/>
          <w:sz w:val="32"/>
        </w:rPr>
      </w:pPr>
    </w:p>
    <w:p>
      <w:pPr>
        <w:spacing w:line="360" w:lineRule="auto"/>
        <w:jc w:val="center"/>
        <w:rPr>
          <w:b/>
          <w:color w:val="000000"/>
          <w:sz w:val="32"/>
          <w:szCs w:val="32"/>
        </w:rPr>
      </w:pPr>
      <w:r>
        <w:rPr>
          <w:b/>
          <w:color w:val="000000"/>
          <w:sz w:val="32"/>
          <w:szCs w:val="32"/>
        </w:rPr>
        <w:t>编制日期：二〇一</w:t>
      </w:r>
      <w:r>
        <w:rPr>
          <w:rFonts w:hint="eastAsia"/>
          <w:b/>
          <w:color w:val="000000"/>
          <w:sz w:val="32"/>
          <w:szCs w:val="32"/>
          <w:lang w:eastAsia="zh-CN"/>
        </w:rPr>
        <w:t>七</w:t>
      </w:r>
      <w:r>
        <w:rPr>
          <w:b/>
          <w:color w:val="000000"/>
          <w:sz w:val="32"/>
          <w:szCs w:val="32"/>
        </w:rPr>
        <w:t>年</w:t>
      </w:r>
      <w:r>
        <w:rPr>
          <w:rFonts w:hint="eastAsia"/>
          <w:b/>
          <w:color w:val="000000"/>
          <w:sz w:val="32"/>
          <w:szCs w:val="32"/>
          <w:lang w:eastAsia="zh-CN"/>
        </w:rPr>
        <w:t>四</w:t>
      </w:r>
      <w:r>
        <w:rPr>
          <w:b/>
          <w:color w:val="000000"/>
          <w:sz w:val="32"/>
          <w:szCs w:val="32"/>
        </w:rPr>
        <w:t>月</w:t>
      </w:r>
    </w:p>
    <w:p>
      <w:pPr>
        <w:spacing w:line="360" w:lineRule="auto"/>
        <w:jc w:val="center"/>
        <w:rPr>
          <w:b/>
          <w:color w:val="000000"/>
          <w:sz w:val="32"/>
          <w:szCs w:val="32"/>
        </w:rPr>
      </w:pPr>
      <w:r>
        <w:rPr>
          <w:b/>
          <w:color w:val="000000"/>
          <w:sz w:val="32"/>
          <w:szCs w:val="32"/>
        </w:rPr>
        <w:t>环境保护部制</w:t>
      </w:r>
    </w:p>
    <w:p>
      <w:pPr>
        <w:spacing w:line="460" w:lineRule="exact"/>
        <w:rPr>
          <w:color w:val="000000"/>
          <w:spacing w:val="6"/>
          <w:sz w:val="28"/>
        </w:rPr>
      </w:pPr>
    </w:p>
    <w:p>
      <w:pPr>
        <w:jc w:val="center"/>
        <w:rPr>
          <w:b/>
          <w:color w:val="000000"/>
          <w:spacing w:val="6"/>
          <w:sz w:val="32"/>
        </w:rPr>
      </w:pPr>
    </w:p>
    <w:p>
      <w:pPr>
        <w:jc w:val="center"/>
        <w:rPr>
          <w:b/>
          <w:color w:val="000000"/>
          <w:spacing w:val="6"/>
          <w:sz w:val="32"/>
        </w:rPr>
      </w:pPr>
      <w:r>
        <w:rPr>
          <w:b/>
          <w:color w:val="000000"/>
          <w:spacing w:val="6"/>
          <w:sz w:val="32"/>
        </w:rPr>
        <w:t>《建设项目环境影响报告表》编制说明</w:t>
      </w:r>
    </w:p>
    <w:p>
      <w:pPr>
        <w:rPr>
          <w:color w:val="000000"/>
          <w:spacing w:val="6"/>
          <w:sz w:val="24"/>
        </w:rPr>
      </w:pPr>
    </w:p>
    <w:p>
      <w:pPr>
        <w:spacing w:line="760" w:lineRule="exact"/>
        <w:ind w:firstLine="573"/>
        <w:rPr>
          <w:color w:val="000000"/>
          <w:spacing w:val="6"/>
          <w:sz w:val="24"/>
        </w:rPr>
      </w:pPr>
      <w:r>
        <w:rPr>
          <w:color w:val="000000"/>
          <w:spacing w:val="6"/>
          <w:sz w:val="24"/>
        </w:rPr>
        <w:t>《建设项目环境影响报告表》由具有从事环境影响评价工作资质的单位编制。</w:t>
      </w:r>
    </w:p>
    <w:p>
      <w:pPr>
        <w:spacing w:line="760" w:lineRule="exact"/>
        <w:ind w:firstLine="573"/>
        <w:rPr>
          <w:color w:val="000000"/>
          <w:spacing w:val="6"/>
          <w:sz w:val="24"/>
        </w:rPr>
      </w:pPr>
      <w:r>
        <w:rPr>
          <w:color w:val="000000"/>
          <w:spacing w:val="6"/>
          <w:sz w:val="24"/>
        </w:rPr>
        <w:t>1．项目名称——指项目立项批复时的名称，应不超过30个字（两个英文字段作一个汉字）。</w:t>
      </w:r>
    </w:p>
    <w:p>
      <w:pPr>
        <w:spacing w:line="760" w:lineRule="exact"/>
        <w:ind w:firstLine="573"/>
        <w:rPr>
          <w:color w:val="000000"/>
          <w:spacing w:val="6"/>
          <w:sz w:val="24"/>
        </w:rPr>
      </w:pPr>
      <w:r>
        <w:rPr>
          <w:color w:val="000000"/>
          <w:spacing w:val="6"/>
          <w:sz w:val="24"/>
        </w:rPr>
        <w:t>2．建设地点——指项目所在地详细地址，公路、铁路应填写起止地点。</w:t>
      </w:r>
    </w:p>
    <w:p>
      <w:pPr>
        <w:spacing w:line="760" w:lineRule="exact"/>
        <w:ind w:firstLine="573"/>
        <w:rPr>
          <w:color w:val="000000"/>
          <w:spacing w:val="6"/>
          <w:sz w:val="24"/>
        </w:rPr>
      </w:pPr>
      <w:r>
        <w:rPr>
          <w:color w:val="000000"/>
          <w:spacing w:val="6"/>
          <w:sz w:val="24"/>
        </w:rPr>
        <w:t>3．行业类别——按国标填写。</w:t>
      </w:r>
    </w:p>
    <w:p>
      <w:pPr>
        <w:spacing w:line="760" w:lineRule="exact"/>
        <w:ind w:firstLine="573"/>
        <w:rPr>
          <w:color w:val="000000"/>
          <w:spacing w:val="6"/>
          <w:sz w:val="24"/>
        </w:rPr>
      </w:pPr>
      <w:r>
        <w:rPr>
          <w:color w:val="000000"/>
          <w:spacing w:val="6"/>
          <w:sz w:val="24"/>
        </w:rPr>
        <w:t>4．总投资——指项目投资总额。</w:t>
      </w:r>
    </w:p>
    <w:p>
      <w:pPr>
        <w:spacing w:line="760" w:lineRule="exact"/>
        <w:ind w:firstLine="573"/>
        <w:rPr>
          <w:color w:val="000000"/>
          <w:spacing w:val="6"/>
          <w:sz w:val="24"/>
        </w:rPr>
      </w:pPr>
      <w:r>
        <w:rPr>
          <w:color w:val="000000"/>
          <w:spacing w:val="6"/>
          <w:sz w:val="24"/>
        </w:rPr>
        <w:t>5．主要环境保护目标——指项目周围一定范围内集中居民住宅区、学校、医院、保护文物、风景名胜区、水源地和生态敏感点等，应尽可能给出保护目标、性质、规模和距厂界距离等。</w:t>
      </w:r>
    </w:p>
    <w:p>
      <w:pPr>
        <w:spacing w:line="760" w:lineRule="exact"/>
        <w:ind w:firstLine="573"/>
        <w:rPr>
          <w:color w:val="000000"/>
          <w:spacing w:val="6"/>
          <w:sz w:val="24"/>
        </w:rPr>
      </w:pPr>
      <w:r>
        <w:rPr>
          <w:color w:val="000000"/>
          <w:spacing w:val="6"/>
          <w:sz w:val="24"/>
        </w:rPr>
        <w:t>6．结论与建议——给出本项目清洁生产、达标排放和总量控制的分析结论，确定污染防治措施的有效性，说明本项目对环境造成的影响，给出建设项目环境可行性的明确结论。同时提出减少环境影响的其他建议。</w:t>
      </w:r>
    </w:p>
    <w:p>
      <w:pPr>
        <w:spacing w:line="760" w:lineRule="exact"/>
        <w:ind w:firstLine="573"/>
        <w:rPr>
          <w:color w:val="000000"/>
          <w:spacing w:val="6"/>
          <w:sz w:val="24"/>
        </w:rPr>
      </w:pPr>
      <w:r>
        <w:rPr>
          <w:color w:val="000000"/>
          <w:spacing w:val="6"/>
          <w:sz w:val="24"/>
        </w:rPr>
        <w:t>7．预审意见——由行业主管部门填写答复意见，无主管部门项目，可不填。</w:t>
      </w:r>
    </w:p>
    <w:p>
      <w:pPr>
        <w:spacing w:line="760" w:lineRule="exact"/>
        <w:ind w:firstLine="573"/>
        <w:rPr>
          <w:color w:val="000000"/>
          <w:spacing w:val="6"/>
          <w:sz w:val="24"/>
        </w:rPr>
      </w:pPr>
      <w:r>
        <w:rPr>
          <w:color w:val="000000"/>
          <w:spacing w:val="6"/>
          <w:sz w:val="24"/>
        </w:rPr>
        <w:t>8．审批意见——由负责审批该项目的环境保护行政主管部门批复。</w:t>
      </w:r>
    </w:p>
    <w:p>
      <w:pPr>
        <w:spacing w:line="460" w:lineRule="exact"/>
        <w:rPr>
          <w:b/>
          <w:color w:val="000000"/>
          <w:spacing w:val="6"/>
          <w:sz w:val="28"/>
        </w:rPr>
      </w:pPr>
    </w:p>
    <w:p>
      <w:pPr>
        <w:spacing w:line="460" w:lineRule="exact"/>
        <w:rPr>
          <w:b/>
          <w:color w:val="000000"/>
          <w:spacing w:val="6"/>
          <w:sz w:val="28"/>
        </w:rPr>
        <w:sectPr>
          <w:headerReference r:id="rId3" w:type="default"/>
          <w:footerReference r:id="rId4" w:type="default"/>
          <w:footerReference r:id="rId5" w:type="even"/>
          <w:pgSz w:w="11906" w:h="16838"/>
          <w:pgMar w:top="1440" w:right="1106" w:bottom="1440" w:left="1440" w:header="851" w:footer="992" w:gutter="0"/>
          <w:pgNumType w:start="1"/>
          <w:cols w:space="720" w:num="1"/>
          <w:docGrid w:type="lines" w:linePitch="312" w:charSpace="0"/>
        </w:sectPr>
      </w:pPr>
    </w:p>
    <w:sdt>
      <w:sdtPr>
        <w:rPr>
          <w:rFonts w:ascii="Times New Roman" w:hAnsi="Times New Roman" w:eastAsia="宋体" w:cs="Times New Roman"/>
          <w:b w:val="0"/>
          <w:bCs w:val="0"/>
          <w:color w:val="auto"/>
          <w:kern w:val="2"/>
          <w:sz w:val="21"/>
          <w:szCs w:val="20"/>
          <w:lang w:val="zh-CN"/>
        </w:rPr>
        <w:id w:val="5812132"/>
      </w:sdtPr>
      <w:sdtEndPr>
        <w:rPr>
          <w:rFonts w:ascii="Times New Roman" w:hAnsi="Times New Roman" w:eastAsia="宋体" w:cs="Times New Roman"/>
          <w:b w:val="0"/>
          <w:bCs w:val="0"/>
          <w:color w:val="auto"/>
          <w:kern w:val="2"/>
          <w:sz w:val="21"/>
          <w:szCs w:val="20"/>
          <w:lang w:val="en-US"/>
        </w:rPr>
      </w:sdtEndPr>
      <w:sdtContent>
        <w:p>
          <w:pPr>
            <w:pStyle w:val="146"/>
            <w:ind w:firstLine="2940" w:firstLineChars="1400"/>
          </w:pPr>
          <w:r>
            <w:rPr>
              <w:sz w:val="32"/>
              <w:szCs w:val="32"/>
              <w:lang w:val="zh-CN"/>
            </w:rPr>
            <w:t>目</w:t>
          </w:r>
          <w:r>
            <w:rPr>
              <w:rFonts w:hint="eastAsia"/>
              <w:sz w:val="32"/>
              <w:szCs w:val="32"/>
              <w:lang w:val="zh-CN"/>
            </w:rPr>
            <w:t xml:space="preserve">  </w:t>
          </w:r>
          <w:r>
            <w:rPr>
              <w:sz w:val="32"/>
              <w:szCs w:val="32"/>
              <w:lang w:val="zh-CN"/>
            </w:rPr>
            <w:t>录</w:t>
          </w:r>
        </w:p>
        <w:p>
          <w:pPr>
            <w:pStyle w:val="28"/>
            <w:tabs>
              <w:tab w:val="right" w:leader="dot" w:pos="9237"/>
            </w:tabs>
            <w:spacing w:line="360" w:lineRule="auto"/>
            <w:rPr>
              <w:rFonts w:asciiTheme="minorHAnsi" w:hAnsiTheme="minorHAnsi" w:eastAsiaTheme="minorEastAsia" w:cstheme="minorBidi"/>
              <w:sz w:val="24"/>
              <w:szCs w:val="24"/>
            </w:rPr>
          </w:pPr>
          <w:r>
            <w:fldChar w:fldCharType="begin"/>
          </w:r>
          <w:r>
            <w:instrText xml:space="preserve"> TOC \o "1-3" \h \z \u </w:instrText>
          </w:r>
          <w:r>
            <w:fldChar w:fldCharType="separate"/>
          </w:r>
          <w:r>
            <w:fldChar w:fldCharType="begin"/>
          </w:r>
          <w:r>
            <w:instrText xml:space="preserve"> HYPERLINK \l "_Toc461580583" </w:instrText>
          </w:r>
          <w:r>
            <w:fldChar w:fldCharType="separate"/>
          </w:r>
          <w:r>
            <w:rPr>
              <w:rStyle w:val="39"/>
              <w:rFonts w:hint="eastAsia"/>
              <w:b/>
              <w:sz w:val="24"/>
            </w:rPr>
            <w:t>一、建设项目基本情况</w:t>
          </w:r>
          <w:r>
            <w:rPr>
              <w:sz w:val="24"/>
              <w:szCs w:val="24"/>
            </w:rPr>
            <w:tab/>
          </w:r>
          <w:r>
            <w:rPr>
              <w:sz w:val="24"/>
              <w:szCs w:val="24"/>
            </w:rPr>
            <w:fldChar w:fldCharType="begin"/>
          </w:r>
          <w:r>
            <w:rPr>
              <w:sz w:val="24"/>
              <w:szCs w:val="24"/>
            </w:rPr>
            <w:instrText xml:space="preserve"> PAGEREF _Toc461580583 \h </w:instrText>
          </w:r>
          <w:r>
            <w:rPr>
              <w:sz w:val="24"/>
              <w:szCs w:val="24"/>
            </w:rPr>
            <w:fldChar w:fldCharType="separate"/>
          </w:r>
          <w:r>
            <w:rPr>
              <w:sz w:val="24"/>
              <w:szCs w:val="24"/>
            </w:rPr>
            <w:t>2</w:t>
          </w:r>
          <w:r>
            <w:rPr>
              <w:sz w:val="24"/>
              <w:szCs w:val="24"/>
            </w:rPr>
            <w:fldChar w:fldCharType="end"/>
          </w:r>
          <w:r>
            <w:rPr>
              <w:sz w:val="24"/>
              <w:szCs w:val="24"/>
            </w:rPr>
            <w:fldChar w:fldCharType="end"/>
          </w:r>
        </w:p>
        <w:p>
          <w:pPr>
            <w:pStyle w:val="28"/>
            <w:tabs>
              <w:tab w:val="right" w:leader="dot" w:pos="9237"/>
            </w:tabs>
            <w:spacing w:line="360" w:lineRule="auto"/>
            <w:rPr>
              <w:rFonts w:asciiTheme="minorHAnsi" w:hAnsiTheme="minorHAnsi" w:eastAsiaTheme="minorEastAsia" w:cstheme="minorBidi"/>
              <w:sz w:val="24"/>
              <w:szCs w:val="24"/>
            </w:rPr>
          </w:pPr>
          <w:r>
            <w:fldChar w:fldCharType="begin"/>
          </w:r>
          <w:r>
            <w:instrText xml:space="preserve"> HYPERLINK \l "_Toc461580590" </w:instrText>
          </w:r>
          <w:r>
            <w:fldChar w:fldCharType="separate"/>
          </w:r>
          <w:r>
            <w:rPr>
              <w:rStyle w:val="39"/>
              <w:rFonts w:hint="eastAsia"/>
              <w:b/>
              <w:sz w:val="24"/>
            </w:rPr>
            <w:t>二、建设项目所在地自然环境、社会环境简况</w:t>
          </w:r>
          <w:r>
            <w:rPr>
              <w:sz w:val="24"/>
              <w:szCs w:val="24"/>
            </w:rPr>
            <w:tab/>
          </w:r>
          <w:r>
            <w:rPr>
              <w:sz w:val="24"/>
              <w:szCs w:val="24"/>
            </w:rPr>
            <w:fldChar w:fldCharType="begin"/>
          </w:r>
          <w:r>
            <w:rPr>
              <w:sz w:val="24"/>
              <w:szCs w:val="24"/>
            </w:rPr>
            <w:instrText xml:space="preserve"> PAGEREF _Toc461580590 \h </w:instrText>
          </w:r>
          <w:r>
            <w:rPr>
              <w:sz w:val="24"/>
              <w:szCs w:val="24"/>
            </w:rPr>
            <w:fldChar w:fldCharType="separate"/>
          </w:r>
          <w:r>
            <w:rPr>
              <w:sz w:val="24"/>
              <w:szCs w:val="24"/>
            </w:rPr>
            <w:t>8</w:t>
          </w:r>
          <w:r>
            <w:rPr>
              <w:sz w:val="24"/>
              <w:szCs w:val="24"/>
            </w:rPr>
            <w:fldChar w:fldCharType="end"/>
          </w:r>
          <w:r>
            <w:rPr>
              <w:sz w:val="24"/>
              <w:szCs w:val="24"/>
            </w:rPr>
            <w:fldChar w:fldCharType="end"/>
          </w:r>
        </w:p>
        <w:p>
          <w:pPr>
            <w:pStyle w:val="28"/>
            <w:tabs>
              <w:tab w:val="right" w:leader="dot" w:pos="9237"/>
            </w:tabs>
            <w:spacing w:line="360" w:lineRule="auto"/>
            <w:rPr>
              <w:rFonts w:asciiTheme="minorHAnsi" w:hAnsiTheme="minorHAnsi" w:eastAsiaTheme="minorEastAsia" w:cstheme="minorBidi"/>
              <w:sz w:val="24"/>
              <w:szCs w:val="24"/>
            </w:rPr>
          </w:pPr>
          <w:r>
            <w:fldChar w:fldCharType="begin"/>
          </w:r>
          <w:r>
            <w:instrText xml:space="preserve"> HYPERLINK \l "_Toc461580591" </w:instrText>
          </w:r>
          <w:r>
            <w:fldChar w:fldCharType="separate"/>
          </w:r>
          <w:r>
            <w:rPr>
              <w:rStyle w:val="39"/>
              <w:rFonts w:hint="eastAsia"/>
              <w:b/>
              <w:sz w:val="24"/>
            </w:rPr>
            <w:t>三、环境质量状况</w:t>
          </w:r>
          <w:r>
            <w:rPr>
              <w:sz w:val="24"/>
              <w:szCs w:val="24"/>
            </w:rPr>
            <w:tab/>
          </w:r>
          <w:r>
            <w:rPr>
              <w:sz w:val="24"/>
              <w:szCs w:val="24"/>
            </w:rPr>
            <w:fldChar w:fldCharType="begin"/>
          </w:r>
          <w:r>
            <w:rPr>
              <w:sz w:val="24"/>
              <w:szCs w:val="24"/>
            </w:rPr>
            <w:instrText xml:space="preserve"> PAGEREF _Toc461580591 \h </w:instrText>
          </w:r>
          <w:r>
            <w:rPr>
              <w:sz w:val="24"/>
              <w:szCs w:val="24"/>
            </w:rPr>
            <w:fldChar w:fldCharType="separate"/>
          </w:r>
          <w:r>
            <w:rPr>
              <w:sz w:val="24"/>
              <w:szCs w:val="24"/>
            </w:rPr>
            <w:t>14</w:t>
          </w:r>
          <w:r>
            <w:rPr>
              <w:sz w:val="24"/>
              <w:szCs w:val="24"/>
            </w:rPr>
            <w:fldChar w:fldCharType="end"/>
          </w:r>
          <w:r>
            <w:rPr>
              <w:sz w:val="24"/>
              <w:szCs w:val="24"/>
            </w:rPr>
            <w:fldChar w:fldCharType="end"/>
          </w:r>
        </w:p>
        <w:p>
          <w:pPr>
            <w:pStyle w:val="28"/>
            <w:tabs>
              <w:tab w:val="right" w:leader="dot" w:pos="9237"/>
            </w:tabs>
            <w:spacing w:line="360" w:lineRule="auto"/>
            <w:rPr>
              <w:rFonts w:asciiTheme="minorHAnsi" w:hAnsiTheme="minorHAnsi" w:eastAsiaTheme="minorEastAsia" w:cstheme="minorBidi"/>
              <w:sz w:val="24"/>
              <w:szCs w:val="24"/>
            </w:rPr>
          </w:pPr>
          <w:r>
            <w:fldChar w:fldCharType="begin"/>
          </w:r>
          <w:r>
            <w:instrText xml:space="preserve"> HYPERLINK \l "_Toc461580594" </w:instrText>
          </w:r>
          <w:r>
            <w:fldChar w:fldCharType="separate"/>
          </w:r>
          <w:r>
            <w:rPr>
              <w:rStyle w:val="39"/>
              <w:rFonts w:hint="eastAsia"/>
              <w:b/>
              <w:sz w:val="24"/>
            </w:rPr>
            <w:t>四、评价适用标准</w:t>
          </w:r>
          <w:r>
            <w:rPr>
              <w:sz w:val="24"/>
              <w:szCs w:val="24"/>
            </w:rPr>
            <w:tab/>
          </w:r>
          <w:r>
            <w:rPr>
              <w:sz w:val="24"/>
              <w:szCs w:val="24"/>
            </w:rPr>
            <w:fldChar w:fldCharType="begin"/>
          </w:r>
          <w:r>
            <w:rPr>
              <w:sz w:val="24"/>
              <w:szCs w:val="24"/>
            </w:rPr>
            <w:instrText xml:space="preserve"> PAGEREF _Toc461580594 \h </w:instrText>
          </w:r>
          <w:r>
            <w:rPr>
              <w:sz w:val="24"/>
              <w:szCs w:val="24"/>
            </w:rPr>
            <w:fldChar w:fldCharType="separate"/>
          </w:r>
          <w:r>
            <w:rPr>
              <w:sz w:val="24"/>
              <w:szCs w:val="24"/>
            </w:rPr>
            <w:t>18</w:t>
          </w:r>
          <w:r>
            <w:rPr>
              <w:sz w:val="24"/>
              <w:szCs w:val="24"/>
            </w:rPr>
            <w:fldChar w:fldCharType="end"/>
          </w:r>
          <w:r>
            <w:rPr>
              <w:sz w:val="24"/>
              <w:szCs w:val="24"/>
            </w:rPr>
            <w:fldChar w:fldCharType="end"/>
          </w:r>
        </w:p>
        <w:p>
          <w:pPr>
            <w:pStyle w:val="28"/>
            <w:tabs>
              <w:tab w:val="right" w:leader="dot" w:pos="9237"/>
            </w:tabs>
            <w:spacing w:line="360" w:lineRule="auto"/>
            <w:rPr>
              <w:rFonts w:asciiTheme="minorHAnsi" w:hAnsiTheme="minorHAnsi" w:eastAsiaTheme="minorEastAsia" w:cstheme="minorBidi"/>
              <w:sz w:val="24"/>
              <w:szCs w:val="24"/>
            </w:rPr>
          </w:pPr>
          <w:r>
            <w:fldChar w:fldCharType="begin"/>
          </w:r>
          <w:r>
            <w:instrText xml:space="preserve"> HYPERLINK \l "_Toc461580595" </w:instrText>
          </w:r>
          <w:r>
            <w:fldChar w:fldCharType="separate"/>
          </w:r>
          <w:r>
            <w:rPr>
              <w:rStyle w:val="39"/>
              <w:rFonts w:hint="eastAsia"/>
              <w:b/>
              <w:sz w:val="24"/>
            </w:rPr>
            <w:t>五、建设项目工程分析</w:t>
          </w:r>
          <w:r>
            <w:rPr>
              <w:sz w:val="24"/>
              <w:szCs w:val="24"/>
            </w:rPr>
            <w:tab/>
          </w:r>
          <w:r>
            <w:rPr>
              <w:sz w:val="24"/>
              <w:szCs w:val="24"/>
            </w:rPr>
            <w:fldChar w:fldCharType="begin"/>
          </w:r>
          <w:r>
            <w:rPr>
              <w:sz w:val="24"/>
              <w:szCs w:val="24"/>
            </w:rPr>
            <w:instrText xml:space="preserve"> PAGEREF _Toc461580595 \h </w:instrText>
          </w:r>
          <w:r>
            <w:rPr>
              <w:sz w:val="24"/>
              <w:szCs w:val="24"/>
            </w:rPr>
            <w:fldChar w:fldCharType="separate"/>
          </w:r>
          <w:r>
            <w:rPr>
              <w:sz w:val="24"/>
              <w:szCs w:val="24"/>
            </w:rPr>
            <w:t>19</w:t>
          </w:r>
          <w:r>
            <w:rPr>
              <w:sz w:val="24"/>
              <w:szCs w:val="24"/>
            </w:rPr>
            <w:fldChar w:fldCharType="end"/>
          </w:r>
          <w:r>
            <w:rPr>
              <w:sz w:val="24"/>
              <w:szCs w:val="24"/>
            </w:rPr>
            <w:fldChar w:fldCharType="end"/>
          </w:r>
        </w:p>
        <w:p>
          <w:pPr>
            <w:pStyle w:val="28"/>
            <w:tabs>
              <w:tab w:val="right" w:leader="dot" w:pos="9237"/>
            </w:tabs>
            <w:spacing w:line="360" w:lineRule="auto"/>
            <w:rPr>
              <w:rFonts w:asciiTheme="minorHAnsi" w:hAnsiTheme="minorHAnsi" w:eastAsiaTheme="minorEastAsia" w:cstheme="minorBidi"/>
              <w:sz w:val="24"/>
              <w:szCs w:val="24"/>
            </w:rPr>
          </w:pPr>
          <w:r>
            <w:fldChar w:fldCharType="begin"/>
          </w:r>
          <w:r>
            <w:instrText xml:space="preserve"> HYPERLINK \l "_Toc461580596" </w:instrText>
          </w:r>
          <w:r>
            <w:fldChar w:fldCharType="separate"/>
          </w:r>
          <w:r>
            <w:rPr>
              <w:rStyle w:val="39"/>
              <w:rFonts w:hint="eastAsia"/>
              <w:b/>
              <w:sz w:val="24"/>
            </w:rPr>
            <w:t>六、项目主要污染物产生及预计排放情况</w:t>
          </w:r>
          <w:r>
            <w:rPr>
              <w:sz w:val="24"/>
              <w:szCs w:val="24"/>
            </w:rPr>
            <w:tab/>
          </w:r>
          <w:r>
            <w:rPr>
              <w:sz w:val="24"/>
              <w:szCs w:val="24"/>
            </w:rPr>
            <w:fldChar w:fldCharType="begin"/>
          </w:r>
          <w:r>
            <w:rPr>
              <w:sz w:val="24"/>
              <w:szCs w:val="24"/>
            </w:rPr>
            <w:instrText xml:space="preserve"> PAGEREF _Toc461580596 \h </w:instrText>
          </w:r>
          <w:r>
            <w:rPr>
              <w:sz w:val="24"/>
              <w:szCs w:val="24"/>
            </w:rPr>
            <w:fldChar w:fldCharType="separate"/>
          </w:r>
          <w:r>
            <w:rPr>
              <w:sz w:val="24"/>
              <w:szCs w:val="24"/>
            </w:rPr>
            <w:t>21</w:t>
          </w:r>
          <w:r>
            <w:rPr>
              <w:sz w:val="24"/>
              <w:szCs w:val="24"/>
            </w:rPr>
            <w:fldChar w:fldCharType="end"/>
          </w:r>
          <w:r>
            <w:rPr>
              <w:sz w:val="24"/>
              <w:szCs w:val="24"/>
            </w:rPr>
            <w:fldChar w:fldCharType="end"/>
          </w:r>
        </w:p>
        <w:p>
          <w:pPr>
            <w:pStyle w:val="28"/>
            <w:tabs>
              <w:tab w:val="right" w:leader="dot" w:pos="9237"/>
            </w:tabs>
            <w:spacing w:line="360" w:lineRule="auto"/>
            <w:rPr>
              <w:rFonts w:asciiTheme="minorHAnsi" w:hAnsiTheme="minorHAnsi" w:eastAsiaTheme="minorEastAsia" w:cstheme="minorBidi"/>
              <w:sz w:val="24"/>
              <w:szCs w:val="24"/>
            </w:rPr>
          </w:pPr>
          <w:r>
            <w:fldChar w:fldCharType="begin"/>
          </w:r>
          <w:r>
            <w:instrText xml:space="preserve"> HYPERLINK \l "_Toc461580597" </w:instrText>
          </w:r>
          <w:r>
            <w:fldChar w:fldCharType="separate"/>
          </w:r>
          <w:r>
            <w:rPr>
              <w:rStyle w:val="39"/>
              <w:rFonts w:hint="eastAsia"/>
              <w:b/>
              <w:sz w:val="24"/>
            </w:rPr>
            <w:t>七、环境影响分析</w:t>
          </w:r>
          <w:r>
            <w:rPr>
              <w:sz w:val="24"/>
              <w:szCs w:val="24"/>
            </w:rPr>
            <w:tab/>
          </w:r>
          <w:r>
            <w:rPr>
              <w:sz w:val="24"/>
              <w:szCs w:val="24"/>
            </w:rPr>
            <w:fldChar w:fldCharType="begin"/>
          </w:r>
          <w:r>
            <w:rPr>
              <w:sz w:val="24"/>
              <w:szCs w:val="24"/>
            </w:rPr>
            <w:instrText xml:space="preserve"> PAGEREF _Toc461580597 \h </w:instrText>
          </w:r>
          <w:r>
            <w:rPr>
              <w:sz w:val="24"/>
              <w:szCs w:val="24"/>
            </w:rPr>
            <w:fldChar w:fldCharType="separate"/>
          </w:r>
          <w:r>
            <w:rPr>
              <w:sz w:val="24"/>
              <w:szCs w:val="24"/>
            </w:rPr>
            <w:t>22</w:t>
          </w:r>
          <w:r>
            <w:rPr>
              <w:sz w:val="24"/>
              <w:szCs w:val="24"/>
            </w:rPr>
            <w:fldChar w:fldCharType="end"/>
          </w:r>
          <w:r>
            <w:rPr>
              <w:sz w:val="24"/>
              <w:szCs w:val="24"/>
            </w:rPr>
            <w:fldChar w:fldCharType="end"/>
          </w:r>
        </w:p>
        <w:p>
          <w:pPr>
            <w:pStyle w:val="28"/>
            <w:tabs>
              <w:tab w:val="right" w:leader="dot" w:pos="9237"/>
            </w:tabs>
            <w:spacing w:line="360" w:lineRule="auto"/>
            <w:rPr>
              <w:rFonts w:asciiTheme="minorHAnsi" w:hAnsiTheme="minorHAnsi" w:eastAsiaTheme="minorEastAsia" w:cstheme="minorBidi"/>
              <w:sz w:val="24"/>
              <w:szCs w:val="24"/>
            </w:rPr>
          </w:pPr>
          <w:r>
            <w:fldChar w:fldCharType="begin"/>
          </w:r>
          <w:r>
            <w:instrText xml:space="preserve"> HYPERLINK \l "_Toc461580599" </w:instrText>
          </w:r>
          <w:r>
            <w:fldChar w:fldCharType="separate"/>
          </w:r>
          <w:r>
            <w:rPr>
              <w:rStyle w:val="39"/>
              <w:rFonts w:hint="eastAsia"/>
              <w:b/>
              <w:sz w:val="24"/>
            </w:rPr>
            <w:t>八、建设项目拟采取的防治措施及预期治理效果</w:t>
          </w:r>
          <w:r>
            <w:rPr>
              <w:sz w:val="24"/>
              <w:szCs w:val="24"/>
            </w:rPr>
            <w:tab/>
          </w:r>
          <w:r>
            <w:rPr>
              <w:sz w:val="24"/>
              <w:szCs w:val="24"/>
            </w:rPr>
            <w:fldChar w:fldCharType="begin"/>
          </w:r>
          <w:r>
            <w:rPr>
              <w:sz w:val="24"/>
              <w:szCs w:val="24"/>
            </w:rPr>
            <w:instrText xml:space="preserve"> PAGEREF _Toc461580599 \h </w:instrText>
          </w:r>
          <w:r>
            <w:rPr>
              <w:sz w:val="24"/>
              <w:szCs w:val="24"/>
            </w:rPr>
            <w:fldChar w:fldCharType="separate"/>
          </w:r>
          <w:r>
            <w:rPr>
              <w:sz w:val="24"/>
              <w:szCs w:val="24"/>
            </w:rPr>
            <w:t>29</w:t>
          </w:r>
          <w:r>
            <w:rPr>
              <w:sz w:val="24"/>
              <w:szCs w:val="24"/>
            </w:rPr>
            <w:fldChar w:fldCharType="end"/>
          </w:r>
          <w:r>
            <w:rPr>
              <w:sz w:val="24"/>
              <w:szCs w:val="24"/>
            </w:rPr>
            <w:fldChar w:fldCharType="end"/>
          </w:r>
        </w:p>
        <w:p>
          <w:pPr>
            <w:pStyle w:val="28"/>
            <w:tabs>
              <w:tab w:val="right" w:leader="dot" w:pos="9237"/>
            </w:tabs>
            <w:spacing w:line="360" w:lineRule="auto"/>
            <w:rPr>
              <w:rFonts w:asciiTheme="minorHAnsi" w:hAnsiTheme="minorHAnsi" w:eastAsiaTheme="minorEastAsia" w:cstheme="minorBidi"/>
              <w:szCs w:val="22"/>
            </w:rPr>
          </w:pPr>
          <w:r>
            <w:fldChar w:fldCharType="begin"/>
          </w:r>
          <w:r>
            <w:instrText xml:space="preserve"> HYPERLINK \l "_Toc461580600" </w:instrText>
          </w:r>
          <w:r>
            <w:fldChar w:fldCharType="separate"/>
          </w:r>
          <w:r>
            <w:rPr>
              <w:rStyle w:val="39"/>
              <w:rFonts w:hint="eastAsia"/>
              <w:b/>
              <w:sz w:val="24"/>
            </w:rPr>
            <w:t>九、结论与建议</w:t>
          </w:r>
          <w:r>
            <w:rPr>
              <w:sz w:val="24"/>
              <w:szCs w:val="24"/>
            </w:rPr>
            <w:tab/>
          </w:r>
          <w:r>
            <w:rPr>
              <w:sz w:val="24"/>
              <w:szCs w:val="24"/>
            </w:rPr>
            <w:fldChar w:fldCharType="begin"/>
          </w:r>
          <w:r>
            <w:rPr>
              <w:sz w:val="24"/>
              <w:szCs w:val="24"/>
            </w:rPr>
            <w:instrText xml:space="preserve"> PAGEREF _Toc461580600 \h </w:instrText>
          </w:r>
          <w:r>
            <w:rPr>
              <w:sz w:val="24"/>
              <w:szCs w:val="24"/>
            </w:rPr>
            <w:fldChar w:fldCharType="separate"/>
          </w:r>
          <w:r>
            <w:rPr>
              <w:sz w:val="24"/>
              <w:szCs w:val="24"/>
            </w:rPr>
            <w:t>30</w:t>
          </w:r>
          <w:r>
            <w:rPr>
              <w:sz w:val="24"/>
              <w:szCs w:val="24"/>
            </w:rPr>
            <w:fldChar w:fldCharType="end"/>
          </w:r>
          <w:r>
            <w:rPr>
              <w:sz w:val="24"/>
              <w:szCs w:val="24"/>
            </w:rPr>
            <w:fldChar w:fldCharType="end"/>
          </w:r>
        </w:p>
        <w:p>
          <w:r>
            <w:fldChar w:fldCharType="end"/>
          </w:r>
        </w:p>
      </w:sdtContent>
    </w:sdt>
    <w:p>
      <w:pPr>
        <w:spacing w:line="460" w:lineRule="exact"/>
        <w:rPr>
          <w:b/>
          <w:color w:val="000000"/>
          <w:spacing w:val="6"/>
          <w:sz w:val="28"/>
        </w:rPr>
      </w:pPr>
    </w:p>
    <w:p>
      <w:pPr>
        <w:spacing w:line="460" w:lineRule="exact"/>
        <w:rPr>
          <w:b/>
          <w:color w:val="000000"/>
          <w:spacing w:val="6"/>
          <w:sz w:val="24"/>
          <w:szCs w:val="24"/>
        </w:rPr>
      </w:pPr>
      <w:r>
        <w:rPr>
          <w:rFonts w:hint="eastAsia"/>
          <w:b/>
          <w:color w:val="000000"/>
          <w:spacing w:val="6"/>
          <w:sz w:val="24"/>
          <w:szCs w:val="24"/>
        </w:rPr>
        <w:t>附图：</w:t>
      </w:r>
    </w:p>
    <w:p>
      <w:pPr>
        <w:spacing w:line="600" w:lineRule="exact"/>
        <w:ind w:left="1715" w:hanging="1100"/>
        <w:rPr>
          <w:color w:val="000000"/>
          <w:spacing w:val="6"/>
          <w:sz w:val="24"/>
          <w:szCs w:val="24"/>
        </w:rPr>
      </w:pPr>
      <w:r>
        <w:rPr>
          <w:color w:val="000000"/>
          <w:spacing w:val="6"/>
          <w:sz w:val="24"/>
          <w:szCs w:val="24"/>
        </w:rPr>
        <w:t>附图1  项目地理位置</w:t>
      </w:r>
      <w:r>
        <w:rPr>
          <w:rFonts w:hint="eastAsia"/>
          <w:color w:val="000000"/>
          <w:spacing w:val="6"/>
          <w:sz w:val="24"/>
          <w:szCs w:val="24"/>
        </w:rPr>
        <w:t>及声环境质量现状监测布点</w:t>
      </w:r>
      <w:r>
        <w:rPr>
          <w:color w:val="000000"/>
          <w:spacing w:val="6"/>
          <w:sz w:val="24"/>
          <w:szCs w:val="24"/>
        </w:rPr>
        <w:t>图</w:t>
      </w:r>
    </w:p>
    <w:p>
      <w:pPr>
        <w:spacing w:line="600" w:lineRule="exact"/>
        <w:ind w:left="615"/>
        <w:rPr>
          <w:color w:val="000000"/>
          <w:spacing w:val="6"/>
          <w:sz w:val="24"/>
          <w:szCs w:val="24"/>
        </w:rPr>
      </w:pPr>
      <w:r>
        <w:rPr>
          <w:color w:val="000000"/>
          <w:spacing w:val="6"/>
          <w:sz w:val="24"/>
          <w:szCs w:val="24"/>
        </w:rPr>
        <w:t>附图2  项目</w:t>
      </w:r>
      <w:r>
        <w:rPr>
          <w:rFonts w:hint="eastAsia"/>
          <w:color w:val="000000"/>
          <w:spacing w:val="6"/>
          <w:sz w:val="24"/>
          <w:szCs w:val="24"/>
        </w:rPr>
        <w:t>交通位置及大气、水环境质量现状监测布点</w:t>
      </w:r>
      <w:r>
        <w:rPr>
          <w:color w:val="000000"/>
          <w:spacing w:val="6"/>
          <w:sz w:val="24"/>
          <w:szCs w:val="24"/>
        </w:rPr>
        <w:t>图</w:t>
      </w:r>
    </w:p>
    <w:p>
      <w:pPr>
        <w:spacing w:line="600" w:lineRule="exact"/>
        <w:ind w:left="1715" w:hanging="1100"/>
        <w:rPr>
          <w:color w:val="000000"/>
          <w:spacing w:val="6"/>
          <w:sz w:val="24"/>
          <w:szCs w:val="24"/>
        </w:rPr>
      </w:pPr>
      <w:r>
        <w:rPr>
          <w:color w:val="000000"/>
          <w:spacing w:val="6"/>
          <w:sz w:val="24"/>
          <w:szCs w:val="24"/>
        </w:rPr>
        <w:t>附图</w:t>
      </w:r>
      <w:r>
        <w:rPr>
          <w:rFonts w:hint="eastAsia"/>
          <w:color w:val="000000"/>
          <w:spacing w:val="6"/>
          <w:sz w:val="24"/>
          <w:szCs w:val="24"/>
        </w:rPr>
        <w:t>3</w:t>
      </w:r>
      <w:r>
        <w:rPr>
          <w:color w:val="000000"/>
          <w:spacing w:val="6"/>
          <w:sz w:val="24"/>
          <w:szCs w:val="24"/>
        </w:rPr>
        <w:t xml:space="preserve">  项目</w:t>
      </w:r>
      <w:r>
        <w:rPr>
          <w:rFonts w:hint="eastAsia"/>
          <w:color w:val="000000"/>
          <w:spacing w:val="6"/>
          <w:sz w:val="24"/>
          <w:szCs w:val="24"/>
        </w:rPr>
        <w:t>现状</w:t>
      </w:r>
      <w:r>
        <w:rPr>
          <w:color w:val="000000"/>
          <w:spacing w:val="6"/>
          <w:sz w:val="24"/>
          <w:szCs w:val="24"/>
        </w:rPr>
        <w:t>图</w:t>
      </w:r>
    </w:p>
    <w:p>
      <w:pPr>
        <w:spacing w:line="600" w:lineRule="exact"/>
        <w:ind w:left="615"/>
        <w:rPr>
          <w:color w:val="000000"/>
          <w:spacing w:val="6"/>
          <w:sz w:val="24"/>
          <w:szCs w:val="24"/>
        </w:rPr>
      </w:pPr>
      <w:r>
        <w:rPr>
          <w:color w:val="000000"/>
          <w:spacing w:val="6"/>
          <w:sz w:val="24"/>
          <w:szCs w:val="24"/>
        </w:rPr>
        <w:t>附图</w:t>
      </w:r>
      <w:r>
        <w:rPr>
          <w:rFonts w:hint="eastAsia"/>
          <w:color w:val="000000"/>
          <w:spacing w:val="6"/>
          <w:sz w:val="24"/>
          <w:szCs w:val="24"/>
        </w:rPr>
        <w:t>4</w:t>
      </w:r>
      <w:r>
        <w:rPr>
          <w:color w:val="000000"/>
          <w:spacing w:val="6"/>
          <w:sz w:val="24"/>
          <w:szCs w:val="24"/>
        </w:rPr>
        <w:t xml:space="preserve">  项目</w:t>
      </w:r>
      <w:r>
        <w:rPr>
          <w:rFonts w:hint="eastAsia"/>
          <w:color w:val="000000"/>
          <w:spacing w:val="6"/>
          <w:sz w:val="24"/>
          <w:szCs w:val="24"/>
        </w:rPr>
        <w:t>平面布置</w:t>
      </w:r>
      <w:r>
        <w:rPr>
          <w:color w:val="000000"/>
          <w:spacing w:val="6"/>
          <w:sz w:val="24"/>
          <w:szCs w:val="24"/>
        </w:rPr>
        <w:t>图</w:t>
      </w:r>
    </w:p>
    <w:p>
      <w:pPr>
        <w:spacing w:line="600" w:lineRule="exact"/>
        <w:ind w:left="1715" w:hanging="1100"/>
        <w:rPr>
          <w:color w:val="000000"/>
          <w:spacing w:val="6"/>
          <w:sz w:val="24"/>
          <w:szCs w:val="24"/>
        </w:rPr>
      </w:pPr>
      <w:r>
        <w:rPr>
          <w:color w:val="000000"/>
          <w:spacing w:val="6"/>
          <w:sz w:val="24"/>
          <w:szCs w:val="24"/>
        </w:rPr>
        <w:t>附图</w:t>
      </w:r>
      <w:r>
        <w:rPr>
          <w:rFonts w:hint="eastAsia"/>
          <w:color w:val="000000"/>
          <w:spacing w:val="6"/>
          <w:sz w:val="24"/>
          <w:szCs w:val="24"/>
        </w:rPr>
        <w:t>5</w:t>
      </w:r>
      <w:r>
        <w:rPr>
          <w:color w:val="000000"/>
          <w:spacing w:val="6"/>
          <w:sz w:val="24"/>
          <w:szCs w:val="24"/>
        </w:rPr>
        <w:t xml:space="preserve">  项目</w:t>
      </w:r>
      <w:r>
        <w:rPr>
          <w:rFonts w:hint="eastAsia"/>
          <w:color w:val="000000"/>
          <w:spacing w:val="6"/>
          <w:sz w:val="24"/>
          <w:szCs w:val="24"/>
        </w:rPr>
        <w:t>管廊标准断面图</w:t>
      </w:r>
    </w:p>
    <w:p>
      <w:pPr>
        <w:spacing w:line="600" w:lineRule="exact"/>
        <w:ind w:left="1715" w:hanging="1100"/>
        <w:rPr>
          <w:color w:val="000000"/>
          <w:spacing w:val="6"/>
          <w:sz w:val="24"/>
          <w:szCs w:val="24"/>
        </w:rPr>
      </w:pPr>
      <w:r>
        <w:rPr>
          <w:rFonts w:hint="eastAsia"/>
          <w:color w:val="000000"/>
          <w:spacing w:val="6"/>
          <w:sz w:val="24"/>
          <w:szCs w:val="24"/>
        </w:rPr>
        <w:t>附图6  项目道路标准断面图</w:t>
      </w:r>
    </w:p>
    <w:p>
      <w:pPr>
        <w:spacing w:line="460" w:lineRule="exact"/>
        <w:rPr>
          <w:b/>
          <w:color w:val="000000"/>
          <w:spacing w:val="6"/>
          <w:sz w:val="28"/>
        </w:rPr>
      </w:pPr>
    </w:p>
    <w:p>
      <w:pPr>
        <w:spacing w:line="460" w:lineRule="exact"/>
        <w:rPr>
          <w:b/>
          <w:color w:val="000000"/>
          <w:spacing w:val="6"/>
          <w:sz w:val="28"/>
        </w:rPr>
      </w:pPr>
    </w:p>
    <w:p>
      <w:pPr>
        <w:spacing w:line="460" w:lineRule="exact"/>
        <w:rPr>
          <w:b/>
          <w:color w:val="000000"/>
          <w:spacing w:val="6"/>
          <w:sz w:val="28"/>
        </w:rPr>
      </w:pPr>
    </w:p>
    <w:p>
      <w:pPr>
        <w:spacing w:line="460" w:lineRule="exact"/>
        <w:rPr>
          <w:b/>
          <w:color w:val="000000"/>
          <w:spacing w:val="6"/>
          <w:sz w:val="28"/>
        </w:rPr>
      </w:pPr>
    </w:p>
    <w:p>
      <w:pPr>
        <w:spacing w:line="460" w:lineRule="exact"/>
        <w:rPr>
          <w:b/>
          <w:color w:val="000000"/>
          <w:spacing w:val="6"/>
          <w:sz w:val="28"/>
        </w:rPr>
      </w:pPr>
    </w:p>
    <w:p>
      <w:pPr>
        <w:spacing w:line="460" w:lineRule="exact"/>
        <w:rPr>
          <w:b/>
          <w:color w:val="000000"/>
          <w:spacing w:val="6"/>
          <w:sz w:val="28"/>
        </w:rPr>
      </w:pPr>
    </w:p>
    <w:p>
      <w:pPr>
        <w:pStyle w:val="2"/>
        <w:numPr>
          <w:ilvl w:val="0"/>
          <w:numId w:val="0"/>
        </w:numPr>
        <w:rPr>
          <w:b/>
          <w:color w:val="000000"/>
        </w:rPr>
      </w:pPr>
      <w:bookmarkStart w:id="0" w:name="_Toc461580583"/>
      <w:r>
        <w:rPr>
          <w:rFonts w:hint="eastAsia"/>
          <w:b/>
          <w:color w:val="000000"/>
        </w:rPr>
        <w:t>一、</w:t>
      </w:r>
      <w:r>
        <w:rPr>
          <w:b/>
          <w:color w:val="000000"/>
        </w:rPr>
        <w:t>建设项目基本情况</w:t>
      </w:r>
      <w:bookmarkEnd w:id="0"/>
    </w:p>
    <w:tbl>
      <w:tblPr>
        <w:tblStyle w:val="42"/>
        <w:tblW w:w="94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5"/>
        <w:gridCol w:w="2336"/>
        <w:gridCol w:w="125"/>
        <w:gridCol w:w="850"/>
        <w:gridCol w:w="498"/>
        <w:gridCol w:w="144"/>
        <w:gridCol w:w="168"/>
        <w:gridCol w:w="837"/>
        <w:gridCol w:w="357"/>
        <w:gridCol w:w="233"/>
        <w:gridCol w:w="659"/>
        <w:gridCol w:w="352"/>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1475" w:type="dxa"/>
            <w:vAlign w:val="center"/>
          </w:tcPr>
          <w:p>
            <w:pPr>
              <w:spacing w:line="400" w:lineRule="exact"/>
              <w:jc w:val="center"/>
              <w:rPr>
                <w:color w:val="000000"/>
                <w:spacing w:val="6"/>
                <w:sz w:val="28"/>
              </w:rPr>
            </w:pPr>
            <w:r>
              <w:rPr>
                <w:b/>
                <w:color w:val="000000"/>
                <w:sz w:val="24"/>
              </w:rPr>
              <w:t>项目名称</w:t>
            </w:r>
          </w:p>
        </w:tc>
        <w:tc>
          <w:tcPr>
            <w:tcW w:w="7988" w:type="dxa"/>
            <w:gridSpan w:val="12"/>
            <w:vAlign w:val="center"/>
          </w:tcPr>
          <w:p>
            <w:pPr>
              <w:spacing w:line="400" w:lineRule="exact"/>
              <w:rPr>
                <w:rFonts w:hint="eastAsia" w:eastAsia="宋体"/>
                <w:color w:val="000000"/>
                <w:sz w:val="24"/>
                <w:lang w:eastAsia="zh-CN"/>
              </w:rPr>
            </w:pPr>
            <w:r>
              <w:rPr>
                <w:rFonts w:hint="eastAsia"/>
                <w:sz w:val="24"/>
                <w:lang w:eastAsia="zh-CN"/>
              </w:rPr>
              <w:t>置田庄路</w:t>
            </w:r>
            <w:r>
              <w:rPr>
                <w:rFonts w:hint="eastAsia"/>
                <w:sz w:val="24"/>
                <w:lang w:val="en-US" w:eastAsia="zh-CN"/>
              </w:rPr>
              <w:t>地下</w:t>
            </w:r>
            <w:r>
              <w:rPr>
                <w:rFonts w:hint="eastAsia"/>
                <w:sz w:val="24"/>
                <w:lang w:eastAsia="zh-CN"/>
              </w:rPr>
              <w:t>综合管廊工程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1475" w:type="dxa"/>
            <w:vAlign w:val="center"/>
          </w:tcPr>
          <w:p>
            <w:pPr>
              <w:spacing w:line="400" w:lineRule="exact"/>
              <w:jc w:val="center"/>
              <w:rPr>
                <w:b/>
                <w:color w:val="000000"/>
                <w:sz w:val="24"/>
              </w:rPr>
            </w:pPr>
            <w:r>
              <w:rPr>
                <w:b/>
                <w:color w:val="000000"/>
                <w:sz w:val="24"/>
              </w:rPr>
              <w:t>建设单位</w:t>
            </w:r>
          </w:p>
        </w:tc>
        <w:tc>
          <w:tcPr>
            <w:tcW w:w="7988" w:type="dxa"/>
            <w:gridSpan w:val="12"/>
            <w:vAlign w:val="center"/>
          </w:tcPr>
          <w:p>
            <w:pPr>
              <w:spacing w:line="400" w:lineRule="exact"/>
              <w:rPr>
                <w:rFonts w:hint="eastAsia" w:eastAsia="宋体"/>
                <w:color w:val="000000"/>
                <w:sz w:val="24"/>
                <w:lang w:eastAsia="zh-CN"/>
              </w:rPr>
            </w:pPr>
            <w:r>
              <w:rPr>
                <w:rFonts w:hint="eastAsia"/>
                <w:sz w:val="24"/>
                <w:lang w:eastAsia="zh-CN"/>
              </w:rPr>
              <w:t>岳阳市城市建设投资有限公司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1475" w:type="dxa"/>
            <w:vAlign w:val="center"/>
          </w:tcPr>
          <w:p>
            <w:pPr>
              <w:spacing w:line="400" w:lineRule="exact"/>
              <w:jc w:val="center"/>
              <w:rPr>
                <w:color w:val="000000"/>
                <w:spacing w:val="6"/>
                <w:sz w:val="24"/>
              </w:rPr>
            </w:pPr>
            <w:r>
              <w:rPr>
                <w:b/>
                <w:color w:val="000000"/>
                <w:sz w:val="24"/>
              </w:rPr>
              <w:t>法人代表</w:t>
            </w:r>
          </w:p>
        </w:tc>
        <w:tc>
          <w:tcPr>
            <w:tcW w:w="3809" w:type="dxa"/>
            <w:gridSpan w:val="4"/>
            <w:vAlign w:val="center"/>
          </w:tcPr>
          <w:p>
            <w:pPr>
              <w:spacing w:line="400" w:lineRule="exact"/>
              <w:rPr>
                <w:rFonts w:hint="eastAsia" w:eastAsia="宋体"/>
                <w:color w:val="000000"/>
                <w:spacing w:val="6"/>
                <w:sz w:val="24"/>
                <w:lang w:eastAsia="zh-CN"/>
              </w:rPr>
            </w:pPr>
            <w:r>
              <w:rPr>
                <w:rFonts w:hint="eastAsia"/>
                <w:sz w:val="24"/>
                <w:lang w:eastAsia="zh-CN"/>
              </w:rPr>
              <w:t>游志坚</w:t>
            </w:r>
          </w:p>
        </w:tc>
        <w:tc>
          <w:tcPr>
            <w:tcW w:w="1739" w:type="dxa"/>
            <w:gridSpan w:val="5"/>
            <w:vAlign w:val="center"/>
          </w:tcPr>
          <w:p>
            <w:pPr>
              <w:spacing w:line="400" w:lineRule="exact"/>
              <w:jc w:val="center"/>
              <w:rPr>
                <w:color w:val="000000"/>
                <w:spacing w:val="6"/>
                <w:sz w:val="24"/>
              </w:rPr>
            </w:pPr>
            <w:r>
              <w:rPr>
                <w:b/>
                <w:color w:val="000000"/>
                <w:sz w:val="24"/>
              </w:rPr>
              <w:t>联系人</w:t>
            </w:r>
          </w:p>
        </w:tc>
        <w:tc>
          <w:tcPr>
            <w:tcW w:w="2440" w:type="dxa"/>
            <w:gridSpan w:val="3"/>
            <w:vAlign w:val="center"/>
          </w:tcPr>
          <w:p>
            <w:pPr>
              <w:spacing w:line="400" w:lineRule="exact"/>
              <w:rPr>
                <w:rFonts w:hint="eastAsia" w:eastAsia="宋体"/>
                <w:color w:val="000000"/>
                <w:lang w:eastAsia="zh-CN"/>
              </w:rPr>
            </w:pPr>
            <w:r>
              <w:rPr>
                <w:rFonts w:hint="eastAsia"/>
                <w:sz w:val="24"/>
                <w:lang w:eastAsia="zh-CN"/>
              </w:rPr>
              <w:t>张威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1475" w:type="dxa"/>
            <w:vAlign w:val="center"/>
          </w:tcPr>
          <w:p>
            <w:pPr>
              <w:spacing w:line="400" w:lineRule="exact"/>
              <w:jc w:val="center"/>
              <w:rPr>
                <w:color w:val="000000"/>
                <w:spacing w:val="6"/>
                <w:sz w:val="28"/>
              </w:rPr>
            </w:pPr>
            <w:r>
              <w:rPr>
                <w:b/>
                <w:color w:val="000000"/>
                <w:sz w:val="24"/>
              </w:rPr>
              <w:t>通讯地址</w:t>
            </w:r>
          </w:p>
        </w:tc>
        <w:tc>
          <w:tcPr>
            <w:tcW w:w="7988" w:type="dxa"/>
            <w:gridSpan w:val="12"/>
            <w:vAlign w:val="center"/>
          </w:tcPr>
          <w:p>
            <w:pPr>
              <w:spacing w:line="400" w:lineRule="exact"/>
              <w:rPr>
                <w:color w:val="000000"/>
                <w:spacing w:val="6"/>
                <w:sz w:val="24"/>
              </w:rPr>
            </w:pPr>
            <w:r>
              <w:rPr>
                <w:sz w:val="24"/>
              </w:rPr>
              <w:t>岳阳</w:t>
            </w:r>
            <w:r>
              <w:rPr>
                <w:rFonts w:hint="eastAsia"/>
                <w:sz w:val="24"/>
              </w:rPr>
              <w:t>经济技术开发区岳阳大道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1475" w:type="dxa"/>
            <w:vAlign w:val="center"/>
          </w:tcPr>
          <w:p>
            <w:pPr>
              <w:spacing w:line="400" w:lineRule="exact"/>
              <w:jc w:val="center"/>
              <w:rPr>
                <w:color w:val="000000"/>
                <w:spacing w:val="6"/>
                <w:sz w:val="28"/>
              </w:rPr>
            </w:pPr>
            <w:r>
              <w:rPr>
                <w:b/>
                <w:color w:val="000000"/>
                <w:sz w:val="24"/>
              </w:rPr>
              <w:t>联系电话</w:t>
            </w:r>
          </w:p>
        </w:tc>
        <w:tc>
          <w:tcPr>
            <w:tcW w:w="2461" w:type="dxa"/>
            <w:gridSpan w:val="2"/>
            <w:vAlign w:val="center"/>
          </w:tcPr>
          <w:p>
            <w:pPr>
              <w:spacing w:line="400" w:lineRule="exact"/>
              <w:rPr>
                <w:rFonts w:hint="eastAsia" w:eastAsia="宋体"/>
                <w:color w:val="000000"/>
                <w:sz w:val="24"/>
                <w:lang w:eastAsia="zh-CN"/>
              </w:rPr>
            </w:pPr>
            <w:r>
              <w:rPr>
                <w:rFonts w:hint="eastAsia"/>
                <w:spacing w:val="-10"/>
                <w:sz w:val="24"/>
                <w:lang w:val="en-US" w:eastAsia="zh-CN"/>
              </w:rPr>
              <w:t>15673050998</w:t>
            </w:r>
          </w:p>
        </w:tc>
        <w:tc>
          <w:tcPr>
            <w:tcW w:w="850" w:type="dxa"/>
            <w:vAlign w:val="center"/>
          </w:tcPr>
          <w:p>
            <w:pPr>
              <w:spacing w:line="400" w:lineRule="exact"/>
              <w:jc w:val="center"/>
              <w:rPr>
                <w:color w:val="000000"/>
                <w:spacing w:val="6"/>
                <w:sz w:val="24"/>
              </w:rPr>
            </w:pPr>
            <w:r>
              <w:rPr>
                <w:b/>
                <w:color w:val="000000"/>
                <w:sz w:val="24"/>
              </w:rPr>
              <w:t>传真</w:t>
            </w:r>
          </w:p>
        </w:tc>
        <w:tc>
          <w:tcPr>
            <w:tcW w:w="1647" w:type="dxa"/>
            <w:gridSpan w:val="4"/>
            <w:vAlign w:val="center"/>
          </w:tcPr>
          <w:p>
            <w:pPr>
              <w:spacing w:line="400" w:lineRule="exact"/>
              <w:jc w:val="center"/>
              <w:rPr>
                <w:rFonts w:hint="eastAsia" w:eastAsia="宋体"/>
                <w:color w:val="000000"/>
                <w:sz w:val="24"/>
                <w:lang w:eastAsia="zh-CN"/>
              </w:rPr>
            </w:pPr>
            <w:r>
              <w:rPr>
                <w:rFonts w:hint="eastAsia"/>
                <w:spacing w:val="-10"/>
                <w:sz w:val="24"/>
                <w:lang w:val="en-US" w:eastAsia="zh-CN"/>
              </w:rPr>
              <w:t>——</w:t>
            </w:r>
          </w:p>
        </w:tc>
        <w:tc>
          <w:tcPr>
            <w:tcW w:w="1249" w:type="dxa"/>
            <w:gridSpan w:val="3"/>
            <w:vAlign w:val="center"/>
          </w:tcPr>
          <w:p>
            <w:pPr>
              <w:spacing w:line="400" w:lineRule="exact"/>
              <w:jc w:val="center"/>
              <w:rPr>
                <w:color w:val="000000"/>
                <w:spacing w:val="6"/>
                <w:sz w:val="24"/>
              </w:rPr>
            </w:pPr>
            <w:r>
              <w:rPr>
                <w:b/>
                <w:color w:val="000000"/>
                <w:sz w:val="24"/>
              </w:rPr>
              <w:t>邮政编码</w:t>
            </w:r>
          </w:p>
        </w:tc>
        <w:tc>
          <w:tcPr>
            <w:tcW w:w="1781" w:type="dxa"/>
            <w:gridSpan w:val="2"/>
            <w:vAlign w:val="center"/>
          </w:tcPr>
          <w:p>
            <w:pPr>
              <w:spacing w:line="400" w:lineRule="exact"/>
              <w:rPr>
                <w:color w:val="000000"/>
                <w:spacing w:val="6"/>
                <w:sz w:val="24"/>
              </w:rPr>
            </w:pPr>
            <w:r>
              <w:rPr>
                <w:rFonts w:hint="eastAsia"/>
                <w:sz w:val="24"/>
              </w:rPr>
              <w:t>41</w:t>
            </w:r>
            <w:r>
              <w:rPr>
                <w:rFonts w:hint="eastAsia"/>
                <w:sz w:val="24"/>
                <w:lang w:val="en-US" w:eastAsia="zh-CN"/>
              </w:rPr>
              <w:t>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0" w:hRule="atLeast"/>
        </w:trPr>
        <w:tc>
          <w:tcPr>
            <w:tcW w:w="1475" w:type="dxa"/>
            <w:vAlign w:val="center"/>
          </w:tcPr>
          <w:p>
            <w:pPr>
              <w:spacing w:line="400" w:lineRule="exact"/>
              <w:jc w:val="center"/>
              <w:rPr>
                <w:color w:val="000000"/>
                <w:spacing w:val="6"/>
                <w:sz w:val="28"/>
              </w:rPr>
            </w:pPr>
            <w:r>
              <w:rPr>
                <w:b/>
                <w:color w:val="000000"/>
                <w:sz w:val="24"/>
              </w:rPr>
              <w:t>建设地点</w:t>
            </w:r>
          </w:p>
        </w:tc>
        <w:tc>
          <w:tcPr>
            <w:tcW w:w="7988" w:type="dxa"/>
            <w:gridSpan w:val="12"/>
            <w:vAlign w:val="center"/>
          </w:tcPr>
          <w:p>
            <w:pPr>
              <w:spacing w:line="400" w:lineRule="exact"/>
              <w:rPr>
                <w:color w:val="000000"/>
                <w:spacing w:val="6"/>
                <w:sz w:val="24"/>
              </w:rPr>
            </w:pPr>
            <w:r>
              <w:rPr>
                <w:rFonts w:hint="eastAsia"/>
                <w:sz w:val="24"/>
              </w:rPr>
              <w:t>岳阳经济技术开发区金凤桥片区内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3" w:hRule="atLeast"/>
        </w:trPr>
        <w:tc>
          <w:tcPr>
            <w:tcW w:w="1475" w:type="dxa"/>
            <w:vAlign w:val="center"/>
          </w:tcPr>
          <w:p>
            <w:pPr>
              <w:spacing w:line="400" w:lineRule="exact"/>
              <w:jc w:val="center"/>
              <w:rPr>
                <w:color w:val="000000"/>
                <w:spacing w:val="6"/>
                <w:sz w:val="24"/>
              </w:rPr>
            </w:pPr>
            <w:r>
              <w:rPr>
                <w:b/>
                <w:color w:val="000000"/>
                <w:sz w:val="24"/>
              </w:rPr>
              <w:t>立项审批部门</w:t>
            </w:r>
          </w:p>
        </w:tc>
        <w:tc>
          <w:tcPr>
            <w:tcW w:w="3953" w:type="dxa"/>
            <w:gridSpan w:val="5"/>
            <w:vAlign w:val="center"/>
          </w:tcPr>
          <w:p>
            <w:pPr>
              <w:spacing w:line="400" w:lineRule="exact"/>
              <w:rPr>
                <w:color w:val="000000"/>
                <w:spacing w:val="6"/>
                <w:sz w:val="24"/>
              </w:rPr>
            </w:pPr>
            <w:r>
              <w:rPr>
                <w:rFonts w:hint="eastAsia"/>
                <w:color w:val="000000"/>
                <w:spacing w:val="6"/>
                <w:sz w:val="24"/>
                <w:lang w:eastAsia="zh-CN"/>
              </w:rPr>
              <w:t>岳阳</w:t>
            </w:r>
            <w:r>
              <w:rPr>
                <w:rFonts w:hint="eastAsia"/>
                <w:color w:val="000000"/>
                <w:spacing w:val="6"/>
                <w:sz w:val="24"/>
              </w:rPr>
              <w:t>市发展和改革委员会</w:t>
            </w:r>
          </w:p>
        </w:tc>
        <w:tc>
          <w:tcPr>
            <w:tcW w:w="1362" w:type="dxa"/>
            <w:gridSpan w:val="3"/>
            <w:vAlign w:val="center"/>
          </w:tcPr>
          <w:p>
            <w:pPr>
              <w:spacing w:line="400" w:lineRule="exact"/>
              <w:jc w:val="center"/>
              <w:rPr>
                <w:color w:val="000000"/>
                <w:spacing w:val="6"/>
                <w:sz w:val="24"/>
              </w:rPr>
            </w:pPr>
            <w:r>
              <w:rPr>
                <w:b/>
                <w:color w:val="000000"/>
                <w:sz w:val="24"/>
              </w:rPr>
              <w:t>批准文号</w:t>
            </w:r>
          </w:p>
        </w:tc>
        <w:tc>
          <w:tcPr>
            <w:tcW w:w="2673" w:type="dxa"/>
            <w:gridSpan w:val="4"/>
            <w:tcBorders>
              <w:bottom w:val="single" w:color="auto" w:sz="4" w:space="0"/>
            </w:tcBorders>
            <w:vAlign w:val="center"/>
          </w:tcPr>
          <w:p>
            <w:pPr>
              <w:spacing w:line="400" w:lineRule="exact"/>
              <w:jc w:val="center"/>
              <w:rPr>
                <w:rFonts w:hint="eastAsia" w:eastAsia="宋体"/>
                <w:color w:val="000000"/>
                <w:spacing w:val="6"/>
                <w:sz w:val="24"/>
                <w:lang w:val="en-US" w:eastAsia="zh-CN"/>
              </w:rPr>
            </w:pPr>
            <w:r>
              <w:rPr>
                <w:rFonts w:hint="eastAsia"/>
                <w:color w:val="000000"/>
                <w:spacing w:val="6"/>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0" w:hRule="atLeast"/>
        </w:trPr>
        <w:tc>
          <w:tcPr>
            <w:tcW w:w="1475" w:type="dxa"/>
            <w:vAlign w:val="center"/>
          </w:tcPr>
          <w:p>
            <w:pPr>
              <w:spacing w:line="400" w:lineRule="exact"/>
              <w:jc w:val="center"/>
              <w:rPr>
                <w:color w:val="000000"/>
                <w:spacing w:val="6"/>
                <w:sz w:val="24"/>
              </w:rPr>
            </w:pPr>
            <w:r>
              <w:rPr>
                <w:b/>
                <w:color w:val="000000"/>
                <w:sz w:val="24"/>
              </w:rPr>
              <w:t>建 设 性 质</w:t>
            </w:r>
          </w:p>
        </w:tc>
        <w:tc>
          <w:tcPr>
            <w:tcW w:w="2336" w:type="dxa"/>
            <w:vAlign w:val="center"/>
          </w:tcPr>
          <w:p>
            <w:pPr>
              <w:spacing w:line="400" w:lineRule="exact"/>
              <w:rPr>
                <w:color w:val="000000"/>
                <w:spacing w:val="6"/>
                <w:sz w:val="24"/>
              </w:rPr>
            </w:pPr>
            <w:r>
              <w:rPr>
                <w:sz w:val="24"/>
              </w:rPr>
              <w:t>新建</w:t>
            </w:r>
          </w:p>
        </w:tc>
        <w:tc>
          <w:tcPr>
            <w:tcW w:w="2979" w:type="dxa"/>
            <w:gridSpan w:val="7"/>
            <w:vAlign w:val="center"/>
          </w:tcPr>
          <w:p>
            <w:pPr>
              <w:spacing w:line="400" w:lineRule="exact"/>
              <w:jc w:val="center"/>
              <w:rPr>
                <w:color w:val="000000"/>
                <w:spacing w:val="6"/>
                <w:sz w:val="24"/>
              </w:rPr>
            </w:pPr>
            <w:r>
              <w:rPr>
                <w:b/>
                <w:color w:val="000000"/>
                <w:sz w:val="24"/>
              </w:rPr>
              <w:t>行业类别及代码</w:t>
            </w:r>
          </w:p>
        </w:tc>
        <w:tc>
          <w:tcPr>
            <w:tcW w:w="2673" w:type="dxa"/>
            <w:gridSpan w:val="4"/>
            <w:vAlign w:val="center"/>
          </w:tcPr>
          <w:p>
            <w:pPr>
              <w:spacing w:line="400" w:lineRule="exact"/>
              <w:rPr>
                <w:color w:val="000000"/>
                <w:sz w:val="24"/>
              </w:rPr>
            </w:pPr>
            <w:r>
              <w:rPr>
                <w:rFonts w:hint="eastAsia"/>
                <w:sz w:val="24"/>
              </w:rPr>
              <w:t>公共设施管理业（N78）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1475" w:type="dxa"/>
            <w:vAlign w:val="center"/>
          </w:tcPr>
          <w:p>
            <w:pPr>
              <w:spacing w:line="400" w:lineRule="exact"/>
              <w:jc w:val="center"/>
              <w:rPr>
                <w:color w:val="000000"/>
                <w:spacing w:val="-14"/>
                <w:sz w:val="24"/>
              </w:rPr>
            </w:pPr>
            <w:r>
              <w:rPr>
                <w:b/>
                <w:color w:val="000000"/>
                <w:sz w:val="24"/>
              </w:rPr>
              <w:t>占地面积(平方米)</w:t>
            </w:r>
          </w:p>
        </w:tc>
        <w:tc>
          <w:tcPr>
            <w:tcW w:w="2336" w:type="dxa"/>
            <w:vAlign w:val="center"/>
          </w:tcPr>
          <w:p>
            <w:pPr>
              <w:spacing w:line="400" w:lineRule="exact"/>
              <w:rPr>
                <w:color w:val="FF0000"/>
                <w:sz w:val="24"/>
                <w:vertAlign w:val="superscript"/>
              </w:rPr>
            </w:pPr>
          </w:p>
        </w:tc>
        <w:tc>
          <w:tcPr>
            <w:tcW w:w="2979" w:type="dxa"/>
            <w:gridSpan w:val="7"/>
            <w:vAlign w:val="center"/>
          </w:tcPr>
          <w:p>
            <w:pPr>
              <w:spacing w:line="400" w:lineRule="exact"/>
              <w:jc w:val="center"/>
              <w:rPr>
                <w:color w:val="000000"/>
                <w:spacing w:val="6"/>
                <w:sz w:val="24"/>
              </w:rPr>
            </w:pPr>
            <w:r>
              <w:rPr>
                <w:b/>
                <w:color w:val="000000"/>
                <w:sz w:val="24"/>
              </w:rPr>
              <w:t>绿化面积(平方米)</w:t>
            </w:r>
          </w:p>
        </w:tc>
        <w:tc>
          <w:tcPr>
            <w:tcW w:w="2673" w:type="dxa"/>
            <w:gridSpan w:val="4"/>
            <w:vAlign w:val="center"/>
          </w:tcPr>
          <w:p>
            <w:pPr>
              <w:spacing w:line="400" w:lineRule="exact"/>
              <w:rPr>
                <w:color w:val="000000"/>
                <w:sz w:val="24"/>
              </w:rPr>
            </w:pPr>
            <w:r>
              <w:rPr>
                <w:rFonts w:hint="eastAsia"/>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475" w:type="dxa"/>
            <w:vAlign w:val="center"/>
          </w:tcPr>
          <w:p>
            <w:pPr>
              <w:spacing w:line="400" w:lineRule="exact"/>
              <w:jc w:val="center"/>
              <w:rPr>
                <w:color w:val="000000"/>
                <w:spacing w:val="6"/>
                <w:sz w:val="28"/>
              </w:rPr>
            </w:pPr>
            <w:r>
              <w:rPr>
                <w:b/>
                <w:color w:val="000000"/>
                <w:sz w:val="24"/>
              </w:rPr>
              <w:t>总投资(万元)</w:t>
            </w:r>
          </w:p>
        </w:tc>
        <w:tc>
          <w:tcPr>
            <w:tcW w:w="2336" w:type="dxa"/>
            <w:vAlign w:val="center"/>
          </w:tcPr>
          <w:p>
            <w:pPr>
              <w:spacing w:line="400" w:lineRule="exact"/>
              <w:rPr>
                <w:rFonts w:hint="eastAsia" w:eastAsia="宋体"/>
                <w:spacing w:val="6"/>
                <w:sz w:val="24"/>
                <w:lang w:eastAsia="zh-CN"/>
              </w:rPr>
            </w:pPr>
            <w:r>
              <w:rPr>
                <w:rFonts w:hint="eastAsia" w:ascii="TimesNewRomanPSMT" w:hAnsi="TimesNewRomanPSMT"/>
                <w:sz w:val="24"/>
                <w:szCs w:val="24"/>
                <w:lang w:val="en-US" w:eastAsia="zh-CN"/>
              </w:rPr>
              <w:t>14195</w:t>
            </w:r>
          </w:p>
        </w:tc>
        <w:tc>
          <w:tcPr>
            <w:tcW w:w="1785" w:type="dxa"/>
            <w:gridSpan w:val="5"/>
            <w:vAlign w:val="center"/>
          </w:tcPr>
          <w:p>
            <w:pPr>
              <w:spacing w:line="400" w:lineRule="exact"/>
              <w:jc w:val="center"/>
              <w:rPr>
                <w:b/>
                <w:color w:val="000000" w:themeColor="text1"/>
                <w:sz w:val="24"/>
                <w14:textFill>
                  <w14:solidFill>
                    <w14:schemeClr w14:val="tx1"/>
                  </w14:solidFill>
                </w14:textFill>
              </w:rPr>
            </w:pPr>
            <w:r>
              <w:rPr>
                <w:b/>
                <w:color w:val="000000" w:themeColor="text1"/>
                <w:sz w:val="24"/>
                <w14:textFill>
                  <w14:solidFill>
                    <w14:schemeClr w14:val="tx1"/>
                  </w14:solidFill>
                </w14:textFill>
              </w:rPr>
              <w:t>其中：环保</w:t>
            </w:r>
          </w:p>
          <w:p>
            <w:pPr>
              <w:spacing w:line="400" w:lineRule="exact"/>
              <w:jc w:val="center"/>
              <w:rPr>
                <w:color w:val="000000" w:themeColor="text1"/>
                <w:spacing w:val="6"/>
                <w:sz w:val="28"/>
                <w14:textFill>
                  <w14:solidFill>
                    <w14:schemeClr w14:val="tx1"/>
                  </w14:solidFill>
                </w14:textFill>
              </w:rPr>
            </w:pPr>
            <w:r>
              <w:rPr>
                <w:b/>
                <w:color w:val="000000" w:themeColor="text1"/>
                <w:sz w:val="24"/>
                <w14:textFill>
                  <w14:solidFill>
                    <w14:schemeClr w14:val="tx1"/>
                  </w14:solidFill>
                </w14:textFill>
              </w:rPr>
              <w:t>投资(万元)</w:t>
            </w:r>
          </w:p>
        </w:tc>
        <w:tc>
          <w:tcPr>
            <w:tcW w:w="1194" w:type="dxa"/>
            <w:gridSpan w:val="2"/>
            <w:vAlign w:val="center"/>
          </w:tcPr>
          <w:p>
            <w:pPr>
              <w:spacing w:line="400" w:lineRule="exact"/>
              <w:rPr>
                <w:color w:val="000000" w:themeColor="text1"/>
                <w:spacing w:val="6"/>
                <w:sz w:val="24"/>
                <w14:textFill>
                  <w14:solidFill>
                    <w14:schemeClr w14:val="tx1"/>
                  </w14:solidFill>
                </w14:textFill>
              </w:rPr>
            </w:pPr>
            <w:r>
              <w:rPr>
                <w:rFonts w:hint="eastAsia"/>
                <w:color w:val="000000" w:themeColor="text1"/>
                <w:sz w:val="24"/>
                <w14:textFill>
                  <w14:solidFill>
                    <w14:schemeClr w14:val="tx1"/>
                  </w14:solidFill>
                </w14:textFill>
              </w:rPr>
              <w:t>165</w:t>
            </w:r>
          </w:p>
        </w:tc>
        <w:tc>
          <w:tcPr>
            <w:tcW w:w="1244" w:type="dxa"/>
            <w:gridSpan w:val="3"/>
            <w:vAlign w:val="center"/>
          </w:tcPr>
          <w:p>
            <w:pPr>
              <w:spacing w:line="400" w:lineRule="exact"/>
              <w:jc w:val="center"/>
              <w:rPr>
                <w:color w:val="000000" w:themeColor="text1"/>
                <w:spacing w:val="6"/>
                <w:sz w:val="28"/>
                <w14:textFill>
                  <w14:solidFill>
                    <w14:schemeClr w14:val="tx1"/>
                  </w14:solidFill>
                </w14:textFill>
              </w:rPr>
            </w:pPr>
            <w:r>
              <w:rPr>
                <w:b/>
                <w:color w:val="000000" w:themeColor="text1"/>
                <w:sz w:val="24"/>
                <w14:textFill>
                  <w14:solidFill>
                    <w14:schemeClr w14:val="tx1"/>
                  </w14:solidFill>
                </w14:textFill>
              </w:rPr>
              <w:t>环保投资占总投资比例</w:t>
            </w:r>
          </w:p>
        </w:tc>
        <w:tc>
          <w:tcPr>
            <w:tcW w:w="1429" w:type="dxa"/>
            <w:vAlign w:val="center"/>
          </w:tcPr>
          <w:p>
            <w:pPr>
              <w:spacing w:line="400" w:lineRule="exact"/>
              <w:jc w:val="center"/>
              <w:rPr>
                <w:color w:val="000000" w:themeColor="text1"/>
                <w:spacing w:val="6"/>
                <w:sz w:val="24"/>
                <w14:textFill>
                  <w14:solidFill>
                    <w14:schemeClr w14:val="tx1"/>
                  </w14:solidFill>
                </w14:textFill>
              </w:rPr>
            </w:pPr>
            <w:r>
              <w:rPr>
                <w:rFonts w:hint="eastAsia"/>
                <w:color w:val="000000" w:themeColor="text1"/>
                <w:sz w:val="24"/>
                <w:lang w:val="en-US" w:eastAsia="zh-CN"/>
                <w14:textFill>
                  <w14:solidFill>
                    <w14:schemeClr w14:val="tx1"/>
                  </w14:solidFill>
                </w14:textFill>
              </w:rPr>
              <w:t>1.16</w:t>
            </w:r>
            <w:r>
              <w:rPr>
                <w:rFonts w:hint="eastAsia"/>
                <w:color w:val="000000" w:themeColor="text1"/>
                <w:sz w:val="24"/>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1" w:hRule="atLeast"/>
        </w:trPr>
        <w:tc>
          <w:tcPr>
            <w:tcW w:w="1475" w:type="dxa"/>
            <w:vAlign w:val="center"/>
          </w:tcPr>
          <w:p>
            <w:pPr>
              <w:spacing w:line="400" w:lineRule="exact"/>
              <w:jc w:val="center"/>
              <w:rPr>
                <w:color w:val="000000"/>
                <w:spacing w:val="-8"/>
                <w:sz w:val="28"/>
              </w:rPr>
            </w:pPr>
            <w:r>
              <w:rPr>
                <w:b/>
                <w:color w:val="000000"/>
                <w:sz w:val="24"/>
              </w:rPr>
              <w:t>评价经费(万元)</w:t>
            </w:r>
          </w:p>
        </w:tc>
        <w:tc>
          <w:tcPr>
            <w:tcW w:w="2336" w:type="dxa"/>
            <w:vAlign w:val="center"/>
          </w:tcPr>
          <w:p>
            <w:pPr>
              <w:spacing w:line="400" w:lineRule="exact"/>
              <w:rPr>
                <w:color w:val="000000"/>
                <w:spacing w:val="6"/>
                <w:sz w:val="28"/>
              </w:rPr>
            </w:pPr>
          </w:p>
        </w:tc>
        <w:tc>
          <w:tcPr>
            <w:tcW w:w="1785" w:type="dxa"/>
            <w:gridSpan w:val="5"/>
            <w:vAlign w:val="center"/>
          </w:tcPr>
          <w:p>
            <w:pPr>
              <w:spacing w:line="400" w:lineRule="exact"/>
              <w:jc w:val="center"/>
              <w:rPr>
                <w:color w:val="000000"/>
                <w:spacing w:val="6"/>
                <w:sz w:val="28"/>
              </w:rPr>
            </w:pPr>
            <w:r>
              <w:rPr>
                <w:b/>
                <w:color w:val="000000"/>
                <w:sz w:val="24"/>
              </w:rPr>
              <w:t>投产日期</w:t>
            </w:r>
          </w:p>
        </w:tc>
        <w:tc>
          <w:tcPr>
            <w:tcW w:w="3867" w:type="dxa"/>
            <w:gridSpan w:val="6"/>
            <w:vAlign w:val="center"/>
          </w:tcPr>
          <w:p>
            <w:pPr>
              <w:spacing w:line="400" w:lineRule="exact"/>
              <w:rPr>
                <w:color w:val="000000"/>
                <w:spacing w:val="6"/>
                <w:sz w:val="24"/>
              </w:rPr>
            </w:pPr>
            <w:r>
              <w:rPr>
                <w:rFonts w:hint="eastAsia"/>
                <w:sz w:val="24"/>
              </w:rPr>
              <w:t>2019年</w:t>
            </w:r>
            <w:r>
              <w:rPr>
                <w:rFonts w:hint="eastAsia"/>
                <w:sz w:val="24"/>
                <w:lang w:val="en-US" w:eastAsia="zh-CN"/>
              </w:rPr>
              <w:t>4</w:t>
            </w:r>
            <w:r>
              <w:rPr>
                <w:rFonts w:hint="eastAsia"/>
                <w:sz w:val="24"/>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9463" w:type="dxa"/>
            <w:gridSpan w:val="13"/>
            <w:vAlign w:val="center"/>
          </w:tcPr>
          <w:p>
            <w:pPr>
              <w:spacing w:line="480" w:lineRule="exact"/>
              <w:rPr>
                <w:b/>
                <w:color w:val="000000"/>
                <w:sz w:val="24"/>
                <w:szCs w:val="24"/>
              </w:rPr>
            </w:pPr>
            <w:r>
              <w:rPr>
                <w:b/>
                <w:color w:val="000000"/>
                <w:sz w:val="24"/>
                <w:szCs w:val="24"/>
              </w:rPr>
              <mc:AlternateContent>
                <mc:Choice Requires="wps">
                  <w:drawing>
                    <wp:anchor distT="0" distB="0" distL="114300" distR="114300" simplePos="0" relativeHeight="251659264" behindDoc="0" locked="0" layoutInCell="0" allowOverlap="1">
                      <wp:simplePos x="0" y="0"/>
                      <wp:positionH relativeFrom="column">
                        <wp:posOffset>5400675</wp:posOffset>
                      </wp:positionH>
                      <wp:positionV relativeFrom="paragraph">
                        <wp:posOffset>4255770</wp:posOffset>
                      </wp:positionV>
                      <wp:extent cx="635" cy="635"/>
                      <wp:effectExtent l="0" t="0" r="0" b="0"/>
                      <wp:wrapNone/>
                      <wp:docPr id="6" name="直接连接符 6"/>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425.25pt;margin-top:335.1pt;height:0.05pt;width:0.05pt;z-index:251659264;mso-width-relative:page;mso-height-relative:page;" filled="f" stroked="t" coordsize="21600,21600" o:allowincell="f" o:gfxdata="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H94jI1wAAAAsBAAAPAAAAAAAAAAEAIAAAACIAAABkcnMv&#10;ZG93bnJldi54bWxQSwECFAAUAAAACACHTuJA9xjBdcsBAABoAwAADgAAAAAAAAABACAAAAAmAQAA&#10;ZHJzL2Uyb0RvYy54bWxQSwUGAAAAAAYABgBZAQAAYwUAAAAA&#10;">
                      <v:fill on="f" focussize="0,0"/>
                      <v:stroke color="#000000" joinstyle="round"/>
                      <v:imagedata o:title=""/>
                      <o:lock v:ext="edit" aspectratio="f"/>
                    </v:line>
                  </w:pict>
                </mc:Fallback>
              </mc:AlternateContent>
            </w:r>
            <w:r>
              <w:rPr>
                <w:b/>
                <w:color w:val="000000"/>
                <w:sz w:val="24"/>
                <w:szCs w:val="24"/>
              </w:rPr>
              <w:t>工程内容及规模：</w:t>
            </w:r>
          </w:p>
          <w:p>
            <w:pPr>
              <w:pStyle w:val="4"/>
              <w:tabs>
                <w:tab w:val="left" w:pos="720"/>
                <w:tab w:val="left" w:pos="900"/>
                <w:tab w:val="left" w:pos="6690"/>
              </w:tabs>
              <w:spacing w:before="0" w:after="0" w:line="480" w:lineRule="exact"/>
              <w:rPr>
                <w:color w:val="000000"/>
                <w:sz w:val="24"/>
                <w:szCs w:val="24"/>
              </w:rPr>
            </w:pPr>
            <w:bookmarkStart w:id="1" w:name="_Toc350416909"/>
            <w:bookmarkStart w:id="2" w:name="_Toc350430022"/>
            <w:bookmarkStart w:id="3" w:name="_Toc350511662"/>
            <w:bookmarkStart w:id="4" w:name="_Toc461580584"/>
            <w:r>
              <w:rPr>
                <w:color w:val="000000"/>
                <w:sz w:val="24"/>
                <w:szCs w:val="24"/>
              </w:rPr>
              <w:t>1、项目背景</w:t>
            </w:r>
            <w:bookmarkEnd w:id="1"/>
            <w:bookmarkEnd w:id="2"/>
            <w:bookmarkEnd w:id="3"/>
            <w:bookmarkEnd w:id="4"/>
          </w:p>
          <w:p>
            <w:pPr>
              <w:spacing w:line="500" w:lineRule="exact"/>
              <w:ind w:firstLine="540" w:firstLineChars="225"/>
              <w:rPr>
                <w:sz w:val="24"/>
              </w:rPr>
            </w:pPr>
            <w:r>
              <w:rPr>
                <w:rFonts w:hint="eastAsia"/>
                <w:sz w:val="24"/>
              </w:rPr>
              <w:t>随着城市化进程的发展，对市政设施的需求越来越大，一方面需要开挖道路敷设新的市政管线，影响道路交通及城市环境，另一方面开挖的过程中可能会破坏已建市政管线，造成停水、停气、停电等事故，影响了城市的正常运行。综合管廊是一种新型的建于城市地下的用于容纳城市市政管线的构筑物及附属设施。市政管线在综合管廊内敷设，受管廊结构的保护，在外界开挖时不会被挖断从而影响正常运行。管廊内具备人员巡视通道，方便工作人员对管线进行维护，延长了管线运行寿命。管廊可预留远期管线敷设的空间，远期如果需要增加管线时无需再行开挖道路。综合管廊具有一次投资，长期受益的优点。</w:t>
            </w:r>
          </w:p>
          <w:p>
            <w:pPr>
              <w:spacing w:line="500" w:lineRule="exact"/>
              <w:ind w:firstLine="540" w:firstLineChars="225"/>
              <w:rPr>
                <w:sz w:val="24"/>
              </w:rPr>
            </w:pPr>
            <w:r>
              <w:rPr>
                <w:rFonts w:hint="eastAsia"/>
                <w:sz w:val="24"/>
                <w:lang w:eastAsia="zh-CN"/>
              </w:rPr>
              <w:t>置田庄路</w:t>
            </w:r>
            <w:r>
              <w:rPr>
                <w:rFonts w:hint="eastAsia"/>
                <w:sz w:val="24"/>
              </w:rPr>
              <w:t>位于</w:t>
            </w:r>
            <w:r>
              <w:rPr>
                <w:rFonts w:hint="eastAsia"/>
                <w:sz w:val="24"/>
                <w:lang w:eastAsia="zh-CN"/>
              </w:rPr>
              <w:t>岳阳市</w:t>
            </w:r>
            <w:r>
              <w:rPr>
                <w:rFonts w:hint="eastAsia"/>
                <w:sz w:val="24"/>
              </w:rPr>
              <w:t>岳阳经济技术开发区金凤桥片区内，起于</w:t>
            </w:r>
            <w:r>
              <w:rPr>
                <w:rFonts w:hint="eastAsia"/>
                <w:sz w:val="24"/>
                <w:lang w:eastAsia="zh-CN"/>
              </w:rPr>
              <w:t>长康路</w:t>
            </w:r>
            <w:r>
              <w:rPr>
                <w:rFonts w:hint="eastAsia"/>
                <w:sz w:val="24"/>
              </w:rPr>
              <w:t>，终于黄</w:t>
            </w:r>
            <w:r>
              <w:rPr>
                <w:rFonts w:hint="eastAsia"/>
                <w:sz w:val="24"/>
                <w:lang w:eastAsia="zh-CN"/>
              </w:rPr>
              <w:t>金凤桥路</w:t>
            </w:r>
            <w:r>
              <w:rPr>
                <w:rFonts w:hint="eastAsia"/>
                <w:sz w:val="24"/>
              </w:rPr>
              <w:t>，规划为城市主干路。 其中规划在</w:t>
            </w:r>
            <w:r>
              <w:rPr>
                <w:rFonts w:hint="eastAsia"/>
                <w:sz w:val="24"/>
                <w:lang w:eastAsia="zh-CN"/>
              </w:rPr>
              <w:t>置田庄路</w:t>
            </w:r>
            <w:r>
              <w:rPr>
                <w:rFonts w:hint="eastAsia"/>
                <w:sz w:val="24"/>
              </w:rPr>
              <w:t>（</w:t>
            </w:r>
            <w:r>
              <w:rPr>
                <w:rFonts w:hint="eastAsia"/>
                <w:sz w:val="24"/>
                <w:lang w:eastAsia="zh-CN"/>
              </w:rPr>
              <w:t>长康</w:t>
            </w:r>
            <w:r>
              <w:rPr>
                <w:rFonts w:hint="eastAsia"/>
                <w:sz w:val="24"/>
              </w:rPr>
              <w:t>路</w:t>
            </w:r>
            <w:r>
              <w:rPr>
                <w:sz w:val="24"/>
              </w:rPr>
              <w:t>~</w:t>
            </w:r>
            <w:r>
              <w:rPr>
                <w:rFonts w:hint="eastAsia"/>
                <w:sz w:val="24"/>
                <w:lang w:eastAsia="zh-CN"/>
              </w:rPr>
              <w:t>梅溪港桥</w:t>
            </w:r>
            <w:r>
              <w:rPr>
                <w:rFonts w:hint="eastAsia"/>
                <w:sz w:val="24"/>
              </w:rPr>
              <w:t xml:space="preserve">）路段建设综合管廊工程，。 </w:t>
            </w:r>
          </w:p>
          <w:p>
            <w:pPr>
              <w:spacing w:line="500" w:lineRule="exact"/>
              <w:ind w:firstLine="540" w:firstLineChars="225"/>
              <w:rPr>
                <w:sz w:val="24"/>
              </w:rPr>
            </w:pPr>
            <w:r>
              <w:rPr>
                <w:rFonts w:hint="eastAsia"/>
                <w:sz w:val="24"/>
              </w:rPr>
              <w:t>项目起点</w:t>
            </w:r>
            <w:r>
              <w:rPr>
                <w:rFonts w:hint="eastAsia"/>
                <w:sz w:val="24"/>
                <w:lang w:val="en-US" w:eastAsia="zh-CN"/>
              </w:rPr>
              <w:t>为长康</w:t>
            </w:r>
            <w:r>
              <w:rPr>
                <w:rFonts w:hint="eastAsia"/>
                <w:sz w:val="24"/>
                <w:lang w:eastAsia="zh-CN"/>
              </w:rPr>
              <w:t>路，</w:t>
            </w:r>
            <w:r>
              <w:rPr>
                <w:rFonts w:hint="eastAsia"/>
                <w:sz w:val="24"/>
                <w:lang w:val="en-US" w:eastAsia="zh-CN"/>
              </w:rPr>
              <w:t>终点为梅溪港桥</w:t>
            </w:r>
            <w:r>
              <w:rPr>
                <w:sz w:val="24"/>
              </w:rPr>
              <w:t>，</w:t>
            </w:r>
            <w:r>
              <w:rPr>
                <w:rFonts w:hint="eastAsia"/>
                <w:sz w:val="24"/>
                <w:lang w:val="en-US" w:eastAsia="zh-CN"/>
              </w:rPr>
              <w:t>地下</w:t>
            </w:r>
            <w:r>
              <w:rPr>
                <w:sz w:val="24"/>
              </w:rPr>
              <w:t xml:space="preserve">综合管廊为 </w:t>
            </w:r>
            <w:r>
              <w:rPr>
                <w:rFonts w:hint="eastAsia"/>
                <w:sz w:val="24"/>
                <w:lang w:val="en-US" w:eastAsia="zh-CN"/>
              </w:rPr>
              <w:t>2</w:t>
            </w:r>
            <w:r>
              <w:rPr>
                <w:sz w:val="24"/>
              </w:rPr>
              <w:t xml:space="preserve"> </w:t>
            </w:r>
            <w:r>
              <w:rPr>
                <w:rFonts w:hint="eastAsia"/>
                <w:sz w:val="24"/>
              </w:rPr>
              <w:t>舱断面，分别为综合舱</w:t>
            </w:r>
            <w:r>
              <w:rPr>
                <w:rFonts w:hint="eastAsia"/>
                <w:sz w:val="24"/>
                <w:lang w:val="en-US" w:eastAsia="zh-CN"/>
              </w:rPr>
              <w:t>和</w:t>
            </w:r>
            <w:r>
              <w:rPr>
                <w:rFonts w:hint="eastAsia"/>
                <w:sz w:val="24"/>
              </w:rPr>
              <w:t>燃气舱，污水</w:t>
            </w:r>
            <w:r>
              <w:rPr>
                <w:rFonts w:hint="eastAsia"/>
                <w:sz w:val="24"/>
                <w:lang w:eastAsia="zh-CN"/>
              </w:rPr>
              <w:t>、</w:t>
            </w:r>
            <w:r>
              <w:rPr>
                <w:rFonts w:hint="eastAsia"/>
                <w:sz w:val="24"/>
                <w:lang w:val="en-US" w:eastAsia="zh-CN"/>
              </w:rPr>
              <w:t>雨水</w:t>
            </w:r>
            <w:r>
              <w:rPr>
                <w:rFonts w:hint="eastAsia"/>
                <w:sz w:val="24"/>
              </w:rPr>
              <w:t>管道不入廊。</w:t>
            </w:r>
          </w:p>
          <w:p>
            <w:pPr>
              <w:spacing w:line="500" w:lineRule="exact"/>
              <w:ind w:firstLine="540" w:firstLineChars="225"/>
              <w:rPr>
                <w:rFonts w:hint="eastAsia"/>
                <w:sz w:val="24"/>
                <w:lang w:val="zh-CN"/>
              </w:rPr>
            </w:pPr>
            <w:r>
              <w:rPr>
                <w:rFonts w:hint="eastAsia"/>
                <w:sz w:val="24"/>
                <w:lang w:val="zh-CN"/>
              </w:rPr>
              <w:t>置田庄路</w:t>
            </w:r>
            <w:r>
              <w:rPr>
                <w:rFonts w:hint="eastAsia"/>
                <w:sz w:val="24"/>
                <w:lang w:val="en-US" w:eastAsia="zh-CN"/>
              </w:rPr>
              <w:t>地下</w:t>
            </w:r>
            <w:r>
              <w:rPr>
                <w:rFonts w:hint="eastAsia"/>
                <w:sz w:val="24"/>
                <w:lang w:val="zh-CN"/>
              </w:rPr>
              <w:t>综合管廊(入廊管线为电力、电信、给水、燃气)工程，</w:t>
            </w:r>
            <w:r>
              <w:rPr>
                <w:rFonts w:hint="eastAsia"/>
                <w:sz w:val="24"/>
                <w:lang w:val="en-US" w:eastAsia="zh-CN"/>
              </w:rPr>
              <w:t>西</w:t>
            </w:r>
            <w:r>
              <w:rPr>
                <w:rFonts w:hint="eastAsia"/>
                <w:sz w:val="24"/>
                <w:lang w:val="zh-CN"/>
              </w:rPr>
              <w:t>起长康路，</w:t>
            </w:r>
            <w:r>
              <w:rPr>
                <w:rFonts w:hint="eastAsia"/>
                <w:sz w:val="24"/>
                <w:lang w:val="en-US" w:eastAsia="zh-CN"/>
              </w:rPr>
              <w:t>东</w:t>
            </w:r>
            <w:r>
              <w:rPr>
                <w:rFonts w:hint="eastAsia"/>
                <w:sz w:val="24"/>
                <w:lang w:val="zh-CN"/>
              </w:rPr>
              <w:t>至梅溪港桥，采用双舱舱，分燃气舱、综合舱，总宽5.4m，总高3.9m，总长约1900m；另外包含分水垄路支线管廊共135m，按总宽5.6m，总高3.8m考虑。在位于分水垄路与置田庄路交叉口范围内新建一处地下人行通道，主通道砼箱净高3.65米，结构净宽为7m；副通道砼箱净高3.65米，结构净宽为5.5</w:t>
            </w:r>
            <w:r>
              <w:rPr>
                <w:rFonts w:hint="eastAsia"/>
                <w:sz w:val="24"/>
                <w:lang w:val="en-US" w:eastAsia="zh-CN"/>
              </w:rPr>
              <w:t>m</w:t>
            </w:r>
            <w:r>
              <w:rPr>
                <w:rFonts w:hint="eastAsia"/>
                <w:sz w:val="24"/>
                <w:lang w:val="zh-CN"/>
              </w:rPr>
              <w:t>。本报告不包括道路工程。</w:t>
            </w:r>
          </w:p>
          <w:p>
            <w:pPr>
              <w:spacing w:line="500" w:lineRule="exact"/>
              <w:ind w:firstLine="540" w:firstLineChars="225"/>
              <w:rPr>
                <w:sz w:val="24"/>
              </w:rPr>
            </w:pPr>
            <w:r>
              <w:rPr>
                <w:sz w:val="24"/>
              </w:rPr>
              <w:t>根据《中华人民共和国环境保护法》、《中华人民共和国环境影响评价法》和国务院令253号《建设项目环境保护管理条例》有关规定，受</w:t>
            </w:r>
            <w:r>
              <w:rPr>
                <w:rFonts w:hint="eastAsia"/>
                <w:sz w:val="24"/>
                <w:lang w:eastAsia="zh-CN"/>
              </w:rPr>
              <w:t>岳阳市城市建设投资有限公司</w:t>
            </w:r>
            <w:r>
              <w:rPr>
                <w:sz w:val="24"/>
              </w:rPr>
              <w:t>的委托，湖南美景环保科技咨询服务有限公司承担了该项目的环境影响评价工作，在现场踏勘的基础上按照环境影响评价技术导则的要求，编制了该项目的环境影响报告表。</w:t>
            </w:r>
          </w:p>
          <w:p>
            <w:pPr>
              <w:pStyle w:val="4"/>
              <w:tabs>
                <w:tab w:val="left" w:pos="720"/>
                <w:tab w:val="left" w:pos="900"/>
                <w:tab w:val="left" w:pos="6690"/>
              </w:tabs>
              <w:spacing w:before="0" w:after="0" w:line="480" w:lineRule="exact"/>
              <w:rPr>
                <w:color w:val="000000"/>
                <w:sz w:val="24"/>
                <w:szCs w:val="24"/>
              </w:rPr>
            </w:pPr>
            <w:bookmarkStart w:id="5" w:name="_Toc350430024"/>
            <w:bookmarkStart w:id="6" w:name="_Toc461580585"/>
            <w:bookmarkStart w:id="7" w:name="_Toc350416911"/>
            <w:bookmarkStart w:id="8" w:name="_Toc350511664"/>
            <w:r>
              <w:rPr>
                <w:color w:val="000000"/>
                <w:sz w:val="24"/>
                <w:szCs w:val="24"/>
              </w:rPr>
              <w:t>2、项目概况</w:t>
            </w:r>
            <w:bookmarkEnd w:id="5"/>
            <w:bookmarkEnd w:id="6"/>
            <w:bookmarkEnd w:id="7"/>
            <w:bookmarkEnd w:id="8"/>
          </w:p>
          <w:p>
            <w:pPr>
              <w:spacing w:line="480" w:lineRule="exact"/>
              <w:rPr>
                <w:b/>
                <w:color w:val="000000"/>
                <w:sz w:val="24"/>
                <w:szCs w:val="24"/>
              </w:rPr>
            </w:pPr>
            <w:r>
              <w:rPr>
                <w:b/>
                <w:color w:val="000000"/>
                <w:sz w:val="24"/>
                <w:szCs w:val="24"/>
              </w:rPr>
              <w:t>2.1</w:t>
            </w:r>
            <w:r>
              <w:rPr>
                <w:b/>
                <w:bCs/>
                <w:color w:val="000000"/>
                <w:kern w:val="44"/>
                <w:sz w:val="24"/>
                <w:szCs w:val="24"/>
              </w:rPr>
              <w:t>项目名称、地点及建设性质</w:t>
            </w:r>
          </w:p>
          <w:p>
            <w:pPr>
              <w:spacing w:line="480" w:lineRule="exact"/>
              <w:ind w:firstLine="480" w:firstLineChars="200"/>
              <w:rPr>
                <w:color w:val="000000"/>
                <w:sz w:val="24"/>
                <w:szCs w:val="24"/>
              </w:rPr>
            </w:pPr>
            <w:r>
              <w:rPr>
                <w:color w:val="000000"/>
                <w:sz w:val="24"/>
                <w:szCs w:val="24"/>
              </w:rPr>
              <w:t>项目名称：</w:t>
            </w:r>
            <w:r>
              <w:rPr>
                <w:rFonts w:hint="eastAsia"/>
                <w:sz w:val="24"/>
                <w:lang w:eastAsia="zh-CN"/>
              </w:rPr>
              <w:t>置田庄路地下综合管廊工程</w:t>
            </w:r>
          </w:p>
          <w:p>
            <w:pPr>
              <w:spacing w:line="480" w:lineRule="exact"/>
              <w:ind w:firstLine="480" w:firstLineChars="200"/>
              <w:rPr>
                <w:color w:val="000000"/>
                <w:sz w:val="24"/>
                <w:szCs w:val="24"/>
              </w:rPr>
            </w:pPr>
            <w:r>
              <w:rPr>
                <w:color w:val="000000"/>
                <w:sz w:val="24"/>
                <w:szCs w:val="24"/>
              </w:rPr>
              <w:t>建设单位：</w:t>
            </w:r>
            <w:r>
              <w:rPr>
                <w:rFonts w:hint="eastAsia"/>
                <w:sz w:val="24"/>
                <w:lang w:eastAsia="zh-CN"/>
              </w:rPr>
              <w:t>岳阳市城市建设投资有限公司</w:t>
            </w:r>
          </w:p>
          <w:p>
            <w:pPr>
              <w:spacing w:line="480" w:lineRule="exact"/>
              <w:ind w:firstLine="480" w:firstLineChars="200"/>
              <w:rPr>
                <w:color w:val="000000"/>
                <w:sz w:val="24"/>
                <w:szCs w:val="24"/>
              </w:rPr>
            </w:pPr>
            <w:r>
              <w:rPr>
                <w:color w:val="000000"/>
                <w:sz w:val="24"/>
                <w:szCs w:val="24"/>
              </w:rPr>
              <w:t>建设地点：</w:t>
            </w:r>
            <w:r>
              <w:rPr>
                <w:rFonts w:hint="eastAsia"/>
                <w:sz w:val="24"/>
                <w:lang w:eastAsia="zh-CN"/>
              </w:rPr>
              <w:t>岳阳市岳阳经济技术开发区</w:t>
            </w:r>
          </w:p>
          <w:p>
            <w:pPr>
              <w:spacing w:line="480" w:lineRule="exact"/>
              <w:ind w:firstLine="480" w:firstLineChars="200"/>
              <w:rPr>
                <w:color w:val="000000"/>
                <w:sz w:val="24"/>
                <w:szCs w:val="24"/>
              </w:rPr>
            </w:pPr>
            <w:r>
              <w:rPr>
                <w:color w:val="000000"/>
                <w:sz w:val="24"/>
                <w:szCs w:val="24"/>
              </w:rPr>
              <w:t>建设性质：新建</w:t>
            </w:r>
          </w:p>
          <w:p>
            <w:pPr>
              <w:spacing w:line="480" w:lineRule="exact"/>
              <w:ind w:firstLine="480" w:firstLineChars="200"/>
              <w:rPr>
                <w:rFonts w:hint="eastAsia" w:eastAsia="宋体"/>
                <w:color w:val="000000"/>
                <w:sz w:val="24"/>
                <w:szCs w:val="24"/>
                <w:lang w:val="en-US" w:eastAsia="zh-CN"/>
              </w:rPr>
            </w:pPr>
            <w:r>
              <w:rPr>
                <w:rFonts w:hint="eastAsia"/>
                <w:color w:val="000000"/>
                <w:sz w:val="24"/>
                <w:szCs w:val="24"/>
                <w:lang w:val="en-US" w:eastAsia="zh-CN"/>
              </w:rPr>
              <w:t>总投资：14195万元</w:t>
            </w:r>
          </w:p>
          <w:p>
            <w:pPr>
              <w:spacing w:line="480" w:lineRule="exact"/>
              <w:rPr>
                <w:b/>
                <w:bCs/>
                <w:color w:val="000000"/>
                <w:sz w:val="24"/>
                <w:szCs w:val="24"/>
              </w:rPr>
            </w:pPr>
            <w:r>
              <w:rPr>
                <w:b/>
                <w:bCs/>
                <w:color w:val="000000"/>
                <w:sz w:val="24"/>
                <w:szCs w:val="24"/>
              </w:rPr>
              <w:t>2.2 建设内容及规模</w:t>
            </w:r>
          </w:p>
          <w:p>
            <w:pPr>
              <w:spacing w:line="500" w:lineRule="exact"/>
              <w:ind w:firstLine="540" w:firstLineChars="225"/>
              <w:rPr>
                <w:rFonts w:hint="eastAsia"/>
                <w:sz w:val="24"/>
                <w:lang w:val="zh-CN"/>
              </w:rPr>
            </w:pPr>
            <w:r>
              <w:rPr>
                <w:rFonts w:hint="eastAsia"/>
                <w:sz w:val="24"/>
                <w:lang w:val="zh-CN"/>
              </w:rPr>
              <w:t>置田庄路市政综合管廊(入廊管线为电力、电信、给水、燃气)工程，</w:t>
            </w:r>
            <w:r>
              <w:rPr>
                <w:rFonts w:hint="eastAsia"/>
                <w:sz w:val="24"/>
                <w:lang w:val="en-US" w:eastAsia="zh-CN"/>
              </w:rPr>
              <w:t>西</w:t>
            </w:r>
            <w:r>
              <w:rPr>
                <w:rFonts w:hint="eastAsia"/>
                <w:sz w:val="24"/>
                <w:lang w:val="zh-CN"/>
              </w:rPr>
              <w:t>起长康路，</w:t>
            </w:r>
            <w:r>
              <w:rPr>
                <w:rFonts w:hint="eastAsia"/>
                <w:sz w:val="24"/>
                <w:lang w:val="en-US" w:eastAsia="zh-CN"/>
              </w:rPr>
              <w:t>东</w:t>
            </w:r>
            <w:r>
              <w:rPr>
                <w:rFonts w:hint="eastAsia"/>
                <w:sz w:val="24"/>
                <w:lang w:val="zh-CN"/>
              </w:rPr>
              <w:t>至梅溪港桥，采用双舱舱，分燃气舱、综合舱，总宽5.4m，总高3.9m，总长约1900m；另外包含分水垄路支线管廊共135m，按总宽5.6m，总高3.8m考虑。在位于分水垄路与置田庄路交叉口范围内新建一处地下人行通道，主通道砼箱净高3.65米，结构净宽为7m；副通道砼箱净高3.65米，结构净宽为5.5m。本报告不包括道路工程。</w:t>
            </w:r>
          </w:p>
          <w:p>
            <w:pPr>
              <w:spacing w:line="500" w:lineRule="exact"/>
              <w:ind w:firstLine="540" w:firstLineChars="225"/>
              <w:rPr>
                <w:sz w:val="24"/>
              </w:rPr>
            </w:pPr>
            <w:r>
              <w:rPr>
                <w:rFonts w:hint="eastAsia"/>
                <w:sz w:val="24"/>
              </w:rPr>
              <w:t>（</w:t>
            </w:r>
            <w:r>
              <w:rPr>
                <w:rFonts w:hint="eastAsia"/>
                <w:sz w:val="24"/>
                <w:lang w:val="en-US" w:eastAsia="zh-CN"/>
              </w:rPr>
              <w:t>1</w:t>
            </w:r>
            <w:r>
              <w:rPr>
                <w:rFonts w:hint="eastAsia"/>
                <w:sz w:val="24"/>
              </w:rPr>
              <w:t>）根据道路的管线规划，本项目综合管廊包括电力电缆、电信管线、给水管线、再生水管线、燃气管线等。具体分布如下：</w:t>
            </w:r>
          </w:p>
          <w:p>
            <w:pPr>
              <w:spacing w:line="500" w:lineRule="exact"/>
              <w:ind w:firstLine="542" w:firstLineChars="225"/>
              <w:jc w:val="center"/>
              <w:rPr>
                <w:rFonts w:hint="eastAsia"/>
                <w:b/>
                <w:sz w:val="24"/>
              </w:rPr>
            </w:pPr>
            <w:r>
              <w:rPr>
                <w:rFonts w:hint="eastAsia"/>
                <w:b/>
                <w:sz w:val="24"/>
              </w:rPr>
              <w:t>表1</w:t>
            </w:r>
            <w:r>
              <w:rPr>
                <w:rFonts w:hint="eastAsia"/>
                <w:b/>
                <w:sz w:val="24"/>
                <w:lang w:val="en-US" w:eastAsia="zh-CN"/>
              </w:rPr>
              <w:t>-1</w:t>
            </w:r>
            <w:r>
              <w:rPr>
                <w:rFonts w:hint="eastAsia"/>
                <w:b/>
                <w:sz w:val="24"/>
              </w:rPr>
              <w:t xml:space="preserve"> 项目地下管廊包括的主要管线</w:t>
            </w:r>
          </w:p>
          <w:tbl>
            <w:tblPr>
              <w:tblStyle w:val="42"/>
              <w:tblW w:w="9003"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985"/>
              <w:gridCol w:w="1244"/>
              <w:gridCol w:w="1176"/>
              <w:gridCol w:w="1296"/>
              <w:gridCol w:w="1244"/>
              <w:gridCol w:w="1032"/>
              <w:gridCol w:w="1026"/>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397" w:hRule="exact"/>
              </w:trPr>
              <w:tc>
                <w:tcPr>
                  <w:tcW w:w="1985" w:type="dxa"/>
                  <w:shd w:val="clear" w:color="auto" w:fill="auto"/>
                  <w:vAlign w:val="center"/>
                </w:tcPr>
                <w:p>
                  <w:pPr>
                    <w:widowControl/>
                    <w:spacing w:line="240" w:lineRule="auto"/>
                    <w:ind w:firstLine="0" w:firstLineChars="0"/>
                    <w:jc w:val="center"/>
                    <w:rPr>
                      <w:rFonts w:ascii="宋体" w:hAnsi="宋体" w:cs="宋体"/>
                      <w:bCs/>
                      <w:color w:val="000000"/>
                      <w:kern w:val="0"/>
                      <w:sz w:val="21"/>
                      <w:szCs w:val="21"/>
                    </w:rPr>
                  </w:pPr>
                  <w:r>
                    <w:rPr>
                      <w:rFonts w:ascii="宋体" w:hAnsi="宋体" w:cs="宋体"/>
                      <w:bCs/>
                      <w:color w:val="000000"/>
                      <w:kern w:val="0"/>
                      <w:sz w:val="21"/>
                      <w:szCs w:val="21"/>
                    </w:rPr>
                    <w:t>位置</w:t>
                  </w:r>
                </w:p>
              </w:tc>
              <w:tc>
                <w:tcPr>
                  <w:tcW w:w="1244" w:type="dxa"/>
                  <w:shd w:val="clear" w:color="auto" w:fill="auto"/>
                  <w:vAlign w:val="center"/>
                </w:tcPr>
                <w:p>
                  <w:pPr>
                    <w:widowControl/>
                    <w:spacing w:line="240" w:lineRule="auto"/>
                    <w:ind w:firstLine="0" w:firstLineChars="0"/>
                    <w:jc w:val="center"/>
                    <w:rPr>
                      <w:rFonts w:ascii="宋体" w:hAnsi="宋体" w:cs="宋体"/>
                      <w:bCs/>
                      <w:color w:val="000000"/>
                      <w:kern w:val="0"/>
                      <w:sz w:val="21"/>
                      <w:szCs w:val="21"/>
                    </w:rPr>
                  </w:pPr>
                  <w:r>
                    <w:rPr>
                      <w:rFonts w:ascii="宋体" w:hAnsi="宋体" w:cs="宋体"/>
                      <w:bCs/>
                      <w:color w:val="000000"/>
                      <w:kern w:val="0"/>
                      <w:sz w:val="21"/>
                      <w:szCs w:val="21"/>
                    </w:rPr>
                    <w:t>分舱类型</w:t>
                  </w:r>
                </w:p>
              </w:tc>
              <w:tc>
                <w:tcPr>
                  <w:tcW w:w="1176" w:type="dxa"/>
                  <w:shd w:val="clear" w:color="auto" w:fill="auto"/>
                  <w:vAlign w:val="center"/>
                </w:tcPr>
                <w:p>
                  <w:pPr>
                    <w:widowControl/>
                    <w:spacing w:line="240" w:lineRule="auto"/>
                    <w:ind w:firstLine="0" w:firstLineChars="0"/>
                    <w:jc w:val="center"/>
                    <w:rPr>
                      <w:rFonts w:ascii="宋体" w:hAnsi="宋体" w:cs="宋体"/>
                      <w:bCs/>
                      <w:color w:val="000000"/>
                      <w:kern w:val="0"/>
                      <w:sz w:val="21"/>
                      <w:szCs w:val="21"/>
                    </w:rPr>
                  </w:pPr>
                  <w:r>
                    <w:rPr>
                      <w:rFonts w:ascii="宋体" w:hAnsi="宋体" w:cs="宋体"/>
                      <w:bCs/>
                      <w:color w:val="000000"/>
                      <w:kern w:val="0"/>
                      <w:sz w:val="21"/>
                      <w:szCs w:val="21"/>
                    </w:rPr>
                    <w:t>管廊类型</w:t>
                  </w:r>
                </w:p>
              </w:tc>
              <w:tc>
                <w:tcPr>
                  <w:tcW w:w="4598" w:type="dxa"/>
                  <w:gridSpan w:val="4"/>
                  <w:shd w:val="clear" w:color="auto" w:fill="auto"/>
                  <w:vAlign w:val="center"/>
                </w:tcPr>
                <w:p>
                  <w:pPr>
                    <w:widowControl/>
                    <w:spacing w:line="240" w:lineRule="auto"/>
                    <w:ind w:firstLine="0" w:firstLineChars="0"/>
                    <w:jc w:val="center"/>
                    <w:rPr>
                      <w:rFonts w:ascii="宋体" w:hAnsi="宋体" w:cs="宋体"/>
                      <w:bCs/>
                      <w:color w:val="000000"/>
                      <w:kern w:val="0"/>
                      <w:sz w:val="21"/>
                      <w:szCs w:val="21"/>
                    </w:rPr>
                  </w:pPr>
                  <w:r>
                    <w:rPr>
                      <w:rFonts w:ascii="宋体" w:hAnsi="宋体" w:cs="宋体"/>
                      <w:bCs/>
                      <w:color w:val="000000"/>
                      <w:kern w:val="0"/>
                      <w:sz w:val="21"/>
                      <w:szCs w:val="21"/>
                    </w:rPr>
                    <w:t>纳入管线类型</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397" w:hRule="exact"/>
              </w:trPr>
              <w:tc>
                <w:tcPr>
                  <w:tcW w:w="1985" w:type="dxa"/>
                  <w:shd w:val="clear" w:color="auto" w:fill="auto"/>
                  <w:vAlign w:val="center"/>
                </w:tcPr>
                <w:p>
                  <w:pPr>
                    <w:widowControl/>
                    <w:spacing w:line="240" w:lineRule="auto"/>
                    <w:ind w:firstLine="0" w:firstLineChars="0"/>
                    <w:jc w:val="center"/>
                    <w:rPr>
                      <w:rFonts w:ascii="宋体" w:hAnsi="宋体" w:cs="宋体"/>
                      <w:bCs/>
                      <w:color w:val="000000"/>
                      <w:kern w:val="0"/>
                      <w:sz w:val="21"/>
                      <w:szCs w:val="21"/>
                    </w:rPr>
                  </w:pPr>
                  <w:r>
                    <w:rPr>
                      <w:rFonts w:hint="eastAsia" w:ascii="宋体" w:hAnsi="宋体" w:cs="宋体"/>
                      <w:bCs/>
                      <w:color w:val="000000"/>
                      <w:kern w:val="0"/>
                      <w:sz w:val="21"/>
                      <w:szCs w:val="21"/>
                    </w:rPr>
                    <w:t>长康路</w:t>
                  </w:r>
                  <w:r>
                    <w:rPr>
                      <w:rFonts w:ascii="宋体" w:hAnsi="宋体" w:cs="宋体"/>
                      <w:bCs/>
                      <w:color w:val="000000"/>
                      <w:kern w:val="0"/>
                      <w:sz w:val="21"/>
                      <w:szCs w:val="21"/>
                    </w:rPr>
                    <w:t>-</w:t>
                  </w:r>
                  <w:r>
                    <w:rPr>
                      <w:rFonts w:hint="eastAsia" w:ascii="宋体" w:hAnsi="宋体" w:cs="宋体"/>
                      <w:bCs/>
                      <w:color w:val="000000"/>
                      <w:kern w:val="0"/>
                      <w:sz w:val="21"/>
                      <w:szCs w:val="21"/>
                    </w:rPr>
                    <w:t>梅溪港桥</w:t>
                  </w:r>
                </w:p>
              </w:tc>
              <w:tc>
                <w:tcPr>
                  <w:tcW w:w="1244" w:type="dxa"/>
                  <w:shd w:val="clear" w:color="auto" w:fill="auto"/>
                  <w:vAlign w:val="center"/>
                </w:tcPr>
                <w:p>
                  <w:pPr>
                    <w:widowControl/>
                    <w:spacing w:line="240" w:lineRule="auto"/>
                    <w:ind w:firstLine="0" w:firstLineChars="0"/>
                    <w:jc w:val="center"/>
                    <w:rPr>
                      <w:rFonts w:ascii="宋体" w:hAnsi="宋体" w:cs="宋体"/>
                      <w:bCs/>
                      <w:color w:val="000000"/>
                      <w:kern w:val="0"/>
                      <w:sz w:val="21"/>
                      <w:szCs w:val="21"/>
                    </w:rPr>
                  </w:pPr>
                  <w:r>
                    <w:rPr>
                      <w:rFonts w:ascii="宋体" w:hAnsi="宋体" w:cs="宋体"/>
                      <w:bCs/>
                      <w:color w:val="000000"/>
                      <w:kern w:val="0"/>
                      <w:sz w:val="21"/>
                      <w:szCs w:val="21"/>
                    </w:rPr>
                    <w:t>双舱</w:t>
                  </w:r>
                </w:p>
              </w:tc>
              <w:tc>
                <w:tcPr>
                  <w:tcW w:w="1176" w:type="dxa"/>
                  <w:shd w:val="clear" w:color="auto" w:fill="auto"/>
                  <w:vAlign w:val="center"/>
                </w:tcPr>
                <w:p>
                  <w:pPr>
                    <w:widowControl/>
                    <w:spacing w:line="240" w:lineRule="auto"/>
                    <w:ind w:firstLine="0" w:firstLineChars="0"/>
                    <w:jc w:val="center"/>
                    <w:rPr>
                      <w:rFonts w:ascii="宋体" w:hAnsi="宋体" w:cs="宋体"/>
                      <w:bCs/>
                      <w:color w:val="000000"/>
                      <w:kern w:val="0"/>
                      <w:sz w:val="21"/>
                      <w:szCs w:val="21"/>
                    </w:rPr>
                  </w:pPr>
                  <w:r>
                    <w:rPr>
                      <w:rFonts w:ascii="宋体" w:hAnsi="宋体" w:cs="宋体"/>
                      <w:bCs/>
                      <w:color w:val="000000"/>
                      <w:kern w:val="0"/>
                      <w:sz w:val="21"/>
                      <w:szCs w:val="21"/>
                    </w:rPr>
                    <w:t>干支混合</w:t>
                  </w:r>
                </w:p>
              </w:tc>
              <w:tc>
                <w:tcPr>
                  <w:tcW w:w="1296" w:type="dxa"/>
                  <w:shd w:val="clear" w:color="auto" w:fill="auto"/>
                  <w:vAlign w:val="center"/>
                </w:tcPr>
                <w:p>
                  <w:pPr>
                    <w:widowControl/>
                    <w:spacing w:line="240" w:lineRule="auto"/>
                    <w:ind w:firstLine="0" w:firstLineChars="0"/>
                    <w:jc w:val="center"/>
                    <w:rPr>
                      <w:rFonts w:ascii="宋体" w:hAnsi="宋体" w:cs="宋体"/>
                      <w:bCs/>
                      <w:color w:val="000000"/>
                      <w:kern w:val="0"/>
                      <w:sz w:val="21"/>
                      <w:szCs w:val="21"/>
                    </w:rPr>
                  </w:pPr>
                  <w:r>
                    <w:rPr>
                      <w:rFonts w:ascii="宋体" w:hAnsi="宋体" w:cs="宋体"/>
                      <w:bCs/>
                      <w:color w:val="000000"/>
                      <w:kern w:val="0"/>
                      <w:sz w:val="21"/>
                      <w:szCs w:val="21"/>
                    </w:rPr>
                    <w:t>10kV电缆</w:t>
                  </w:r>
                </w:p>
              </w:tc>
              <w:tc>
                <w:tcPr>
                  <w:tcW w:w="1244" w:type="dxa"/>
                  <w:shd w:val="clear" w:color="auto" w:fill="auto"/>
                  <w:vAlign w:val="center"/>
                </w:tcPr>
                <w:p>
                  <w:pPr>
                    <w:widowControl/>
                    <w:spacing w:line="240" w:lineRule="auto"/>
                    <w:ind w:firstLine="0" w:firstLineChars="0"/>
                    <w:jc w:val="center"/>
                    <w:rPr>
                      <w:rFonts w:ascii="宋体" w:hAnsi="宋体" w:cs="宋体"/>
                      <w:bCs/>
                      <w:color w:val="000000"/>
                      <w:kern w:val="0"/>
                      <w:sz w:val="21"/>
                      <w:szCs w:val="21"/>
                    </w:rPr>
                  </w:pPr>
                  <w:r>
                    <w:rPr>
                      <w:rFonts w:ascii="宋体" w:hAnsi="宋体" w:cs="宋体"/>
                      <w:bCs/>
                      <w:color w:val="000000"/>
                      <w:kern w:val="0"/>
                      <w:sz w:val="21"/>
                      <w:szCs w:val="21"/>
                    </w:rPr>
                    <w:t>电信电缆</w:t>
                  </w:r>
                </w:p>
              </w:tc>
              <w:tc>
                <w:tcPr>
                  <w:tcW w:w="1032" w:type="dxa"/>
                  <w:shd w:val="clear" w:color="auto" w:fill="auto"/>
                  <w:vAlign w:val="center"/>
                </w:tcPr>
                <w:p>
                  <w:pPr>
                    <w:widowControl/>
                    <w:spacing w:line="240" w:lineRule="auto"/>
                    <w:ind w:firstLine="0" w:firstLineChars="0"/>
                    <w:jc w:val="center"/>
                    <w:rPr>
                      <w:rFonts w:ascii="宋体" w:hAnsi="宋体" w:cs="宋体"/>
                      <w:bCs/>
                      <w:color w:val="000000"/>
                      <w:kern w:val="0"/>
                      <w:sz w:val="21"/>
                      <w:szCs w:val="21"/>
                    </w:rPr>
                  </w:pPr>
                  <w:r>
                    <w:rPr>
                      <w:rFonts w:ascii="宋体" w:hAnsi="宋体" w:cs="宋体"/>
                      <w:bCs/>
                      <w:color w:val="000000"/>
                      <w:kern w:val="0"/>
                      <w:sz w:val="21"/>
                      <w:szCs w:val="21"/>
                    </w:rPr>
                    <w:t>给水管</w:t>
                  </w:r>
                </w:p>
              </w:tc>
              <w:tc>
                <w:tcPr>
                  <w:tcW w:w="1026" w:type="dxa"/>
                  <w:shd w:val="clear" w:color="auto" w:fill="auto"/>
                  <w:vAlign w:val="center"/>
                </w:tcPr>
                <w:p>
                  <w:pPr>
                    <w:widowControl/>
                    <w:spacing w:line="240" w:lineRule="auto"/>
                    <w:ind w:firstLine="0" w:firstLineChars="0"/>
                    <w:jc w:val="center"/>
                    <w:rPr>
                      <w:rFonts w:ascii="宋体" w:hAnsi="宋体" w:cs="宋体"/>
                      <w:bCs/>
                      <w:color w:val="000000"/>
                      <w:kern w:val="0"/>
                      <w:sz w:val="21"/>
                      <w:szCs w:val="21"/>
                    </w:rPr>
                  </w:pPr>
                  <w:r>
                    <w:rPr>
                      <w:rFonts w:ascii="宋体" w:hAnsi="宋体" w:cs="宋体"/>
                      <w:bCs/>
                      <w:color w:val="000000"/>
                      <w:kern w:val="0"/>
                      <w:sz w:val="21"/>
                      <w:szCs w:val="21"/>
                    </w:rPr>
                    <w:t>燃气管</w:t>
                  </w:r>
                </w:p>
              </w:tc>
            </w:tr>
          </w:tbl>
          <w:p>
            <w:pPr>
              <w:pStyle w:val="4"/>
              <w:tabs>
                <w:tab w:val="left" w:pos="720"/>
                <w:tab w:val="left" w:pos="900"/>
                <w:tab w:val="left" w:pos="6690"/>
              </w:tabs>
              <w:spacing w:before="0" w:after="0" w:line="480" w:lineRule="exact"/>
              <w:ind w:firstLine="241" w:firstLineChars="100"/>
              <w:rPr>
                <w:color w:val="000000"/>
                <w:sz w:val="24"/>
                <w:szCs w:val="24"/>
              </w:rPr>
            </w:pPr>
            <w:bookmarkStart w:id="9" w:name="_Toc461580586"/>
            <w:r>
              <w:rPr>
                <w:rFonts w:hint="eastAsia"/>
                <w:color w:val="000000"/>
                <w:sz w:val="24"/>
                <w:szCs w:val="24"/>
              </w:rPr>
              <w:t>（</w:t>
            </w:r>
            <w:r>
              <w:rPr>
                <w:rFonts w:hint="eastAsia"/>
                <w:color w:val="000000"/>
                <w:sz w:val="24"/>
                <w:szCs w:val="24"/>
                <w:lang w:val="en-US" w:eastAsia="zh-CN"/>
              </w:rPr>
              <w:t>2</w:t>
            </w:r>
            <w:r>
              <w:rPr>
                <w:rFonts w:hint="eastAsia"/>
                <w:color w:val="000000"/>
                <w:sz w:val="24"/>
                <w:szCs w:val="24"/>
              </w:rPr>
              <w:t>）综合管廊的设计原则</w:t>
            </w:r>
            <w:bookmarkEnd w:id="9"/>
          </w:p>
          <w:p>
            <w:pPr>
              <w:spacing w:line="480" w:lineRule="exact"/>
              <w:ind w:firstLine="480" w:firstLineChars="200"/>
              <w:rPr>
                <w:sz w:val="24"/>
              </w:rPr>
            </w:pPr>
            <w:r>
              <w:rPr>
                <w:rFonts w:hint="eastAsia"/>
                <w:sz w:val="24"/>
              </w:rPr>
              <w:t>1）综合管廊系统必须符合《</w:t>
            </w:r>
            <w:r>
              <w:rPr>
                <w:rFonts w:hint="eastAsia"/>
                <w:sz w:val="24"/>
                <w:lang w:eastAsia="zh-CN"/>
              </w:rPr>
              <w:t>岳阳市岳阳经济技术开发区</w:t>
            </w:r>
            <w:r>
              <w:rPr>
                <w:rFonts w:hint="eastAsia"/>
                <w:sz w:val="24"/>
              </w:rPr>
              <w:t xml:space="preserve">综合管廊工程可行性研究报告》的要求，并在市政管线规划的基础上， 确定综合管廊系统空间布局， 使综合管廊与其沿线地面、 地上工程相协调。 </w:t>
            </w:r>
          </w:p>
          <w:p>
            <w:pPr>
              <w:spacing w:line="480" w:lineRule="exact"/>
              <w:ind w:firstLine="480" w:firstLineChars="200"/>
              <w:rPr>
                <w:sz w:val="24"/>
              </w:rPr>
            </w:pPr>
            <w:r>
              <w:rPr>
                <w:rFonts w:hint="eastAsia"/>
                <w:sz w:val="24"/>
              </w:rPr>
              <w:t xml:space="preserve"> 2）综合管廊主体及附属设计除满足管廊设计标准外，还应兼顾相关专业标准。 </w:t>
            </w:r>
          </w:p>
          <w:p>
            <w:pPr>
              <w:spacing w:line="480" w:lineRule="exact"/>
              <w:ind w:firstLine="480" w:firstLineChars="200"/>
              <w:rPr>
                <w:sz w:val="24"/>
              </w:rPr>
            </w:pPr>
            <w:r>
              <w:rPr>
                <w:rFonts w:hint="eastAsia"/>
                <w:sz w:val="24"/>
              </w:rPr>
              <w:t>3）综合管廊系统设计应重视近期建设规划，并应考虑远景发展的需要。</w:t>
            </w:r>
          </w:p>
          <w:p>
            <w:pPr>
              <w:spacing w:line="480" w:lineRule="exact"/>
              <w:ind w:firstLine="480" w:firstLineChars="200"/>
              <w:rPr>
                <w:sz w:val="24"/>
              </w:rPr>
            </w:pPr>
            <w:r>
              <w:rPr>
                <w:rFonts w:hint="eastAsia"/>
                <w:sz w:val="24"/>
              </w:rPr>
              <w:t xml:space="preserve">4）在满足功能要求的前提下，集约化设计尽量减少投资规模。 </w:t>
            </w:r>
          </w:p>
          <w:p>
            <w:pPr>
              <w:spacing w:line="480" w:lineRule="exact"/>
              <w:ind w:firstLine="480" w:firstLineChars="200"/>
              <w:rPr>
                <w:sz w:val="24"/>
              </w:rPr>
            </w:pPr>
            <w:r>
              <w:rPr>
                <w:rFonts w:hint="eastAsia"/>
                <w:sz w:val="24"/>
              </w:rPr>
              <w:t xml:space="preserve">5）综合管廊节点设计应满足市政管线出入线方便，避免远期开挖道路。 </w:t>
            </w:r>
          </w:p>
          <w:p>
            <w:pPr>
              <w:spacing w:line="480" w:lineRule="exact"/>
              <w:ind w:firstLine="480" w:firstLineChars="200"/>
              <w:rPr>
                <w:sz w:val="24"/>
              </w:rPr>
            </w:pPr>
            <w:r>
              <w:rPr>
                <w:rFonts w:hint="eastAsia"/>
                <w:sz w:val="24"/>
              </w:rPr>
              <w:t>6）综合管廊内各附属机械设备应符合节能环保要求</w:t>
            </w:r>
          </w:p>
          <w:p>
            <w:pPr>
              <w:pStyle w:val="4"/>
              <w:tabs>
                <w:tab w:val="left" w:pos="720"/>
                <w:tab w:val="left" w:pos="900"/>
                <w:tab w:val="left" w:pos="6690"/>
              </w:tabs>
              <w:spacing w:before="0" w:after="0" w:line="480" w:lineRule="exact"/>
              <w:ind w:firstLine="241" w:firstLineChars="100"/>
              <w:rPr>
                <w:color w:val="000000"/>
                <w:sz w:val="24"/>
                <w:szCs w:val="24"/>
              </w:rPr>
            </w:pPr>
            <w:bookmarkStart w:id="10" w:name="_Toc461580587"/>
            <w:r>
              <w:rPr>
                <w:rFonts w:hint="eastAsia"/>
                <w:color w:val="000000"/>
                <w:sz w:val="24"/>
                <w:szCs w:val="24"/>
              </w:rPr>
              <w:t>（</w:t>
            </w:r>
            <w:r>
              <w:rPr>
                <w:rFonts w:hint="eastAsia"/>
                <w:color w:val="000000"/>
                <w:sz w:val="24"/>
                <w:szCs w:val="24"/>
                <w:lang w:val="en-US" w:eastAsia="zh-CN"/>
              </w:rPr>
              <w:t>3</w:t>
            </w:r>
            <w:r>
              <w:rPr>
                <w:rFonts w:hint="eastAsia"/>
                <w:color w:val="000000"/>
                <w:sz w:val="24"/>
                <w:szCs w:val="24"/>
              </w:rPr>
              <w:t>）综合管廊的具体设计</w:t>
            </w:r>
            <w:bookmarkEnd w:id="10"/>
          </w:p>
          <w:p>
            <w:pPr>
              <w:pStyle w:val="114"/>
              <w:spacing w:line="480" w:lineRule="exact"/>
              <w:ind w:firstLineChars="0"/>
              <w:rPr>
                <w:color w:val="000000"/>
              </w:rPr>
            </w:pPr>
            <w:r>
              <w:rPr>
                <w:rFonts w:hint="eastAsia"/>
                <w:color w:val="000000"/>
                <w:lang w:eastAsia="zh-CN"/>
              </w:rPr>
              <w:t>置田庄路</w:t>
            </w:r>
            <w:r>
              <w:rPr>
                <w:rFonts w:hint="eastAsia"/>
                <w:color w:val="000000"/>
              </w:rPr>
              <w:t xml:space="preserve">本项目段综合管廊分 </w:t>
            </w:r>
            <w:r>
              <w:rPr>
                <w:rFonts w:hint="eastAsia"/>
                <w:color w:val="000000"/>
                <w:lang w:val="en-US" w:eastAsia="zh-CN"/>
              </w:rPr>
              <w:t>2</w:t>
            </w:r>
            <w:r>
              <w:rPr>
                <w:rFonts w:hint="eastAsia"/>
                <w:color w:val="000000"/>
              </w:rPr>
              <w:t>舱布置，分别为综合舱 1 舱、燃气舱 1 舱。燃气舱</w:t>
            </w:r>
            <w:r>
              <w:rPr>
                <w:rFonts w:hint="eastAsia"/>
                <w:color w:val="000000"/>
                <w:lang w:eastAsia="zh-CN"/>
              </w:rPr>
              <w:t>、</w:t>
            </w:r>
            <w:r>
              <w:rPr>
                <w:rFonts w:hint="eastAsia"/>
                <w:color w:val="000000"/>
                <w:lang w:val="en-US" w:eastAsia="zh-CN"/>
              </w:rPr>
              <w:t>综合</w:t>
            </w:r>
            <w:r>
              <w:rPr>
                <w:rFonts w:hint="eastAsia"/>
                <w:color w:val="000000"/>
              </w:rPr>
              <w:t>舱</w:t>
            </w:r>
            <w:r>
              <w:rPr>
                <w:rFonts w:hint="eastAsia"/>
                <w:color w:val="000000"/>
                <w:lang w:val="en-US" w:eastAsia="zh-CN"/>
              </w:rPr>
              <w:t>分别</w:t>
            </w:r>
            <w:r>
              <w:rPr>
                <w:rFonts w:hint="eastAsia"/>
                <w:color w:val="000000"/>
              </w:rPr>
              <w:t xml:space="preserve">人员出入、物料运输及消防逃生等系统。 </w:t>
            </w:r>
          </w:p>
          <w:p>
            <w:pPr>
              <w:pStyle w:val="114"/>
              <w:spacing w:line="480" w:lineRule="exact"/>
              <w:ind w:firstLineChars="0"/>
              <w:rPr>
                <w:color w:val="000000"/>
              </w:rPr>
            </w:pPr>
            <w:r>
              <w:rPr>
                <w:rFonts w:ascii="TimesNewRomanPSMT" w:hAnsi="TimesNewRomanPSMT"/>
                <w:color w:val="000000"/>
              </w:rPr>
              <w:t>1</w:t>
            </w:r>
            <w:r>
              <w:rPr>
                <w:rFonts w:hint="eastAsia"/>
                <w:color w:val="000000"/>
              </w:rPr>
              <w:t xml:space="preserve">）综合舱：给水管道和电力、电信同舱布置，为减少强弱电之间的电磁干扰，在综合舱内两侧分侧布置电缆排架及通信电缆排架。综合舱内设置给水（ </w:t>
            </w:r>
            <w:r>
              <w:rPr>
                <w:rFonts w:ascii="TimesNewRomanPSMT" w:hAnsi="TimesNewRomanPSMT"/>
                <w:color w:val="000000"/>
              </w:rPr>
              <w:t>DN</w:t>
            </w:r>
            <w:r>
              <w:rPr>
                <w:rFonts w:hint="eastAsia" w:ascii="TimesNewRomanPSMT" w:hAnsi="TimesNewRomanPSMT"/>
                <w:color w:val="000000"/>
                <w:lang w:val="en-US" w:eastAsia="zh-CN"/>
              </w:rPr>
              <w:t>6</w:t>
            </w:r>
            <w:r>
              <w:rPr>
                <w:rFonts w:ascii="TimesNewRomanPSMT" w:hAnsi="TimesNewRomanPSMT"/>
                <w:color w:val="000000"/>
              </w:rPr>
              <w:t>00mm</w:t>
            </w:r>
            <w:r>
              <w:rPr>
                <w:rFonts w:hint="eastAsia"/>
                <w:color w:val="000000"/>
              </w:rPr>
              <w:t>）、电信（</w:t>
            </w:r>
            <w:r>
              <w:rPr>
                <w:rFonts w:hint="eastAsia" w:ascii="TimesNewRomanPSMT" w:hAnsi="TimesNewRomanPSMT"/>
                <w:color w:val="000000"/>
                <w:lang w:val="en-US" w:eastAsia="zh-CN"/>
              </w:rPr>
              <w:t>40</w:t>
            </w:r>
            <w:r>
              <w:rPr>
                <w:rFonts w:ascii="TimesNewRomanPSMT" w:hAnsi="TimesNewRomanPSMT"/>
                <w:color w:val="000000"/>
              </w:rPr>
              <w:t xml:space="preserve"> </w:t>
            </w:r>
            <w:r>
              <w:rPr>
                <w:rFonts w:hint="eastAsia"/>
                <w:color w:val="000000"/>
              </w:rPr>
              <w:t>孔）、电力（</w:t>
            </w:r>
            <w:r>
              <w:rPr>
                <w:rFonts w:ascii="TimesNewRomanPSMT" w:hAnsi="TimesNewRomanPSMT"/>
                <w:color w:val="000000"/>
              </w:rPr>
              <w:t>10kv</w:t>
            </w:r>
            <w:r>
              <w:rPr>
                <w:rFonts w:hint="eastAsia"/>
                <w:color w:val="000000"/>
              </w:rPr>
              <w:t>）。</w:t>
            </w:r>
          </w:p>
          <w:p>
            <w:pPr>
              <w:pStyle w:val="114"/>
              <w:spacing w:line="480" w:lineRule="exact"/>
              <w:ind w:firstLineChars="0"/>
              <w:rPr>
                <w:color w:val="000000"/>
              </w:rPr>
            </w:pPr>
            <w:r>
              <w:rPr>
                <w:rFonts w:ascii="TimesNewRomanPSMT" w:hAnsi="TimesNewRomanPSMT"/>
                <w:color w:val="000000"/>
              </w:rPr>
              <w:t>2</w:t>
            </w:r>
            <w:r>
              <w:rPr>
                <w:rFonts w:hint="eastAsia"/>
                <w:color w:val="000000"/>
              </w:rPr>
              <w:t>）燃气舱：考虑燃气管道对消防、防毒、防爆、安全通行等要求较综合舱较高， 且不得与电力电缆同舱敷设，故本设计采取燃气管线单独分舱布置。</w:t>
            </w:r>
          </w:p>
          <w:p>
            <w:pPr>
              <w:pStyle w:val="114"/>
              <w:spacing w:line="480" w:lineRule="exact"/>
              <w:ind w:firstLineChars="0"/>
              <w:rPr>
                <w:rFonts w:cs="Times New Roman"/>
                <w:bCs/>
                <w:color w:val="000000"/>
                <w:szCs w:val="24"/>
              </w:rPr>
            </w:pPr>
            <w:r>
              <w:rPr>
                <w:rFonts w:hint="eastAsia"/>
                <w:lang w:eastAsia="zh-CN"/>
              </w:rPr>
              <w:t>置田庄路</w:t>
            </w:r>
            <w:r>
              <w:rPr>
                <w:rFonts w:hint="eastAsia"/>
                <w:lang w:val="en-US" w:eastAsia="zh-CN"/>
              </w:rPr>
              <w:t>地下</w:t>
            </w:r>
            <w:r>
              <w:rPr>
                <w:rFonts w:hint="eastAsia" w:cs="Times New Roman"/>
                <w:bCs/>
                <w:color w:val="000000"/>
                <w:szCs w:val="24"/>
              </w:rPr>
              <w:t>综合管廊标准断面布置见附图。</w:t>
            </w:r>
          </w:p>
          <w:p>
            <w:pPr>
              <w:pStyle w:val="4"/>
              <w:tabs>
                <w:tab w:val="left" w:pos="720"/>
                <w:tab w:val="left" w:pos="900"/>
                <w:tab w:val="left" w:pos="6690"/>
              </w:tabs>
              <w:spacing w:before="0" w:after="0" w:line="480" w:lineRule="exact"/>
              <w:ind w:firstLine="241" w:firstLineChars="100"/>
              <w:rPr>
                <w:color w:val="000000"/>
                <w:sz w:val="24"/>
                <w:szCs w:val="24"/>
              </w:rPr>
            </w:pPr>
            <w:bookmarkStart w:id="11" w:name="_Toc461580588"/>
            <w:r>
              <w:rPr>
                <w:rFonts w:hint="eastAsia"/>
                <w:color w:val="000000"/>
                <w:sz w:val="24"/>
                <w:szCs w:val="24"/>
              </w:rPr>
              <w:t>（</w:t>
            </w:r>
            <w:r>
              <w:rPr>
                <w:rFonts w:hint="eastAsia"/>
                <w:color w:val="000000"/>
                <w:sz w:val="24"/>
                <w:szCs w:val="24"/>
                <w:lang w:val="en-US" w:eastAsia="zh-CN"/>
              </w:rPr>
              <w:t>4</w:t>
            </w:r>
            <w:r>
              <w:rPr>
                <w:rFonts w:hint="eastAsia"/>
                <w:color w:val="000000"/>
                <w:sz w:val="24"/>
                <w:szCs w:val="24"/>
              </w:rPr>
              <w:t>）综合管廊的施工方法</w:t>
            </w:r>
            <w:bookmarkEnd w:id="11"/>
          </w:p>
          <w:p>
            <w:pPr>
              <w:spacing w:line="500" w:lineRule="exact"/>
              <w:ind w:firstLine="480" w:firstLineChars="200"/>
              <w:rPr>
                <w:color w:val="000000"/>
                <w:sz w:val="24"/>
              </w:rPr>
            </w:pPr>
            <w:r>
              <w:rPr>
                <w:rFonts w:hint="eastAsia"/>
                <w:color w:val="000000"/>
                <w:sz w:val="24"/>
              </w:rPr>
              <w:t>综合管廊的施工方式有传统的明挖现浇法以及明挖预制拼装法。</w:t>
            </w:r>
          </w:p>
          <w:p>
            <w:pPr>
              <w:spacing w:line="500" w:lineRule="exact"/>
              <w:ind w:firstLine="480" w:firstLineChars="200"/>
              <w:rPr>
                <w:color w:val="000000"/>
                <w:sz w:val="24"/>
              </w:rPr>
            </w:pPr>
            <w:r>
              <w:rPr>
                <w:rFonts w:hint="eastAsia"/>
                <w:color w:val="000000"/>
                <w:sz w:val="24"/>
              </w:rPr>
              <w:t>1）综合管廊的明挖现浇法</w:t>
            </w:r>
          </w:p>
          <w:p>
            <w:pPr>
              <w:spacing w:line="500" w:lineRule="exact"/>
              <w:ind w:firstLine="480" w:firstLineChars="200"/>
              <w:rPr>
                <w:color w:val="000000"/>
                <w:sz w:val="24"/>
              </w:rPr>
            </w:pPr>
            <w:r>
              <w:rPr>
                <w:rFonts w:hint="eastAsia"/>
                <w:color w:val="000000"/>
                <w:sz w:val="24"/>
              </w:rPr>
              <w:t>明挖现浇施工法为最常用的施工方法。这种施工方法的施工流程是：开挖基坑浇筑垫层-绑扎底板及侧墙钢筋-侧墙模板-浇筑底板及侧墙施工缝以下砼-顶板模板浇筑侧墙施工缝以上及顶板砼。 模板采用这种施工方法可以大面积作业，将整个工程分割为多个施工标段，以便于加快施工进度。同时这种施工方法技术工艺成熟，施工质量能够得以保证。</w:t>
            </w:r>
          </w:p>
          <w:p>
            <w:pPr>
              <w:spacing w:line="500" w:lineRule="exact"/>
              <w:ind w:firstLine="480" w:firstLineChars="200"/>
              <w:rPr>
                <w:color w:val="000000"/>
                <w:sz w:val="24"/>
              </w:rPr>
            </w:pPr>
            <w:r>
              <w:rPr>
                <w:rFonts w:hint="eastAsia"/>
                <w:color w:val="000000"/>
                <w:sz w:val="24"/>
              </w:rPr>
              <w:t>缺点是钢筋模板工作量较大，工期较长，同时由于模板质量或施工的原因对砼成品外观及内在质量影响较大，有些项目因砼振捣不密实或养护不到位引起的结构渗水情况也比较严重，由于不重视施工缝的施工质量，施工缝施工质量不到位而引起的渗水情况比较普遍。</w:t>
            </w:r>
          </w:p>
          <w:p>
            <w:pPr>
              <w:spacing w:line="500" w:lineRule="exact"/>
              <w:ind w:firstLine="480" w:firstLineChars="200"/>
              <w:rPr>
                <w:color w:val="000000"/>
                <w:sz w:val="24"/>
              </w:rPr>
            </w:pPr>
            <w:r>
              <w:rPr>
                <w:rFonts w:hint="eastAsia"/>
                <w:color w:val="000000"/>
                <w:sz w:val="24"/>
              </w:rPr>
              <w:t>2）综合管廊的明挖预制拼装法</w:t>
            </w:r>
          </w:p>
          <w:p>
            <w:pPr>
              <w:spacing w:line="500" w:lineRule="exact"/>
              <w:ind w:firstLine="480" w:firstLineChars="200"/>
              <w:rPr>
                <w:color w:val="000000"/>
                <w:sz w:val="24"/>
              </w:rPr>
            </w:pPr>
            <w:r>
              <w:rPr>
                <w:rFonts w:hint="eastAsia"/>
                <w:color w:val="000000"/>
                <w:sz w:val="24"/>
              </w:rPr>
              <w:t>明挖预制拼装法是一种较为先进的施工法，在发达国家较为常用。预制拼装法总体来说具有如下优越性：</w:t>
            </w:r>
          </w:p>
          <w:p>
            <w:pPr>
              <w:spacing w:line="500" w:lineRule="exact"/>
              <w:ind w:firstLine="480" w:firstLineChars="200"/>
              <w:rPr>
                <w:color w:val="000000"/>
                <w:sz w:val="24"/>
              </w:rPr>
            </w:pPr>
            <w:r>
              <w:rPr>
                <w:rFonts w:hint="eastAsia"/>
                <w:color w:val="000000"/>
                <w:sz w:val="24"/>
                <w:lang w:val="en-US" w:eastAsia="zh-CN"/>
              </w:rPr>
              <w:t>(</w:t>
            </w:r>
            <w:r>
              <w:rPr>
                <w:rFonts w:hint="eastAsia"/>
                <w:color w:val="000000"/>
                <w:sz w:val="24"/>
              </w:rPr>
              <w:t>1）施工周期短。构件制作工厂化，现场装配速度快。</w:t>
            </w:r>
          </w:p>
          <w:p>
            <w:pPr>
              <w:spacing w:line="500" w:lineRule="exact"/>
              <w:ind w:firstLine="480" w:firstLineChars="200"/>
              <w:rPr>
                <w:color w:val="000000"/>
                <w:sz w:val="24"/>
              </w:rPr>
            </w:pPr>
            <w:r>
              <w:rPr>
                <w:rFonts w:hint="eastAsia"/>
                <w:color w:val="000000"/>
                <w:sz w:val="24"/>
                <w:lang w:val="en-US" w:eastAsia="zh-CN"/>
              </w:rPr>
              <w:t>(</w:t>
            </w:r>
            <w:r>
              <w:rPr>
                <w:rFonts w:hint="eastAsia"/>
                <w:color w:val="000000"/>
                <w:sz w:val="24"/>
              </w:rPr>
              <w:t>2）结构质量好。混凝土工程质量控制严格。</w:t>
            </w:r>
          </w:p>
          <w:p>
            <w:pPr>
              <w:spacing w:line="500" w:lineRule="exact"/>
              <w:ind w:firstLine="480" w:firstLineChars="200"/>
              <w:rPr>
                <w:color w:val="000000"/>
                <w:sz w:val="24"/>
              </w:rPr>
            </w:pPr>
            <w:r>
              <w:rPr>
                <w:rFonts w:hint="eastAsia"/>
                <w:color w:val="000000"/>
                <w:sz w:val="24"/>
                <w:lang w:val="en-US" w:eastAsia="zh-CN"/>
              </w:rPr>
              <w:t>(</w:t>
            </w:r>
            <w:r>
              <w:rPr>
                <w:rFonts w:hint="eastAsia"/>
                <w:color w:val="000000"/>
                <w:sz w:val="24"/>
              </w:rPr>
              <w:t>3）对周边环境影响小，且能保证生产安全。</w:t>
            </w:r>
          </w:p>
          <w:p>
            <w:pPr>
              <w:spacing w:line="500" w:lineRule="exact"/>
              <w:ind w:firstLine="480" w:firstLineChars="200"/>
              <w:rPr>
                <w:color w:val="000000"/>
                <w:sz w:val="24"/>
              </w:rPr>
            </w:pPr>
            <w:r>
              <w:rPr>
                <w:rFonts w:hint="eastAsia"/>
                <w:color w:val="000000"/>
                <w:sz w:val="24"/>
                <w:lang w:val="en-US" w:eastAsia="zh-CN"/>
              </w:rPr>
              <w:t>(</w:t>
            </w:r>
            <w:r>
              <w:rPr>
                <w:rFonts w:hint="eastAsia"/>
                <w:color w:val="000000"/>
                <w:sz w:val="24"/>
              </w:rPr>
              <w:t>4）项目的管理流程非常清晰，流程简单。</w:t>
            </w:r>
          </w:p>
          <w:p>
            <w:pPr>
              <w:spacing w:line="500" w:lineRule="exact"/>
              <w:ind w:firstLine="480" w:firstLineChars="200"/>
              <w:rPr>
                <w:color w:val="000000"/>
                <w:sz w:val="24"/>
              </w:rPr>
            </w:pPr>
            <w:r>
              <w:rPr>
                <w:rFonts w:hint="eastAsia"/>
                <w:color w:val="000000"/>
                <w:sz w:val="24"/>
              </w:rPr>
              <w:t>综合管廊的预制拼装做法设计、施工、预制构件厂家相互协作的过程，不能简单的分为设计、生产、施工三个阶段，在实际实施的过程中，需要根据工程的实际情况进行深化的设计，把前期工作的做实才能在施工中快速而高效。目前预制拼装管廊的设计施工中有不少需要改进的地方，在工程实践中进行不断的完善，才能形成一种合理的设计、生产、施工和管理模式。</w:t>
            </w:r>
          </w:p>
          <w:p>
            <w:pPr>
              <w:spacing w:line="500" w:lineRule="exact"/>
              <w:ind w:firstLine="540" w:firstLineChars="225"/>
              <w:rPr>
                <w:rFonts w:hint="eastAsia"/>
                <w:sz w:val="24"/>
              </w:rPr>
            </w:pPr>
            <w:r>
              <w:rPr>
                <w:rFonts w:hint="eastAsia"/>
                <w:sz w:val="24"/>
              </w:rPr>
              <w:t>本工程管廊为</w:t>
            </w:r>
            <w:r>
              <w:rPr>
                <w:rFonts w:hint="eastAsia"/>
                <w:sz w:val="24"/>
                <w:lang w:val="en-US" w:eastAsia="zh-CN"/>
              </w:rPr>
              <w:t>2</w:t>
            </w:r>
            <w:r>
              <w:rPr>
                <w:rFonts w:hint="eastAsia"/>
                <w:sz w:val="24"/>
              </w:rPr>
              <w:t xml:space="preserve">舱断面，外轮廓尺寸约为 </w:t>
            </w:r>
            <w:r>
              <w:rPr>
                <w:rFonts w:hint="eastAsia"/>
                <w:sz w:val="24"/>
                <w:lang w:val="en-US" w:eastAsia="zh-CN"/>
              </w:rPr>
              <w:t>5.4</w:t>
            </w:r>
            <w:r>
              <w:rPr>
                <w:sz w:val="24"/>
              </w:rPr>
              <w:t>m</w:t>
            </w:r>
            <w:r>
              <w:rPr>
                <w:rFonts w:hint="eastAsia"/>
                <w:sz w:val="24"/>
              </w:rPr>
              <w:t>×</w:t>
            </w:r>
            <w:r>
              <w:rPr>
                <w:rFonts w:hint="eastAsia"/>
                <w:sz w:val="24"/>
                <w:lang w:val="en-US" w:eastAsia="zh-CN"/>
              </w:rPr>
              <w:t>3</w:t>
            </w:r>
            <w:r>
              <w:rPr>
                <w:sz w:val="24"/>
              </w:rPr>
              <w:t>.</w:t>
            </w:r>
            <w:r>
              <w:rPr>
                <w:rFonts w:hint="eastAsia"/>
                <w:sz w:val="24"/>
                <w:lang w:val="en-US" w:eastAsia="zh-CN"/>
              </w:rPr>
              <w:t>9</w:t>
            </w:r>
            <w:r>
              <w:rPr>
                <w:sz w:val="24"/>
              </w:rPr>
              <w:t>m</w:t>
            </w:r>
            <w:r>
              <w:rPr>
                <w:rFonts w:hint="eastAsia"/>
                <w:sz w:val="24"/>
                <w:lang w:eastAsia="zh-CN"/>
              </w:rPr>
              <w:t>（</w:t>
            </w:r>
            <w:r>
              <w:rPr>
                <w:rFonts w:hint="eastAsia"/>
                <w:sz w:val="24"/>
                <w:lang w:val="en-US" w:eastAsia="zh-CN"/>
              </w:rPr>
              <w:t>置田庄路</w:t>
            </w:r>
            <w:r>
              <w:rPr>
                <w:rFonts w:hint="eastAsia"/>
                <w:sz w:val="24"/>
                <w:lang w:eastAsia="zh-CN"/>
              </w:rPr>
              <w:t>）</w:t>
            </w:r>
            <w:r>
              <w:rPr>
                <w:rFonts w:hint="eastAsia"/>
                <w:sz w:val="24"/>
                <w:lang w:val="en-US" w:eastAsia="zh-CN"/>
              </w:rPr>
              <w:t>和</w:t>
            </w:r>
            <w:r>
              <w:rPr>
                <w:rFonts w:hint="eastAsia"/>
                <w:sz w:val="24"/>
                <w:lang w:val="zh-CN"/>
              </w:rPr>
              <w:t>5.6m</w:t>
            </w:r>
            <w:r>
              <w:rPr>
                <w:rFonts w:hint="eastAsia"/>
                <w:sz w:val="24"/>
              </w:rPr>
              <w:t>×</w:t>
            </w:r>
            <w:r>
              <w:rPr>
                <w:rFonts w:hint="eastAsia"/>
                <w:sz w:val="24"/>
                <w:lang w:val="zh-CN"/>
              </w:rPr>
              <w:t>3.8m</w:t>
            </w:r>
            <w:r>
              <w:rPr>
                <w:rFonts w:hint="eastAsia"/>
                <w:sz w:val="24"/>
                <w:lang w:eastAsia="zh-CN"/>
              </w:rPr>
              <w:t>（</w:t>
            </w:r>
            <w:r>
              <w:rPr>
                <w:rFonts w:hint="eastAsia"/>
                <w:sz w:val="24"/>
                <w:lang w:val="en-US" w:eastAsia="zh-CN"/>
              </w:rPr>
              <w:t>分水垄路</w:t>
            </w:r>
            <w:r>
              <w:rPr>
                <w:rFonts w:hint="eastAsia"/>
                <w:sz w:val="24"/>
                <w:lang w:eastAsia="zh-CN"/>
              </w:rPr>
              <w:t>）</w:t>
            </w:r>
            <w:r>
              <w:rPr>
                <w:rFonts w:hint="eastAsia"/>
                <w:sz w:val="24"/>
              </w:rPr>
              <w:t>，如采用预制拼装法施工，将受运输车辆、吊装设备、安全、交通方面因素的制约；</w:t>
            </w:r>
            <w:r>
              <w:rPr>
                <w:rFonts w:hint="eastAsia"/>
                <w:sz w:val="24"/>
                <w:lang w:val="en-US" w:eastAsia="zh-CN"/>
              </w:rPr>
              <w:t>岳阳</w:t>
            </w:r>
            <w:r>
              <w:rPr>
                <w:rFonts w:hint="eastAsia"/>
                <w:sz w:val="24"/>
              </w:rPr>
              <w:t>地区地下水位高， 管廊长期承受地下水及地表水的作用，管廊防水效果直接影响后期使用与维护，采用预制拼装法必将产生很多拼装接缝，成为结构防水、防渗的薄弱部位，如果构造措施不当，在外力、温度、 地基变形等因素的作用下，会产生渗漏，影响后期使用，因此本工程建议采用全线明挖现浇法施工， 采用这种施工方法可以大面积作业， 将整个工程分割为多个施工标段， 以便于加快施工进度。</w:t>
            </w:r>
          </w:p>
          <w:p>
            <w:pPr>
              <w:spacing w:line="500" w:lineRule="exact"/>
              <w:ind w:firstLine="540" w:firstLineChars="225"/>
              <w:rPr>
                <w:rFonts w:hint="eastAsia"/>
                <w:b/>
                <w:bCs/>
                <w:sz w:val="24"/>
                <w:lang w:eastAsia="zh-CN"/>
              </w:rPr>
            </w:pPr>
            <w:r>
              <w:rPr>
                <w:rFonts w:hint="eastAsia"/>
                <w:b/>
                <w:bCs/>
                <w:sz w:val="24"/>
                <w:lang w:eastAsia="zh-CN"/>
              </w:rPr>
              <w:t>（</w:t>
            </w:r>
            <w:r>
              <w:rPr>
                <w:rFonts w:hint="eastAsia"/>
                <w:b/>
                <w:bCs/>
                <w:sz w:val="24"/>
                <w:lang w:val="en-US" w:eastAsia="zh-CN"/>
              </w:rPr>
              <w:t>5</w:t>
            </w:r>
            <w:r>
              <w:rPr>
                <w:rFonts w:hint="eastAsia"/>
                <w:b/>
                <w:bCs/>
                <w:sz w:val="24"/>
                <w:lang w:eastAsia="zh-CN"/>
              </w:rPr>
              <w:t>）</w:t>
            </w:r>
            <w:r>
              <w:rPr>
                <w:rFonts w:hint="eastAsia"/>
                <w:b/>
                <w:bCs/>
                <w:sz w:val="24"/>
                <w:lang w:val="zh-CN"/>
              </w:rPr>
              <w:t>地下人行通道</w:t>
            </w:r>
          </w:p>
          <w:p>
            <w:pPr>
              <w:spacing w:line="500" w:lineRule="exact"/>
              <w:ind w:firstLine="540" w:firstLineChars="225"/>
              <w:rPr>
                <w:rFonts w:hint="eastAsia"/>
                <w:sz w:val="24"/>
                <w:lang w:eastAsia="zh-CN"/>
              </w:rPr>
            </w:pPr>
            <w:r>
              <w:rPr>
                <w:rFonts w:hint="eastAsia"/>
                <w:sz w:val="24"/>
                <w:lang w:val="zh-CN"/>
              </w:rPr>
              <w:t>地下人行通道位于分水垄路与置田庄路交叉口范围内，地下通道结构采用钢筋混凝土箱型结构，主通道砼箱净高3.65米，结构净宽为7m；副通道砼箱净高3.65米，结构净宽为5.5m。交叉口范围道路红线宽度均为50m，其中分水垄路车行道宽度为24.5m，置田庄路车行道宽度为24.0m，交叉口处于高填方路段，填方高度约10米。按《岳阳经济技术开发区金凤桥片区(D1)控制性详细规划-土地利用规划图》，分水垄路与置田庄路交叉口除西南角为消防用地与商业用地混合外，其余三角均为商业用地。</w:t>
            </w:r>
          </w:p>
          <w:p>
            <w:pPr>
              <w:pStyle w:val="4"/>
              <w:tabs>
                <w:tab w:val="left" w:pos="720"/>
                <w:tab w:val="left" w:pos="900"/>
                <w:tab w:val="left" w:pos="6690"/>
              </w:tabs>
              <w:spacing w:before="120" w:after="120" w:line="360" w:lineRule="auto"/>
              <w:rPr>
                <w:color w:val="000000"/>
                <w:sz w:val="24"/>
                <w:szCs w:val="24"/>
              </w:rPr>
            </w:pPr>
            <w:r>
              <w:rPr>
                <w:rFonts w:hint="eastAsia"/>
                <w:color w:val="000000"/>
                <w:sz w:val="24"/>
                <w:szCs w:val="24"/>
              </w:rPr>
              <w:t>3、土石方量</w:t>
            </w:r>
          </w:p>
          <w:p>
            <w:pPr>
              <w:spacing w:line="500" w:lineRule="exact"/>
              <w:ind w:firstLine="540" w:firstLineChars="225"/>
              <w:rPr>
                <w:color w:val="000000" w:themeColor="text1"/>
                <w:sz w:val="24"/>
                <w14:textFill>
                  <w14:solidFill>
                    <w14:schemeClr w14:val="tx1"/>
                  </w14:solidFill>
                </w14:textFill>
              </w:rPr>
            </w:pPr>
            <w:r>
              <w:rPr>
                <w:color w:val="000000" w:themeColor="text1"/>
                <w:sz w:val="24"/>
                <w14:textFill>
                  <w14:solidFill>
                    <w14:schemeClr w14:val="tx1"/>
                  </w14:solidFill>
                </w14:textFill>
              </w:rPr>
              <w:t>本工程建设存在大量的土石方，工程</w:t>
            </w:r>
            <w:r>
              <w:rPr>
                <w:rFonts w:hint="eastAsia"/>
                <w:color w:val="000000" w:themeColor="text1"/>
                <w:sz w:val="24"/>
                <w14:textFill>
                  <w14:solidFill>
                    <w14:schemeClr w14:val="tx1"/>
                  </w14:solidFill>
                </w14:textFill>
              </w:rPr>
              <w:t>土石方开挖总量为</w:t>
            </w:r>
            <w:r>
              <w:rPr>
                <w:rFonts w:hint="eastAsia"/>
                <w:color w:val="000000" w:themeColor="text1"/>
                <w:sz w:val="24"/>
                <w:lang w:val="en-US" w:eastAsia="zh-CN"/>
                <w14:textFill>
                  <w14:solidFill>
                    <w14:schemeClr w14:val="tx1"/>
                  </w14:solidFill>
                </w14:textFill>
              </w:rPr>
              <w:t>7.11</w:t>
            </w:r>
            <w:r>
              <w:rPr>
                <w:rFonts w:hint="eastAsia"/>
                <w:color w:val="000000" w:themeColor="text1"/>
                <w:sz w:val="24"/>
                <w14:textFill>
                  <w14:solidFill>
                    <w14:schemeClr w14:val="tx1"/>
                  </w14:solidFill>
                </w14:textFill>
              </w:rPr>
              <w:t>万 m</w:t>
            </w:r>
            <w:r>
              <w:rPr>
                <w:rFonts w:hint="eastAsia"/>
                <w:color w:val="000000" w:themeColor="text1"/>
                <w:sz w:val="24"/>
                <w:vertAlign w:val="superscript"/>
                <w14:textFill>
                  <w14:solidFill>
                    <w14:schemeClr w14:val="tx1"/>
                  </w14:solidFill>
                </w14:textFill>
              </w:rPr>
              <w:t>3</w:t>
            </w:r>
            <w:r>
              <w:rPr>
                <w:rFonts w:hint="eastAsia"/>
                <w:color w:val="000000" w:themeColor="text1"/>
                <w:sz w:val="24"/>
                <w14:textFill>
                  <w14:solidFill>
                    <w14:schemeClr w14:val="tx1"/>
                  </w14:solidFill>
                </w14:textFill>
              </w:rPr>
              <w:t>，回填量为</w:t>
            </w:r>
            <w:r>
              <w:rPr>
                <w:rFonts w:hint="eastAsia"/>
                <w:color w:val="000000" w:themeColor="text1"/>
                <w:sz w:val="24"/>
                <w:lang w:val="en-US" w:eastAsia="zh-CN"/>
                <w14:textFill>
                  <w14:solidFill>
                    <w14:schemeClr w14:val="tx1"/>
                  </w14:solidFill>
                </w14:textFill>
              </w:rPr>
              <w:t>2.41</w:t>
            </w:r>
            <w:r>
              <w:rPr>
                <w:rFonts w:hint="eastAsia"/>
                <w:color w:val="000000" w:themeColor="text1"/>
                <w:sz w:val="24"/>
                <w14:textFill>
                  <w14:solidFill>
                    <w14:schemeClr w14:val="tx1"/>
                  </w14:solidFill>
                </w14:textFill>
              </w:rPr>
              <w:t>万m</w:t>
            </w:r>
            <w:r>
              <w:rPr>
                <w:rFonts w:hint="eastAsia"/>
                <w:color w:val="000000" w:themeColor="text1"/>
                <w:sz w:val="24"/>
                <w:vertAlign w:val="superscript"/>
                <w14:textFill>
                  <w14:solidFill>
                    <w14:schemeClr w14:val="tx1"/>
                  </w14:solidFill>
                </w14:textFill>
              </w:rPr>
              <w:t>3</w:t>
            </w:r>
            <w:r>
              <w:rPr>
                <w:rFonts w:hint="eastAsia"/>
                <w:color w:val="000000" w:themeColor="text1"/>
                <w:sz w:val="24"/>
                <w14:textFill>
                  <w14:solidFill>
                    <w14:schemeClr w14:val="tx1"/>
                  </w14:solidFill>
                </w14:textFill>
              </w:rPr>
              <w:t>，弃方总量为</w:t>
            </w:r>
            <w:r>
              <w:rPr>
                <w:rFonts w:hint="eastAsia"/>
                <w:color w:val="000000" w:themeColor="text1"/>
                <w:sz w:val="24"/>
                <w:lang w:val="en-US" w:eastAsia="zh-CN"/>
                <w14:textFill>
                  <w14:solidFill>
                    <w14:schemeClr w14:val="tx1"/>
                  </w14:solidFill>
                </w14:textFill>
              </w:rPr>
              <w:t>4.7</w:t>
            </w:r>
            <w:r>
              <w:rPr>
                <w:rFonts w:hint="eastAsia"/>
                <w:color w:val="000000" w:themeColor="text1"/>
                <w:sz w:val="24"/>
                <w14:textFill>
                  <w14:solidFill>
                    <w14:schemeClr w14:val="tx1"/>
                  </w14:solidFill>
                </w14:textFill>
              </w:rPr>
              <w:t>万m</w:t>
            </w:r>
            <w:r>
              <w:rPr>
                <w:rFonts w:hint="eastAsia"/>
                <w:color w:val="000000" w:themeColor="text1"/>
                <w:sz w:val="24"/>
                <w:vertAlign w:val="superscript"/>
                <w14:textFill>
                  <w14:solidFill>
                    <w14:schemeClr w14:val="tx1"/>
                  </w14:solidFill>
                </w14:textFill>
              </w:rPr>
              <w:t>3</w:t>
            </w:r>
            <w:r>
              <w:rPr>
                <w:rFonts w:hint="eastAsia"/>
                <w:color w:val="000000" w:themeColor="text1"/>
                <w:sz w:val="24"/>
                <w14:textFill>
                  <w14:solidFill>
                    <w14:schemeClr w14:val="tx1"/>
                  </w14:solidFill>
                </w14:textFill>
              </w:rPr>
              <w:t>。</w:t>
            </w:r>
            <w:r>
              <w:rPr>
                <w:rFonts w:hint="eastAsia"/>
                <w:color w:val="000000" w:themeColor="text1"/>
                <w:kern w:val="0"/>
                <w:sz w:val="24"/>
                <w14:textFill>
                  <w14:solidFill>
                    <w14:schemeClr w14:val="tx1"/>
                  </w14:solidFill>
                </w14:textFill>
              </w:rPr>
              <w:t>开挖出来的土石方由专门的渣土运输车运出，倒入渣土办指定的城市建设用地内</w:t>
            </w:r>
            <w:r>
              <w:rPr>
                <w:rFonts w:hint="eastAsia"/>
                <w:color w:val="000000" w:themeColor="text1"/>
                <w:sz w:val="24"/>
                <w14:textFill>
                  <w14:solidFill>
                    <w14:schemeClr w14:val="tx1"/>
                  </w14:solidFill>
                </w14:textFill>
              </w:rPr>
              <w:t>，并做好水土保持工作。</w:t>
            </w:r>
          </w:p>
          <w:p>
            <w:pPr>
              <w:spacing w:line="520" w:lineRule="exact"/>
              <w:ind w:firstLine="480" w:firstLineChars="200"/>
              <w:rPr>
                <w:rFonts w:hint="eastAsia"/>
                <w:color w:val="000000" w:themeColor="text1"/>
                <w:sz w:val="24"/>
                <w14:textFill>
                  <w14:solidFill>
                    <w14:schemeClr w14:val="tx1"/>
                  </w14:solidFill>
                </w14:textFill>
              </w:rPr>
            </w:pPr>
            <w:r>
              <w:rPr>
                <w:color w:val="000000" w:themeColor="text1"/>
                <w:sz w:val="24"/>
                <w14:textFill>
                  <w14:solidFill>
                    <w14:schemeClr w14:val="tx1"/>
                  </w14:solidFill>
                </w14:textFill>
              </w:rPr>
              <w:t>由于项目区雨季降雨强度大，很容易引发水土流失，建议主体设计中施工时间进一步优化，尽量避开雨季，充分利用枯水季节施工</w:t>
            </w:r>
            <w:r>
              <w:rPr>
                <w:rFonts w:hint="eastAsia"/>
                <w:color w:val="000000" w:themeColor="text1"/>
                <w:sz w:val="24"/>
                <w14:textFill>
                  <w14:solidFill>
                    <w14:schemeClr w14:val="tx1"/>
                  </w14:solidFill>
                </w14:textFill>
              </w:rPr>
              <w:t>。</w:t>
            </w:r>
          </w:p>
          <w:p>
            <w:pPr>
              <w:pStyle w:val="4"/>
              <w:tabs>
                <w:tab w:val="left" w:pos="720"/>
                <w:tab w:val="left" w:pos="900"/>
                <w:tab w:val="left" w:pos="6690"/>
              </w:tabs>
              <w:spacing w:before="120" w:after="120" w:line="360" w:lineRule="auto"/>
              <w:rPr>
                <w:color w:val="000000"/>
                <w:sz w:val="24"/>
                <w:szCs w:val="24"/>
              </w:rPr>
            </w:pPr>
            <w:bookmarkStart w:id="12" w:name="_Toc328899515"/>
            <w:r>
              <w:rPr>
                <w:rFonts w:hint="eastAsia"/>
                <w:color w:val="000000"/>
                <w:sz w:val="24"/>
                <w:szCs w:val="24"/>
              </w:rPr>
              <w:t>4、征地拆迁</w:t>
            </w:r>
            <w:bookmarkEnd w:id="12"/>
          </w:p>
          <w:p>
            <w:pPr>
              <w:pStyle w:val="7"/>
              <w:snapToGrid w:val="0"/>
              <w:spacing w:line="36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本项目建设过程中，沿线需拆迁房屋等建筑物，</w:t>
            </w:r>
            <w:r>
              <w:rPr>
                <w:color w:val="000000" w:themeColor="text1"/>
                <w:sz w:val="24"/>
                <w:szCs w:val="24"/>
                <w14:textFill>
                  <w14:solidFill>
                    <w14:schemeClr w14:val="tx1"/>
                  </w14:solidFill>
                </w14:textFill>
              </w:rPr>
              <w:t>未涉及其它</w:t>
            </w:r>
            <w:r>
              <w:rPr>
                <w:rFonts w:hint="eastAsia"/>
                <w:color w:val="000000" w:themeColor="text1"/>
                <w:sz w:val="24"/>
                <w:szCs w:val="24"/>
                <w14:textFill>
                  <w14:solidFill>
                    <w14:schemeClr w14:val="tx1"/>
                  </w14:solidFill>
                </w14:textFill>
              </w:rPr>
              <w:t>专</w:t>
            </w:r>
            <w:r>
              <w:rPr>
                <w:color w:val="000000" w:themeColor="text1"/>
                <w:sz w:val="24"/>
                <w:szCs w:val="24"/>
                <w14:textFill>
                  <w14:solidFill>
                    <w14:schemeClr w14:val="tx1"/>
                  </w14:solidFill>
                </w14:textFill>
              </w:rPr>
              <w:t>项设施改建内容</w:t>
            </w:r>
            <w:r>
              <w:rPr>
                <w:rFonts w:hint="eastAsia"/>
                <w:color w:val="000000" w:themeColor="text1"/>
                <w:sz w:val="24"/>
                <w:szCs w:val="24"/>
                <w14:textFill>
                  <w14:solidFill>
                    <w14:schemeClr w14:val="tx1"/>
                  </w14:solidFill>
                </w14:textFill>
              </w:rPr>
              <w:t>。项目为</w:t>
            </w:r>
            <w:r>
              <w:rPr>
                <w:rFonts w:hint="eastAsia"/>
                <w:color w:val="000000" w:themeColor="text1"/>
                <w:sz w:val="24"/>
                <w:szCs w:val="24"/>
                <w:lang w:eastAsia="zh-CN"/>
                <w14:textFill>
                  <w14:solidFill>
                    <w14:schemeClr w14:val="tx1"/>
                  </w14:solidFill>
                </w14:textFill>
              </w:rPr>
              <w:t>置田庄路</w:t>
            </w:r>
            <w:r>
              <w:rPr>
                <w:rFonts w:hint="eastAsia"/>
                <w:color w:val="000000" w:themeColor="text1"/>
                <w:sz w:val="24"/>
                <w:szCs w:val="24"/>
                <w14:textFill>
                  <w14:solidFill>
                    <w14:schemeClr w14:val="tx1"/>
                  </w14:solidFill>
                </w14:textFill>
              </w:rPr>
              <w:t>（</w:t>
            </w:r>
            <w:r>
              <w:rPr>
                <w:rFonts w:hint="eastAsia"/>
                <w:color w:val="000000" w:themeColor="text1"/>
                <w:sz w:val="24"/>
                <w:szCs w:val="24"/>
                <w:lang w:eastAsia="zh-CN"/>
                <w14:textFill>
                  <w14:solidFill>
                    <w14:schemeClr w14:val="tx1"/>
                  </w14:solidFill>
                </w14:textFill>
              </w:rPr>
              <w:t>长康路~梅溪港桥</w:t>
            </w:r>
            <w:r>
              <w:rPr>
                <w:rFonts w:hint="eastAsia"/>
                <w:color w:val="000000" w:themeColor="text1"/>
                <w:sz w:val="24"/>
                <w:szCs w:val="24"/>
                <w14:textFill>
                  <w14:solidFill>
                    <w14:schemeClr w14:val="tx1"/>
                  </w14:solidFill>
                </w14:textFill>
              </w:rPr>
              <w:t>）地下综合管廊，项目沿线涉及的拆迁及补偿由</w:t>
            </w:r>
            <w:r>
              <w:rPr>
                <w:rFonts w:hint="eastAsia"/>
                <w:color w:val="000000" w:themeColor="text1"/>
                <w:sz w:val="24"/>
                <w:szCs w:val="24"/>
                <w:lang w:eastAsia="zh-CN"/>
                <w14:textFill>
                  <w14:solidFill>
                    <w14:schemeClr w14:val="tx1"/>
                  </w14:solidFill>
                </w14:textFill>
              </w:rPr>
              <w:t>置田庄路</w:t>
            </w:r>
            <w:r>
              <w:rPr>
                <w:rFonts w:hint="eastAsia"/>
                <w:color w:val="000000" w:themeColor="text1"/>
                <w:sz w:val="24"/>
                <w:szCs w:val="24"/>
                <w:lang w:val="en-US" w:eastAsia="zh-CN"/>
                <w14:textFill>
                  <w14:solidFill>
                    <w14:schemeClr w14:val="tx1"/>
                  </w14:solidFill>
                </w14:textFill>
              </w:rPr>
              <w:t>和分水垄路</w:t>
            </w:r>
            <w:r>
              <w:rPr>
                <w:rFonts w:hint="eastAsia"/>
                <w:color w:val="000000" w:themeColor="text1"/>
                <w:sz w:val="24"/>
                <w:szCs w:val="24"/>
                <w14:textFill>
                  <w14:solidFill>
                    <w14:schemeClr w14:val="tx1"/>
                  </w14:solidFill>
                </w14:textFill>
              </w:rPr>
              <w:t>道路工程进行统一安排。</w:t>
            </w:r>
            <w:r>
              <w:rPr>
                <w:color w:val="000000" w:themeColor="text1"/>
                <w:sz w:val="24"/>
                <w:szCs w:val="24"/>
                <w14:textFill>
                  <w14:solidFill>
                    <w14:schemeClr w14:val="tx1"/>
                  </w14:solidFill>
                </w14:textFill>
              </w:rPr>
              <w:t>拆除的建筑垃圾由当地政府负责处理，</w:t>
            </w:r>
            <w:r>
              <w:rPr>
                <w:rFonts w:hint="eastAsia"/>
                <w:color w:val="000000" w:themeColor="text1"/>
                <w:sz w:val="24"/>
                <w:szCs w:val="24"/>
                <w:lang w:eastAsia="zh-CN"/>
                <w14:textFill>
                  <w14:solidFill>
                    <w14:schemeClr w14:val="tx1"/>
                  </w14:solidFill>
                </w14:textFill>
              </w:rPr>
              <w:t>置田庄路、</w:t>
            </w:r>
            <w:r>
              <w:rPr>
                <w:rFonts w:hint="eastAsia"/>
                <w:color w:val="000000" w:themeColor="text1"/>
                <w:sz w:val="24"/>
                <w:szCs w:val="24"/>
                <w:lang w:val="en-US" w:eastAsia="zh-CN"/>
                <w14:textFill>
                  <w14:solidFill>
                    <w14:schemeClr w14:val="tx1"/>
                  </w14:solidFill>
                </w14:textFill>
              </w:rPr>
              <w:t>分水垄路</w:t>
            </w:r>
            <w:r>
              <w:rPr>
                <w:rFonts w:hint="eastAsia"/>
                <w:color w:val="000000" w:themeColor="text1"/>
                <w:sz w:val="24"/>
                <w:szCs w:val="24"/>
                <w14:textFill>
                  <w14:solidFill>
                    <w14:schemeClr w14:val="tx1"/>
                  </w14:solidFill>
                </w14:textFill>
              </w:rPr>
              <w:t>道路工程</w:t>
            </w:r>
            <w:r>
              <w:rPr>
                <w:color w:val="000000" w:themeColor="text1"/>
                <w:sz w:val="24"/>
                <w:szCs w:val="24"/>
                <w14:textFill>
                  <w14:solidFill>
                    <w14:schemeClr w14:val="tx1"/>
                  </w14:solidFill>
                </w14:textFill>
              </w:rPr>
              <w:t xml:space="preserve">建设单位在与当地政府签订协议时，将在协议中明确水土流失防治责任和防治费用。 </w:t>
            </w:r>
          </w:p>
          <w:p>
            <w:pPr>
              <w:pStyle w:val="4"/>
              <w:tabs>
                <w:tab w:val="left" w:pos="720"/>
                <w:tab w:val="left" w:pos="900"/>
                <w:tab w:val="left" w:pos="6690"/>
              </w:tabs>
              <w:spacing w:before="120" w:after="120" w:line="360" w:lineRule="auto"/>
              <w:rPr>
                <w:color w:val="000000"/>
                <w:sz w:val="24"/>
                <w:szCs w:val="24"/>
              </w:rPr>
            </w:pPr>
            <w:bookmarkStart w:id="13" w:name="_Toc461580589"/>
            <w:r>
              <w:rPr>
                <w:rFonts w:hint="eastAsia"/>
                <w:color w:val="000000"/>
                <w:sz w:val="24"/>
                <w:szCs w:val="24"/>
              </w:rPr>
              <w:t>5</w:t>
            </w:r>
            <w:r>
              <w:rPr>
                <w:color w:val="000000"/>
                <w:sz w:val="24"/>
                <w:szCs w:val="24"/>
              </w:rPr>
              <w:t>、项目进度</w:t>
            </w:r>
            <w:bookmarkEnd w:id="13"/>
          </w:p>
          <w:p>
            <w:pPr>
              <w:pStyle w:val="7"/>
              <w:snapToGrid w:val="0"/>
              <w:spacing w:line="360" w:lineRule="auto"/>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lang w:val="zh-CN"/>
                <w14:textFill>
                  <w14:solidFill>
                    <w14:schemeClr w14:val="tx1"/>
                  </w14:solidFill>
                </w14:textFill>
              </w:rPr>
              <w:t>计划总工期30个月(2016年</w:t>
            </w:r>
            <w:r>
              <w:rPr>
                <w:rFonts w:hint="eastAsia"/>
                <w:color w:val="000000" w:themeColor="text1"/>
                <w:sz w:val="24"/>
                <w:szCs w:val="24"/>
                <w:lang w:val="en-US" w:eastAsia="zh-CN"/>
                <w14:textFill>
                  <w14:solidFill>
                    <w14:schemeClr w14:val="tx1"/>
                  </w14:solidFill>
                </w14:textFill>
              </w:rPr>
              <w:t>10</w:t>
            </w:r>
            <w:r>
              <w:rPr>
                <w:rFonts w:hint="eastAsia"/>
                <w:color w:val="000000" w:themeColor="text1"/>
                <w:sz w:val="24"/>
                <w:szCs w:val="24"/>
                <w:lang w:val="zh-CN"/>
                <w14:textFill>
                  <w14:solidFill>
                    <w14:schemeClr w14:val="tx1"/>
                  </w14:solidFill>
                </w14:textFill>
              </w:rPr>
              <w:t>月开始，2019年</w:t>
            </w:r>
            <w:r>
              <w:rPr>
                <w:rFonts w:hint="eastAsia"/>
                <w:color w:val="000000" w:themeColor="text1"/>
                <w:sz w:val="24"/>
                <w:szCs w:val="24"/>
                <w:lang w:val="en-US" w:eastAsia="zh-CN"/>
                <w14:textFill>
                  <w14:solidFill>
                    <w14:schemeClr w14:val="tx1"/>
                  </w14:solidFill>
                </w14:textFill>
              </w:rPr>
              <w:t>4</w:t>
            </w:r>
            <w:r>
              <w:rPr>
                <w:rFonts w:hint="eastAsia"/>
                <w:color w:val="000000" w:themeColor="text1"/>
                <w:sz w:val="24"/>
                <w:szCs w:val="24"/>
                <w:lang w:val="zh-CN"/>
                <w14:textFill>
                  <w14:solidFill>
                    <w14:schemeClr w14:val="tx1"/>
                  </w14:solidFill>
                </w14:textFill>
              </w:rPr>
              <w:t>月全部工程完工)，其中前期工作6个月(2016年</w:t>
            </w:r>
            <w:r>
              <w:rPr>
                <w:rFonts w:hint="eastAsia"/>
                <w:color w:val="000000" w:themeColor="text1"/>
                <w:sz w:val="24"/>
                <w:szCs w:val="24"/>
                <w:lang w:val="en-US" w:eastAsia="zh-CN"/>
                <w14:textFill>
                  <w14:solidFill>
                    <w14:schemeClr w14:val="tx1"/>
                  </w14:solidFill>
                </w14:textFill>
              </w:rPr>
              <w:t>10</w:t>
            </w:r>
            <w:r>
              <w:rPr>
                <w:rFonts w:hint="eastAsia"/>
                <w:color w:val="000000" w:themeColor="text1"/>
                <w:sz w:val="24"/>
                <w:szCs w:val="24"/>
                <w:lang w:val="zh-CN"/>
                <w14:textFill>
                  <w14:solidFill>
                    <w14:schemeClr w14:val="tx1"/>
                  </w14:solidFill>
                </w14:textFill>
              </w:rPr>
              <w:t>月-2017年</w:t>
            </w:r>
            <w:r>
              <w:rPr>
                <w:rFonts w:hint="eastAsia"/>
                <w:color w:val="000000" w:themeColor="text1"/>
                <w:sz w:val="24"/>
                <w:szCs w:val="24"/>
                <w:lang w:val="en-US" w:eastAsia="zh-CN"/>
                <w14:textFill>
                  <w14:solidFill>
                    <w14:schemeClr w14:val="tx1"/>
                  </w14:solidFill>
                </w14:textFill>
              </w:rPr>
              <w:t>4</w:t>
            </w:r>
            <w:r>
              <w:rPr>
                <w:rFonts w:hint="eastAsia"/>
                <w:color w:val="000000" w:themeColor="text1"/>
                <w:sz w:val="24"/>
                <w:szCs w:val="24"/>
                <w:lang w:val="zh-CN"/>
                <w14:textFill>
                  <w14:solidFill>
                    <w14:schemeClr w14:val="tx1"/>
                  </w14:solidFill>
                </w14:textFill>
              </w:rPr>
              <w:t>月)，建设工期24个月(2017年</w:t>
            </w:r>
            <w:r>
              <w:rPr>
                <w:rFonts w:hint="eastAsia"/>
                <w:color w:val="000000" w:themeColor="text1"/>
                <w:sz w:val="24"/>
                <w:szCs w:val="24"/>
                <w:lang w:val="en-US" w:eastAsia="zh-CN"/>
                <w14:textFill>
                  <w14:solidFill>
                    <w14:schemeClr w14:val="tx1"/>
                  </w14:solidFill>
                </w14:textFill>
              </w:rPr>
              <w:t>5</w:t>
            </w:r>
            <w:r>
              <w:rPr>
                <w:rFonts w:hint="eastAsia"/>
                <w:color w:val="000000" w:themeColor="text1"/>
                <w:sz w:val="24"/>
                <w:szCs w:val="24"/>
                <w:lang w:val="zh-CN"/>
                <w14:textFill>
                  <w14:solidFill>
                    <w14:schemeClr w14:val="tx1"/>
                  </w14:solidFill>
                </w14:textFill>
              </w:rPr>
              <w:t>月-2019年</w:t>
            </w:r>
            <w:r>
              <w:rPr>
                <w:rFonts w:hint="eastAsia"/>
                <w:color w:val="000000" w:themeColor="text1"/>
                <w:sz w:val="24"/>
                <w:szCs w:val="24"/>
                <w:lang w:val="en-US" w:eastAsia="zh-CN"/>
                <w14:textFill>
                  <w14:solidFill>
                    <w14:schemeClr w14:val="tx1"/>
                  </w14:solidFill>
                </w14:textFill>
              </w:rPr>
              <w:t>4</w:t>
            </w:r>
            <w:r>
              <w:rPr>
                <w:rFonts w:hint="eastAsia"/>
                <w:color w:val="000000" w:themeColor="text1"/>
                <w:sz w:val="24"/>
                <w:szCs w:val="24"/>
                <w:lang w:val="zh-CN"/>
                <w14:textFill>
                  <w14:solidFill>
                    <w14:schemeClr w14:val="tx1"/>
                  </w14:solidFill>
                </w14:textFill>
              </w:rPr>
              <w:t>月)。</w:t>
            </w:r>
          </w:p>
          <w:p>
            <w:pPr>
              <w:pStyle w:val="7"/>
              <w:snapToGrid w:val="0"/>
              <w:spacing w:line="360" w:lineRule="auto"/>
              <w:ind w:firstLine="480" w:firstLineChars="200"/>
              <w:rPr>
                <w:rFonts w:hint="eastAsia"/>
                <w:color w:val="000000" w:themeColor="text1"/>
                <w:sz w:val="24"/>
                <w:szCs w:val="24"/>
                <w14:textFill>
                  <w14:solidFill>
                    <w14:schemeClr w14:val="tx1"/>
                  </w14:solidFill>
                </w14:textFill>
              </w:rPr>
            </w:pPr>
          </w:p>
          <w:p>
            <w:pPr>
              <w:spacing w:line="500" w:lineRule="exact"/>
              <w:ind w:firstLine="540" w:firstLineChars="225"/>
              <w:rPr>
                <w:rFonts w:hint="eastAsia"/>
                <w:sz w:val="24"/>
              </w:rPr>
            </w:pPr>
          </w:p>
          <w:p>
            <w:pPr>
              <w:spacing w:line="500" w:lineRule="exact"/>
              <w:ind w:firstLine="540" w:firstLineChars="225"/>
              <w:rPr>
                <w:rFonts w:hint="eastAsia"/>
                <w:sz w:val="24"/>
              </w:rPr>
            </w:pPr>
          </w:p>
          <w:p>
            <w:pPr>
              <w:spacing w:line="500" w:lineRule="exact"/>
              <w:ind w:firstLine="540" w:firstLineChars="225"/>
              <w:rPr>
                <w:rFonts w:hint="eastAsia"/>
                <w:sz w:val="24"/>
              </w:rPr>
            </w:pPr>
          </w:p>
          <w:p>
            <w:pPr>
              <w:spacing w:line="500" w:lineRule="exact"/>
              <w:ind w:firstLine="540" w:firstLineChars="225"/>
              <w:rPr>
                <w:rFonts w:hint="eastAsia"/>
                <w:sz w:val="24"/>
              </w:rPr>
            </w:pPr>
          </w:p>
          <w:p>
            <w:pPr>
              <w:spacing w:line="500" w:lineRule="exact"/>
              <w:ind w:firstLine="540" w:firstLineChars="225"/>
              <w:rPr>
                <w:rFonts w:hint="eastAsia"/>
                <w:sz w:val="24"/>
              </w:rPr>
            </w:pPr>
          </w:p>
          <w:p>
            <w:pPr>
              <w:spacing w:line="500" w:lineRule="exact"/>
              <w:ind w:firstLine="540" w:firstLineChars="225"/>
              <w:rPr>
                <w:rFonts w:hint="eastAsia"/>
                <w:sz w:val="24"/>
              </w:rPr>
            </w:pPr>
          </w:p>
          <w:p>
            <w:pPr>
              <w:spacing w:line="500" w:lineRule="exact"/>
              <w:ind w:firstLine="540" w:firstLineChars="225"/>
              <w:rPr>
                <w:rFonts w:hint="eastAsia"/>
                <w:sz w:val="24"/>
              </w:rPr>
            </w:pPr>
          </w:p>
          <w:p>
            <w:pPr>
              <w:spacing w:line="500" w:lineRule="exact"/>
              <w:ind w:firstLine="540" w:firstLineChars="225"/>
              <w:rPr>
                <w:rFonts w:hint="eastAsia"/>
                <w:sz w:val="24"/>
              </w:rPr>
            </w:pPr>
          </w:p>
          <w:p>
            <w:pPr>
              <w:spacing w:line="50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20" w:hRule="atLeast"/>
        </w:trPr>
        <w:tc>
          <w:tcPr>
            <w:tcW w:w="9463" w:type="dxa"/>
            <w:gridSpan w:val="13"/>
          </w:tcPr>
          <w:p>
            <w:pPr>
              <w:spacing w:line="360" w:lineRule="auto"/>
              <w:rPr>
                <w:b/>
                <w:color w:val="000000"/>
                <w:sz w:val="24"/>
                <w:szCs w:val="24"/>
              </w:rPr>
            </w:pPr>
            <w:r>
              <w:rPr>
                <w:b/>
                <w:color w:val="000000"/>
                <w:sz w:val="24"/>
              </w:rPr>
              <w:t>与本</w:t>
            </w:r>
            <w:r>
              <w:rPr>
                <w:b/>
                <w:color w:val="000000"/>
                <w:sz w:val="24"/>
                <w:szCs w:val="24"/>
              </w:rPr>
              <w:t>项目有关的原有污染情况及主要环境问题：</w:t>
            </w:r>
          </w:p>
          <w:p>
            <w:pPr>
              <w:spacing w:line="360" w:lineRule="auto"/>
              <w:ind w:firstLine="480" w:firstLineChars="200"/>
              <w:rPr>
                <w:color w:val="000000"/>
                <w:sz w:val="24"/>
              </w:rPr>
            </w:pPr>
            <w:r>
              <w:rPr>
                <w:rFonts w:hint="eastAsia"/>
                <w:color w:val="000000"/>
                <w:sz w:val="24"/>
              </w:rPr>
              <w:t>本项目为</w:t>
            </w:r>
            <w:r>
              <w:rPr>
                <w:rFonts w:hint="eastAsia"/>
                <w:color w:val="000000"/>
                <w:sz w:val="24"/>
                <w:lang w:eastAsia="zh-CN"/>
              </w:rPr>
              <w:t>岳阳经济技术开发区置田庄路</w:t>
            </w:r>
            <w:r>
              <w:rPr>
                <w:rFonts w:hint="eastAsia"/>
                <w:color w:val="000000"/>
                <w:sz w:val="24"/>
              </w:rPr>
              <w:t>地下综合管廊工程。</w:t>
            </w:r>
            <w:r>
              <w:rPr>
                <w:rFonts w:hint="eastAsia"/>
                <w:color w:val="000000"/>
                <w:sz w:val="24"/>
                <w:lang w:eastAsia="zh-CN"/>
              </w:rPr>
              <w:t>置田庄路</w:t>
            </w:r>
            <w:r>
              <w:rPr>
                <w:rFonts w:hint="eastAsia"/>
                <w:color w:val="000000"/>
                <w:sz w:val="24"/>
              </w:rPr>
              <w:t>规划为</w:t>
            </w:r>
            <w:r>
              <w:rPr>
                <w:rFonts w:hint="eastAsia"/>
                <w:color w:val="000000"/>
                <w:sz w:val="24"/>
                <w:lang w:eastAsia="zh-CN"/>
              </w:rPr>
              <w:t>岳阳经济技术开发区</w:t>
            </w:r>
            <w:r>
              <w:rPr>
                <w:rFonts w:hint="eastAsia"/>
                <w:color w:val="000000"/>
                <w:sz w:val="24"/>
              </w:rPr>
              <w:t>城市主干路，为东西走向。</w:t>
            </w:r>
          </w:p>
          <w:p>
            <w:pPr>
              <w:spacing w:line="360" w:lineRule="auto"/>
              <w:ind w:firstLine="480" w:firstLineChars="200"/>
              <w:rPr>
                <w:color w:val="000000"/>
                <w:sz w:val="24"/>
              </w:rPr>
            </w:pPr>
            <w:r>
              <w:rPr>
                <w:rFonts w:hint="eastAsia"/>
                <w:color w:val="000000"/>
                <w:sz w:val="24"/>
              </w:rPr>
              <w:t>（1）区域环境问题</w:t>
            </w:r>
          </w:p>
          <w:p>
            <w:pPr>
              <w:spacing w:line="360" w:lineRule="auto"/>
              <w:ind w:firstLine="480" w:firstLineChars="200"/>
              <w:rPr>
                <w:color w:val="000000"/>
                <w:sz w:val="24"/>
              </w:rPr>
            </w:pPr>
            <w:r>
              <w:rPr>
                <w:rFonts w:hint="eastAsia"/>
                <w:color w:val="000000"/>
                <w:sz w:val="24"/>
              </w:rPr>
              <w:t>本项目所在区域存在的主要环境问题为城市污水管网配套设施不完善，导致区域部分废水不能进入污水处理厂处理。区域内生活污水未经过处理直接排入排水沟中并流入附近水体，未能做到达标排放，对区域水体有一定影响。本项目区域位于规划</w:t>
            </w:r>
            <w:r>
              <w:rPr>
                <w:rFonts w:hint="eastAsia"/>
                <w:color w:val="000000"/>
                <w:sz w:val="24"/>
                <w:lang w:eastAsia="zh-CN"/>
              </w:rPr>
              <w:t>岳阳岳阳经济技术开发区</w:t>
            </w:r>
            <w:r>
              <w:rPr>
                <w:rFonts w:hint="eastAsia"/>
                <w:color w:val="000000"/>
                <w:sz w:val="24"/>
              </w:rPr>
              <w:t>，</w:t>
            </w:r>
            <w:r>
              <w:rPr>
                <w:rFonts w:hint="eastAsia"/>
                <w:color w:val="000000"/>
                <w:sz w:val="24"/>
                <w:lang w:val="en-US" w:eastAsia="zh-CN"/>
              </w:rPr>
              <w:t>置田庄路</w:t>
            </w:r>
            <w:r>
              <w:rPr>
                <w:rFonts w:hint="eastAsia"/>
                <w:color w:val="000000"/>
                <w:sz w:val="24"/>
              </w:rPr>
              <w:t>的建设将会完善区域内的污水管网。</w:t>
            </w:r>
          </w:p>
          <w:p>
            <w:pPr>
              <w:spacing w:line="360" w:lineRule="auto"/>
              <w:ind w:firstLine="480" w:firstLineChars="200"/>
              <w:rPr>
                <w:color w:val="000000"/>
                <w:sz w:val="24"/>
              </w:rPr>
            </w:pPr>
            <w:r>
              <w:rPr>
                <w:rFonts w:hint="eastAsia"/>
                <w:color w:val="000000"/>
                <w:sz w:val="24"/>
              </w:rPr>
              <w:t>（2）与项目有关的原有污染问题</w:t>
            </w:r>
          </w:p>
          <w:p>
            <w:pPr>
              <w:spacing w:line="360" w:lineRule="auto"/>
              <w:ind w:firstLine="480" w:firstLineChars="200"/>
              <w:rPr>
                <w:color w:val="000000"/>
                <w:sz w:val="24"/>
              </w:rPr>
            </w:pPr>
            <w:r>
              <w:rPr>
                <w:rFonts w:hint="eastAsia"/>
                <w:color w:val="000000"/>
                <w:sz w:val="24"/>
              </w:rPr>
              <w:t>本项目为新建项目，道路沿线现状多为村落、鱼塘、农田。道路沿线多分布现状灌溉沟渠。</w:t>
            </w:r>
          </w:p>
          <w:p>
            <w:pPr>
              <w:spacing w:line="360" w:lineRule="auto"/>
              <w:ind w:firstLine="480" w:firstLineChars="200"/>
              <w:rPr>
                <w:color w:val="000000"/>
                <w:sz w:val="24"/>
              </w:rPr>
            </w:pPr>
            <w:r>
              <w:rPr>
                <w:rFonts w:hint="eastAsia"/>
                <w:color w:val="000000"/>
                <w:sz w:val="24"/>
              </w:rPr>
              <w:t>项目位于</w:t>
            </w:r>
            <w:r>
              <w:rPr>
                <w:rFonts w:hint="eastAsia"/>
                <w:color w:val="000000"/>
                <w:sz w:val="24"/>
                <w:lang w:eastAsia="zh-CN"/>
              </w:rPr>
              <w:t>岳阳市岳阳经济技术开发区</w:t>
            </w:r>
            <w:r>
              <w:rPr>
                <w:rFonts w:hint="eastAsia"/>
                <w:color w:val="000000"/>
                <w:sz w:val="24"/>
              </w:rPr>
              <w:t>，目前</w:t>
            </w:r>
            <w:r>
              <w:rPr>
                <w:rFonts w:hint="eastAsia"/>
                <w:color w:val="000000"/>
                <w:sz w:val="24"/>
                <w:lang w:eastAsia="zh-CN"/>
              </w:rPr>
              <w:t>岳阳经济技术开发区</w:t>
            </w:r>
            <w:r>
              <w:rPr>
                <w:rFonts w:hint="eastAsia"/>
                <w:color w:val="000000"/>
                <w:sz w:val="24"/>
              </w:rPr>
              <w:t>作为</w:t>
            </w:r>
            <w:r>
              <w:rPr>
                <w:rFonts w:hint="eastAsia"/>
                <w:color w:val="000000"/>
                <w:sz w:val="24"/>
                <w:lang w:eastAsia="zh-CN"/>
              </w:rPr>
              <w:t>岳阳</w:t>
            </w:r>
            <w:r>
              <w:rPr>
                <w:rFonts w:hint="eastAsia"/>
                <w:color w:val="000000"/>
                <w:sz w:val="24"/>
              </w:rPr>
              <w:t>新兴城区正在建设，片区内主要道路</w:t>
            </w:r>
            <w:r>
              <w:rPr>
                <w:rFonts w:hint="eastAsia"/>
                <w:color w:val="000000"/>
                <w:sz w:val="24"/>
                <w:lang w:val="en-US" w:eastAsia="zh-CN"/>
              </w:rPr>
              <w:t>尚未建设</w:t>
            </w:r>
            <w:r>
              <w:rPr>
                <w:rFonts w:hint="eastAsia"/>
                <w:color w:val="000000"/>
                <w:sz w:val="24"/>
              </w:rPr>
              <w:t>，</w:t>
            </w:r>
            <w:r>
              <w:rPr>
                <w:rFonts w:hint="eastAsia"/>
                <w:color w:val="000000"/>
                <w:sz w:val="24"/>
                <w:lang w:eastAsia="zh-CN"/>
              </w:rPr>
              <w:t>置田庄路</w:t>
            </w:r>
            <w:r>
              <w:rPr>
                <w:rFonts w:hint="eastAsia"/>
                <w:color w:val="000000"/>
                <w:sz w:val="24"/>
              </w:rPr>
              <w:t>正在</w:t>
            </w:r>
            <w:r>
              <w:rPr>
                <w:rFonts w:hint="eastAsia"/>
                <w:color w:val="000000"/>
                <w:sz w:val="24"/>
                <w:lang w:val="en-US" w:eastAsia="zh-CN"/>
              </w:rPr>
              <w:t>前期准备</w:t>
            </w:r>
            <w:r>
              <w:rPr>
                <w:rFonts w:hint="eastAsia"/>
                <w:color w:val="000000"/>
                <w:sz w:val="24"/>
              </w:rPr>
              <w:t>，相交道路（</w:t>
            </w:r>
            <w:r>
              <w:rPr>
                <w:rFonts w:hint="eastAsia"/>
                <w:color w:val="000000"/>
                <w:sz w:val="24"/>
                <w:lang w:val="en-US" w:eastAsia="zh-CN"/>
              </w:rPr>
              <w:t>分水垄路</w:t>
            </w:r>
            <w:r>
              <w:rPr>
                <w:rFonts w:hint="eastAsia"/>
                <w:color w:val="000000"/>
                <w:sz w:val="24"/>
              </w:rPr>
              <w:t>、</w:t>
            </w:r>
            <w:r>
              <w:rPr>
                <w:rFonts w:hint="eastAsia"/>
                <w:color w:val="000000"/>
                <w:sz w:val="24"/>
                <w:lang w:val="en-US" w:eastAsia="zh-CN"/>
              </w:rPr>
              <w:t>梅子市路</w:t>
            </w:r>
            <w:r>
              <w:rPr>
                <w:rFonts w:hint="eastAsia"/>
                <w:color w:val="000000"/>
                <w:sz w:val="24"/>
              </w:rPr>
              <w:t>） 均处于方案设计阶段。</w:t>
            </w:r>
          </w:p>
          <w:p>
            <w:pPr>
              <w:spacing w:line="360" w:lineRule="auto"/>
              <w:ind w:firstLine="480" w:firstLineChars="200"/>
              <w:rPr>
                <w:color w:val="000000"/>
                <w:sz w:val="24"/>
              </w:rPr>
            </w:pPr>
            <w:r>
              <w:rPr>
                <w:rFonts w:hint="eastAsia"/>
                <w:color w:val="000000"/>
                <w:sz w:val="24"/>
              </w:rPr>
              <w:t>本工程范围内沿</w:t>
            </w:r>
            <w:r>
              <w:rPr>
                <w:rFonts w:hint="eastAsia"/>
                <w:color w:val="000000"/>
                <w:sz w:val="24"/>
                <w:lang w:eastAsia="zh-CN"/>
              </w:rPr>
              <w:t>置田庄路</w:t>
            </w:r>
            <w:r>
              <w:rPr>
                <w:rFonts w:hint="eastAsia"/>
                <w:color w:val="000000"/>
                <w:sz w:val="24"/>
              </w:rPr>
              <w:t>方向基本无管线，相交道路目前正在设计或施工阶段，管线尚未实施，道路沿线分布着现状沟渠，部分与设计道路相交，</w:t>
            </w:r>
            <w:r>
              <w:rPr>
                <w:rFonts w:hint="eastAsia"/>
                <w:color w:val="000000"/>
                <w:sz w:val="24"/>
                <w:lang w:eastAsia="zh-CN"/>
              </w:rPr>
              <w:t>置田庄路</w:t>
            </w:r>
            <w:r>
              <w:rPr>
                <w:rFonts w:hint="eastAsia"/>
                <w:color w:val="000000"/>
                <w:sz w:val="24"/>
              </w:rPr>
              <w:t>（</w:t>
            </w:r>
            <w:r>
              <w:rPr>
                <w:rFonts w:hint="eastAsia"/>
                <w:color w:val="000000"/>
                <w:sz w:val="24"/>
                <w:lang w:eastAsia="zh-CN"/>
              </w:rPr>
              <w:t>长康路~梅溪港桥</w:t>
            </w:r>
            <w:r>
              <w:rPr>
                <w:rFonts w:hint="eastAsia"/>
                <w:color w:val="000000"/>
                <w:sz w:val="24"/>
              </w:rPr>
              <w:t>）道路工程方案设计中，对现状沟渠采用管涵进行沟通、保留。</w:t>
            </w:r>
          </w:p>
          <w:p>
            <w:pPr>
              <w:spacing w:line="360" w:lineRule="auto"/>
              <w:ind w:firstLine="480" w:firstLineChars="200"/>
              <w:rPr>
                <w:rFonts w:hint="eastAsia"/>
                <w:color w:val="000000"/>
                <w:sz w:val="24"/>
              </w:rPr>
            </w:pPr>
            <w:r>
              <w:rPr>
                <w:rFonts w:hint="eastAsia"/>
                <w:color w:val="000000"/>
                <w:sz w:val="24"/>
              </w:rPr>
              <w:t>目前无与项目有关的污染情况。</w:t>
            </w:r>
          </w:p>
          <w:p>
            <w:pPr>
              <w:spacing w:line="360" w:lineRule="auto"/>
              <w:ind w:firstLine="480" w:firstLineChars="200"/>
              <w:rPr>
                <w:rFonts w:hint="eastAsia"/>
                <w:color w:val="000000"/>
                <w:sz w:val="24"/>
              </w:rPr>
            </w:pPr>
          </w:p>
          <w:p>
            <w:pPr>
              <w:spacing w:line="360" w:lineRule="auto"/>
              <w:ind w:firstLine="480" w:firstLineChars="200"/>
              <w:rPr>
                <w:rFonts w:hint="eastAsia"/>
                <w:color w:val="000000"/>
                <w:sz w:val="24"/>
              </w:rPr>
            </w:pPr>
          </w:p>
          <w:p>
            <w:pPr>
              <w:spacing w:line="360" w:lineRule="auto"/>
              <w:ind w:firstLine="480" w:firstLineChars="200"/>
              <w:rPr>
                <w:rFonts w:hint="eastAsia"/>
                <w:color w:val="000000"/>
                <w:sz w:val="24"/>
              </w:rPr>
            </w:pPr>
          </w:p>
          <w:p>
            <w:pPr>
              <w:spacing w:line="360" w:lineRule="auto"/>
              <w:ind w:firstLine="480" w:firstLineChars="200"/>
              <w:rPr>
                <w:rFonts w:hint="eastAsia"/>
                <w:color w:val="000000"/>
                <w:sz w:val="24"/>
              </w:rPr>
            </w:pPr>
          </w:p>
          <w:p>
            <w:pPr>
              <w:spacing w:line="360" w:lineRule="auto"/>
              <w:ind w:firstLine="480" w:firstLineChars="200"/>
              <w:rPr>
                <w:rFonts w:hint="eastAsia"/>
                <w:color w:val="000000"/>
                <w:sz w:val="24"/>
              </w:rPr>
            </w:pPr>
          </w:p>
          <w:p>
            <w:pPr>
              <w:spacing w:line="360" w:lineRule="auto"/>
              <w:ind w:firstLine="480" w:firstLineChars="200"/>
              <w:rPr>
                <w:rFonts w:hint="eastAsia"/>
                <w:color w:val="000000"/>
                <w:sz w:val="24"/>
              </w:rPr>
            </w:pPr>
          </w:p>
          <w:p>
            <w:pPr>
              <w:spacing w:line="360" w:lineRule="auto"/>
              <w:ind w:firstLine="480" w:firstLineChars="200"/>
              <w:rPr>
                <w:rFonts w:hint="eastAsia"/>
                <w:color w:val="000000"/>
                <w:sz w:val="24"/>
              </w:rPr>
            </w:pPr>
          </w:p>
          <w:p>
            <w:pPr>
              <w:spacing w:line="360" w:lineRule="auto"/>
              <w:ind w:firstLine="480" w:firstLineChars="200"/>
              <w:rPr>
                <w:rFonts w:hint="eastAsia"/>
                <w:color w:val="000000"/>
                <w:sz w:val="24"/>
              </w:rPr>
            </w:pPr>
          </w:p>
          <w:p>
            <w:pPr>
              <w:spacing w:line="360" w:lineRule="auto"/>
              <w:ind w:firstLine="480" w:firstLineChars="200"/>
              <w:rPr>
                <w:rFonts w:hint="eastAsia"/>
                <w:color w:val="000000"/>
                <w:sz w:val="24"/>
              </w:rPr>
            </w:pPr>
          </w:p>
          <w:p>
            <w:pPr>
              <w:spacing w:line="360" w:lineRule="auto"/>
              <w:ind w:firstLine="480" w:firstLineChars="200"/>
              <w:rPr>
                <w:rFonts w:hint="eastAsia"/>
                <w:color w:val="000000"/>
                <w:sz w:val="24"/>
              </w:rPr>
            </w:pPr>
          </w:p>
          <w:p>
            <w:pPr>
              <w:spacing w:line="360" w:lineRule="auto"/>
              <w:ind w:firstLine="480" w:firstLineChars="200"/>
              <w:rPr>
                <w:rFonts w:hint="eastAsia"/>
                <w:color w:val="000000"/>
                <w:sz w:val="24"/>
              </w:rPr>
            </w:pPr>
          </w:p>
        </w:tc>
      </w:tr>
    </w:tbl>
    <w:p>
      <w:pPr>
        <w:pStyle w:val="2"/>
        <w:numPr>
          <w:ilvl w:val="0"/>
          <w:numId w:val="0"/>
        </w:numPr>
        <w:rPr>
          <w:b/>
          <w:color w:val="000000"/>
        </w:rPr>
      </w:pPr>
      <w:bookmarkStart w:id="14" w:name="_Toc461580590"/>
      <w:r>
        <w:rPr>
          <w:rFonts w:hint="eastAsia"/>
          <w:b/>
          <w:color w:val="000000"/>
        </w:rPr>
        <w:t>二、</w:t>
      </w:r>
      <w:r>
        <w:rPr>
          <w:b/>
          <w:color w:val="000000"/>
        </w:rPr>
        <w:t>建设项目所在地自然环境、社会环境简况</w:t>
      </w:r>
      <w:bookmarkEnd w:id="14"/>
    </w:p>
    <w:tbl>
      <w:tblPr>
        <w:tblStyle w:val="43"/>
        <w:tblW w:w="94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63" w:type="dxa"/>
          </w:tcPr>
          <w:p>
            <w:pPr>
              <w:pStyle w:val="30"/>
              <w:ind w:firstLine="0" w:firstLineChars="0"/>
              <w:rPr>
                <w:rFonts w:ascii="Times New Roman"/>
                <w:b/>
                <w:bCs/>
                <w:color w:val="000000"/>
                <w:sz w:val="24"/>
                <w:szCs w:val="24"/>
              </w:rPr>
            </w:pPr>
            <w:r>
              <w:rPr>
                <w:rFonts w:ascii="Times New Roman"/>
                <w:b/>
                <w:bCs/>
                <w:color w:val="000000"/>
                <w:sz w:val="24"/>
                <w:szCs w:val="24"/>
              </w:rPr>
              <w:t>自然环境简况（地形、地貌、地质、气候、气象、水文、植被、生物多样性等）</w:t>
            </w:r>
          </w:p>
          <w:p>
            <w:pPr>
              <w:adjustRightInd w:val="0"/>
              <w:snapToGrid w:val="0"/>
              <w:spacing w:line="360" w:lineRule="auto"/>
              <w:outlineLvl w:val="1"/>
              <w:rPr>
                <w:rFonts w:hint="eastAsia"/>
                <w:b/>
                <w:sz w:val="28"/>
              </w:rPr>
            </w:pPr>
            <w:r>
              <w:rPr>
                <w:rFonts w:hint="eastAsia"/>
                <w:b/>
                <w:sz w:val="28"/>
              </w:rPr>
              <w:t>1</w:t>
            </w:r>
            <w:r>
              <w:rPr>
                <w:b/>
                <w:sz w:val="28"/>
              </w:rPr>
              <w:t xml:space="preserve"> 地理</w:t>
            </w:r>
            <w:r>
              <w:rPr>
                <w:rFonts w:hint="eastAsia"/>
                <w:b/>
                <w:sz w:val="28"/>
              </w:rPr>
              <w:t>位置</w:t>
            </w:r>
          </w:p>
          <w:p>
            <w:pPr>
              <w:pStyle w:val="72"/>
              <w:rPr>
                <w:rFonts w:hint="eastAsia" w:hAnsi="Times New Roman" w:cs="Times New Roman"/>
              </w:rPr>
            </w:pPr>
            <w:r>
              <w:rPr>
                <w:rFonts w:hAnsi="Times New Roman" w:cs="Times New Roman"/>
              </w:rPr>
              <w:t>岳阳市位于湖南省的东北部，东</w:t>
            </w:r>
            <w:r>
              <w:rPr>
                <w:rFonts w:hint="eastAsia" w:hAnsi="Times New Roman" w:cs="Times New Roman"/>
              </w:rPr>
              <w:t>经</w:t>
            </w:r>
            <w:r>
              <w:rPr>
                <w:rFonts w:hAnsi="Times New Roman" w:cs="Times New Roman"/>
              </w:rPr>
              <w:t>112度至114度，北纬28度至29度之间。岳阳经济开发区位于岳阳中心城区东部，京珠高速公路、京广铁路、107国道和武广高速铁路、随岳高速、杭瑞高速穿境而过，长江黄金水道通江达海，距长沙黄花机场135公里，武汉天河国际机场185公里，全程为高速公路。</w:t>
            </w:r>
            <w:r>
              <w:rPr>
                <w:rFonts w:hint="eastAsia" w:hAnsi="Times New Roman" w:cs="Times New Roman"/>
              </w:rPr>
              <w:t>金凤桥管理处位于岳阳经济技术开发区的东北部，具体位置见附图一。</w:t>
            </w:r>
          </w:p>
          <w:p>
            <w:pPr>
              <w:adjustRightInd w:val="0"/>
              <w:snapToGrid w:val="0"/>
              <w:spacing w:line="360" w:lineRule="auto"/>
              <w:outlineLvl w:val="1"/>
              <w:rPr>
                <w:b/>
                <w:sz w:val="28"/>
              </w:rPr>
            </w:pPr>
            <w:r>
              <w:rPr>
                <w:rFonts w:hint="eastAsia"/>
                <w:b/>
                <w:sz w:val="28"/>
              </w:rPr>
              <w:t>2</w:t>
            </w:r>
            <w:r>
              <w:rPr>
                <w:b/>
                <w:sz w:val="28"/>
              </w:rPr>
              <w:t xml:space="preserve"> 气候条件</w:t>
            </w:r>
          </w:p>
          <w:p>
            <w:pPr>
              <w:pStyle w:val="72"/>
              <w:rPr>
                <w:rFonts w:hAnsi="Times New Roman" w:cs="Times New Roman"/>
              </w:rPr>
            </w:pPr>
            <w:r>
              <w:rPr>
                <w:rFonts w:hAnsi="Times New Roman" w:cs="Times New Roman"/>
              </w:rPr>
              <w:t>岳阳市处在中亚季风气候区中，气候带上具有中亚热带向北亚热带过渡性质，属湿润的大陆性季风气候。其主要特征：严寒期短、无霜期长；春温多变、秋寒偏早；雨季明显，夏秋多旱；四季分明，季节性强；“湖陆风”盛行；“洞庭秋月”明；湖区气候均一，山地气候差异大；生长季节中光、热、水量充足，农业气候条件较好。</w:t>
            </w:r>
          </w:p>
          <w:p>
            <w:pPr>
              <w:pStyle w:val="72"/>
              <w:rPr>
                <w:rFonts w:hAnsi="Times New Roman" w:cs="Times New Roman"/>
              </w:rPr>
            </w:pPr>
            <w:r>
              <w:rPr>
                <w:rFonts w:hAnsi="Times New Roman" w:cs="Times New Roman"/>
              </w:rPr>
              <w:t>年平均气温在16.4～17.0℃之间。南部的平江、汨罗、湘阴及屈原农场为16.8～16.9℃；城区受洞庭湖水体和城市“热岛效应”的影响，年平均气温偏高，为17.0℃。境内极端最高气温为39.3～40.4℃，极端最低气温为－11.8～一18.1℃。年平均气温日较差为6.6～9.1℃，湖区6.6～7.4℃，山丘区7.6～9.4℃，气温日较差以9～11月为大。年日照时数为1662.1～1764.1小时，呈北部比南部多，西部比东部多的分布格局。市区年平均风速为2.</w:t>
            </w:r>
            <w:r>
              <w:rPr>
                <w:rFonts w:hint="eastAsia" w:hAnsi="Times New Roman" w:cs="Times New Roman"/>
              </w:rPr>
              <w:t>6</w:t>
            </w:r>
            <w:r>
              <w:rPr>
                <w:rFonts w:hAnsi="Times New Roman" w:cs="Times New Roman"/>
              </w:rPr>
              <w:t>米／秒，年最多风向为东北偏北风。年降雨量1211.3～1463.9mm，年平均降水量为1302mm，历年最大日降雨量为265.3mm</w:t>
            </w:r>
            <w:r>
              <w:rPr>
                <w:rFonts w:hint="eastAsia" w:hAnsi="Times New Roman" w:cs="Times New Roman"/>
              </w:rPr>
              <w:t>。</w:t>
            </w:r>
          </w:p>
          <w:p>
            <w:pPr>
              <w:adjustRightInd w:val="0"/>
              <w:snapToGrid w:val="0"/>
              <w:spacing w:line="360" w:lineRule="auto"/>
              <w:outlineLvl w:val="1"/>
              <w:rPr>
                <w:rFonts w:hint="eastAsia"/>
                <w:b/>
                <w:sz w:val="28"/>
              </w:rPr>
            </w:pPr>
            <w:r>
              <w:rPr>
                <w:rFonts w:hint="eastAsia"/>
                <w:b/>
                <w:sz w:val="28"/>
              </w:rPr>
              <w:t>3 水文地质</w:t>
            </w:r>
          </w:p>
          <w:p>
            <w:pPr>
              <w:pStyle w:val="72"/>
              <w:rPr>
                <w:rFonts w:hint="eastAsia" w:hAnsi="Times New Roman" w:cs="Times New Roman"/>
              </w:rPr>
            </w:pPr>
            <w:r>
              <w:rPr>
                <w:rFonts w:hint="eastAsia" w:hAnsi="Times New Roman" w:cs="Times New Roman"/>
              </w:rPr>
              <w:t>（1） 地下水</w:t>
            </w:r>
          </w:p>
          <w:p>
            <w:pPr>
              <w:pStyle w:val="72"/>
              <w:rPr>
                <w:rFonts w:hint="eastAsia" w:hAnsi="Times New Roman" w:cs="Times New Roman"/>
              </w:rPr>
            </w:pPr>
            <w:r>
              <w:rPr>
                <w:rFonts w:hint="eastAsia" w:hAnsi="Times New Roman" w:cs="Times New Roman"/>
              </w:rPr>
              <w:t>场区根据地下水赋存介质及水动力特征，分为孔隙水和基岩裂隙水。</w:t>
            </w:r>
          </w:p>
          <w:p>
            <w:pPr>
              <w:pStyle w:val="72"/>
              <w:rPr>
                <w:rFonts w:hint="eastAsia" w:hAnsi="Times New Roman" w:cs="Times New Roman"/>
              </w:rPr>
            </w:pPr>
            <w:r>
              <w:rPr>
                <w:rFonts w:hint="eastAsia" w:hAnsi="Times New Roman" w:cs="Times New Roman"/>
              </w:rPr>
              <w:t>孔隙水：主要赋存于表层耕土中，主要接收大气降水补给，受季节影响，变化明显。</w:t>
            </w:r>
          </w:p>
          <w:p>
            <w:pPr>
              <w:pStyle w:val="72"/>
              <w:rPr>
                <w:rFonts w:hint="eastAsia" w:hAnsi="Times New Roman" w:cs="Times New Roman"/>
              </w:rPr>
            </w:pPr>
            <w:r>
              <w:rPr>
                <w:rFonts w:hint="eastAsia" w:hAnsi="Times New Roman" w:cs="Times New Roman"/>
              </w:rPr>
              <w:t>基岩裂隙水：赋存于基岩裂隙中，主要受表面覆盖中的空隙水补给，水量贫乏，地下水系不发育。</w:t>
            </w:r>
          </w:p>
          <w:p>
            <w:pPr>
              <w:pStyle w:val="72"/>
              <w:rPr>
                <w:rFonts w:hint="eastAsia" w:hAnsi="Times New Roman" w:cs="Times New Roman"/>
              </w:rPr>
            </w:pPr>
            <w:r>
              <w:rPr>
                <w:rFonts w:hint="eastAsia" w:hAnsi="Times New Roman" w:cs="Times New Roman"/>
              </w:rPr>
              <w:t>地表水</w:t>
            </w:r>
          </w:p>
          <w:p>
            <w:pPr>
              <w:pStyle w:val="72"/>
              <w:rPr>
                <w:rFonts w:hint="eastAsia" w:hAnsi="Times New Roman" w:cs="Times New Roman"/>
              </w:rPr>
            </w:pPr>
            <w:r>
              <w:rPr>
                <w:rFonts w:hint="eastAsia" w:hAnsi="Times New Roman" w:cs="Times New Roman"/>
              </w:rPr>
              <w:t>地表水主要为池塘水和雨季积水，主要受大气降水影响。</w:t>
            </w:r>
          </w:p>
          <w:p>
            <w:pPr>
              <w:pStyle w:val="72"/>
              <w:rPr>
                <w:rFonts w:hint="eastAsia" w:hAnsi="Times New Roman" w:cs="Times New Roman"/>
              </w:rPr>
            </w:pPr>
            <w:r>
              <w:rPr>
                <w:rFonts w:hint="eastAsia" w:hAnsi="Times New Roman" w:cs="Times New Roman"/>
              </w:rPr>
              <w:t>拟建场区为东高西低的低丘冲沟地貌，场区内地表水由东边低丘向西边冲沟汇集，冲沟内的水依据地势的高低自北向南坡降排泄。</w:t>
            </w:r>
          </w:p>
          <w:p>
            <w:pPr>
              <w:pStyle w:val="72"/>
              <w:rPr>
                <w:sz w:val="24"/>
              </w:rPr>
            </w:pPr>
            <w:r>
              <w:rPr>
                <w:rFonts w:hint="eastAsia" w:hAnsi="Times New Roman" w:cs="Times New Roman"/>
              </w:rPr>
              <w:t>从区域水文分析来看，地表水径流整体随岳阳市东高西低的地形，然后自北向南，自东向西流向洞庭湖。场区附近无酸性污水及化工污水排入。</w:t>
            </w:r>
          </w:p>
          <w:p>
            <w:pPr>
              <w:adjustRightInd w:val="0"/>
              <w:snapToGrid w:val="0"/>
              <w:spacing w:line="360" w:lineRule="auto"/>
              <w:outlineLvl w:val="1"/>
              <w:rPr>
                <w:rFonts w:hint="eastAsia"/>
                <w:b/>
                <w:sz w:val="28"/>
              </w:rPr>
            </w:pPr>
            <w:r>
              <w:rPr>
                <w:rFonts w:hint="eastAsia"/>
                <w:b/>
                <w:sz w:val="28"/>
              </w:rPr>
              <w:t>4 工程地质</w:t>
            </w:r>
          </w:p>
          <w:p>
            <w:pPr>
              <w:spacing w:line="360" w:lineRule="auto"/>
              <w:ind w:firstLine="480" w:firstLineChars="200"/>
              <w:rPr>
                <w:rFonts w:hint="eastAsia" w:ascii="宋体" w:hAnsi="宋体"/>
                <w:color w:val="000000"/>
                <w:sz w:val="24"/>
              </w:rPr>
            </w:pPr>
            <w:r>
              <w:rPr>
                <w:rFonts w:hint="eastAsia" w:ascii="宋体" w:hAnsi="宋体"/>
                <w:color w:val="000000"/>
                <w:sz w:val="24"/>
              </w:rPr>
              <w:t>本项目区域构造背景是以北西向构造构成基地，东西向构造横贯全区，北东向构造纵贯南北，构成本区主要格架。</w:t>
            </w:r>
          </w:p>
          <w:p>
            <w:pPr>
              <w:spacing w:line="360" w:lineRule="auto"/>
              <w:ind w:firstLine="480" w:firstLineChars="200"/>
              <w:rPr>
                <w:rFonts w:hint="eastAsia" w:ascii="宋体" w:hAnsi="宋体"/>
                <w:color w:val="000000"/>
                <w:sz w:val="24"/>
              </w:rPr>
            </w:pPr>
            <w:r>
              <w:rPr>
                <w:rFonts w:hint="eastAsia" w:ascii="宋体" w:hAnsi="宋体"/>
                <w:color w:val="000000"/>
                <w:sz w:val="24"/>
              </w:rPr>
              <w:t>岳阳处于石门—华容—临湘东西构造带与新华厦构造体系构造符合部位，基底构造为北西——北西西向分布的土马坳扇形背斜，盖层构造有临湘东西向向斜和北西向新开圹——郭镇向斜。北东向断裂构造有湘阴——洪湖大断裂（湘江断裂）。</w:t>
            </w:r>
          </w:p>
          <w:p>
            <w:pPr>
              <w:numPr>
                <w:ilvl w:val="0"/>
                <w:numId w:val="3"/>
              </w:numPr>
              <w:spacing w:line="360" w:lineRule="auto"/>
              <w:ind w:firstLine="480" w:firstLineChars="200"/>
              <w:rPr>
                <w:color w:val="000000"/>
                <w:sz w:val="24"/>
              </w:rPr>
            </w:pPr>
            <w:r>
              <w:rPr>
                <w:rFonts w:hAnsi="宋体"/>
                <w:color w:val="000000"/>
                <w:sz w:val="24"/>
              </w:rPr>
              <w:t>土马坳倒转扇形背斜</w:t>
            </w:r>
          </w:p>
          <w:p>
            <w:pPr>
              <w:spacing w:line="360" w:lineRule="auto"/>
              <w:ind w:firstLine="480" w:firstLineChars="200"/>
              <w:rPr>
                <w:color w:val="000000"/>
                <w:sz w:val="24"/>
              </w:rPr>
            </w:pPr>
            <w:r>
              <w:rPr>
                <w:rFonts w:hAnsi="宋体"/>
                <w:color w:val="000000"/>
                <w:sz w:val="24"/>
              </w:rPr>
              <w:t>土马坳扇形背斜：为区内主要褶皱构造，其轴部见于土马坳</w:t>
            </w:r>
            <w:r>
              <w:rPr>
                <w:color w:val="000000"/>
                <w:sz w:val="24"/>
              </w:rPr>
              <w:t>——</w:t>
            </w:r>
            <w:r>
              <w:rPr>
                <w:rFonts w:hAnsi="宋体"/>
                <w:color w:val="000000"/>
                <w:sz w:val="24"/>
              </w:rPr>
              <w:t>大云山一带，西起长江边的芭蕉湖一带，向东南经土马坳至桃林附近被上白垩下的第三系</w:t>
            </w:r>
            <w:r>
              <w:rPr>
                <w:color w:val="000000"/>
                <w:sz w:val="24"/>
              </w:rPr>
              <w:t>“</w:t>
            </w:r>
            <w:r>
              <w:rPr>
                <w:rFonts w:hAnsi="宋体"/>
                <w:color w:val="000000"/>
                <w:sz w:val="24"/>
              </w:rPr>
              <w:t>红层</w:t>
            </w:r>
            <w:r>
              <w:rPr>
                <w:color w:val="000000"/>
                <w:sz w:val="24"/>
              </w:rPr>
              <w:t>”</w:t>
            </w:r>
            <w:r>
              <w:rPr>
                <w:rFonts w:hAnsi="宋体"/>
                <w:color w:val="000000"/>
                <w:sz w:val="24"/>
              </w:rPr>
              <w:t>覆盖，再往东南至方山岭被花岗岩吞没，背斜核部由冷家溪群第二岩组的灰绿色粉砂质板岩夹泥质板岩组成，岩性较软，易于风化，地貌上形成丘陵，两翼由变质砂岩、板岩组成，北翼岩层产状向南东倾，倾角</w:t>
            </w:r>
            <w:r>
              <w:rPr>
                <w:color w:val="000000"/>
                <w:sz w:val="24"/>
              </w:rPr>
              <w:t>50-84</w:t>
            </w:r>
            <w:r>
              <w:rPr>
                <w:rFonts w:hAnsi="宋体"/>
                <w:color w:val="000000"/>
                <w:sz w:val="24"/>
              </w:rPr>
              <w:t>度，南翼产状由于倒转倾向北东，倾角</w:t>
            </w:r>
            <w:r>
              <w:rPr>
                <w:color w:val="000000"/>
                <w:sz w:val="24"/>
              </w:rPr>
              <w:t>30-86</w:t>
            </w:r>
            <w:r>
              <w:rPr>
                <w:rFonts w:hAnsi="宋体"/>
                <w:color w:val="000000"/>
                <w:sz w:val="24"/>
              </w:rPr>
              <w:t>度，倾向</w:t>
            </w:r>
            <w:r>
              <w:rPr>
                <w:color w:val="000000"/>
                <w:sz w:val="24"/>
              </w:rPr>
              <w:t>30-75</w:t>
            </w:r>
            <w:r>
              <w:rPr>
                <w:rFonts w:hAnsi="宋体"/>
                <w:color w:val="000000"/>
                <w:sz w:val="24"/>
              </w:rPr>
              <w:t>度。</w:t>
            </w:r>
          </w:p>
          <w:p>
            <w:pPr>
              <w:numPr>
                <w:ilvl w:val="0"/>
                <w:numId w:val="3"/>
              </w:numPr>
              <w:spacing w:line="360" w:lineRule="auto"/>
              <w:ind w:firstLine="480" w:firstLineChars="200"/>
              <w:rPr>
                <w:color w:val="000000"/>
                <w:sz w:val="24"/>
              </w:rPr>
            </w:pPr>
            <w:r>
              <w:rPr>
                <w:rFonts w:hAnsi="宋体"/>
                <w:color w:val="000000"/>
                <w:sz w:val="24"/>
              </w:rPr>
              <w:t>新开塘</w:t>
            </w:r>
            <w:r>
              <w:rPr>
                <w:color w:val="000000"/>
                <w:sz w:val="24"/>
              </w:rPr>
              <w:t>-</w:t>
            </w:r>
            <w:r>
              <w:rPr>
                <w:rFonts w:hAnsi="宋体"/>
                <w:color w:val="000000"/>
                <w:sz w:val="24"/>
              </w:rPr>
              <w:t>郭镇向斜</w:t>
            </w:r>
          </w:p>
          <w:p>
            <w:pPr>
              <w:spacing w:line="360" w:lineRule="auto"/>
              <w:ind w:firstLine="480" w:firstLineChars="200"/>
              <w:rPr>
                <w:color w:val="000000"/>
                <w:sz w:val="24"/>
              </w:rPr>
            </w:pPr>
            <w:r>
              <w:rPr>
                <w:rFonts w:hAnsi="宋体"/>
                <w:color w:val="000000"/>
                <w:sz w:val="24"/>
              </w:rPr>
              <w:t>新开塘</w:t>
            </w:r>
            <w:r>
              <w:rPr>
                <w:color w:val="000000"/>
                <w:sz w:val="24"/>
              </w:rPr>
              <w:t>-</w:t>
            </w:r>
            <w:r>
              <w:rPr>
                <w:rFonts w:hAnsi="宋体"/>
                <w:color w:val="000000"/>
                <w:sz w:val="24"/>
              </w:rPr>
              <w:t>郭镇向斜：该向斜在冷家溪群第三岩组褶皱基底上，由覆盖的震旦系和寒武系底层组成。寒武系构成向斜轴部，两翼为震旦系底层，并有花岗岩侵入，以新开塘为轴部，呈北西</w:t>
            </w:r>
            <w:r>
              <w:rPr>
                <w:color w:val="000000"/>
                <w:sz w:val="24"/>
              </w:rPr>
              <w:t>310-340</w:t>
            </w:r>
            <w:r>
              <w:rPr>
                <w:rFonts w:hAnsi="宋体"/>
                <w:color w:val="000000"/>
                <w:sz w:val="24"/>
              </w:rPr>
              <w:t>度方向延伸，轴长</w:t>
            </w:r>
            <w:r>
              <w:rPr>
                <w:color w:val="000000"/>
                <w:sz w:val="24"/>
              </w:rPr>
              <w:t>16</w:t>
            </w:r>
            <w:r>
              <w:rPr>
                <w:rFonts w:hAnsi="宋体"/>
                <w:color w:val="000000"/>
                <w:sz w:val="24"/>
              </w:rPr>
              <w:t>公里，西北段为第四系覆盖，起自湖滨，向南东延伸，经新开塘、马家店附近被上白垩系地层所覆，该向斜形成时间相当加里东运动。</w:t>
            </w:r>
          </w:p>
          <w:p>
            <w:pPr>
              <w:numPr>
                <w:ilvl w:val="0"/>
                <w:numId w:val="3"/>
              </w:numPr>
              <w:spacing w:line="360" w:lineRule="auto"/>
              <w:ind w:firstLine="480" w:firstLineChars="200"/>
              <w:rPr>
                <w:color w:val="000000"/>
                <w:sz w:val="24"/>
              </w:rPr>
            </w:pPr>
            <w:r>
              <w:rPr>
                <w:rFonts w:hAnsi="宋体"/>
                <w:color w:val="000000"/>
                <w:sz w:val="24"/>
              </w:rPr>
              <w:t>新构造活动</w:t>
            </w:r>
          </w:p>
          <w:p>
            <w:pPr>
              <w:spacing w:line="360" w:lineRule="auto"/>
              <w:ind w:firstLine="480" w:firstLineChars="200"/>
              <w:rPr>
                <w:rFonts w:hint="eastAsia" w:ascii="宋体" w:hAnsi="宋体"/>
                <w:color w:val="000000"/>
                <w:sz w:val="24"/>
              </w:rPr>
            </w:pPr>
            <w:r>
              <w:rPr>
                <w:rFonts w:hAnsi="宋体"/>
                <w:color w:val="000000"/>
                <w:sz w:val="24"/>
              </w:rPr>
              <w:t>新构造</w:t>
            </w:r>
            <w:r>
              <w:rPr>
                <w:rFonts w:hint="eastAsia" w:ascii="宋体" w:hAnsi="宋体"/>
                <w:color w:val="000000"/>
                <w:sz w:val="24"/>
              </w:rPr>
              <w:t>活动主要反应在洞庭湖、湘江东岸一带，湖泊分布，一些列水系亦受北北东、北西和东西向构造的复合控制，新构造活动具有继承性特性，侵蚀地形的地貌景观，阶地发育反应振荡抬升运动的直接形象，第四系沉积物展布、河流、湖泊变迁，差异性升降均与新构造活动有关。</w:t>
            </w:r>
          </w:p>
          <w:p>
            <w:pPr>
              <w:spacing w:line="360" w:lineRule="auto"/>
              <w:ind w:firstLine="480" w:firstLineChars="200"/>
              <w:rPr>
                <w:rFonts w:hint="eastAsia" w:ascii="宋体" w:hAnsi="宋体"/>
                <w:color w:val="000000"/>
                <w:sz w:val="24"/>
              </w:rPr>
            </w:pPr>
            <w:r>
              <w:rPr>
                <w:rFonts w:hint="eastAsia" w:ascii="宋体" w:hAnsi="宋体"/>
                <w:color w:val="000000"/>
                <w:sz w:val="24"/>
              </w:rPr>
              <w:t>场区地质构造：从区域构造分析，该区属石门—华容—临湘东西构造带与新华厦构造体系构造复合部位，场地位于土马坳扇形背斜的东北翼，场地基地构造为NW向褶皱构造，据钻探资料，场地内无大的活动断裂通过，基底岩层为单斜岩层，构造相对简单。</w:t>
            </w:r>
          </w:p>
          <w:p>
            <w:pPr>
              <w:spacing w:line="360" w:lineRule="auto"/>
              <w:ind w:firstLine="480" w:firstLineChars="200"/>
              <w:rPr>
                <w:rFonts w:hint="eastAsia" w:ascii="宋体" w:hAnsi="宋体"/>
                <w:color w:val="000000"/>
                <w:sz w:val="24"/>
              </w:rPr>
            </w:pPr>
            <w:r>
              <w:rPr>
                <w:rFonts w:hint="eastAsia" w:ascii="宋体" w:hAnsi="宋体"/>
                <w:color w:val="000000"/>
                <w:sz w:val="24"/>
              </w:rPr>
              <w:t>勘察未见岩溶、土洞、可液化底层、活动性断裂、危岩（崩塌）、滑坡等不良地质现象。</w:t>
            </w:r>
          </w:p>
          <w:p>
            <w:pPr>
              <w:adjustRightInd w:val="0"/>
              <w:snapToGrid w:val="0"/>
              <w:spacing w:line="360" w:lineRule="auto"/>
              <w:outlineLvl w:val="1"/>
              <w:rPr>
                <w:b/>
                <w:sz w:val="28"/>
              </w:rPr>
            </w:pPr>
            <w:r>
              <w:rPr>
                <w:rFonts w:hint="eastAsia"/>
                <w:b/>
                <w:sz w:val="28"/>
              </w:rPr>
              <w:t>5</w:t>
            </w:r>
            <w:r>
              <w:rPr>
                <w:b/>
                <w:sz w:val="28"/>
              </w:rPr>
              <w:t>河流水系及水文</w:t>
            </w:r>
          </w:p>
          <w:p>
            <w:pPr>
              <w:pStyle w:val="72"/>
              <w:rPr>
                <w:rFonts w:hAnsi="Times New Roman" w:cs="Times New Roman"/>
              </w:rPr>
            </w:pPr>
            <w:r>
              <w:rPr>
                <w:rFonts w:hAnsi="Times New Roman" w:cs="Times New Roman"/>
              </w:rPr>
              <w:t>岳阳市居长江中游，湖泊星布，河流网织，水系发达。境内有5公里以上的河流265条，其中50公里以上的6条，有大小湖泊165个，内湖面积48.02万亩。河流、湖泊分别属于洞庭湖水系、滨江水系和鄱阳湖水系。</w:t>
            </w:r>
          </w:p>
          <w:p>
            <w:pPr>
              <w:pStyle w:val="72"/>
              <w:rPr>
                <w:rFonts w:hAnsi="Times New Roman" w:cs="Times New Roman"/>
              </w:rPr>
            </w:pPr>
            <w:r>
              <w:rPr>
                <w:rFonts w:hAnsi="Times New Roman" w:cs="Times New Roman"/>
              </w:rPr>
              <w:t>1．湖泊。</w:t>
            </w:r>
            <w:r>
              <w:rPr>
                <w:rFonts w:hint="eastAsia" w:hAnsi="Times New Roman" w:cs="Times New Roman"/>
              </w:rPr>
              <w:t>本项目区域内地表径流最终进入洞庭湖。</w:t>
            </w:r>
            <w:r>
              <w:rPr>
                <w:rFonts w:hAnsi="Times New Roman" w:cs="Times New Roman"/>
              </w:rPr>
              <w:t>洞庭湖。位于长江中游荆江南岸，北纬28°30′～30°20′，东经110°40′～113°10′。地跨湘、鄂两省的5个地(市)、18个县、15个国营农场。总面积为2692平方公里。洞庭湖现分为东洞庭湖、南洞庭湖和西洞庭湖三个部分。东洞庭湖全境都在岳阳市，面积1327.8平方公里；南洞庭湖跨岳阳市境与益阳地区之间，面积920平方公里；西洞庭湖在益阳地区、常德市境，面积443.9平方公里。其中，岳阳市境湖泊面积为1750平方公里，占湖泊总面积的三分之二。</w:t>
            </w:r>
          </w:p>
          <w:p>
            <w:pPr>
              <w:pStyle w:val="72"/>
              <w:rPr>
                <w:rFonts w:hAnsi="Times New Roman" w:cs="Times New Roman"/>
              </w:rPr>
            </w:pPr>
            <w:r>
              <w:rPr>
                <w:rFonts w:hAnsi="Times New Roman" w:cs="Times New Roman"/>
              </w:rPr>
              <w:t>2．河流。河流除长江、湘江、资水以外，5公里以上的河流有265条，其中10公里以上的126条，50公里以上的6条。</w:t>
            </w:r>
          </w:p>
          <w:p>
            <w:pPr>
              <w:pStyle w:val="72"/>
              <w:rPr>
                <w:rFonts w:hAnsi="Times New Roman" w:cs="Times New Roman"/>
              </w:rPr>
            </w:pPr>
            <w:r>
              <w:rPr>
                <w:rFonts w:hAnsi="Times New Roman" w:cs="Times New Roman"/>
              </w:rPr>
              <w:t>长江自华容县塔市驿镇五马口入境，流经塔市驿、洪山头、洪水港、广兴洲、城陵矶、陆城、江南至黄盖湖铁山嘴出境，境内流程158.5公里。长江南岸有松滋、虎渡、藕池、调弦四口分流长江洪水入洞庭湖，与湘、资、沅、澧四水汇合后，于城陵矶再注长江。</w:t>
            </w:r>
          </w:p>
          <w:p>
            <w:pPr>
              <w:pStyle w:val="72"/>
              <w:rPr>
                <w:rFonts w:hAnsi="Times New Roman" w:cs="Times New Roman"/>
              </w:rPr>
            </w:pPr>
          </w:p>
          <w:p>
            <w:pPr>
              <w:pStyle w:val="72"/>
              <w:rPr>
                <w:rFonts w:hAnsi="Times New Roman" w:cs="Times New Roman"/>
              </w:rPr>
            </w:pPr>
          </w:p>
          <w:p>
            <w:pPr>
              <w:pStyle w:val="72"/>
              <w:rPr>
                <w:rFonts w:hAnsi="Times New Roman" w:cs="Times New Roman"/>
              </w:rPr>
            </w:pPr>
          </w:p>
          <w:p>
            <w:pPr>
              <w:pStyle w:val="72"/>
              <w:rPr>
                <w:rFonts w:hAnsi="Times New Roman" w:cs="Times New Roman"/>
              </w:rPr>
            </w:pPr>
          </w:p>
          <w:p>
            <w:pPr>
              <w:pStyle w:val="72"/>
              <w:rPr>
                <w:rFonts w:hAnsi="Times New Roman" w:cs="Times New Roman"/>
              </w:rPr>
            </w:pPr>
          </w:p>
          <w:p>
            <w:pPr>
              <w:pStyle w:val="72"/>
              <w:rPr>
                <w:rFonts w:hAnsi="Times New Roman" w:cs="Times New Roman"/>
              </w:rPr>
            </w:pPr>
          </w:p>
          <w:p>
            <w:pPr>
              <w:pStyle w:val="72"/>
              <w:rPr>
                <w:rFonts w:hAnsi="Times New Roman" w:cs="Times New Roman"/>
              </w:rPr>
            </w:pPr>
          </w:p>
          <w:p>
            <w:pPr>
              <w:pStyle w:val="72"/>
              <w:rPr>
                <w:rFonts w:hAnsi="Times New Roman" w:cs="Times New Roman"/>
              </w:rPr>
            </w:pPr>
          </w:p>
          <w:p>
            <w:pPr>
              <w:pStyle w:val="72"/>
              <w:rPr>
                <w:rFonts w:hAnsi="Times New Roman" w:cs="Times New Roman"/>
              </w:rPr>
            </w:pPr>
          </w:p>
          <w:p>
            <w:pPr>
              <w:pStyle w:val="72"/>
              <w:rPr>
                <w:rFonts w:hAnsi="Times New Roman" w:cs="Times New Roman"/>
              </w:rPr>
            </w:pPr>
          </w:p>
          <w:p>
            <w:pPr>
              <w:pStyle w:val="72"/>
              <w:rPr>
                <w:rFonts w:hAnsi="Times New Roman" w:cs="Times New Roman"/>
              </w:rPr>
            </w:pPr>
          </w:p>
          <w:p>
            <w:pPr>
              <w:pStyle w:val="101"/>
              <w:ind w:firstLine="480"/>
            </w:pPr>
          </w:p>
        </w:tc>
      </w:tr>
    </w:tbl>
    <w:p/>
    <w:tbl>
      <w:tblPr>
        <w:tblStyle w:val="42"/>
        <w:tblW w:w="9361" w:type="dxa"/>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383" w:hRule="atLeast"/>
        </w:trPr>
        <w:tc>
          <w:tcPr>
            <w:tcW w:w="9361" w:type="dxa"/>
          </w:tcPr>
          <w:p>
            <w:pPr>
              <w:spacing w:line="450" w:lineRule="exact"/>
              <w:rPr>
                <w:b/>
                <w:color w:val="000000"/>
                <w:sz w:val="24"/>
              </w:rPr>
            </w:pPr>
            <w:r>
              <w:rPr>
                <w:b/>
                <w:color w:val="000000"/>
                <w:sz w:val="24"/>
              </w:rPr>
              <w:t>社会环境简况（社会经济结构、教育、文化、文物保护等）：</w:t>
            </w:r>
          </w:p>
          <w:p>
            <w:pPr>
              <w:pStyle w:val="72"/>
              <w:rPr>
                <w:rFonts w:hint="eastAsia" w:hAnsi="Times New Roman" w:cs="Times New Roman"/>
                <w:b/>
                <w:bCs/>
                <w:lang w:val="zh-CN"/>
              </w:rPr>
            </w:pPr>
            <w:r>
              <w:rPr>
                <w:rFonts w:hint="eastAsia" w:hAnsi="Times New Roman" w:cs="Times New Roman"/>
                <w:b/>
                <w:bCs/>
                <w:lang w:val="en-US" w:eastAsia="zh-CN"/>
              </w:rPr>
              <w:t>1、</w:t>
            </w:r>
            <w:r>
              <w:rPr>
                <w:rFonts w:hAnsi="Times New Roman" w:cs="Times New Roman"/>
                <w:b/>
                <w:bCs/>
                <w:lang w:val="zh-CN"/>
              </w:rPr>
              <w:t>社会经济</w:t>
            </w:r>
          </w:p>
          <w:p>
            <w:pPr>
              <w:pStyle w:val="72"/>
              <w:rPr>
                <w:rFonts w:hAnsi="Times New Roman" w:cs="Times New Roman"/>
                <w:lang w:val="zh-CN"/>
              </w:rPr>
            </w:pPr>
            <w:r>
              <w:rPr>
                <w:rFonts w:hAnsi="Times New Roman" w:cs="Times New Roman"/>
                <w:lang w:val="zh-CN"/>
              </w:rPr>
              <w:t>2015年国内生产总值2886.28亿元，比上年增长8.7%。其中，第一产业增加值317.16亿元，增长3.9%；第二产业增加值1446.83亿元，增长7.8%；第三产业增加值1122.29亿元，增长11.6%。第一产业增加值占国内生产总值的比重为11.0%，第二产业增加值比重为50.1%，第三产业增加值比重为38.9%。</w:t>
            </w:r>
          </w:p>
          <w:p>
            <w:pPr>
              <w:pStyle w:val="72"/>
              <w:rPr>
                <w:rFonts w:hAnsi="Times New Roman" w:cs="Times New Roman"/>
                <w:lang w:val="zh-CN"/>
              </w:rPr>
            </w:pPr>
            <w:r>
              <w:rPr>
                <w:rFonts w:hAnsi="Times New Roman" w:cs="Times New Roman"/>
                <w:lang w:val="zh-CN"/>
              </w:rPr>
              <w:t>1</w:t>
            </w:r>
            <w:r>
              <w:rPr>
                <w:rFonts w:hint="eastAsia" w:hAnsi="Times New Roman" w:cs="Times New Roman"/>
                <w:lang w:val="zh-CN"/>
              </w:rPr>
              <w:t>)</w:t>
            </w:r>
            <w:r>
              <w:rPr>
                <w:rFonts w:hAnsi="Times New Roman" w:cs="Times New Roman"/>
                <w:lang w:val="zh-CN"/>
              </w:rPr>
              <w:t>第一产业</w:t>
            </w:r>
          </w:p>
          <w:p>
            <w:pPr>
              <w:pStyle w:val="72"/>
              <w:rPr>
                <w:rFonts w:hAnsi="Times New Roman" w:cs="Times New Roman"/>
                <w:lang w:val="zh-CN"/>
              </w:rPr>
            </w:pPr>
            <w:r>
              <w:rPr>
                <w:rFonts w:hAnsi="Times New Roman" w:cs="Times New Roman"/>
                <w:lang w:val="zh-CN"/>
              </w:rPr>
              <w:t>2015年粮食种植面积562.01千公顷，比上年增长1.3%。棉花种植面积36.72千公顷，下降5.3%。油料种植面积129.39千公顷，增长3.5%。蔬菜种植面积99.82千公顷，增长2.5%。</w:t>
            </w:r>
          </w:p>
          <w:p>
            <w:pPr>
              <w:pStyle w:val="72"/>
              <w:rPr>
                <w:rFonts w:hAnsi="Times New Roman" w:cs="Times New Roman"/>
                <w:lang w:val="zh-CN"/>
              </w:rPr>
            </w:pPr>
            <w:r>
              <w:rPr>
                <w:rFonts w:hAnsi="Times New Roman" w:cs="Times New Roman"/>
                <w:lang w:val="zh-CN"/>
              </w:rPr>
              <w:t>全年粮食产量324.11万吨，比上年增产1.7%。棉花产量5.34万吨，减产5.3%。油料产量22.16万吨，增产2.5%。蔬菜产量324.45万吨，增产3.7%。茶叶产量1.81万吨，增产1.7%。</w:t>
            </w:r>
          </w:p>
          <w:p>
            <w:pPr>
              <w:pStyle w:val="72"/>
              <w:rPr>
                <w:rFonts w:hAnsi="Times New Roman" w:cs="Times New Roman"/>
                <w:lang w:val="zh-CN"/>
              </w:rPr>
            </w:pPr>
            <w:r>
              <w:rPr>
                <w:rFonts w:hAnsi="Times New Roman" w:cs="Times New Roman"/>
                <w:lang w:val="zh-CN"/>
              </w:rPr>
              <w:t>2</w:t>
            </w:r>
            <w:r>
              <w:rPr>
                <w:rFonts w:hint="eastAsia" w:hAnsi="Times New Roman" w:cs="Times New Roman"/>
                <w:lang w:val="zh-CN"/>
              </w:rPr>
              <w:t>)</w:t>
            </w:r>
            <w:r>
              <w:rPr>
                <w:rFonts w:hAnsi="Times New Roman" w:cs="Times New Roman"/>
                <w:lang w:val="zh-CN"/>
              </w:rPr>
              <w:t>第二产业</w:t>
            </w:r>
          </w:p>
          <w:p>
            <w:pPr>
              <w:pStyle w:val="72"/>
              <w:rPr>
                <w:rFonts w:hAnsi="Times New Roman" w:cs="Times New Roman"/>
                <w:lang w:val="zh-CN"/>
              </w:rPr>
            </w:pPr>
            <w:r>
              <w:rPr>
                <w:rFonts w:hAnsi="Times New Roman" w:cs="Times New Roman"/>
                <w:lang w:val="zh-CN"/>
              </w:rPr>
              <w:t>2015年全部工业增加值1307.5亿元，比上年增长8.1%。规模以上工业增加值增长8.3%。在规模以上工业中，分经济类型看，国有企业增长9.8%，集体企业下降13.6%，股份制企业增长8.8%，外商及港澳台商投资企业增长13.2%。</w:t>
            </w:r>
          </w:p>
          <w:p>
            <w:pPr>
              <w:pStyle w:val="72"/>
              <w:rPr>
                <w:rFonts w:hAnsi="Times New Roman" w:cs="Times New Roman"/>
                <w:lang w:val="zh-CN"/>
              </w:rPr>
            </w:pPr>
            <w:r>
              <w:rPr>
                <w:rFonts w:hAnsi="Times New Roman" w:cs="Times New Roman"/>
                <w:lang w:val="zh-CN"/>
              </w:rPr>
              <w:t>2015年规模以上工业中，全市九大优势产业增加值多数增长</w:t>
            </w:r>
            <w:r>
              <w:rPr>
                <w:rFonts w:hint="eastAsia" w:hAnsi="Times New Roman" w:cs="Times New Roman"/>
                <w:lang w:val="zh-CN"/>
              </w:rPr>
              <w:t>：</w:t>
            </w:r>
            <w:r>
              <w:rPr>
                <w:rFonts w:hAnsi="Times New Roman" w:cs="Times New Roman"/>
                <w:lang w:val="zh-CN"/>
              </w:rPr>
              <w:t>石化业同比增长10.3%，食品业增长12.0%，医药业增长2.8%，造纸业增长11.9%，机械业增长11.5%，建材业下降6.1%，有色及循环业增长12.8%，纺织业增长3.9%，电力行业下降7.6%。农产品加工业增加值比上年增长11.7%，其中农副食品加工业增长10.8%。六大高耗能行业增加值比上年增长6.3%。高技术产业增加值比上年增长4.0%，占规模以上工业增加值的比重为7.2%。高加工度工业增加值增长6.8%，占规模以上工业增加值的比重为26.6%。</w:t>
            </w:r>
          </w:p>
          <w:p>
            <w:pPr>
              <w:pStyle w:val="72"/>
              <w:rPr>
                <w:rFonts w:hAnsi="Times New Roman" w:cs="Times New Roman"/>
                <w:lang w:val="zh-CN"/>
              </w:rPr>
            </w:pPr>
            <w:r>
              <w:rPr>
                <w:rFonts w:hAnsi="Times New Roman" w:cs="Times New Roman"/>
                <w:lang w:val="zh-CN"/>
              </w:rPr>
              <w:t>2015年规模以上工业企业实现利润138.93亿元，比上年增长23.2%，其中国有企业1.75亿元，增长1.8%；集体企业1.08亿元，下降3.5%，股份制企业116.13亿元，增长26.0%，外商及港澳台商投资企业8.04亿元，增长5.7%。</w:t>
            </w:r>
          </w:p>
          <w:p>
            <w:pPr>
              <w:pStyle w:val="72"/>
              <w:rPr>
                <w:rFonts w:hAnsi="Times New Roman" w:cs="Times New Roman"/>
                <w:lang w:val="zh-CN"/>
              </w:rPr>
            </w:pPr>
            <w:r>
              <w:rPr>
                <w:rFonts w:hAnsi="Times New Roman" w:cs="Times New Roman"/>
                <w:lang w:val="zh-CN"/>
              </w:rPr>
              <w:t>3</w:t>
            </w:r>
            <w:r>
              <w:rPr>
                <w:rFonts w:hint="eastAsia" w:hAnsi="Times New Roman" w:cs="Times New Roman"/>
                <w:lang w:val="zh-CN"/>
              </w:rPr>
              <w:t>)</w:t>
            </w:r>
            <w:r>
              <w:rPr>
                <w:rFonts w:hAnsi="Times New Roman" w:cs="Times New Roman"/>
                <w:lang w:val="zh-CN"/>
              </w:rPr>
              <w:t>第三产业</w:t>
            </w:r>
          </w:p>
          <w:p>
            <w:pPr>
              <w:pStyle w:val="72"/>
              <w:rPr>
                <w:rFonts w:hAnsi="Times New Roman" w:cs="Times New Roman"/>
                <w:lang w:val="zh-CN"/>
              </w:rPr>
            </w:pPr>
            <w:r>
              <w:rPr>
                <w:rFonts w:hAnsi="Times New Roman" w:cs="Times New Roman"/>
                <w:lang w:val="zh-CN"/>
              </w:rPr>
              <w:t>固定资产投资</w:t>
            </w:r>
            <w:r>
              <w:rPr>
                <w:rFonts w:hint="eastAsia" w:hAnsi="Times New Roman" w:cs="Times New Roman"/>
                <w:lang w:val="zh-CN"/>
              </w:rPr>
              <w:t>：</w:t>
            </w:r>
            <w:r>
              <w:rPr>
                <w:rFonts w:hAnsi="Times New Roman" w:cs="Times New Roman"/>
                <w:lang w:val="zh-CN"/>
              </w:rPr>
              <w:t>2015年固定资产投资2154.71亿元，比上年增长20.4%。其中，第一产业投资90.4亿元，比上年增长38.2%；第二产业投资1077.4亿元，增长18.1%；第三产业投资986.9亿元，增长21.4%。民间固定资产投资1169.0亿元，增长15.5%，占固定资产投资的比重为54.3%。</w:t>
            </w:r>
          </w:p>
          <w:p>
            <w:pPr>
              <w:pStyle w:val="72"/>
              <w:rPr>
                <w:rFonts w:hAnsi="Times New Roman" w:cs="Times New Roman"/>
                <w:lang w:val="zh-CN"/>
              </w:rPr>
            </w:pPr>
            <w:r>
              <w:rPr>
                <w:rFonts w:hAnsi="Times New Roman" w:cs="Times New Roman"/>
                <w:lang w:val="zh-CN"/>
              </w:rPr>
              <w:t>贸易</w:t>
            </w:r>
            <w:r>
              <w:rPr>
                <w:rFonts w:hint="eastAsia" w:hAnsi="Times New Roman" w:cs="Times New Roman"/>
                <w:lang w:val="zh-CN"/>
              </w:rPr>
              <w:t>：</w:t>
            </w:r>
            <w:r>
              <w:rPr>
                <w:rFonts w:hAnsi="Times New Roman" w:cs="Times New Roman"/>
                <w:lang w:val="zh-CN"/>
              </w:rPr>
              <w:t>2015年社会消费品零售总额1020.64亿元，比上年增长12.7%。按经营地统计，城镇消费品零售额889.06亿元，增长12.7%；乡村消费品零售额131.59亿元，增长12.7%。</w:t>
            </w:r>
          </w:p>
          <w:p>
            <w:pPr>
              <w:pStyle w:val="72"/>
              <w:rPr>
                <w:rFonts w:hAnsi="Times New Roman" w:cs="Times New Roman"/>
                <w:lang w:val="zh-CN"/>
              </w:rPr>
            </w:pPr>
            <w:r>
              <w:rPr>
                <w:rFonts w:hAnsi="Times New Roman" w:cs="Times New Roman"/>
                <w:lang w:val="zh-CN"/>
              </w:rPr>
              <w:t>对外经济：全年货物进出口总额11.34亿美元，比上年增长43.2%。其中，出口8.62亿美元，增长59.2%；进口2.71亿美元，增长8.4%。进出口差额</w:t>
            </w:r>
            <w:r>
              <w:rPr>
                <w:rFonts w:hint="eastAsia" w:hAnsi="Times New Roman" w:cs="Times New Roman"/>
                <w:lang w:val="zh-CN"/>
              </w:rPr>
              <w:t>(</w:t>
            </w:r>
            <w:r>
              <w:rPr>
                <w:rFonts w:hAnsi="Times New Roman" w:cs="Times New Roman"/>
                <w:lang w:val="zh-CN"/>
              </w:rPr>
              <w:t>出口减进口</w:t>
            </w:r>
            <w:r>
              <w:rPr>
                <w:rFonts w:hint="eastAsia" w:hAnsi="Times New Roman" w:cs="Times New Roman"/>
                <w:lang w:val="zh-CN"/>
              </w:rPr>
              <w:t>)</w:t>
            </w:r>
            <w:r>
              <w:rPr>
                <w:rFonts w:hAnsi="Times New Roman" w:cs="Times New Roman"/>
                <w:lang w:val="zh-CN"/>
              </w:rPr>
              <w:t>5.91亿美元。</w:t>
            </w:r>
          </w:p>
          <w:p>
            <w:pPr>
              <w:pStyle w:val="72"/>
              <w:rPr>
                <w:rFonts w:hint="eastAsia" w:hAnsi="Times New Roman" w:cs="Times New Roman"/>
                <w:b/>
                <w:bCs/>
                <w:lang w:val="zh-CN"/>
              </w:rPr>
            </w:pPr>
            <w:r>
              <w:rPr>
                <w:rFonts w:hint="eastAsia" w:hAnsi="Times New Roman" w:cs="Times New Roman"/>
                <w:b/>
                <w:bCs/>
                <w:lang w:val="en-US" w:eastAsia="zh-CN"/>
              </w:rPr>
              <w:t>2、</w:t>
            </w:r>
            <w:r>
              <w:rPr>
                <w:rFonts w:hAnsi="Times New Roman" w:cs="Times New Roman"/>
                <w:b/>
                <w:bCs/>
                <w:lang w:val="zh-CN"/>
              </w:rPr>
              <w:t>岳阳经济技术开发区金凤桥片区控规概述</w:t>
            </w:r>
          </w:p>
          <w:p>
            <w:pPr>
              <w:pStyle w:val="72"/>
              <w:rPr>
                <w:rFonts w:hAnsi="Times New Roman" w:cs="Times New Roman"/>
                <w:lang w:val="zh-CN"/>
              </w:rPr>
            </w:pPr>
            <w:r>
              <w:rPr>
                <w:rFonts w:hint="eastAsia" w:hAnsi="Times New Roman" w:cs="Times New Roman"/>
                <w:lang w:val="zh-CN"/>
              </w:rPr>
              <w:t>1</w:t>
            </w:r>
            <w:r>
              <w:rPr>
                <w:rFonts w:hint="eastAsia" w:hAnsi="Times New Roman" w:cs="Times New Roman"/>
                <w:lang w:val="en-US" w:eastAsia="zh-CN"/>
              </w:rPr>
              <w:t>)</w:t>
            </w:r>
            <w:r>
              <w:rPr>
                <w:rFonts w:hint="eastAsia" w:hAnsi="Times New Roman" w:cs="Times New Roman"/>
                <w:lang w:val="zh-CN"/>
              </w:rPr>
              <w:t>、</w:t>
            </w:r>
            <w:r>
              <w:rPr>
                <w:rFonts w:hAnsi="Times New Roman" w:cs="Times New Roman"/>
                <w:lang w:val="zh-CN"/>
              </w:rPr>
              <w:t>规划目标</w:t>
            </w:r>
          </w:p>
          <w:p>
            <w:pPr>
              <w:pStyle w:val="72"/>
              <w:rPr>
                <w:rFonts w:hint="eastAsia" w:hAnsi="Times New Roman" w:cs="Times New Roman"/>
                <w:lang w:val="zh-CN"/>
              </w:rPr>
            </w:pPr>
            <w:r>
              <w:rPr>
                <w:rFonts w:hAnsi="Times New Roman" w:cs="Times New Roman"/>
                <w:lang w:val="zh-CN"/>
              </w:rPr>
              <w:t>以建设武广铁路客运专线新岳阳站为契机，建设功能合理、设施完善、生活便利、环境优美，且具有鲜明时代特征和地方文化品质的宜居、宜憩岳阳新城区。</w:t>
            </w:r>
          </w:p>
          <w:p>
            <w:pPr>
              <w:pStyle w:val="72"/>
              <w:rPr>
                <w:rFonts w:hint="eastAsia" w:hAnsi="Times New Roman" w:cs="Times New Roman"/>
                <w:lang w:val="zh-CN"/>
              </w:rPr>
            </w:pPr>
            <w:r>
              <w:rPr>
                <w:rFonts w:hint="eastAsia" w:hAnsi="Times New Roman" w:cs="Times New Roman"/>
                <w:lang w:val="zh-CN"/>
              </w:rPr>
              <w:t>2</w:t>
            </w:r>
            <w:r>
              <w:rPr>
                <w:rFonts w:hint="eastAsia" w:hAnsi="Times New Roman" w:cs="Times New Roman"/>
                <w:lang w:val="en-US" w:eastAsia="zh-CN"/>
              </w:rPr>
              <w:t>)</w:t>
            </w:r>
            <w:r>
              <w:rPr>
                <w:rFonts w:hint="eastAsia" w:hAnsi="Times New Roman" w:cs="Times New Roman"/>
                <w:lang w:val="zh-CN"/>
              </w:rPr>
              <w:t>、</w:t>
            </w:r>
            <w:r>
              <w:rPr>
                <w:rFonts w:hAnsi="Times New Roman" w:cs="Times New Roman"/>
                <w:lang w:val="zh-CN"/>
              </w:rPr>
              <w:t>规划布局</w:t>
            </w:r>
          </w:p>
          <w:p>
            <w:pPr>
              <w:pStyle w:val="72"/>
              <w:rPr>
                <w:rFonts w:hAnsi="Times New Roman" w:cs="Times New Roman"/>
                <w:lang w:val="zh-CN"/>
              </w:rPr>
            </w:pPr>
            <w:r>
              <w:rPr>
                <w:rFonts w:hAnsi="Times New Roman" w:cs="Times New Roman"/>
                <w:lang w:val="zh-CN"/>
              </w:rPr>
              <w:t>三中心</w:t>
            </w:r>
            <w:r>
              <w:rPr>
                <w:rFonts w:hint="eastAsia" w:hAnsi="Times New Roman" w:cs="Times New Roman"/>
                <w:lang w:val="zh-CN"/>
              </w:rPr>
              <w:t>：</w:t>
            </w:r>
            <w:r>
              <w:rPr>
                <w:rFonts w:hAnsi="Times New Roman" w:cs="Times New Roman"/>
                <w:lang w:val="zh-CN"/>
              </w:rPr>
              <w:t>即体育中心、商业金融服务区和交通枢纽中心；</w:t>
            </w:r>
          </w:p>
          <w:p>
            <w:pPr>
              <w:pStyle w:val="72"/>
              <w:rPr>
                <w:rFonts w:hAnsi="Times New Roman" w:cs="Times New Roman"/>
                <w:lang w:val="zh-CN"/>
              </w:rPr>
            </w:pPr>
            <w:r>
              <w:rPr>
                <w:rFonts w:hAnsi="Times New Roman" w:cs="Times New Roman"/>
                <w:lang w:val="zh-CN"/>
              </w:rPr>
              <w:t>三轴</w:t>
            </w:r>
            <w:r>
              <w:rPr>
                <w:rFonts w:hint="eastAsia" w:hAnsi="Times New Roman" w:cs="Times New Roman"/>
                <w:lang w:val="zh-CN"/>
              </w:rPr>
              <w:t>：</w:t>
            </w:r>
            <w:r>
              <w:rPr>
                <w:rFonts w:hAnsi="Times New Roman" w:cs="Times New Roman"/>
                <w:lang w:val="zh-CN"/>
              </w:rPr>
              <w:t>即南北向的分水垄路城市生活轴、连接金凤桥片区和木里港工业区的金凤桥路城市交通轴以及东西向的巴陵东路城市综合轴；</w:t>
            </w:r>
          </w:p>
          <w:p>
            <w:pPr>
              <w:pStyle w:val="72"/>
              <w:rPr>
                <w:rFonts w:hAnsi="Times New Roman" w:cs="Times New Roman"/>
                <w:lang w:val="zh-CN"/>
              </w:rPr>
            </w:pPr>
            <w:r>
              <w:rPr>
                <w:rFonts w:hAnsi="Times New Roman" w:cs="Times New Roman"/>
                <w:lang w:val="zh-CN"/>
              </w:rPr>
              <w:t>三带：即长康路绿化防护带、梅溪港滨水绿带和武广高铁绿化防护带；</w:t>
            </w:r>
          </w:p>
          <w:p>
            <w:pPr>
              <w:pStyle w:val="72"/>
              <w:rPr>
                <w:rFonts w:hAnsi="Times New Roman" w:cs="Times New Roman"/>
                <w:lang w:val="zh-CN"/>
              </w:rPr>
            </w:pPr>
            <w:r>
              <w:rPr>
                <w:rFonts w:hAnsi="Times New Roman" w:cs="Times New Roman"/>
                <w:lang w:val="zh-CN"/>
              </w:rPr>
              <w:t>三区：即以巴陵东路和梅溪港滨水绿带为界规划布置的三个居住区，分别为北部居住区、南部居住区和东部居住区。</w:t>
            </w:r>
          </w:p>
          <w:p>
            <w:pPr>
              <w:pStyle w:val="72"/>
              <w:rPr>
                <w:rFonts w:hAnsi="Times New Roman" w:cs="Times New Roman"/>
                <w:lang w:val="zh-CN"/>
              </w:rPr>
            </w:pPr>
            <w:r>
              <w:rPr>
                <w:rFonts w:hint="eastAsia" w:hAnsi="Times New Roman" w:cs="Times New Roman"/>
                <w:lang w:val="zh-CN"/>
              </w:rPr>
              <w:t>3</w:t>
            </w:r>
            <w:r>
              <w:rPr>
                <w:rFonts w:hint="eastAsia" w:hAnsi="Times New Roman" w:cs="Times New Roman"/>
                <w:lang w:val="en-US" w:eastAsia="zh-CN"/>
              </w:rPr>
              <w:t>)</w:t>
            </w:r>
            <w:r>
              <w:rPr>
                <w:rFonts w:hint="eastAsia" w:hAnsi="Times New Roman" w:cs="Times New Roman"/>
                <w:lang w:val="zh-CN"/>
              </w:rPr>
              <w:t>、</w:t>
            </w:r>
            <w:r>
              <w:rPr>
                <w:rFonts w:hAnsi="Times New Roman" w:cs="Times New Roman"/>
                <w:lang w:val="zh-CN"/>
              </w:rPr>
              <w:t>道路交通规划</w:t>
            </w:r>
          </w:p>
          <w:p>
            <w:pPr>
              <w:pStyle w:val="72"/>
              <w:rPr>
                <w:rFonts w:hint="eastAsia" w:hAnsi="Times New Roman" w:cs="Times New Roman"/>
                <w:lang w:val="zh-CN"/>
              </w:rPr>
            </w:pPr>
            <w:r>
              <w:rPr>
                <w:rFonts w:hAnsi="Times New Roman" w:cs="Times New Roman"/>
                <w:lang w:val="zh-CN"/>
              </w:rPr>
              <w:t>规划片区道路分为快速路、主干路、次干路、支路四个等级。规划形成</w:t>
            </w:r>
            <w:r>
              <w:rPr>
                <w:rFonts w:hint="eastAsia" w:hAnsi="Times New Roman" w:cs="Times New Roman"/>
                <w:lang w:val="zh-CN"/>
              </w:rPr>
              <w:t>“</w:t>
            </w:r>
            <w:r>
              <w:rPr>
                <w:rFonts w:hAnsi="Times New Roman" w:cs="Times New Roman"/>
                <w:lang w:val="zh-CN"/>
              </w:rPr>
              <w:t>三横三纵</w:t>
            </w:r>
            <w:r>
              <w:rPr>
                <w:rFonts w:hint="eastAsia" w:hAnsi="Times New Roman" w:cs="Times New Roman"/>
                <w:lang w:val="zh-CN"/>
              </w:rPr>
              <w:t>”</w:t>
            </w:r>
            <w:r>
              <w:rPr>
                <w:rFonts w:hAnsi="Times New Roman" w:cs="Times New Roman"/>
                <w:lang w:val="zh-CN"/>
              </w:rPr>
              <w:t>的主干路网络。其中</w:t>
            </w:r>
            <w:r>
              <w:rPr>
                <w:rFonts w:hint="eastAsia" w:hAnsi="Times New Roman" w:cs="Times New Roman"/>
                <w:lang w:val="zh-CN"/>
              </w:rPr>
              <w:t>：</w:t>
            </w:r>
          </w:p>
          <w:p>
            <w:pPr>
              <w:pStyle w:val="72"/>
              <w:rPr>
                <w:rFonts w:hAnsi="Times New Roman" w:cs="Times New Roman"/>
                <w:lang w:val="zh-CN"/>
              </w:rPr>
            </w:pPr>
            <w:r>
              <w:rPr>
                <w:rFonts w:hAnsi="Times New Roman" w:cs="Times New Roman"/>
                <w:lang w:val="zh-CN"/>
              </w:rPr>
              <w:t>三横：即置田庄路、巴陵东路和梅溪路；</w:t>
            </w:r>
          </w:p>
          <w:p>
            <w:pPr>
              <w:pStyle w:val="72"/>
              <w:rPr>
                <w:rFonts w:hAnsi="Times New Roman" w:cs="Times New Roman"/>
                <w:lang w:val="zh-CN"/>
              </w:rPr>
            </w:pPr>
            <w:r>
              <w:rPr>
                <w:rFonts w:hAnsi="Times New Roman" w:cs="Times New Roman"/>
                <w:lang w:val="zh-CN"/>
              </w:rPr>
              <w:t>三纵：即梅子市路、分水垄路和金凤桥路。</w:t>
            </w:r>
          </w:p>
          <w:p>
            <w:pPr>
              <w:pStyle w:val="72"/>
              <w:rPr>
                <w:rFonts w:hAnsi="Times New Roman" w:cs="Times New Roman"/>
                <w:lang w:val="zh-CN"/>
              </w:rPr>
            </w:pPr>
            <w:r>
              <w:rPr>
                <w:rFonts w:hint="eastAsia" w:hAnsi="Times New Roman" w:cs="Times New Roman"/>
                <w:lang w:val="zh-CN"/>
              </w:rPr>
              <w:t>4</w:t>
            </w:r>
            <w:r>
              <w:rPr>
                <w:rFonts w:hint="eastAsia" w:hAnsi="Times New Roman" w:cs="Times New Roman"/>
                <w:lang w:val="en-US" w:eastAsia="zh-CN"/>
              </w:rPr>
              <w:t>)</w:t>
            </w:r>
            <w:r>
              <w:rPr>
                <w:rFonts w:hint="eastAsia" w:hAnsi="Times New Roman" w:cs="Times New Roman"/>
                <w:lang w:val="zh-CN"/>
              </w:rPr>
              <w:t>、</w:t>
            </w:r>
            <w:r>
              <w:rPr>
                <w:rFonts w:hAnsi="Times New Roman" w:cs="Times New Roman"/>
                <w:lang w:val="zh-CN"/>
              </w:rPr>
              <w:t>公共设施规划</w:t>
            </w:r>
          </w:p>
          <w:p>
            <w:pPr>
              <w:pStyle w:val="72"/>
              <w:rPr>
                <w:rFonts w:hint="eastAsia" w:hAnsi="Times New Roman" w:cs="Times New Roman"/>
                <w:lang w:val="zh-CN"/>
              </w:rPr>
            </w:pPr>
            <w:r>
              <w:rPr>
                <w:rFonts w:hAnsi="Times New Roman" w:cs="Times New Roman"/>
                <w:lang w:val="zh-CN"/>
              </w:rPr>
              <w:t>规划片区按规范配置商业服务、金融设施，设置高级中学一处、中学三处、小学四处、菜肉市场七处、垃圾收集站</w:t>
            </w:r>
            <w:r>
              <w:rPr>
                <w:rFonts w:hint="eastAsia" w:hAnsi="Times New Roman" w:cs="Times New Roman"/>
                <w:lang w:val="zh-CN"/>
              </w:rPr>
              <w:t>(</w:t>
            </w:r>
            <w:r>
              <w:rPr>
                <w:rFonts w:hAnsi="Times New Roman" w:cs="Times New Roman"/>
                <w:lang w:val="zh-CN"/>
              </w:rPr>
              <w:t>含公共厕所</w:t>
            </w:r>
            <w:r>
              <w:rPr>
                <w:rFonts w:hint="eastAsia" w:hAnsi="Times New Roman" w:cs="Times New Roman"/>
                <w:lang w:val="zh-CN"/>
              </w:rPr>
              <w:t>)</w:t>
            </w:r>
            <w:r>
              <w:rPr>
                <w:rFonts w:hAnsi="Times New Roman" w:cs="Times New Roman"/>
                <w:lang w:val="zh-CN"/>
              </w:rPr>
              <w:t>九处、电信支局一处、变电站一处、消防站一处、医院两处、加油站四处、加气站两处、公交车首末站五处、休闲广场一处，社会停车场四处、长途客运站一处、体育场一处。</w:t>
            </w:r>
          </w:p>
          <w:p>
            <w:pPr>
              <w:pStyle w:val="72"/>
              <w:rPr>
                <w:rFonts w:hint="eastAsia" w:hAnsi="Times New Roman" w:cs="Times New Roman"/>
                <w:lang w:val="zh-CN"/>
              </w:rPr>
            </w:pPr>
            <w:r>
              <w:rPr>
                <w:rFonts w:hint="eastAsia" w:hAnsi="Times New Roman" w:cs="Times New Roman"/>
                <w:lang w:val="zh-CN"/>
              </w:rPr>
              <w:t>5</w:t>
            </w:r>
            <w:r>
              <w:rPr>
                <w:rFonts w:hint="eastAsia" w:hAnsi="Times New Roman" w:cs="Times New Roman"/>
                <w:lang w:val="en-US" w:eastAsia="zh-CN"/>
              </w:rPr>
              <w:t>)</w:t>
            </w:r>
            <w:r>
              <w:rPr>
                <w:rFonts w:hint="eastAsia" w:hAnsi="Times New Roman" w:cs="Times New Roman"/>
                <w:lang w:val="zh-CN"/>
              </w:rPr>
              <w:t>、</w:t>
            </w:r>
            <w:r>
              <w:rPr>
                <w:rFonts w:hAnsi="Times New Roman" w:cs="Times New Roman"/>
                <w:lang w:val="zh-CN"/>
              </w:rPr>
              <w:t>绿地系统规划</w:t>
            </w:r>
          </w:p>
          <w:p>
            <w:pPr>
              <w:pStyle w:val="72"/>
              <w:rPr>
                <w:rFonts w:hAnsi="Times New Roman" w:cs="Times New Roman"/>
                <w:lang w:val="zh-CN"/>
              </w:rPr>
            </w:pPr>
            <w:r>
              <w:rPr>
                <w:rFonts w:hAnsi="Times New Roman" w:cs="Times New Roman"/>
                <w:lang w:val="zh-CN"/>
              </w:rPr>
              <w:t>绿地系统结构可概括为</w:t>
            </w:r>
            <w:r>
              <w:rPr>
                <w:rFonts w:hint="eastAsia" w:hAnsi="Times New Roman" w:cs="Times New Roman"/>
                <w:lang w:val="zh-CN"/>
              </w:rPr>
              <w:t>“</w:t>
            </w:r>
            <w:r>
              <w:rPr>
                <w:rFonts w:hAnsi="Times New Roman" w:cs="Times New Roman"/>
                <w:lang w:val="zh-CN"/>
              </w:rPr>
              <w:t>两横、三纵、三节点</w:t>
            </w:r>
            <w:r>
              <w:rPr>
                <w:rFonts w:hint="eastAsia" w:hAnsi="Times New Roman" w:cs="Times New Roman"/>
                <w:lang w:val="zh-CN"/>
              </w:rPr>
              <w:t>”</w:t>
            </w:r>
            <w:r>
              <w:rPr>
                <w:rFonts w:hAnsi="Times New Roman" w:cs="Times New Roman"/>
                <w:lang w:val="zh-CN"/>
              </w:rPr>
              <w:t>的点、线、面相结合的绿地系统结构。其中：</w:t>
            </w:r>
          </w:p>
          <w:p>
            <w:pPr>
              <w:pStyle w:val="72"/>
              <w:rPr>
                <w:rFonts w:hAnsi="Times New Roman" w:cs="Times New Roman"/>
                <w:lang w:val="zh-CN"/>
              </w:rPr>
            </w:pPr>
            <w:r>
              <w:rPr>
                <w:rFonts w:hAnsi="Times New Roman" w:cs="Times New Roman"/>
                <w:lang w:val="zh-CN"/>
              </w:rPr>
              <w:t>两横：即沿巴陵东路和孙家坡路形成的景观轴线；</w:t>
            </w:r>
          </w:p>
          <w:p>
            <w:pPr>
              <w:pStyle w:val="72"/>
              <w:rPr>
                <w:rFonts w:hAnsi="Times New Roman" w:cs="Times New Roman"/>
                <w:lang w:val="zh-CN"/>
              </w:rPr>
            </w:pPr>
            <w:r>
              <w:rPr>
                <w:rFonts w:hAnsi="Times New Roman" w:cs="Times New Roman"/>
                <w:lang w:val="zh-CN"/>
              </w:rPr>
              <w:t>三纵：即沿长康路、梅溪港和武广铁路客运专线形成的景观轴线；</w:t>
            </w:r>
          </w:p>
          <w:p>
            <w:pPr>
              <w:pStyle w:val="72"/>
              <w:rPr>
                <w:rFonts w:hAnsi="Times New Roman" w:cs="Times New Roman"/>
                <w:lang w:val="zh-CN"/>
              </w:rPr>
            </w:pPr>
            <w:r>
              <w:rPr>
                <w:rFonts w:hAnsi="Times New Roman" w:cs="Times New Roman"/>
                <w:lang w:val="zh-CN"/>
              </w:rPr>
              <w:t>三节点：即在北部居住区、商业金融服务区和交通枢纽中心等处形成的四个景观节点。</w:t>
            </w:r>
          </w:p>
          <w:p>
            <w:pPr>
              <w:pStyle w:val="72"/>
              <w:rPr>
                <w:rFonts w:hAnsi="Times New Roman" w:cs="Times New Roman"/>
                <w:lang w:val="zh-CN"/>
              </w:rPr>
            </w:pPr>
            <w:r>
              <w:rPr>
                <w:rFonts w:hint="eastAsia" w:hAnsi="Times New Roman" w:cs="Times New Roman"/>
                <w:lang w:val="zh-CN"/>
              </w:rPr>
              <w:t>6</w:t>
            </w:r>
            <w:r>
              <w:rPr>
                <w:rFonts w:hint="eastAsia" w:hAnsi="Times New Roman" w:cs="Times New Roman"/>
                <w:lang w:val="en-US" w:eastAsia="zh-CN"/>
              </w:rPr>
              <w:t>)</w:t>
            </w:r>
            <w:r>
              <w:rPr>
                <w:rFonts w:hint="eastAsia" w:hAnsi="Times New Roman" w:cs="Times New Roman"/>
                <w:lang w:val="zh-CN"/>
              </w:rPr>
              <w:t>、</w:t>
            </w:r>
            <w:r>
              <w:rPr>
                <w:rFonts w:hAnsi="Times New Roman" w:cs="Times New Roman"/>
                <w:lang w:val="zh-CN"/>
              </w:rPr>
              <w:t>市政公用设施规划</w:t>
            </w:r>
          </w:p>
          <w:p>
            <w:pPr>
              <w:pStyle w:val="72"/>
              <w:rPr>
                <w:rFonts w:hAnsi="Times New Roman" w:cs="Times New Roman"/>
                <w:lang w:val="zh-CN"/>
              </w:rPr>
            </w:pPr>
            <w:r>
              <w:rPr>
                <w:rFonts w:hint="eastAsia" w:hAnsi="Times New Roman" w:cs="Times New Roman"/>
                <w:lang w:val="en-US" w:eastAsia="zh-CN"/>
              </w:rPr>
              <w:t>(</w:t>
            </w:r>
            <w:r>
              <w:rPr>
                <w:rFonts w:hAnsi="Times New Roman" w:cs="Times New Roman"/>
                <w:lang w:val="zh-CN"/>
              </w:rPr>
              <w:t>1</w:t>
            </w:r>
            <w:r>
              <w:rPr>
                <w:rFonts w:hint="eastAsia" w:hAnsi="Times New Roman" w:cs="Times New Roman"/>
                <w:lang w:val="zh-CN"/>
              </w:rPr>
              <w:t>)</w:t>
            </w:r>
            <w:r>
              <w:rPr>
                <w:rFonts w:hAnsi="Times New Roman" w:cs="Times New Roman"/>
                <w:lang w:val="zh-CN"/>
              </w:rPr>
              <w:t>给水工程规划</w:t>
            </w:r>
          </w:p>
          <w:p>
            <w:pPr>
              <w:pStyle w:val="72"/>
              <w:rPr>
                <w:rFonts w:hAnsi="Times New Roman" w:cs="Times New Roman"/>
                <w:lang w:val="zh-CN"/>
              </w:rPr>
            </w:pPr>
            <w:r>
              <w:rPr>
                <w:rFonts w:hAnsi="Times New Roman" w:cs="Times New Roman"/>
                <w:lang w:val="zh-CN"/>
              </w:rPr>
              <w:t>根据各项用地规划面积，预测金凤桥片区最高日用水量为7.15万</w:t>
            </w:r>
            <w:r>
              <w:rPr>
                <w:rFonts w:hint="eastAsia" w:hAnsi="Times New Roman" w:cs="Times New Roman"/>
                <w:lang w:val="zh-CN"/>
              </w:rPr>
              <w:t>m3</w:t>
            </w:r>
            <w:r>
              <w:rPr>
                <w:rFonts w:hAnsi="Times New Roman" w:cs="Times New Roman"/>
                <w:lang w:val="zh-CN"/>
              </w:rPr>
              <w:t>/</w:t>
            </w:r>
            <w:r>
              <w:rPr>
                <w:rFonts w:hint="eastAsia" w:hAnsi="Times New Roman" w:cs="Times New Roman"/>
                <w:lang w:val="zh-CN"/>
              </w:rPr>
              <w:t>d，</w:t>
            </w:r>
            <w:r>
              <w:rPr>
                <w:rFonts w:hAnsi="Times New Roman" w:cs="Times New Roman"/>
                <w:lang w:val="zh-CN"/>
              </w:rPr>
              <w:t>片区管网采用环状与枝状相结合的管网供水，主要由二水厂供水。</w:t>
            </w:r>
          </w:p>
          <w:p>
            <w:pPr>
              <w:pStyle w:val="72"/>
              <w:rPr>
                <w:rFonts w:hAnsi="Times New Roman" w:cs="Times New Roman"/>
                <w:lang w:val="zh-CN"/>
              </w:rPr>
            </w:pPr>
            <w:r>
              <w:rPr>
                <w:rFonts w:hint="eastAsia" w:hAnsi="Times New Roman" w:cs="Times New Roman"/>
                <w:lang w:val="en-US" w:eastAsia="zh-CN"/>
              </w:rPr>
              <w:t>(</w:t>
            </w:r>
            <w:r>
              <w:rPr>
                <w:rFonts w:hAnsi="Times New Roman" w:cs="Times New Roman"/>
                <w:lang w:val="zh-CN"/>
              </w:rPr>
              <w:t>2</w:t>
            </w:r>
            <w:r>
              <w:rPr>
                <w:rFonts w:hint="eastAsia" w:hAnsi="Times New Roman" w:cs="Times New Roman"/>
                <w:lang w:val="zh-CN"/>
              </w:rPr>
              <w:t>)</w:t>
            </w:r>
            <w:r>
              <w:rPr>
                <w:rFonts w:hAnsi="Times New Roman" w:cs="Times New Roman"/>
                <w:lang w:val="zh-CN"/>
              </w:rPr>
              <w:t>排水工程规划</w:t>
            </w:r>
          </w:p>
          <w:p>
            <w:pPr>
              <w:pStyle w:val="72"/>
              <w:rPr>
                <w:rFonts w:hAnsi="Times New Roman" w:cs="Times New Roman"/>
                <w:lang w:val="zh-CN"/>
              </w:rPr>
            </w:pPr>
            <w:r>
              <w:rPr>
                <w:rFonts w:hAnsi="Times New Roman" w:cs="Times New Roman"/>
                <w:lang w:val="zh-CN"/>
              </w:rPr>
              <w:t>规划片区采用雨污分流制，预测金凤桥片区最高日污水量为6.08万</w:t>
            </w:r>
            <w:r>
              <w:rPr>
                <w:rFonts w:hint="eastAsia" w:hAnsi="Times New Roman" w:cs="Times New Roman"/>
                <w:lang w:val="zh-CN"/>
              </w:rPr>
              <w:t>m3</w:t>
            </w:r>
            <w:r>
              <w:rPr>
                <w:rFonts w:hAnsi="Times New Roman" w:cs="Times New Roman"/>
                <w:lang w:val="zh-CN"/>
              </w:rPr>
              <w:t>/</w:t>
            </w:r>
            <w:r>
              <w:rPr>
                <w:rFonts w:hint="eastAsia" w:hAnsi="Times New Roman" w:cs="Times New Roman"/>
                <w:lang w:val="zh-CN"/>
              </w:rPr>
              <w:t>d</w:t>
            </w:r>
            <w:r>
              <w:rPr>
                <w:rFonts w:hAnsi="Times New Roman" w:cs="Times New Roman"/>
                <w:lang w:val="zh-CN"/>
              </w:rPr>
              <w:t>。污水处理纳入岳阳市污水处理系统统一处理，结合规划建设梅溪港西侧和中门路截污管网，分三片排水分区汇集后排向片区外的向公庙污水处理厂。雨水根据道路控制点高程，一般沿道路布置，就近排入梅溪港。</w:t>
            </w:r>
          </w:p>
          <w:p>
            <w:pPr>
              <w:pStyle w:val="72"/>
              <w:rPr>
                <w:rFonts w:hAnsi="Times New Roman" w:cs="Times New Roman"/>
                <w:lang w:val="zh-CN"/>
              </w:rPr>
            </w:pPr>
            <w:r>
              <w:rPr>
                <w:rFonts w:hint="eastAsia" w:hAnsi="Times New Roman" w:cs="Times New Roman"/>
                <w:lang w:val="en-US" w:eastAsia="zh-CN"/>
              </w:rPr>
              <w:t>(</w:t>
            </w:r>
            <w:r>
              <w:rPr>
                <w:rFonts w:hAnsi="Times New Roman" w:cs="Times New Roman"/>
                <w:lang w:val="zh-CN"/>
              </w:rPr>
              <w:t>3</w:t>
            </w:r>
            <w:r>
              <w:rPr>
                <w:rFonts w:hint="eastAsia" w:hAnsi="Times New Roman" w:cs="Times New Roman"/>
                <w:lang w:val="zh-CN"/>
              </w:rPr>
              <w:t>)</w:t>
            </w:r>
            <w:r>
              <w:rPr>
                <w:rFonts w:hAnsi="Times New Roman" w:cs="Times New Roman"/>
                <w:lang w:val="zh-CN"/>
              </w:rPr>
              <w:t>电力规划</w:t>
            </w:r>
          </w:p>
          <w:p>
            <w:pPr>
              <w:pStyle w:val="72"/>
              <w:rPr>
                <w:rFonts w:hAnsi="Times New Roman" w:cs="Times New Roman"/>
                <w:lang w:val="zh-CN"/>
              </w:rPr>
            </w:pPr>
            <w:r>
              <w:rPr>
                <w:rFonts w:hAnsi="Times New Roman" w:cs="Times New Roman"/>
                <w:lang w:val="zh-CN"/>
              </w:rPr>
              <w:t>规划片区电源主要由位于金凤桥南路的110KV变电站提供。预测金凤桥片区用电负荷为12.96万千瓦。在片区内主要的市政道路西侧或北侧人行道或绿化带下敷设电力电缆沟。</w:t>
            </w:r>
          </w:p>
          <w:p>
            <w:pPr>
              <w:pStyle w:val="72"/>
              <w:rPr>
                <w:rFonts w:hAnsi="Times New Roman" w:cs="Times New Roman"/>
                <w:lang w:val="zh-CN"/>
              </w:rPr>
            </w:pPr>
            <w:r>
              <w:rPr>
                <w:rFonts w:hint="eastAsia" w:hAnsi="Times New Roman" w:cs="Times New Roman"/>
                <w:lang w:val="en-US" w:eastAsia="zh-CN"/>
              </w:rPr>
              <w:t>(</w:t>
            </w:r>
            <w:r>
              <w:rPr>
                <w:rFonts w:hAnsi="Times New Roman" w:cs="Times New Roman"/>
                <w:lang w:val="zh-CN"/>
              </w:rPr>
              <w:t>4</w:t>
            </w:r>
            <w:r>
              <w:rPr>
                <w:rFonts w:hint="eastAsia" w:hAnsi="Times New Roman" w:cs="Times New Roman"/>
                <w:lang w:val="zh-CN"/>
              </w:rPr>
              <w:t>)</w:t>
            </w:r>
            <w:r>
              <w:rPr>
                <w:rFonts w:hAnsi="Times New Roman" w:cs="Times New Roman"/>
                <w:lang w:val="zh-CN"/>
              </w:rPr>
              <w:t>通讯规划</w:t>
            </w:r>
          </w:p>
          <w:p>
            <w:pPr>
              <w:pStyle w:val="72"/>
              <w:rPr>
                <w:rFonts w:hAnsi="Times New Roman" w:cs="Times New Roman"/>
                <w:lang w:val="zh-CN"/>
              </w:rPr>
            </w:pPr>
            <w:r>
              <w:rPr>
                <w:rFonts w:hAnsi="Times New Roman" w:cs="Times New Roman"/>
                <w:lang w:val="zh-CN"/>
              </w:rPr>
              <w:t>根据各项用地规划面积，预测规划片区固定电话容量约为5.89万线。规划在片区设置1处电信枢纽支局和6座电信模块局。在主要道路的东侧和南侧的人行道或绿化带下采用管道方式敷设。</w:t>
            </w:r>
          </w:p>
          <w:p>
            <w:pPr>
              <w:pStyle w:val="72"/>
              <w:rPr>
                <w:rFonts w:hAnsi="Times New Roman" w:cs="Times New Roman"/>
                <w:lang w:val="zh-CN"/>
              </w:rPr>
            </w:pPr>
            <w:r>
              <w:rPr>
                <w:rFonts w:hint="eastAsia" w:hAnsi="Times New Roman" w:cs="Times New Roman"/>
                <w:lang w:val="en-US" w:eastAsia="zh-CN"/>
              </w:rPr>
              <w:t>(</w:t>
            </w:r>
            <w:r>
              <w:rPr>
                <w:rFonts w:hAnsi="Times New Roman" w:cs="Times New Roman"/>
                <w:lang w:val="zh-CN"/>
              </w:rPr>
              <w:t>5</w:t>
            </w:r>
            <w:r>
              <w:rPr>
                <w:rFonts w:hint="eastAsia" w:hAnsi="Times New Roman" w:cs="Times New Roman"/>
                <w:lang w:val="zh-CN"/>
              </w:rPr>
              <w:t>)</w:t>
            </w:r>
            <w:r>
              <w:rPr>
                <w:rFonts w:hAnsi="Times New Roman" w:cs="Times New Roman"/>
                <w:lang w:val="zh-CN"/>
              </w:rPr>
              <w:t>燃气规划</w:t>
            </w:r>
          </w:p>
          <w:p>
            <w:pPr>
              <w:pStyle w:val="72"/>
              <w:rPr>
                <w:rFonts w:hAnsi="Times New Roman" w:cs="Times New Roman"/>
                <w:lang w:val="zh-CN"/>
              </w:rPr>
            </w:pPr>
            <w:r>
              <w:rPr>
                <w:rFonts w:hAnsi="Times New Roman" w:cs="Times New Roman"/>
                <w:lang w:val="zh-CN"/>
              </w:rPr>
              <w:t>规划片区以天然气为气源，接自规划片区东南侧的向公庙天然气高中压调压站，预测规划片区总用气量为2839万m3/年，日最高用气量约为7.78万立方米。燃气管道均采用下地暗敷，燃气管道沿道路的东、南侧敷设，管道按输送天燃气的标准设置。</w:t>
            </w:r>
          </w:p>
          <w:p>
            <w:pPr>
              <w:pStyle w:val="72"/>
              <w:rPr>
                <w:rFonts w:hAnsi="Times New Roman" w:cs="Times New Roman"/>
                <w:lang w:val="zh-CN"/>
              </w:rPr>
            </w:pPr>
            <w:r>
              <w:rPr>
                <w:rFonts w:hint="eastAsia" w:hAnsi="Times New Roman" w:cs="Times New Roman"/>
                <w:lang w:val="zh-CN"/>
              </w:rPr>
              <w:t>7</w:t>
            </w:r>
            <w:r>
              <w:rPr>
                <w:rFonts w:hint="eastAsia" w:hAnsi="Times New Roman" w:cs="Times New Roman"/>
                <w:lang w:val="en-US" w:eastAsia="zh-CN"/>
              </w:rPr>
              <w:t>)</w:t>
            </w:r>
            <w:r>
              <w:rPr>
                <w:rFonts w:hint="eastAsia" w:hAnsi="Times New Roman" w:cs="Times New Roman"/>
                <w:lang w:val="zh-CN"/>
              </w:rPr>
              <w:t>、</w:t>
            </w:r>
            <w:r>
              <w:rPr>
                <w:rFonts w:hAnsi="Times New Roman" w:cs="Times New Roman"/>
                <w:lang w:val="zh-CN"/>
              </w:rPr>
              <w:t>综合防灾规划</w:t>
            </w:r>
          </w:p>
          <w:p>
            <w:pPr>
              <w:pStyle w:val="72"/>
              <w:rPr>
                <w:rFonts w:hAnsi="Times New Roman" w:cs="Times New Roman"/>
                <w:lang w:val="zh-CN"/>
              </w:rPr>
            </w:pPr>
            <w:r>
              <w:rPr>
                <w:rFonts w:hint="eastAsia" w:hAnsi="Times New Roman" w:cs="Times New Roman"/>
                <w:lang w:val="en-US" w:eastAsia="zh-CN"/>
              </w:rPr>
              <w:t>(</w:t>
            </w:r>
            <w:r>
              <w:rPr>
                <w:rFonts w:hAnsi="Times New Roman" w:cs="Times New Roman"/>
                <w:lang w:val="zh-CN"/>
              </w:rPr>
              <w:t>1</w:t>
            </w:r>
            <w:r>
              <w:rPr>
                <w:rFonts w:hint="eastAsia" w:hAnsi="Times New Roman" w:cs="Times New Roman"/>
                <w:lang w:val="zh-CN"/>
              </w:rPr>
              <w:t>)</w:t>
            </w:r>
            <w:r>
              <w:rPr>
                <w:rFonts w:hAnsi="Times New Roman" w:cs="Times New Roman"/>
                <w:lang w:val="zh-CN"/>
              </w:rPr>
              <w:t>消防规划</w:t>
            </w:r>
          </w:p>
          <w:p>
            <w:pPr>
              <w:pStyle w:val="72"/>
              <w:rPr>
                <w:rFonts w:hAnsi="Times New Roman" w:cs="Times New Roman"/>
                <w:lang w:val="zh-CN"/>
              </w:rPr>
            </w:pPr>
            <w:r>
              <w:rPr>
                <w:rFonts w:hAnsi="Times New Roman" w:cs="Times New Roman"/>
                <w:lang w:val="zh-CN"/>
              </w:rPr>
              <w:t>规划片区为甲类责任区，属金凤桥南和金凤桥北消防站的责任区，新建两处消防站。</w:t>
            </w:r>
          </w:p>
          <w:p>
            <w:pPr>
              <w:pStyle w:val="72"/>
              <w:rPr>
                <w:rFonts w:hAnsi="Times New Roman" w:cs="Times New Roman"/>
                <w:lang w:val="zh-CN"/>
              </w:rPr>
            </w:pPr>
            <w:r>
              <w:rPr>
                <w:rFonts w:hint="eastAsia" w:hAnsi="Times New Roman" w:cs="Times New Roman"/>
                <w:lang w:val="en-US" w:eastAsia="zh-CN"/>
              </w:rPr>
              <w:t>(</w:t>
            </w:r>
            <w:r>
              <w:rPr>
                <w:rFonts w:hAnsi="Times New Roman" w:cs="Times New Roman"/>
                <w:lang w:val="zh-CN"/>
              </w:rPr>
              <w:t>2</w:t>
            </w:r>
            <w:r>
              <w:rPr>
                <w:rFonts w:hint="eastAsia" w:hAnsi="Times New Roman" w:cs="Times New Roman"/>
                <w:lang w:val="zh-CN"/>
              </w:rPr>
              <w:t>)</w:t>
            </w:r>
            <w:r>
              <w:rPr>
                <w:rFonts w:hAnsi="Times New Roman" w:cs="Times New Roman"/>
                <w:lang w:val="zh-CN"/>
              </w:rPr>
              <w:t>人防规划</w:t>
            </w:r>
          </w:p>
          <w:p>
            <w:pPr>
              <w:pStyle w:val="72"/>
              <w:rPr>
                <w:rFonts w:hAnsi="Times New Roman" w:cs="Times New Roman"/>
                <w:lang w:val="zh-CN"/>
              </w:rPr>
            </w:pPr>
            <w:r>
              <w:rPr>
                <w:rFonts w:hAnsi="Times New Roman" w:cs="Times New Roman"/>
                <w:lang w:val="zh-CN"/>
              </w:rPr>
              <w:t>规划片区内的分水垄路、金凤桥路、巴陵东路、长康路、柳家畈路和京珠连接线为地面疏散主干路；梅子市北路、梅溪路和置田庄路等干路为地面疏散次干路</w:t>
            </w:r>
            <w:r>
              <w:rPr>
                <w:rFonts w:hint="eastAsia" w:hAnsi="Times New Roman" w:cs="Times New Roman"/>
                <w:lang w:val="zh-CN"/>
              </w:rPr>
              <w:t>。</w:t>
            </w:r>
          </w:p>
          <w:p>
            <w:pPr>
              <w:pStyle w:val="72"/>
              <w:rPr>
                <w:rFonts w:hAnsi="Times New Roman" w:cs="Times New Roman"/>
                <w:lang w:val="zh-CN"/>
              </w:rPr>
            </w:pPr>
            <w:r>
              <w:rPr>
                <w:rFonts w:hAnsi="Times New Roman" w:cs="Times New Roman"/>
                <w:lang w:val="zh-CN"/>
              </w:rPr>
              <w:t>其它相关重要工程应参照《岳阳市城市人防规划</w:t>
            </w:r>
            <w:r>
              <w:rPr>
                <w:rFonts w:hint="eastAsia" w:hAnsi="Times New Roman" w:cs="Times New Roman"/>
                <w:lang w:val="zh-CN"/>
              </w:rPr>
              <w:t>(</w:t>
            </w:r>
            <w:r>
              <w:rPr>
                <w:rFonts w:hAnsi="Times New Roman" w:cs="Times New Roman"/>
                <w:lang w:val="zh-CN"/>
              </w:rPr>
              <w:t>2004-2015</w:t>
            </w:r>
            <w:r>
              <w:rPr>
                <w:rFonts w:hint="eastAsia" w:hAnsi="Times New Roman" w:cs="Times New Roman"/>
                <w:lang w:val="zh-CN"/>
              </w:rPr>
              <w:t>)</w:t>
            </w:r>
            <w:r>
              <w:rPr>
                <w:rFonts w:hAnsi="Times New Roman" w:cs="Times New Roman"/>
                <w:lang w:val="zh-CN"/>
              </w:rPr>
              <w:t>》执行对应的防护措施。</w:t>
            </w:r>
          </w:p>
          <w:p>
            <w:pPr>
              <w:pStyle w:val="72"/>
              <w:rPr>
                <w:rFonts w:hAnsi="Times New Roman" w:cs="Times New Roman"/>
                <w:lang w:val="zh-CN"/>
              </w:rPr>
            </w:pPr>
            <w:r>
              <w:rPr>
                <w:rFonts w:hint="eastAsia" w:hAnsi="Times New Roman" w:cs="Times New Roman"/>
                <w:lang w:val="en-US" w:eastAsia="zh-CN"/>
              </w:rPr>
              <w:t>(</w:t>
            </w:r>
            <w:r>
              <w:rPr>
                <w:rFonts w:hAnsi="Times New Roman" w:cs="Times New Roman"/>
                <w:lang w:val="zh-CN"/>
              </w:rPr>
              <w:t>3</w:t>
            </w:r>
            <w:r>
              <w:rPr>
                <w:rFonts w:hint="eastAsia" w:hAnsi="Times New Roman" w:cs="Times New Roman"/>
                <w:lang w:val="zh-CN"/>
              </w:rPr>
              <w:t>)</w:t>
            </w:r>
            <w:r>
              <w:rPr>
                <w:rFonts w:hAnsi="Times New Roman" w:cs="Times New Roman"/>
                <w:lang w:val="zh-CN"/>
              </w:rPr>
              <w:t>抗震规划</w:t>
            </w:r>
          </w:p>
          <w:p>
            <w:pPr>
              <w:pStyle w:val="72"/>
              <w:rPr>
                <w:rFonts w:hAnsi="Times New Roman" w:cs="Times New Roman"/>
                <w:lang w:val="zh-CN"/>
              </w:rPr>
            </w:pPr>
            <w:r>
              <w:rPr>
                <w:rFonts w:hAnsi="Times New Roman" w:cs="Times New Roman"/>
                <w:lang w:val="zh-CN"/>
              </w:rPr>
              <w:t>片区内所有建筑物和构筑物均须按国家规定的抗震设防标准</w:t>
            </w:r>
            <w:r>
              <w:rPr>
                <w:rFonts w:hint="eastAsia" w:hAnsi="Times New Roman" w:cs="Times New Roman"/>
                <w:lang w:val="zh-CN"/>
              </w:rPr>
              <w:t>(</w:t>
            </w:r>
            <w:r>
              <w:rPr>
                <w:rFonts w:hAnsi="Times New Roman" w:cs="Times New Roman"/>
                <w:lang w:val="zh-CN"/>
              </w:rPr>
              <w:t>七度</w:t>
            </w:r>
            <w:r>
              <w:rPr>
                <w:rFonts w:hint="eastAsia" w:hAnsi="Times New Roman" w:cs="Times New Roman"/>
                <w:lang w:val="zh-CN"/>
              </w:rPr>
              <w:t>)</w:t>
            </w:r>
            <w:r>
              <w:rPr>
                <w:rFonts w:hAnsi="Times New Roman" w:cs="Times New Roman"/>
                <w:lang w:val="zh-CN"/>
              </w:rPr>
              <w:t>进行抗震设防。其中，给排水、通讯、燃气、电力、学校等生命线工程系统，应按8度设防。经抗震设计的建筑要达到</w:t>
            </w:r>
            <w:r>
              <w:rPr>
                <w:rFonts w:hint="eastAsia" w:hAnsi="Times New Roman" w:cs="Times New Roman"/>
                <w:lang w:val="zh-CN"/>
              </w:rPr>
              <w:t>“</w:t>
            </w:r>
            <w:r>
              <w:rPr>
                <w:rFonts w:hAnsi="Times New Roman" w:cs="Times New Roman"/>
                <w:lang w:val="zh-CN"/>
              </w:rPr>
              <w:t>小震不坏，中震可修，大震不倒</w:t>
            </w:r>
            <w:r>
              <w:rPr>
                <w:rFonts w:hint="eastAsia" w:hAnsi="Times New Roman" w:cs="Times New Roman"/>
                <w:lang w:val="zh-CN"/>
              </w:rPr>
              <w:t>”</w:t>
            </w:r>
            <w:r>
              <w:rPr>
                <w:rFonts w:hAnsi="Times New Roman" w:cs="Times New Roman"/>
                <w:lang w:val="zh-CN"/>
              </w:rPr>
              <w:t>的基本目标。</w:t>
            </w:r>
          </w:p>
          <w:p>
            <w:pPr>
              <w:pStyle w:val="72"/>
              <w:rPr>
                <w:rFonts w:hAnsi="Times New Roman" w:cs="Times New Roman"/>
                <w:lang w:val="zh-CN"/>
              </w:rPr>
            </w:pPr>
            <w:r>
              <w:rPr>
                <w:rFonts w:hint="eastAsia" w:hAnsi="Times New Roman" w:cs="Times New Roman"/>
                <w:lang w:val="zh-CN"/>
              </w:rPr>
              <w:t>8</w:t>
            </w:r>
            <w:r>
              <w:rPr>
                <w:rFonts w:hint="eastAsia" w:hAnsi="Times New Roman" w:cs="Times New Roman"/>
                <w:lang w:val="en-US" w:eastAsia="zh-CN"/>
              </w:rPr>
              <w:t>)</w:t>
            </w:r>
            <w:r>
              <w:rPr>
                <w:rFonts w:hint="eastAsia" w:hAnsi="Times New Roman" w:cs="Times New Roman"/>
                <w:lang w:val="zh-CN"/>
              </w:rPr>
              <w:t>、</w:t>
            </w:r>
            <w:r>
              <w:rPr>
                <w:rFonts w:hAnsi="Times New Roman" w:cs="Times New Roman"/>
                <w:lang w:val="zh-CN"/>
              </w:rPr>
              <w:t>城市设计引导</w:t>
            </w:r>
          </w:p>
          <w:p>
            <w:pPr>
              <w:pStyle w:val="72"/>
              <w:rPr>
                <w:rFonts w:hAnsi="Times New Roman" w:cs="Times New Roman"/>
                <w:lang w:val="zh-CN"/>
              </w:rPr>
            </w:pPr>
            <w:r>
              <w:rPr>
                <w:rFonts w:hAnsi="Times New Roman" w:cs="Times New Roman"/>
                <w:lang w:val="zh-CN"/>
              </w:rPr>
              <w:t>规划以梅溪港滨水绿轴、巴陵东路景观轴线和分水垄路景观轴线为主要景观轴线。</w:t>
            </w:r>
          </w:p>
          <w:p>
            <w:pPr>
              <w:pStyle w:val="72"/>
              <w:rPr>
                <w:rFonts w:hAnsi="Times New Roman" w:cs="Times New Roman"/>
                <w:lang w:val="zh-CN"/>
              </w:rPr>
            </w:pPr>
            <w:r>
              <w:rPr>
                <w:rFonts w:hAnsi="Times New Roman" w:cs="Times New Roman"/>
                <w:lang w:val="zh-CN"/>
              </w:rPr>
              <w:t>建筑风格引导：建筑形式上应以现代建筑形式为主，设计中要尽量减少大面积玻璃幕墙的使用，建议采用在实墙上加点式窗或条形窗的建筑立面形式，可以在局部使用构架，以体现该区现代建筑的特点。</w:t>
            </w:r>
          </w:p>
          <w:p>
            <w:pPr>
              <w:pStyle w:val="72"/>
              <w:rPr>
                <w:rFonts w:hAnsi="Times New Roman" w:cs="Times New Roman"/>
                <w:lang w:val="zh-CN"/>
              </w:rPr>
            </w:pPr>
            <w:r>
              <w:rPr>
                <w:rFonts w:hAnsi="Times New Roman" w:cs="Times New Roman"/>
                <w:lang w:val="zh-CN"/>
              </w:rPr>
              <w:t>建筑色彩</w:t>
            </w:r>
            <w:r>
              <w:rPr>
                <w:rFonts w:hint="eastAsia" w:hAnsi="Times New Roman" w:cs="Times New Roman"/>
                <w:lang w:val="zh-CN"/>
              </w:rPr>
              <w:t>：</w:t>
            </w:r>
            <w:r>
              <w:rPr>
                <w:rFonts w:hAnsi="Times New Roman" w:cs="Times New Roman"/>
                <w:lang w:val="zh-CN"/>
              </w:rPr>
              <w:t>主色调为暖灰色调和冷灰色调。</w:t>
            </w:r>
          </w:p>
          <w:p>
            <w:pPr>
              <w:spacing w:line="360" w:lineRule="auto"/>
              <w:ind w:firstLine="600" w:firstLineChars="250"/>
              <w:rPr>
                <w:color w:val="000000"/>
                <w:sz w:val="24"/>
                <w:szCs w:val="24"/>
              </w:rPr>
            </w:pPr>
          </w:p>
        </w:tc>
      </w:tr>
    </w:tbl>
    <w:p>
      <w:pPr>
        <w:pStyle w:val="2"/>
        <w:numPr>
          <w:ilvl w:val="0"/>
          <w:numId w:val="0"/>
        </w:numPr>
        <w:rPr>
          <w:b/>
          <w:color w:val="000000"/>
        </w:rPr>
      </w:pPr>
      <w:bookmarkStart w:id="15" w:name="_Toc461580591"/>
      <w:r>
        <w:rPr>
          <w:rFonts w:hint="eastAsia"/>
          <w:b/>
          <w:color w:val="000000"/>
        </w:rPr>
        <w:t>三、</w:t>
      </w:r>
      <w:r>
        <w:rPr>
          <w:b/>
          <w:color w:val="000000"/>
        </w:rPr>
        <w:t>环境质量状况</w:t>
      </w:r>
      <w:bookmarkEnd w:id="15"/>
    </w:p>
    <w:tbl>
      <w:tblPr>
        <w:tblStyle w:val="42"/>
        <w:tblW w:w="935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8" w:hRule="atLeast"/>
        </w:trPr>
        <w:tc>
          <w:tcPr>
            <w:tcW w:w="9355" w:type="dxa"/>
          </w:tcPr>
          <w:p>
            <w:pPr>
              <w:spacing w:line="480" w:lineRule="exact"/>
              <w:rPr>
                <w:b/>
                <w:color w:val="000000"/>
                <w:sz w:val="24"/>
              </w:rPr>
            </w:pPr>
            <w:r>
              <w:rPr>
                <w:b/>
                <w:color w:val="000000"/>
                <w:sz w:val="24"/>
              </w:rPr>
              <w:t>建设项目所在地区域环境质量现状及主要环境问题（环境空气、地面水、地下水、声环境、生态环境等）</w:t>
            </w:r>
          </w:p>
          <w:p>
            <w:pPr>
              <w:adjustRightInd w:val="0"/>
              <w:snapToGrid w:val="0"/>
              <w:spacing w:line="360" w:lineRule="auto"/>
              <w:ind w:firstLine="480" w:firstLineChars="200"/>
              <w:jc w:val="left"/>
              <w:rPr>
                <w:rFonts w:hint="eastAsia" w:eastAsia="宋体"/>
                <w:sz w:val="24"/>
                <w:lang w:val="en-US" w:eastAsia="zh-CN"/>
              </w:rPr>
            </w:pPr>
            <w:r>
              <w:rPr>
                <w:rFonts w:hint="eastAsia"/>
                <w:sz w:val="24"/>
                <w:lang w:val="en-US" w:eastAsia="zh-CN"/>
              </w:rPr>
              <w:t>1、</w:t>
            </w:r>
            <w:r>
              <w:rPr>
                <w:sz w:val="24"/>
              </w:rPr>
              <w:t>环境空气质量现状评价</w:t>
            </w:r>
          </w:p>
          <w:p>
            <w:pPr>
              <w:adjustRightInd w:val="0"/>
              <w:snapToGrid w:val="0"/>
              <w:spacing w:line="360" w:lineRule="auto"/>
              <w:ind w:firstLine="480" w:firstLineChars="200"/>
              <w:jc w:val="left"/>
              <w:rPr>
                <w:sz w:val="24"/>
              </w:rPr>
            </w:pPr>
            <w:r>
              <w:rPr>
                <w:sz w:val="24"/>
              </w:rPr>
              <w:t>根据《环境影响评价技术导则  大气环境》（HJ2.2</w:t>
            </w:r>
            <w:r>
              <w:rPr>
                <w:rFonts w:hint="eastAsia"/>
                <w:sz w:val="24"/>
              </w:rPr>
              <w:t>-</w:t>
            </w:r>
            <w:r>
              <w:rPr>
                <w:sz w:val="24"/>
              </w:rPr>
              <w:t>2008）相关规定：三级评价项目，若评价范围内已有例行监测点位，或评价范围内有近3年的监测资料，且其监测数据有效性符合本导则有关规定，并能满足项目评价要求的，可不再进行现状监测。本次大气环境质量现状评价采用</w:t>
            </w:r>
            <w:r>
              <w:rPr>
                <w:rFonts w:hint="eastAsia"/>
                <w:sz w:val="24"/>
              </w:rPr>
              <w:t>岳阳市监测站在岳阳市经济技术开发区的常规监测点和金凤桥水库常规监测点</w:t>
            </w:r>
            <w:r>
              <w:rPr>
                <w:sz w:val="24"/>
              </w:rPr>
              <w:t>201</w:t>
            </w:r>
            <w:r>
              <w:rPr>
                <w:rFonts w:hint="eastAsia"/>
                <w:sz w:val="24"/>
              </w:rPr>
              <w:t>6</w:t>
            </w:r>
            <w:r>
              <w:rPr>
                <w:sz w:val="24"/>
              </w:rPr>
              <w:t>年</w:t>
            </w:r>
            <w:r>
              <w:rPr>
                <w:rFonts w:hint="eastAsia"/>
                <w:sz w:val="24"/>
              </w:rPr>
              <w:t>3月</w:t>
            </w:r>
            <w:r>
              <w:rPr>
                <w:sz w:val="24"/>
              </w:rPr>
              <w:t>的监测数据，</w:t>
            </w:r>
            <w:r>
              <w:rPr>
                <w:rFonts w:hint="eastAsia"/>
                <w:sz w:val="24"/>
              </w:rPr>
              <w:t>监测点位于项目评价范围2.5km内</w:t>
            </w:r>
            <w:r>
              <w:rPr>
                <w:sz w:val="24"/>
              </w:rPr>
              <w:t>，因此数据可以满足项目评价要求。</w:t>
            </w:r>
          </w:p>
          <w:p>
            <w:pPr>
              <w:spacing w:line="360" w:lineRule="auto"/>
              <w:ind w:firstLine="480" w:firstLineChars="200"/>
              <w:rPr>
                <w:rFonts w:hint="eastAsia"/>
                <w:sz w:val="24"/>
              </w:rPr>
            </w:pPr>
            <w:r>
              <w:rPr>
                <w:sz w:val="24"/>
              </w:rPr>
              <w:t>（1）监测时间：201</w:t>
            </w:r>
            <w:r>
              <w:rPr>
                <w:rFonts w:hint="eastAsia"/>
                <w:sz w:val="24"/>
              </w:rPr>
              <w:t>6</w:t>
            </w:r>
            <w:r>
              <w:rPr>
                <w:sz w:val="24"/>
              </w:rPr>
              <w:t>年</w:t>
            </w:r>
            <w:r>
              <w:rPr>
                <w:rFonts w:hint="eastAsia"/>
                <w:sz w:val="24"/>
              </w:rPr>
              <w:t>3月1日—31日</w:t>
            </w:r>
          </w:p>
          <w:p>
            <w:pPr>
              <w:spacing w:line="360" w:lineRule="auto"/>
              <w:ind w:firstLine="480" w:firstLineChars="200"/>
              <w:rPr>
                <w:rFonts w:hint="eastAsia"/>
                <w:sz w:val="24"/>
                <w:u w:val="none"/>
              </w:rPr>
            </w:pPr>
            <w:r>
              <w:rPr>
                <w:sz w:val="24"/>
                <w:u w:val="none"/>
              </w:rPr>
              <w:t>（2）监测布点：</w:t>
            </w:r>
            <w:r>
              <w:rPr>
                <w:rFonts w:hint="eastAsia"/>
                <w:sz w:val="24"/>
                <w:u w:val="none"/>
              </w:rPr>
              <w:t>G1岳阳市</w:t>
            </w:r>
            <w:r>
              <w:rPr>
                <w:rFonts w:hint="eastAsia"/>
                <w:snapToGrid w:val="0"/>
                <w:kern w:val="0"/>
                <w:sz w:val="24"/>
                <w:u w:val="none"/>
              </w:rPr>
              <w:t>经开区办公楼楼顶</w:t>
            </w:r>
            <w:r>
              <w:rPr>
                <w:rFonts w:hint="eastAsia"/>
                <w:sz w:val="24"/>
                <w:u w:val="none"/>
              </w:rPr>
              <w:t>，位于</w:t>
            </w:r>
            <w:r>
              <w:rPr>
                <w:rFonts w:hint="eastAsia"/>
                <w:sz w:val="24"/>
                <w:u w:val="none"/>
                <w:lang w:val="en-US" w:eastAsia="zh-CN"/>
              </w:rPr>
              <w:t>西</w:t>
            </w:r>
            <w:r>
              <w:rPr>
                <w:rFonts w:hint="eastAsia"/>
                <w:sz w:val="24"/>
                <w:u w:val="none"/>
              </w:rPr>
              <w:t>起点西南2.0km处</w:t>
            </w:r>
          </w:p>
          <w:p>
            <w:pPr>
              <w:spacing w:line="360" w:lineRule="auto"/>
              <w:ind w:firstLine="2280" w:firstLineChars="950"/>
              <w:rPr>
                <w:rFonts w:hint="eastAsia"/>
                <w:sz w:val="24"/>
                <w:u w:val="none"/>
              </w:rPr>
            </w:pPr>
            <w:r>
              <w:rPr>
                <w:rFonts w:hint="eastAsia"/>
                <w:sz w:val="24"/>
                <w:u w:val="none"/>
              </w:rPr>
              <w:t>G2岳阳市</w:t>
            </w:r>
            <w:r>
              <w:rPr>
                <w:rFonts w:hint="eastAsia"/>
                <w:snapToGrid w:val="0"/>
                <w:kern w:val="0"/>
                <w:sz w:val="24"/>
                <w:u w:val="none"/>
              </w:rPr>
              <w:t>金凤桥水库</w:t>
            </w:r>
            <w:r>
              <w:rPr>
                <w:rFonts w:hint="eastAsia"/>
                <w:sz w:val="24"/>
                <w:u w:val="none"/>
              </w:rPr>
              <w:t>，位于</w:t>
            </w:r>
            <w:r>
              <w:rPr>
                <w:rFonts w:hint="eastAsia"/>
                <w:sz w:val="24"/>
                <w:u w:val="none"/>
                <w:lang w:val="en-US" w:eastAsia="zh-CN"/>
              </w:rPr>
              <w:t>东</w:t>
            </w:r>
            <w:r>
              <w:rPr>
                <w:rFonts w:hint="eastAsia"/>
                <w:sz w:val="24"/>
                <w:u w:val="none"/>
              </w:rPr>
              <w:t>段起点东南2.0km处</w:t>
            </w:r>
          </w:p>
          <w:p>
            <w:pPr>
              <w:spacing w:line="360" w:lineRule="auto"/>
              <w:ind w:firstLine="480" w:firstLineChars="200"/>
              <w:rPr>
                <w:rFonts w:hint="eastAsia"/>
                <w:sz w:val="24"/>
                <w:u w:val="none"/>
              </w:rPr>
            </w:pPr>
            <w:r>
              <w:rPr>
                <w:sz w:val="24"/>
                <w:u w:val="none"/>
              </w:rPr>
              <w:t>（3）监测项目：SO</w:t>
            </w:r>
            <w:r>
              <w:rPr>
                <w:sz w:val="24"/>
                <w:u w:val="none"/>
                <w:vertAlign w:val="subscript"/>
              </w:rPr>
              <w:t>2</w:t>
            </w:r>
            <w:r>
              <w:rPr>
                <w:sz w:val="24"/>
                <w:u w:val="none"/>
              </w:rPr>
              <w:t>、NO</w:t>
            </w:r>
            <w:r>
              <w:rPr>
                <w:sz w:val="24"/>
                <w:u w:val="none"/>
                <w:vertAlign w:val="subscript"/>
              </w:rPr>
              <w:t>2</w:t>
            </w:r>
            <w:r>
              <w:rPr>
                <w:sz w:val="24"/>
                <w:u w:val="none"/>
              </w:rPr>
              <w:t>、PM</w:t>
            </w:r>
            <w:r>
              <w:rPr>
                <w:sz w:val="24"/>
                <w:u w:val="none"/>
                <w:vertAlign w:val="subscript"/>
              </w:rPr>
              <w:t>10</w:t>
            </w:r>
            <w:r>
              <w:rPr>
                <w:sz w:val="24"/>
                <w:u w:val="none"/>
              </w:rPr>
              <w:t>、</w:t>
            </w:r>
            <w:r>
              <w:rPr>
                <w:sz w:val="21"/>
                <w:szCs w:val="21"/>
                <w:u w:val="none"/>
              </w:rPr>
              <w:t>PM</w:t>
            </w:r>
            <w:r>
              <w:rPr>
                <w:rFonts w:hint="eastAsia"/>
                <w:sz w:val="21"/>
                <w:szCs w:val="21"/>
                <w:u w:val="none"/>
                <w:vertAlign w:val="subscript"/>
              </w:rPr>
              <w:t>2.5</w:t>
            </w:r>
            <w:r>
              <w:rPr>
                <w:sz w:val="24"/>
                <w:u w:val="none"/>
              </w:rPr>
              <w:t>、</w:t>
            </w:r>
            <w:r>
              <w:rPr>
                <w:rFonts w:hint="eastAsia"/>
                <w:sz w:val="24"/>
                <w:u w:val="none"/>
              </w:rPr>
              <w:t>CO和臭氧</w:t>
            </w:r>
          </w:p>
          <w:p>
            <w:pPr>
              <w:spacing w:line="360" w:lineRule="auto"/>
              <w:ind w:firstLine="480" w:firstLineChars="200"/>
              <w:rPr>
                <w:sz w:val="24"/>
              </w:rPr>
            </w:pPr>
            <w:r>
              <w:rPr>
                <w:sz w:val="24"/>
              </w:rPr>
              <w:t>（</w:t>
            </w:r>
            <w:r>
              <w:rPr>
                <w:rFonts w:hint="eastAsia"/>
                <w:sz w:val="24"/>
              </w:rPr>
              <w:t>4</w:t>
            </w:r>
            <w:r>
              <w:rPr>
                <w:sz w:val="24"/>
              </w:rPr>
              <w:t>）评价标准：执行《环境空气质量标准》（GB3095-2012）中的二级标准。</w:t>
            </w:r>
          </w:p>
          <w:p>
            <w:pPr>
              <w:spacing w:line="360" w:lineRule="auto"/>
              <w:ind w:firstLine="480" w:firstLineChars="200"/>
              <w:rPr>
                <w:rFonts w:hint="eastAsia"/>
                <w:sz w:val="24"/>
              </w:rPr>
            </w:pPr>
            <w:r>
              <w:rPr>
                <w:sz w:val="24"/>
              </w:rPr>
              <w:t>（</w:t>
            </w:r>
            <w:r>
              <w:rPr>
                <w:rFonts w:hint="eastAsia"/>
                <w:sz w:val="24"/>
              </w:rPr>
              <w:t>5</w:t>
            </w:r>
            <w:r>
              <w:rPr>
                <w:sz w:val="24"/>
              </w:rPr>
              <w:t>）监测及评价结果：见表</w:t>
            </w:r>
            <w:r>
              <w:rPr>
                <w:rFonts w:hint="eastAsia"/>
                <w:sz w:val="24"/>
                <w:lang w:val="en-US" w:eastAsia="zh-CN"/>
              </w:rPr>
              <w:t>3</w:t>
            </w:r>
            <w:r>
              <w:rPr>
                <w:rFonts w:hint="eastAsia"/>
                <w:sz w:val="24"/>
              </w:rPr>
              <w:t>-1。</w:t>
            </w:r>
          </w:p>
          <w:p>
            <w:pPr>
              <w:autoSpaceDE w:val="0"/>
              <w:autoSpaceDN w:val="0"/>
              <w:adjustRightInd w:val="0"/>
              <w:jc w:val="center"/>
              <w:rPr>
                <w:rFonts w:hint="eastAsia"/>
                <w:b/>
                <w:kern w:val="0"/>
                <w:sz w:val="24"/>
              </w:rPr>
            </w:pPr>
            <w:r>
              <w:rPr>
                <w:b/>
                <w:kern w:val="0"/>
                <w:sz w:val="24"/>
              </w:rPr>
              <w:t>表</w:t>
            </w:r>
            <w:r>
              <w:rPr>
                <w:rFonts w:hint="eastAsia"/>
                <w:b/>
                <w:kern w:val="0"/>
                <w:sz w:val="24"/>
                <w:lang w:val="en-US" w:eastAsia="zh-CN"/>
              </w:rPr>
              <w:t>3</w:t>
            </w:r>
            <w:r>
              <w:rPr>
                <w:rFonts w:hint="eastAsia"/>
                <w:b/>
                <w:kern w:val="0"/>
                <w:sz w:val="24"/>
              </w:rPr>
              <w:t xml:space="preserve">-1   </w:t>
            </w:r>
            <w:r>
              <w:rPr>
                <w:b/>
                <w:kern w:val="0"/>
                <w:sz w:val="24"/>
              </w:rPr>
              <w:t>环境空气质量现状调查监测统计结果</w:t>
            </w:r>
          </w:p>
          <w:tbl>
            <w:tblPr>
              <w:tblStyle w:val="42"/>
              <w:tblW w:w="8513" w:type="dxa"/>
              <w:tblInd w:w="288"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375"/>
              <w:gridCol w:w="976"/>
              <w:gridCol w:w="1296"/>
              <w:gridCol w:w="1509"/>
              <w:gridCol w:w="1612"/>
              <w:gridCol w:w="1745"/>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289" w:hRule="atLeast"/>
              </w:trPr>
              <w:tc>
                <w:tcPr>
                  <w:tcW w:w="1375" w:type="dxa"/>
                  <w:vAlign w:val="center"/>
                </w:tcPr>
                <w:p>
                  <w:pPr>
                    <w:pStyle w:val="70"/>
                    <w:jc w:val="center"/>
                    <w:rPr>
                      <w:rFonts w:ascii="Times New Roman"/>
                      <w:color w:val="auto"/>
                      <w:sz w:val="21"/>
                      <w:szCs w:val="21"/>
                    </w:rPr>
                  </w:pPr>
                  <w:r>
                    <w:rPr>
                      <w:rFonts w:ascii="Times New Roman"/>
                      <w:color w:val="auto"/>
                      <w:sz w:val="21"/>
                      <w:szCs w:val="21"/>
                    </w:rPr>
                    <w:t>监测因子</w:t>
                  </w:r>
                </w:p>
              </w:tc>
              <w:tc>
                <w:tcPr>
                  <w:tcW w:w="976" w:type="dxa"/>
                  <w:vAlign w:val="center"/>
                </w:tcPr>
                <w:p>
                  <w:pPr>
                    <w:pStyle w:val="70"/>
                    <w:jc w:val="center"/>
                    <w:rPr>
                      <w:rFonts w:ascii="Times New Roman"/>
                      <w:color w:val="auto"/>
                      <w:sz w:val="21"/>
                      <w:szCs w:val="21"/>
                    </w:rPr>
                  </w:pPr>
                  <w:r>
                    <w:rPr>
                      <w:rFonts w:ascii="Times New Roman"/>
                      <w:color w:val="auto"/>
                      <w:sz w:val="21"/>
                      <w:szCs w:val="21"/>
                    </w:rPr>
                    <w:t>监测点</w:t>
                  </w:r>
                </w:p>
              </w:tc>
              <w:tc>
                <w:tcPr>
                  <w:tcW w:w="1296" w:type="dxa"/>
                  <w:vAlign w:val="center"/>
                </w:tcPr>
                <w:p>
                  <w:pPr>
                    <w:pStyle w:val="70"/>
                    <w:jc w:val="center"/>
                    <w:rPr>
                      <w:rFonts w:ascii="Times New Roman"/>
                      <w:color w:val="auto"/>
                      <w:sz w:val="21"/>
                      <w:szCs w:val="21"/>
                    </w:rPr>
                  </w:pPr>
                  <w:r>
                    <w:rPr>
                      <w:rFonts w:ascii="Times New Roman"/>
                      <w:color w:val="auto"/>
                      <w:spacing w:val="-10"/>
                      <w:sz w:val="21"/>
                      <w:szCs w:val="21"/>
                    </w:rPr>
                    <w:t>范围</w:t>
                  </w:r>
                </w:p>
              </w:tc>
              <w:tc>
                <w:tcPr>
                  <w:tcW w:w="1509" w:type="dxa"/>
                  <w:vAlign w:val="center"/>
                </w:tcPr>
                <w:p>
                  <w:pPr>
                    <w:pStyle w:val="70"/>
                    <w:jc w:val="center"/>
                    <w:rPr>
                      <w:rFonts w:ascii="Times New Roman"/>
                      <w:color w:val="auto"/>
                      <w:sz w:val="21"/>
                      <w:szCs w:val="21"/>
                    </w:rPr>
                  </w:pPr>
                  <w:r>
                    <w:rPr>
                      <w:rFonts w:ascii="Times New Roman"/>
                      <w:color w:val="auto"/>
                      <w:sz w:val="21"/>
                      <w:szCs w:val="21"/>
                    </w:rPr>
                    <w:t>标准值</w:t>
                  </w:r>
                </w:p>
              </w:tc>
              <w:tc>
                <w:tcPr>
                  <w:tcW w:w="1612" w:type="dxa"/>
                  <w:vAlign w:val="center"/>
                </w:tcPr>
                <w:p>
                  <w:pPr>
                    <w:pStyle w:val="70"/>
                    <w:jc w:val="center"/>
                    <w:rPr>
                      <w:rFonts w:ascii="Times New Roman"/>
                      <w:color w:val="auto"/>
                      <w:sz w:val="21"/>
                      <w:szCs w:val="21"/>
                    </w:rPr>
                  </w:pPr>
                  <w:r>
                    <w:rPr>
                      <w:rFonts w:ascii="Times New Roman"/>
                      <w:color w:val="auto"/>
                      <w:sz w:val="21"/>
                      <w:szCs w:val="21"/>
                    </w:rPr>
                    <w:t>最大超标倍数</w:t>
                  </w:r>
                </w:p>
              </w:tc>
              <w:tc>
                <w:tcPr>
                  <w:tcW w:w="1745" w:type="dxa"/>
                  <w:vAlign w:val="center"/>
                </w:tcPr>
                <w:p>
                  <w:pPr>
                    <w:pStyle w:val="70"/>
                    <w:jc w:val="center"/>
                    <w:rPr>
                      <w:rFonts w:ascii="Times New Roman"/>
                      <w:color w:val="auto"/>
                      <w:sz w:val="21"/>
                      <w:szCs w:val="21"/>
                    </w:rPr>
                  </w:pPr>
                  <w:r>
                    <w:rPr>
                      <w:rFonts w:ascii="Times New Roman"/>
                      <w:color w:val="auto"/>
                      <w:sz w:val="21"/>
                      <w:szCs w:val="21"/>
                    </w:rPr>
                    <w:t>超标率（％）</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61" w:hRule="atLeast"/>
              </w:trPr>
              <w:tc>
                <w:tcPr>
                  <w:tcW w:w="1375" w:type="dxa"/>
                  <w:vMerge w:val="restart"/>
                  <w:vAlign w:val="center"/>
                </w:tcPr>
                <w:p>
                  <w:pPr>
                    <w:pStyle w:val="70"/>
                    <w:jc w:val="center"/>
                    <w:rPr>
                      <w:rFonts w:hint="eastAsia" w:ascii="Times New Roman"/>
                      <w:color w:val="auto"/>
                      <w:sz w:val="21"/>
                      <w:szCs w:val="21"/>
                    </w:rPr>
                  </w:pPr>
                  <w:r>
                    <w:rPr>
                      <w:rFonts w:ascii="Times New Roman"/>
                      <w:color w:val="auto"/>
                      <w:sz w:val="21"/>
                      <w:szCs w:val="21"/>
                    </w:rPr>
                    <w:t>PM</w:t>
                  </w:r>
                  <w:r>
                    <w:rPr>
                      <w:rFonts w:ascii="Times New Roman"/>
                      <w:color w:val="auto"/>
                      <w:sz w:val="21"/>
                      <w:szCs w:val="21"/>
                      <w:vertAlign w:val="subscript"/>
                    </w:rPr>
                    <w:t>10</w:t>
                  </w:r>
                </w:p>
              </w:tc>
              <w:tc>
                <w:tcPr>
                  <w:tcW w:w="976" w:type="dxa"/>
                  <w:vAlign w:val="center"/>
                </w:tcPr>
                <w:p>
                  <w:pPr>
                    <w:jc w:val="center"/>
                    <w:rPr>
                      <w:sz w:val="21"/>
                      <w:szCs w:val="21"/>
                    </w:rPr>
                  </w:pPr>
                  <w:r>
                    <w:rPr>
                      <w:sz w:val="21"/>
                      <w:szCs w:val="21"/>
                    </w:rPr>
                    <w:t>G1</w:t>
                  </w:r>
                </w:p>
              </w:tc>
              <w:tc>
                <w:tcPr>
                  <w:tcW w:w="1296" w:type="dxa"/>
                  <w:vAlign w:val="center"/>
                </w:tcPr>
                <w:p>
                  <w:pPr>
                    <w:jc w:val="center"/>
                    <w:rPr>
                      <w:rFonts w:hint="eastAsia"/>
                      <w:sz w:val="21"/>
                      <w:szCs w:val="21"/>
                    </w:rPr>
                  </w:pPr>
                  <w:r>
                    <w:rPr>
                      <w:rFonts w:hint="eastAsia"/>
                      <w:sz w:val="21"/>
                      <w:szCs w:val="21"/>
                    </w:rPr>
                    <w:t>51-99</w:t>
                  </w:r>
                </w:p>
              </w:tc>
              <w:tc>
                <w:tcPr>
                  <w:tcW w:w="1509" w:type="dxa"/>
                  <w:vMerge w:val="restart"/>
                  <w:vAlign w:val="center"/>
                </w:tcPr>
                <w:p>
                  <w:pPr>
                    <w:pStyle w:val="70"/>
                    <w:jc w:val="center"/>
                    <w:rPr>
                      <w:rFonts w:ascii="Times New Roman"/>
                      <w:color w:val="auto"/>
                      <w:sz w:val="21"/>
                      <w:szCs w:val="21"/>
                    </w:rPr>
                  </w:pPr>
                  <w:r>
                    <w:rPr>
                      <w:rFonts w:hint="eastAsia" w:ascii="Times New Roman"/>
                      <w:color w:val="auto"/>
                      <w:sz w:val="21"/>
                      <w:szCs w:val="21"/>
                    </w:rPr>
                    <w:t>150</w:t>
                  </w:r>
                  <w:r>
                    <w:rPr>
                      <w:rFonts w:ascii="Times New Roman"/>
                      <w:color w:val="auto"/>
                      <w:spacing w:val="-10"/>
                      <w:sz w:val="21"/>
                      <w:szCs w:val="21"/>
                    </w:rPr>
                    <w:t>（</w:t>
                  </w:r>
                  <w:r>
                    <w:rPr>
                      <w:rFonts w:hint="eastAsia" w:ascii="Times New Roman"/>
                      <w:color w:val="auto"/>
                      <w:spacing w:val="-10"/>
                      <w:sz w:val="21"/>
                      <w:szCs w:val="21"/>
                    </w:rPr>
                    <w:t>u</w:t>
                  </w:r>
                  <w:r>
                    <w:rPr>
                      <w:rFonts w:ascii="Times New Roman"/>
                      <w:color w:val="auto"/>
                      <w:spacing w:val="-10"/>
                      <w:sz w:val="21"/>
                      <w:szCs w:val="21"/>
                    </w:rPr>
                    <w:t>g/m</w:t>
                  </w:r>
                  <w:r>
                    <w:rPr>
                      <w:rFonts w:ascii="Times New Roman"/>
                      <w:color w:val="auto"/>
                      <w:spacing w:val="-10"/>
                      <w:sz w:val="21"/>
                      <w:szCs w:val="21"/>
                      <w:vertAlign w:val="superscript"/>
                    </w:rPr>
                    <w:t>3</w:t>
                  </w:r>
                  <w:r>
                    <w:rPr>
                      <w:rFonts w:ascii="Times New Roman"/>
                      <w:color w:val="auto"/>
                      <w:spacing w:val="-10"/>
                      <w:sz w:val="21"/>
                      <w:szCs w:val="21"/>
                    </w:rPr>
                    <w:t>）</w:t>
                  </w:r>
                </w:p>
                <w:p>
                  <w:pPr>
                    <w:pStyle w:val="70"/>
                    <w:jc w:val="center"/>
                    <w:rPr>
                      <w:rFonts w:ascii="Times New Roman"/>
                      <w:color w:val="auto"/>
                      <w:sz w:val="21"/>
                      <w:szCs w:val="21"/>
                    </w:rPr>
                  </w:pPr>
                  <w:r>
                    <w:rPr>
                      <w:rFonts w:ascii="Times New Roman"/>
                      <w:color w:val="auto"/>
                      <w:sz w:val="21"/>
                      <w:szCs w:val="21"/>
                    </w:rPr>
                    <w:t>（</w:t>
                  </w:r>
                  <w:r>
                    <w:rPr>
                      <w:rFonts w:hint="eastAsia" w:ascii="Times New Roman"/>
                      <w:color w:val="auto"/>
                      <w:sz w:val="21"/>
                      <w:szCs w:val="21"/>
                    </w:rPr>
                    <w:t>日均值</w:t>
                  </w:r>
                  <w:r>
                    <w:rPr>
                      <w:rFonts w:ascii="Times New Roman"/>
                      <w:color w:val="auto"/>
                      <w:sz w:val="21"/>
                      <w:szCs w:val="21"/>
                    </w:rPr>
                    <w:t>）</w:t>
                  </w:r>
                </w:p>
              </w:tc>
              <w:tc>
                <w:tcPr>
                  <w:tcW w:w="1612" w:type="dxa"/>
                  <w:vAlign w:val="center"/>
                </w:tcPr>
                <w:p>
                  <w:pPr>
                    <w:pStyle w:val="70"/>
                    <w:jc w:val="center"/>
                    <w:rPr>
                      <w:rFonts w:ascii="Times New Roman"/>
                      <w:color w:val="auto"/>
                      <w:sz w:val="21"/>
                      <w:szCs w:val="21"/>
                    </w:rPr>
                  </w:pPr>
                  <w:r>
                    <w:rPr>
                      <w:rFonts w:ascii="Times New Roman"/>
                      <w:color w:val="auto"/>
                      <w:sz w:val="21"/>
                      <w:szCs w:val="21"/>
                    </w:rPr>
                    <w:t>0</w:t>
                  </w:r>
                </w:p>
              </w:tc>
              <w:tc>
                <w:tcPr>
                  <w:tcW w:w="1745" w:type="dxa"/>
                  <w:vAlign w:val="center"/>
                </w:tcPr>
                <w:p>
                  <w:pPr>
                    <w:pStyle w:val="70"/>
                    <w:jc w:val="center"/>
                    <w:rPr>
                      <w:rFonts w:ascii="Times New Roman"/>
                      <w:color w:val="auto"/>
                      <w:sz w:val="21"/>
                      <w:szCs w:val="21"/>
                    </w:rPr>
                  </w:pPr>
                  <w:r>
                    <w:rPr>
                      <w:rFonts w:ascii="Times New Roman"/>
                      <w:color w:val="auto"/>
                      <w:sz w:val="21"/>
                      <w:szCs w:val="21"/>
                    </w:rPr>
                    <w:t>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63" w:hRule="atLeast"/>
              </w:trPr>
              <w:tc>
                <w:tcPr>
                  <w:tcW w:w="1375" w:type="dxa"/>
                  <w:vMerge w:val="continue"/>
                  <w:vAlign w:val="center"/>
                </w:tcPr>
                <w:p>
                  <w:pPr>
                    <w:jc w:val="center"/>
                    <w:rPr>
                      <w:rFonts w:hint="eastAsia"/>
                      <w:sz w:val="21"/>
                      <w:szCs w:val="21"/>
                    </w:rPr>
                  </w:pPr>
                </w:p>
              </w:tc>
              <w:tc>
                <w:tcPr>
                  <w:tcW w:w="976" w:type="dxa"/>
                  <w:vAlign w:val="center"/>
                </w:tcPr>
                <w:p>
                  <w:pPr>
                    <w:jc w:val="center"/>
                    <w:rPr>
                      <w:sz w:val="21"/>
                      <w:szCs w:val="21"/>
                    </w:rPr>
                  </w:pPr>
                  <w:r>
                    <w:rPr>
                      <w:sz w:val="21"/>
                      <w:szCs w:val="21"/>
                    </w:rPr>
                    <w:t>G2</w:t>
                  </w:r>
                </w:p>
              </w:tc>
              <w:tc>
                <w:tcPr>
                  <w:tcW w:w="1296" w:type="dxa"/>
                  <w:vAlign w:val="center"/>
                </w:tcPr>
                <w:p>
                  <w:pPr>
                    <w:jc w:val="center"/>
                    <w:rPr>
                      <w:rFonts w:hint="eastAsia"/>
                      <w:sz w:val="21"/>
                      <w:szCs w:val="21"/>
                    </w:rPr>
                  </w:pPr>
                  <w:r>
                    <w:rPr>
                      <w:rFonts w:hint="eastAsia"/>
                      <w:sz w:val="21"/>
                      <w:szCs w:val="21"/>
                    </w:rPr>
                    <w:t>63-97</w:t>
                  </w:r>
                </w:p>
              </w:tc>
              <w:tc>
                <w:tcPr>
                  <w:tcW w:w="1509" w:type="dxa"/>
                  <w:vMerge w:val="continue"/>
                  <w:vAlign w:val="center"/>
                </w:tcPr>
                <w:p>
                  <w:pPr>
                    <w:pStyle w:val="70"/>
                    <w:jc w:val="center"/>
                    <w:rPr>
                      <w:rFonts w:hint="eastAsia" w:ascii="Times New Roman"/>
                      <w:color w:val="auto"/>
                      <w:sz w:val="21"/>
                      <w:szCs w:val="21"/>
                    </w:rPr>
                  </w:pPr>
                </w:p>
              </w:tc>
              <w:tc>
                <w:tcPr>
                  <w:tcW w:w="1612" w:type="dxa"/>
                  <w:vAlign w:val="center"/>
                </w:tcPr>
                <w:p>
                  <w:pPr>
                    <w:pStyle w:val="70"/>
                    <w:jc w:val="center"/>
                    <w:rPr>
                      <w:rFonts w:ascii="Times New Roman"/>
                      <w:color w:val="auto"/>
                      <w:sz w:val="21"/>
                      <w:szCs w:val="21"/>
                    </w:rPr>
                  </w:pPr>
                  <w:r>
                    <w:rPr>
                      <w:rFonts w:ascii="Times New Roman"/>
                      <w:color w:val="auto"/>
                      <w:sz w:val="21"/>
                      <w:szCs w:val="21"/>
                    </w:rPr>
                    <w:t>0</w:t>
                  </w:r>
                </w:p>
              </w:tc>
              <w:tc>
                <w:tcPr>
                  <w:tcW w:w="1745" w:type="dxa"/>
                  <w:vAlign w:val="center"/>
                </w:tcPr>
                <w:p>
                  <w:pPr>
                    <w:pStyle w:val="70"/>
                    <w:jc w:val="center"/>
                    <w:rPr>
                      <w:rFonts w:ascii="Times New Roman"/>
                      <w:color w:val="auto"/>
                      <w:sz w:val="21"/>
                      <w:szCs w:val="21"/>
                    </w:rPr>
                  </w:pPr>
                  <w:r>
                    <w:rPr>
                      <w:rFonts w:ascii="Times New Roman"/>
                      <w:color w:val="auto"/>
                      <w:sz w:val="21"/>
                      <w:szCs w:val="21"/>
                    </w:rPr>
                    <w:t>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84" w:hRule="atLeast"/>
              </w:trPr>
              <w:tc>
                <w:tcPr>
                  <w:tcW w:w="1375" w:type="dxa"/>
                  <w:vMerge w:val="restart"/>
                  <w:vAlign w:val="center"/>
                </w:tcPr>
                <w:p>
                  <w:pPr>
                    <w:pStyle w:val="70"/>
                    <w:jc w:val="center"/>
                    <w:rPr>
                      <w:rFonts w:hint="eastAsia" w:ascii="Times New Roman"/>
                      <w:color w:val="auto"/>
                      <w:sz w:val="21"/>
                      <w:szCs w:val="21"/>
                    </w:rPr>
                  </w:pPr>
                  <w:r>
                    <w:rPr>
                      <w:rFonts w:ascii="Times New Roman"/>
                      <w:color w:val="auto"/>
                      <w:sz w:val="21"/>
                      <w:szCs w:val="21"/>
                    </w:rPr>
                    <w:t>SO</w:t>
                  </w:r>
                  <w:r>
                    <w:rPr>
                      <w:rFonts w:ascii="Times New Roman"/>
                      <w:color w:val="auto"/>
                      <w:sz w:val="21"/>
                      <w:szCs w:val="21"/>
                      <w:vertAlign w:val="subscript"/>
                    </w:rPr>
                    <w:t>2</w:t>
                  </w:r>
                </w:p>
              </w:tc>
              <w:tc>
                <w:tcPr>
                  <w:tcW w:w="976" w:type="dxa"/>
                  <w:vAlign w:val="center"/>
                </w:tcPr>
                <w:p>
                  <w:pPr>
                    <w:jc w:val="center"/>
                    <w:rPr>
                      <w:sz w:val="21"/>
                      <w:szCs w:val="21"/>
                    </w:rPr>
                  </w:pPr>
                  <w:r>
                    <w:rPr>
                      <w:sz w:val="21"/>
                      <w:szCs w:val="21"/>
                    </w:rPr>
                    <w:t>G1</w:t>
                  </w:r>
                </w:p>
              </w:tc>
              <w:tc>
                <w:tcPr>
                  <w:tcW w:w="1296" w:type="dxa"/>
                  <w:vAlign w:val="center"/>
                </w:tcPr>
                <w:p>
                  <w:pPr>
                    <w:jc w:val="center"/>
                    <w:rPr>
                      <w:rFonts w:hint="eastAsia"/>
                      <w:sz w:val="21"/>
                      <w:szCs w:val="21"/>
                    </w:rPr>
                  </w:pPr>
                  <w:r>
                    <w:rPr>
                      <w:rFonts w:hint="eastAsia"/>
                      <w:sz w:val="21"/>
                      <w:szCs w:val="21"/>
                    </w:rPr>
                    <w:t>20-55</w:t>
                  </w:r>
                </w:p>
              </w:tc>
              <w:tc>
                <w:tcPr>
                  <w:tcW w:w="1509" w:type="dxa"/>
                  <w:vMerge w:val="restart"/>
                  <w:vAlign w:val="center"/>
                </w:tcPr>
                <w:p>
                  <w:pPr>
                    <w:pStyle w:val="70"/>
                    <w:jc w:val="center"/>
                    <w:rPr>
                      <w:rFonts w:ascii="Times New Roman"/>
                      <w:color w:val="auto"/>
                      <w:sz w:val="21"/>
                      <w:szCs w:val="21"/>
                    </w:rPr>
                  </w:pPr>
                  <w:r>
                    <w:rPr>
                      <w:rFonts w:hint="eastAsia" w:ascii="Times New Roman"/>
                      <w:color w:val="auto"/>
                      <w:sz w:val="21"/>
                      <w:szCs w:val="21"/>
                    </w:rPr>
                    <w:t>150</w:t>
                  </w:r>
                  <w:r>
                    <w:rPr>
                      <w:rFonts w:ascii="Times New Roman"/>
                      <w:color w:val="auto"/>
                      <w:spacing w:val="-10"/>
                      <w:sz w:val="21"/>
                      <w:szCs w:val="21"/>
                    </w:rPr>
                    <w:t>（</w:t>
                  </w:r>
                  <w:r>
                    <w:rPr>
                      <w:rFonts w:hint="eastAsia" w:ascii="Times New Roman"/>
                      <w:color w:val="auto"/>
                      <w:spacing w:val="-10"/>
                      <w:sz w:val="21"/>
                      <w:szCs w:val="21"/>
                    </w:rPr>
                    <w:t>u</w:t>
                  </w:r>
                  <w:r>
                    <w:rPr>
                      <w:rFonts w:ascii="Times New Roman"/>
                      <w:color w:val="auto"/>
                      <w:spacing w:val="-10"/>
                      <w:sz w:val="21"/>
                      <w:szCs w:val="21"/>
                    </w:rPr>
                    <w:t>g/m</w:t>
                  </w:r>
                  <w:r>
                    <w:rPr>
                      <w:rFonts w:ascii="Times New Roman"/>
                      <w:color w:val="auto"/>
                      <w:spacing w:val="-10"/>
                      <w:sz w:val="21"/>
                      <w:szCs w:val="21"/>
                      <w:vertAlign w:val="superscript"/>
                    </w:rPr>
                    <w:t>3</w:t>
                  </w:r>
                  <w:r>
                    <w:rPr>
                      <w:rFonts w:ascii="Times New Roman"/>
                      <w:color w:val="auto"/>
                      <w:spacing w:val="-10"/>
                      <w:sz w:val="21"/>
                      <w:szCs w:val="21"/>
                    </w:rPr>
                    <w:t>）</w:t>
                  </w:r>
                </w:p>
                <w:p>
                  <w:pPr>
                    <w:pStyle w:val="70"/>
                    <w:jc w:val="center"/>
                    <w:rPr>
                      <w:rFonts w:ascii="Times New Roman"/>
                      <w:color w:val="auto"/>
                      <w:sz w:val="21"/>
                      <w:szCs w:val="21"/>
                    </w:rPr>
                  </w:pPr>
                  <w:r>
                    <w:rPr>
                      <w:rFonts w:ascii="Times New Roman"/>
                      <w:color w:val="auto"/>
                      <w:sz w:val="21"/>
                      <w:szCs w:val="21"/>
                    </w:rPr>
                    <w:t>（</w:t>
                  </w:r>
                  <w:r>
                    <w:rPr>
                      <w:rFonts w:hint="eastAsia" w:ascii="Times New Roman"/>
                      <w:color w:val="auto"/>
                      <w:sz w:val="21"/>
                      <w:szCs w:val="21"/>
                    </w:rPr>
                    <w:t>日均值</w:t>
                  </w:r>
                  <w:r>
                    <w:rPr>
                      <w:rFonts w:ascii="Times New Roman"/>
                      <w:color w:val="auto"/>
                      <w:sz w:val="21"/>
                      <w:szCs w:val="21"/>
                    </w:rPr>
                    <w:t>）</w:t>
                  </w:r>
                </w:p>
              </w:tc>
              <w:tc>
                <w:tcPr>
                  <w:tcW w:w="1612" w:type="dxa"/>
                  <w:vAlign w:val="center"/>
                </w:tcPr>
                <w:p>
                  <w:pPr>
                    <w:pStyle w:val="70"/>
                    <w:jc w:val="center"/>
                    <w:rPr>
                      <w:rFonts w:ascii="Times New Roman"/>
                      <w:color w:val="auto"/>
                      <w:sz w:val="21"/>
                      <w:szCs w:val="21"/>
                    </w:rPr>
                  </w:pPr>
                  <w:r>
                    <w:rPr>
                      <w:rFonts w:ascii="Times New Roman"/>
                      <w:color w:val="auto"/>
                      <w:sz w:val="21"/>
                      <w:szCs w:val="21"/>
                    </w:rPr>
                    <w:t>0</w:t>
                  </w:r>
                </w:p>
              </w:tc>
              <w:tc>
                <w:tcPr>
                  <w:tcW w:w="1745" w:type="dxa"/>
                  <w:vAlign w:val="center"/>
                </w:tcPr>
                <w:p>
                  <w:pPr>
                    <w:pStyle w:val="70"/>
                    <w:jc w:val="center"/>
                    <w:rPr>
                      <w:rFonts w:ascii="Times New Roman"/>
                      <w:color w:val="auto"/>
                      <w:sz w:val="21"/>
                      <w:szCs w:val="21"/>
                    </w:rPr>
                  </w:pPr>
                  <w:r>
                    <w:rPr>
                      <w:rFonts w:ascii="Times New Roman"/>
                      <w:color w:val="auto"/>
                      <w:sz w:val="21"/>
                      <w:szCs w:val="21"/>
                    </w:rPr>
                    <w:t>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84" w:hRule="atLeast"/>
              </w:trPr>
              <w:tc>
                <w:tcPr>
                  <w:tcW w:w="1375" w:type="dxa"/>
                  <w:vMerge w:val="continue"/>
                  <w:vAlign w:val="center"/>
                </w:tcPr>
                <w:p>
                  <w:pPr>
                    <w:pStyle w:val="70"/>
                    <w:jc w:val="center"/>
                    <w:rPr>
                      <w:rFonts w:ascii="Times New Roman"/>
                      <w:color w:val="auto"/>
                      <w:sz w:val="21"/>
                      <w:szCs w:val="21"/>
                    </w:rPr>
                  </w:pPr>
                </w:p>
              </w:tc>
              <w:tc>
                <w:tcPr>
                  <w:tcW w:w="976" w:type="dxa"/>
                  <w:vAlign w:val="center"/>
                </w:tcPr>
                <w:p>
                  <w:pPr>
                    <w:jc w:val="center"/>
                    <w:rPr>
                      <w:sz w:val="21"/>
                      <w:szCs w:val="21"/>
                    </w:rPr>
                  </w:pPr>
                  <w:r>
                    <w:rPr>
                      <w:sz w:val="21"/>
                      <w:szCs w:val="21"/>
                    </w:rPr>
                    <w:t>G2</w:t>
                  </w:r>
                </w:p>
              </w:tc>
              <w:tc>
                <w:tcPr>
                  <w:tcW w:w="1296" w:type="dxa"/>
                  <w:vAlign w:val="center"/>
                </w:tcPr>
                <w:p>
                  <w:pPr>
                    <w:jc w:val="center"/>
                    <w:rPr>
                      <w:sz w:val="21"/>
                      <w:szCs w:val="21"/>
                    </w:rPr>
                  </w:pPr>
                  <w:r>
                    <w:rPr>
                      <w:rFonts w:hint="eastAsia"/>
                      <w:sz w:val="21"/>
                      <w:szCs w:val="21"/>
                    </w:rPr>
                    <w:t>8-86</w:t>
                  </w:r>
                </w:p>
              </w:tc>
              <w:tc>
                <w:tcPr>
                  <w:tcW w:w="1509" w:type="dxa"/>
                  <w:vMerge w:val="continue"/>
                  <w:vAlign w:val="center"/>
                </w:tcPr>
                <w:p>
                  <w:pPr>
                    <w:pStyle w:val="70"/>
                    <w:jc w:val="center"/>
                    <w:rPr>
                      <w:rFonts w:hint="eastAsia" w:ascii="Times New Roman"/>
                      <w:color w:val="auto"/>
                      <w:sz w:val="21"/>
                      <w:szCs w:val="21"/>
                    </w:rPr>
                  </w:pPr>
                </w:p>
              </w:tc>
              <w:tc>
                <w:tcPr>
                  <w:tcW w:w="1612" w:type="dxa"/>
                  <w:vAlign w:val="center"/>
                </w:tcPr>
                <w:p>
                  <w:pPr>
                    <w:pStyle w:val="70"/>
                    <w:jc w:val="center"/>
                    <w:rPr>
                      <w:rFonts w:ascii="Times New Roman"/>
                      <w:color w:val="auto"/>
                      <w:sz w:val="21"/>
                      <w:szCs w:val="21"/>
                    </w:rPr>
                  </w:pPr>
                  <w:r>
                    <w:rPr>
                      <w:rFonts w:ascii="Times New Roman"/>
                      <w:color w:val="auto"/>
                      <w:sz w:val="21"/>
                      <w:szCs w:val="21"/>
                    </w:rPr>
                    <w:t>0</w:t>
                  </w:r>
                </w:p>
              </w:tc>
              <w:tc>
                <w:tcPr>
                  <w:tcW w:w="1745" w:type="dxa"/>
                  <w:vAlign w:val="center"/>
                </w:tcPr>
                <w:p>
                  <w:pPr>
                    <w:pStyle w:val="70"/>
                    <w:jc w:val="center"/>
                    <w:rPr>
                      <w:rFonts w:ascii="Times New Roman"/>
                      <w:color w:val="auto"/>
                      <w:sz w:val="21"/>
                      <w:szCs w:val="21"/>
                    </w:rPr>
                  </w:pPr>
                  <w:r>
                    <w:rPr>
                      <w:rFonts w:ascii="Times New Roman"/>
                      <w:color w:val="auto"/>
                      <w:sz w:val="21"/>
                      <w:szCs w:val="21"/>
                    </w:rPr>
                    <w:t>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46" w:hRule="atLeast"/>
              </w:trPr>
              <w:tc>
                <w:tcPr>
                  <w:tcW w:w="1375" w:type="dxa"/>
                  <w:vMerge w:val="restart"/>
                  <w:vAlign w:val="center"/>
                </w:tcPr>
                <w:p>
                  <w:pPr>
                    <w:pStyle w:val="70"/>
                    <w:jc w:val="center"/>
                    <w:rPr>
                      <w:rFonts w:ascii="Times New Roman"/>
                      <w:color w:val="auto"/>
                      <w:sz w:val="21"/>
                      <w:szCs w:val="21"/>
                    </w:rPr>
                  </w:pPr>
                  <w:r>
                    <w:rPr>
                      <w:rFonts w:ascii="Times New Roman"/>
                      <w:color w:val="auto"/>
                      <w:sz w:val="21"/>
                      <w:szCs w:val="21"/>
                    </w:rPr>
                    <w:t>NO</w:t>
                  </w:r>
                  <w:r>
                    <w:rPr>
                      <w:rFonts w:ascii="Times New Roman"/>
                      <w:color w:val="auto"/>
                      <w:sz w:val="21"/>
                      <w:szCs w:val="21"/>
                      <w:vertAlign w:val="subscript"/>
                    </w:rPr>
                    <w:t>2</w:t>
                  </w:r>
                </w:p>
              </w:tc>
              <w:tc>
                <w:tcPr>
                  <w:tcW w:w="976" w:type="dxa"/>
                  <w:vAlign w:val="center"/>
                </w:tcPr>
                <w:p>
                  <w:pPr>
                    <w:jc w:val="center"/>
                    <w:rPr>
                      <w:sz w:val="21"/>
                      <w:szCs w:val="21"/>
                    </w:rPr>
                  </w:pPr>
                  <w:r>
                    <w:rPr>
                      <w:sz w:val="21"/>
                      <w:szCs w:val="21"/>
                    </w:rPr>
                    <w:t>G1</w:t>
                  </w:r>
                </w:p>
              </w:tc>
              <w:tc>
                <w:tcPr>
                  <w:tcW w:w="1296" w:type="dxa"/>
                  <w:vAlign w:val="center"/>
                </w:tcPr>
                <w:p>
                  <w:pPr>
                    <w:jc w:val="center"/>
                    <w:rPr>
                      <w:rFonts w:hint="eastAsia"/>
                      <w:sz w:val="21"/>
                      <w:szCs w:val="21"/>
                    </w:rPr>
                  </w:pPr>
                  <w:r>
                    <w:rPr>
                      <w:rFonts w:hint="eastAsia"/>
                      <w:sz w:val="21"/>
                      <w:szCs w:val="21"/>
                    </w:rPr>
                    <w:t>11-76</w:t>
                  </w:r>
                </w:p>
              </w:tc>
              <w:tc>
                <w:tcPr>
                  <w:tcW w:w="1509" w:type="dxa"/>
                  <w:vMerge w:val="restart"/>
                  <w:vAlign w:val="center"/>
                </w:tcPr>
                <w:p>
                  <w:pPr>
                    <w:pStyle w:val="70"/>
                    <w:jc w:val="center"/>
                    <w:rPr>
                      <w:rFonts w:ascii="Times New Roman"/>
                      <w:color w:val="auto"/>
                      <w:sz w:val="21"/>
                      <w:szCs w:val="21"/>
                    </w:rPr>
                  </w:pPr>
                  <w:r>
                    <w:rPr>
                      <w:rFonts w:hint="eastAsia" w:ascii="Times New Roman"/>
                      <w:color w:val="auto"/>
                      <w:sz w:val="21"/>
                      <w:szCs w:val="21"/>
                    </w:rPr>
                    <w:t>80</w:t>
                  </w:r>
                  <w:r>
                    <w:rPr>
                      <w:rFonts w:ascii="Times New Roman"/>
                      <w:color w:val="auto"/>
                      <w:spacing w:val="-10"/>
                      <w:sz w:val="21"/>
                      <w:szCs w:val="21"/>
                    </w:rPr>
                    <w:t>（</w:t>
                  </w:r>
                  <w:r>
                    <w:rPr>
                      <w:rFonts w:hint="eastAsia" w:ascii="Times New Roman"/>
                      <w:color w:val="auto"/>
                      <w:spacing w:val="-10"/>
                      <w:sz w:val="21"/>
                      <w:szCs w:val="21"/>
                    </w:rPr>
                    <w:t>u</w:t>
                  </w:r>
                  <w:r>
                    <w:rPr>
                      <w:rFonts w:ascii="Times New Roman"/>
                      <w:color w:val="auto"/>
                      <w:spacing w:val="-10"/>
                      <w:sz w:val="21"/>
                      <w:szCs w:val="21"/>
                    </w:rPr>
                    <w:t>g/m</w:t>
                  </w:r>
                  <w:r>
                    <w:rPr>
                      <w:rFonts w:ascii="Times New Roman"/>
                      <w:color w:val="auto"/>
                      <w:spacing w:val="-10"/>
                      <w:sz w:val="21"/>
                      <w:szCs w:val="21"/>
                      <w:vertAlign w:val="superscript"/>
                    </w:rPr>
                    <w:t>3</w:t>
                  </w:r>
                  <w:r>
                    <w:rPr>
                      <w:rFonts w:ascii="Times New Roman"/>
                      <w:color w:val="auto"/>
                      <w:spacing w:val="-10"/>
                      <w:sz w:val="21"/>
                      <w:szCs w:val="21"/>
                    </w:rPr>
                    <w:t>）</w:t>
                  </w:r>
                </w:p>
                <w:p>
                  <w:pPr>
                    <w:pStyle w:val="70"/>
                    <w:jc w:val="center"/>
                    <w:rPr>
                      <w:rFonts w:ascii="Times New Roman"/>
                      <w:color w:val="auto"/>
                      <w:sz w:val="21"/>
                      <w:szCs w:val="21"/>
                    </w:rPr>
                  </w:pPr>
                  <w:r>
                    <w:rPr>
                      <w:rFonts w:ascii="Times New Roman"/>
                      <w:color w:val="auto"/>
                      <w:sz w:val="21"/>
                      <w:szCs w:val="21"/>
                    </w:rPr>
                    <w:t>（</w:t>
                  </w:r>
                  <w:r>
                    <w:rPr>
                      <w:rFonts w:hint="eastAsia" w:ascii="Times New Roman"/>
                      <w:color w:val="auto"/>
                      <w:sz w:val="21"/>
                      <w:szCs w:val="21"/>
                    </w:rPr>
                    <w:t>日均值</w:t>
                  </w:r>
                  <w:r>
                    <w:rPr>
                      <w:rFonts w:ascii="Times New Roman"/>
                      <w:color w:val="auto"/>
                      <w:sz w:val="21"/>
                      <w:szCs w:val="21"/>
                    </w:rPr>
                    <w:t>）</w:t>
                  </w:r>
                </w:p>
              </w:tc>
              <w:tc>
                <w:tcPr>
                  <w:tcW w:w="1612" w:type="dxa"/>
                  <w:vAlign w:val="center"/>
                </w:tcPr>
                <w:p>
                  <w:pPr>
                    <w:pStyle w:val="70"/>
                    <w:jc w:val="center"/>
                    <w:rPr>
                      <w:rFonts w:ascii="Times New Roman"/>
                      <w:color w:val="auto"/>
                      <w:sz w:val="21"/>
                      <w:szCs w:val="21"/>
                    </w:rPr>
                  </w:pPr>
                  <w:r>
                    <w:rPr>
                      <w:rFonts w:ascii="Times New Roman"/>
                      <w:color w:val="auto"/>
                      <w:sz w:val="21"/>
                      <w:szCs w:val="21"/>
                    </w:rPr>
                    <w:t>0</w:t>
                  </w:r>
                </w:p>
              </w:tc>
              <w:tc>
                <w:tcPr>
                  <w:tcW w:w="1745" w:type="dxa"/>
                  <w:vAlign w:val="center"/>
                </w:tcPr>
                <w:p>
                  <w:pPr>
                    <w:pStyle w:val="70"/>
                    <w:jc w:val="center"/>
                    <w:rPr>
                      <w:rFonts w:ascii="Times New Roman"/>
                      <w:color w:val="auto"/>
                      <w:sz w:val="21"/>
                      <w:szCs w:val="21"/>
                    </w:rPr>
                  </w:pPr>
                  <w:r>
                    <w:rPr>
                      <w:rFonts w:ascii="Times New Roman"/>
                      <w:color w:val="auto"/>
                      <w:sz w:val="21"/>
                      <w:szCs w:val="21"/>
                    </w:rPr>
                    <w:t>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46" w:hRule="atLeast"/>
              </w:trPr>
              <w:tc>
                <w:tcPr>
                  <w:tcW w:w="1375" w:type="dxa"/>
                  <w:vMerge w:val="continue"/>
                  <w:vAlign w:val="center"/>
                </w:tcPr>
                <w:p>
                  <w:pPr>
                    <w:pStyle w:val="70"/>
                    <w:jc w:val="center"/>
                    <w:rPr>
                      <w:rFonts w:ascii="Times New Roman"/>
                      <w:color w:val="auto"/>
                      <w:sz w:val="21"/>
                      <w:szCs w:val="21"/>
                    </w:rPr>
                  </w:pPr>
                </w:p>
              </w:tc>
              <w:tc>
                <w:tcPr>
                  <w:tcW w:w="976" w:type="dxa"/>
                  <w:vAlign w:val="center"/>
                </w:tcPr>
                <w:p>
                  <w:pPr>
                    <w:jc w:val="center"/>
                    <w:rPr>
                      <w:sz w:val="21"/>
                      <w:szCs w:val="21"/>
                    </w:rPr>
                  </w:pPr>
                  <w:r>
                    <w:rPr>
                      <w:sz w:val="21"/>
                      <w:szCs w:val="21"/>
                    </w:rPr>
                    <w:t>G2</w:t>
                  </w:r>
                </w:p>
              </w:tc>
              <w:tc>
                <w:tcPr>
                  <w:tcW w:w="1296" w:type="dxa"/>
                  <w:vAlign w:val="center"/>
                </w:tcPr>
                <w:p>
                  <w:pPr>
                    <w:jc w:val="center"/>
                    <w:rPr>
                      <w:rFonts w:hint="eastAsia"/>
                      <w:sz w:val="21"/>
                      <w:szCs w:val="21"/>
                    </w:rPr>
                  </w:pPr>
                  <w:r>
                    <w:rPr>
                      <w:rFonts w:hint="eastAsia"/>
                      <w:sz w:val="21"/>
                      <w:szCs w:val="21"/>
                    </w:rPr>
                    <w:t>13-48</w:t>
                  </w:r>
                </w:p>
              </w:tc>
              <w:tc>
                <w:tcPr>
                  <w:tcW w:w="1509" w:type="dxa"/>
                  <w:vMerge w:val="continue"/>
                  <w:vAlign w:val="center"/>
                </w:tcPr>
                <w:p>
                  <w:pPr>
                    <w:pStyle w:val="70"/>
                    <w:jc w:val="center"/>
                    <w:rPr>
                      <w:rFonts w:hint="eastAsia" w:ascii="Times New Roman"/>
                      <w:color w:val="auto"/>
                      <w:sz w:val="21"/>
                      <w:szCs w:val="21"/>
                    </w:rPr>
                  </w:pPr>
                </w:p>
              </w:tc>
              <w:tc>
                <w:tcPr>
                  <w:tcW w:w="1612" w:type="dxa"/>
                  <w:vAlign w:val="center"/>
                </w:tcPr>
                <w:p>
                  <w:pPr>
                    <w:pStyle w:val="70"/>
                    <w:jc w:val="center"/>
                    <w:rPr>
                      <w:rFonts w:ascii="Times New Roman"/>
                      <w:color w:val="auto"/>
                      <w:sz w:val="21"/>
                      <w:szCs w:val="21"/>
                    </w:rPr>
                  </w:pPr>
                  <w:r>
                    <w:rPr>
                      <w:rFonts w:ascii="Times New Roman"/>
                      <w:color w:val="auto"/>
                      <w:sz w:val="21"/>
                      <w:szCs w:val="21"/>
                    </w:rPr>
                    <w:t>0</w:t>
                  </w:r>
                </w:p>
              </w:tc>
              <w:tc>
                <w:tcPr>
                  <w:tcW w:w="1745" w:type="dxa"/>
                  <w:vAlign w:val="center"/>
                </w:tcPr>
                <w:p>
                  <w:pPr>
                    <w:pStyle w:val="70"/>
                    <w:jc w:val="center"/>
                    <w:rPr>
                      <w:rFonts w:ascii="Times New Roman"/>
                      <w:color w:val="auto"/>
                      <w:sz w:val="21"/>
                      <w:szCs w:val="21"/>
                    </w:rPr>
                  </w:pPr>
                  <w:r>
                    <w:rPr>
                      <w:rFonts w:ascii="Times New Roman"/>
                      <w:color w:val="auto"/>
                      <w:sz w:val="21"/>
                      <w:szCs w:val="21"/>
                    </w:rPr>
                    <w:t>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286" w:hRule="atLeast"/>
              </w:trPr>
              <w:tc>
                <w:tcPr>
                  <w:tcW w:w="1375" w:type="dxa"/>
                  <w:vMerge w:val="restart"/>
                  <w:vAlign w:val="center"/>
                </w:tcPr>
                <w:p>
                  <w:pPr>
                    <w:widowControl/>
                    <w:jc w:val="center"/>
                    <w:rPr>
                      <w:rFonts w:hint="eastAsia"/>
                      <w:sz w:val="21"/>
                      <w:szCs w:val="21"/>
                    </w:rPr>
                  </w:pPr>
                  <w:r>
                    <w:rPr>
                      <w:sz w:val="21"/>
                      <w:szCs w:val="21"/>
                    </w:rPr>
                    <w:t>PM</w:t>
                  </w:r>
                  <w:r>
                    <w:rPr>
                      <w:rFonts w:hint="eastAsia"/>
                      <w:sz w:val="21"/>
                      <w:szCs w:val="21"/>
                      <w:vertAlign w:val="subscript"/>
                    </w:rPr>
                    <w:t>2.5</w:t>
                  </w:r>
                </w:p>
              </w:tc>
              <w:tc>
                <w:tcPr>
                  <w:tcW w:w="976" w:type="dxa"/>
                  <w:vAlign w:val="center"/>
                </w:tcPr>
                <w:p>
                  <w:pPr>
                    <w:jc w:val="center"/>
                    <w:rPr>
                      <w:sz w:val="21"/>
                      <w:szCs w:val="21"/>
                    </w:rPr>
                  </w:pPr>
                  <w:r>
                    <w:rPr>
                      <w:sz w:val="21"/>
                      <w:szCs w:val="21"/>
                    </w:rPr>
                    <w:t>G1</w:t>
                  </w:r>
                </w:p>
              </w:tc>
              <w:tc>
                <w:tcPr>
                  <w:tcW w:w="1296" w:type="dxa"/>
                  <w:vAlign w:val="center"/>
                </w:tcPr>
                <w:p>
                  <w:pPr>
                    <w:jc w:val="center"/>
                    <w:rPr>
                      <w:rFonts w:hint="eastAsia"/>
                      <w:sz w:val="21"/>
                      <w:szCs w:val="21"/>
                    </w:rPr>
                  </w:pPr>
                  <w:r>
                    <w:rPr>
                      <w:rFonts w:hint="eastAsia"/>
                      <w:sz w:val="21"/>
                      <w:szCs w:val="21"/>
                    </w:rPr>
                    <w:t>40-67</w:t>
                  </w:r>
                </w:p>
              </w:tc>
              <w:tc>
                <w:tcPr>
                  <w:tcW w:w="1509" w:type="dxa"/>
                  <w:vMerge w:val="restart"/>
                  <w:vAlign w:val="center"/>
                </w:tcPr>
                <w:p>
                  <w:pPr>
                    <w:pStyle w:val="70"/>
                    <w:jc w:val="center"/>
                    <w:rPr>
                      <w:rFonts w:ascii="Times New Roman"/>
                      <w:color w:val="auto"/>
                      <w:sz w:val="21"/>
                      <w:szCs w:val="21"/>
                    </w:rPr>
                  </w:pPr>
                  <w:r>
                    <w:rPr>
                      <w:rFonts w:hint="eastAsia" w:ascii="Times New Roman"/>
                      <w:color w:val="auto"/>
                      <w:sz w:val="21"/>
                      <w:szCs w:val="21"/>
                    </w:rPr>
                    <w:t>75</w:t>
                  </w:r>
                  <w:r>
                    <w:rPr>
                      <w:rFonts w:ascii="Times New Roman"/>
                      <w:color w:val="auto"/>
                      <w:spacing w:val="-10"/>
                      <w:sz w:val="21"/>
                      <w:szCs w:val="21"/>
                    </w:rPr>
                    <w:t>（</w:t>
                  </w:r>
                  <w:r>
                    <w:rPr>
                      <w:rFonts w:hint="eastAsia" w:ascii="Times New Roman"/>
                      <w:color w:val="auto"/>
                      <w:spacing w:val="-10"/>
                      <w:sz w:val="21"/>
                      <w:szCs w:val="21"/>
                    </w:rPr>
                    <w:t>u</w:t>
                  </w:r>
                  <w:r>
                    <w:rPr>
                      <w:rFonts w:ascii="Times New Roman"/>
                      <w:color w:val="auto"/>
                      <w:spacing w:val="-10"/>
                      <w:sz w:val="21"/>
                      <w:szCs w:val="21"/>
                    </w:rPr>
                    <w:t>g/m</w:t>
                  </w:r>
                  <w:r>
                    <w:rPr>
                      <w:rFonts w:ascii="Times New Roman"/>
                      <w:color w:val="auto"/>
                      <w:spacing w:val="-10"/>
                      <w:sz w:val="21"/>
                      <w:szCs w:val="21"/>
                      <w:vertAlign w:val="superscript"/>
                    </w:rPr>
                    <w:t>3</w:t>
                  </w:r>
                  <w:r>
                    <w:rPr>
                      <w:rFonts w:ascii="Times New Roman"/>
                      <w:color w:val="auto"/>
                      <w:spacing w:val="-10"/>
                      <w:sz w:val="21"/>
                      <w:szCs w:val="21"/>
                    </w:rPr>
                    <w:t>）</w:t>
                  </w:r>
                </w:p>
                <w:p>
                  <w:pPr>
                    <w:widowControl/>
                    <w:jc w:val="center"/>
                    <w:rPr>
                      <w:kern w:val="0"/>
                      <w:sz w:val="21"/>
                      <w:szCs w:val="21"/>
                    </w:rPr>
                  </w:pPr>
                  <w:r>
                    <w:rPr>
                      <w:sz w:val="21"/>
                      <w:szCs w:val="21"/>
                    </w:rPr>
                    <w:t>（</w:t>
                  </w:r>
                  <w:r>
                    <w:rPr>
                      <w:rFonts w:hint="eastAsia"/>
                      <w:sz w:val="21"/>
                      <w:szCs w:val="21"/>
                    </w:rPr>
                    <w:t>日均值</w:t>
                  </w:r>
                  <w:r>
                    <w:rPr>
                      <w:sz w:val="21"/>
                      <w:szCs w:val="21"/>
                    </w:rPr>
                    <w:t>）</w:t>
                  </w:r>
                </w:p>
              </w:tc>
              <w:tc>
                <w:tcPr>
                  <w:tcW w:w="1612" w:type="dxa"/>
                  <w:vAlign w:val="center"/>
                </w:tcPr>
                <w:p>
                  <w:pPr>
                    <w:pStyle w:val="70"/>
                    <w:jc w:val="center"/>
                    <w:rPr>
                      <w:rFonts w:ascii="Times New Roman"/>
                      <w:color w:val="auto"/>
                      <w:sz w:val="21"/>
                      <w:szCs w:val="21"/>
                    </w:rPr>
                  </w:pPr>
                  <w:r>
                    <w:rPr>
                      <w:rFonts w:ascii="Times New Roman"/>
                      <w:color w:val="auto"/>
                      <w:sz w:val="21"/>
                      <w:szCs w:val="21"/>
                    </w:rPr>
                    <w:t>0</w:t>
                  </w:r>
                </w:p>
              </w:tc>
              <w:tc>
                <w:tcPr>
                  <w:tcW w:w="1745" w:type="dxa"/>
                  <w:vAlign w:val="center"/>
                </w:tcPr>
                <w:p>
                  <w:pPr>
                    <w:pStyle w:val="70"/>
                    <w:jc w:val="center"/>
                    <w:rPr>
                      <w:rFonts w:ascii="Times New Roman"/>
                      <w:color w:val="auto"/>
                      <w:sz w:val="21"/>
                      <w:szCs w:val="21"/>
                    </w:rPr>
                  </w:pPr>
                  <w:r>
                    <w:rPr>
                      <w:rFonts w:ascii="Times New Roman"/>
                      <w:color w:val="auto"/>
                      <w:sz w:val="21"/>
                      <w:szCs w:val="21"/>
                    </w:rPr>
                    <w:t>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286" w:hRule="atLeast"/>
              </w:trPr>
              <w:tc>
                <w:tcPr>
                  <w:tcW w:w="1375" w:type="dxa"/>
                  <w:vMerge w:val="continue"/>
                  <w:vAlign w:val="center"/>
                </w:tcPr>
                <w:p>
                  <w:pPr>
                    <w:widowControl/>
                    <w:jc w:val="center"/>
                    <w:rPr>
                      <w:sz w:val="21"/>
                      <w:szCs w:val="21"/>
                    </w:rPr>
                  </w:pPr>
                </w:p>
              </w:tc>
              <w:tc>
                <w:tcPr>
                  <w:tcW w:w="976" w:type="dxa"/>
                  <w:vAlign w:val="center"/>
                </w:tcPr>
                <w:p>
                  <w:pPr>
                    <w:jc w:val="center"/>
                    <w:rPr>
                      <w:sz w:val="21"/>
                      <w:szCs w:val="21"/>
                    </w:rPr>
                  </w:pPr>
                  <w:r>
                    <w:rPr>
                      <w:sz w:val="21"/>
                      <w:szCs w:val="21"/>
                    </w:rPr>
                    <w:t>G2</w:t>
                  </w:r>
                </w:p>
              </w:tc>
              <w:tc>
                <w:tcPr>
                  <w:tcW w:w="1296" w:type="dxa"/>
                  <w:vAlign w:val="center"/>
                </w:tcPr>
                <w:p>
                  <w:pPr>
                    <w:jc w:val="center"/>
                    <w:rPr>
                      <w:rFonts w:hint="eastAsia"/>
                      <w:sz w:val="21"/>
                      <w:szCs w:val="21"/>
                    </w:rPr>
                  </w:pPr>
                  <w:r>
                    <w:rPr>
                      <w:rFonts w:hint="eastAsia"/>
                      <w:sz w:val="21"/>
                      <w:szCs w:val="21"/>
                    </w:rPr>
                    <w:t>38-67</w:t>
                  </w:r>
                </w:p>
              </w:tc>
              <w:tc>
                <w:tcPr>
                  <w:tcW w:w="1509" w:type="dxa"/>
                  <w:vMerge w:val="continue"/>
                  <w:vAlign w:val="center"/>
                </w:tcPr>
                <w:p>
                  <w:pPr>
                    <w:pStyle w:val="70"/>
                    <w:jc w:val="center"/>
                    <w:rPr>
                      <w:rFonts w:ascii="Times New Roman"/>
                      <w:color w:val="auto"/>
                      <w:sz w:val="21"/>
                      <w:szCs w:val="21"/>
                    </w:rPr>
                  </w:pPr>
                </w:p>
              </w:tc>
              <w:tc>
                <w:tcPr>
                  <w:tcW w:w="1612" w:type="dxa"/>
                  <w:vAlign w:val="center"/>
                </w:tcPr>
                <w:p>
                  <w:pPr>
                    <w:pStyle w:val="70"/>
                    <w:jc w:val="center"/>
                    <w:rPr>
                      <w:rFonts w:ascii="Times New Roman"/>
                      <w:color w:val="auto"/>
                      <w:sz w:val="21"/>
                      <w:szCs w:val="21"/>
                    </w:rPr>
                  </w:pPr>
                  <w:r>
                    <w:rPr>
                      <w:rFonts w:ascii="Times New Roman"/>
                      <w:color w:val="auto"/>
                      <w:sz w:val="21"/>
                      <w:szCs w:val="21"/>
                    </w:rPr>
                    <w:t>0</w:t>
                  </w:r>
                </w:p>
              </w:tc>
              <w:tc>
                <w:tcPr>
                  <w:tcW w:w="1745" w:type="dxa"/>
                  <w:vAlign w:val="center"/>
                </w:tcPr>
                <w:p>
                  <w:pPr>
                    <w:pStyle w:val="70"/>
                    <w:jc w:val="center"/>
                    <w:rPr>
                      <w:rFonts w:ascii="Times New Roman"/>
                      <w:color w:val="auto"/>
                      <w:sz w:val="21"/>
                      <w:szCs w:val="21"/>
                    </w:rPr>
                  </w:pPr>
                  <w:r>
                    <w:rPr>
                      <w:rFonts w:ascii="Times New Roman"/>
                      <w:color w:val="auto"/>
                      <w:sz w:val="21"/>
                      <w:szCs w:val="21"/>
                    </w:rPr>
                    <w:t>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286" w:hRule="atLeast"/>
              </w:trPr>
              <w:tc>
                <w:tcPr>
                  <w:tcW w:w="1375" w:type="dxa"/>
                  <w:vMerge w:val="restart"/>
                  <w:vAlign w:val="center"/>
                </w:tcPr>
                <w:p>
                  <w:pPr>
                    <w:widowControl/>
                    <w:jc w:val="center"/>
                    <w:rPr>
                      <w:sz w:val="21"/>
                      <w:szCs w:val="21"/>
                    </w:rPr>
                  </w:pPr>
                  <w:r>
                    <w:rPr>
                      <w:rFonts w:hint="eastAsia"/>
                      <w:sz w:val="21"/>
                      <w:szCs w:val="21"/>
                    </w:rPr>
                    <w:t>CO</w:t>
                  </w:r>
                </w:p>
              </w:tc>
              <w:tc>
                <w:tcPr>
                  <w:tcW w:w="976" w:type="dxa"/>
                  <w:vAlign w:val="center"/>
                </w:tcPr>
                <w:p>
                  <w:pPr>
                    <w:jc w:val="center"/>
                    <w:rPr>
                      <w:sz w:val="21"/>
                      <w:szCs w:val="21"/>
                    </w:rPr>
                  </w:pPr>
                  <w:r>
                    <w:rPr>
                      <w:sz w:val="21"/>
                      <w:szCs w:val="21"/>
                    </w:rPr>
                    <w:t>G1</w:t>
                  </w:r>
                </w:p>
              </w:tc>
              <w:tc>
                <w:tcPr>
                  <w:tcW w:w="1296" w:type="dxa"/>
                  <w:vAlign w:val="center"/>
                </w:tcPr>
                <w:p>
                  <w:pPr>
                    <w:jc w:val="center"/>
                    <w:rPr>
                      <w:rFonts w:hint="eastAsia"/>
                      <w:sz w:val="21"/>
                      <w:szCs w:val="21"/>
                    </w:rPr>
                  </w:pPr>
                  <w:r>
                    <w:rPr>
                      <w:rFonts w:hint="eastAsia"/>
                      <w:sz w:val="21"/>
                      <w:szCs w:val="21"/>
                    </w:rPr>
                    <w:t>0.698-0.979</w:t>
                  </w:r>
                </w:p>
              </w:tc>
              <w:tc>
                <w:tcPr>
                  <w:tcW w:w="1509" w:type="dxa"/>
                  <w:vMerge w:val="restart"/>
                  <w:vAlign w:val="center"/>
                </w:tcPr>
                <w:p>
                  <w:pPr>
                    <w:pStyle w:val="70"/>
                    <w:jc w:val="center"/>
                    <w:rPr>
                      <w:rFonts w:ascii="Times New Roman"/>
                      <w:color w:val="auto"/>
                      <w:sz w:val="21"/>
                      <w:szCs w:val="21"/>
                    </w:rPr>
                  </w:pPr>
                  <w:r>
                    <w:rPr>
                      <w:rFonts w:hint="eastAsia" w:ascii="Times New Roman"/>
                      <w:color w:val="auto"/>
                      <w:sz w:val="21"/>
                      <w:szCs w:val="21"/>
                    </w:rPr>
                    <w:t>10</w:t>
                  </w:r>
                  <w:r>
                    <w:rPr>
                      <w:rFonts w:ascii="Times New Roman"/>
                      <w:color w:val="auto"/>
                      <w:spacing w:val="-10"/>
                      <w:sz w:val="21"/>
                      <w:szCs w:val="21"/>
                    </w:rPr>
                    <w:t>（</w:t>
                  </w:r>
                  <w:r>
                    <w:rPr>
                      <w:rFonts w:hint="eastAsia" w:ascii="Times New Roman"/>
                      <w:color w:val="auto"/>
                      <w:spacing w:val="-10"/>
                      <w:sz w:val="21"/>
                      <w:szCs w:val="21"/>
                    </w:rPr>
                    <w:t>m</w:t>
                  </w:r>
                  <w:r>
                    <w:rPr>
                      <w:rFonts w:ascii="Times New Roman"/>
                      <w:color w:val="auto"/>
                      <w:spacing w:val="-10"/>
                      <w:sz w:val="21"/>
                      <w:szCs w:val="21"/>
                    </w:rPr>
                    <w:t>g/m</w:t>
                  </w:r>
                  <w:r>
                    <w:rPr>
                      <w:rFonts w:ascii="Times New Roman"/>
                      <w:color w:val="auto"/>
                      <w:spacing w:val="-10"/>
                      <w:sz w:val="21"/>
                      <w:szCs w:val="21"/>
                      <w:vertAlign w:val="superscript"/>
                    </w:rPr>
                    <w:t>3</w:t>
                  </w:r>
                  <w:r>
                    <w:rPr>
                      <w:rFonts w:ascii="Times New Roman"/>
                      <w:color w:val="auto"/>
                      <w:spacing w:val="-10"/>
                      <w:sz w:val="21"/>
                      <w:szCs w:val="21"/>
                    </w:rPr>
                    <w:t>）</w:t>
                  </w:r>
                </w:p>
                <w:p>
                  <w:pPr>
                    <w:pStyle w:val="70"/>
                    <w:jc w:val="center"/>
                    <w:rPr>
                      <w:rFonts w:ascii="Times New Roman"/>
                      <w:color w:val="auto"/>
                      <w:sz w:val="21"/>
                      <w:szCs w:val="21"/>
                    </w:rPr>
                  </w:pPr>
                  <w:r>
                    <w:rPr>
                      <w:rFonts w:ascii="Times New Roman"/>
                      <w:color w:val="auto"/>
                      <w:sz w:val="21"/>
                      <w:szCs w:val="21"/>
                    </w:rPr>
                    <w:t>（</w:t>
                  </w:r>
                  <w:r>
                    <w:rPr>
                      <w:rFonts w:hint="eastAsia" w:ascii="Times New Roman"/>
                      <w:color w:val="auto"/>
                      <w:sz w:val="21"/>
                      <w:szCs w:val="21"/>
                    </w:rPr>
                    <w:t>小时均值</w:t>
                  </w:r>
                  <w:r>
                    <w:rPr>
                      <w:rFonts w:ascii="Times New Roman"/>
                      <w:color w:val="auto"/>
                      <w:sz w:val="21"/>
                      <w:szCs w:val="21"/>
                    </w:rPr>
                    <w:t>）</w:t>
                  </w:r>
                </w:p>
              </w:tc>
              <w:tc>
                <w:tcPr>
                  <w:tcW w:w="1612" w:type="dxa"/>
                  <w:vAlign w:val="center"/>
                </w:tcPr>
                <w:p>
                  <w:pPr>
                    <w:pStyle w:val="70"/>
                    <w:jc w:val="center"/>
                    <w:rPr>
                      <w:rFonts w:ascii="Times New Roman"/>
                      <w:color w:val="auto"/>
                      <w:sz w:val="21"/>
                      <w:szCs w:val="21"/>
                    </w:rPr>
                  </w:pPr>
                  <w:r>
                    <w:rPr>
                      <w:rFonts w:ascii="Times New Roman"/>
                      <w:color w:val="auto"/>
                      <w:sz w:val="21"/>
                      <w:szCs w:val="21"/>
                    </w:rPr>
                    <w:t>0</w:t>
                  </w:r>
                </w:p>
              </w:tc>
              <w:tc>
                <w:tcPr>
                  <w:tcW w:w="1745" w:type="dxa"/>
                  <w:vAlign w:val="center"/>
                </w:tcPr>
                <w:p>
                  <w:pPr>
                    <w:pStyle w:val="70"/>
                    <w:jc w:val="center"/>
                    <w:rPr>
                      <w:rFonts w:ascii="Times New Roman"/>
                      <w:color w:val="auto"/>
                      <w:sz w:val="21"/>
                      <w:szCs w:val="21"/>
                    </w:rPr>
                  </w:pPr>
                  <w:r>
                    <w:rPr>
                      <w:rFonts w:ascii="Times New Roman"/>
                      <w:color w:val="auto"/>
                      <w:sz w:val="21"/>
                      <w:szCs w:val="21"/>
                    </w:rPr>
                    <w:t>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286" w:hRule="atLeast"/>
              </w:trPr>
              <w:tc>
                <w:tcPr>
                  <w:tcW w:w="1375" w:type="dxa"/>
                  <w:vMerge w:val="continue"/>
                  <w:vAlign w:val="center"/>
                </w:tcPr>
                <w:p>
                  <w:pPr>
                    <w:widowControl/>
                    <w:jc w:val="center"/>
                    <w:rPr>
                      <w:sz w:val="21"/>
                      <w:szCs w:val="21"/>
                    </w:rPr>
                  </w:pPr>
                </w:p>
              </w:tc>
              <w:tc>
                <w:tcPr>
                  <w:tcW w:w="976" w:type="dxa"/>
                  <w:vAlign w:val="center"/>
                </w:tcPr>
                <w:p>
                  <w:pPr>
                    <w:jc w:val="center"/>
                    <w:rPr>
                      <w:sz w:val="21"/>
                      <w:szCs w:val="21"/>
                    </w:rPr>
                  </w:pPr>
                  <w:r>
                    <w:rPr>
                      <w:sz w:val="21"/>
                      <w:szCs w:val="21"/>
                    </w:rPr>
                    <w:t>G2</w:t>
                  </w:r>
                </w:p>
              </w:tc>
              <w:tc>
                <w:tcPr>
                  <w:tcW w:w="1296" w:type="dxa"/>
                  <w:vAlign w:val="center"/>
                </w:tcPr>
                <w:p>
                  <w:pPr>
                    <w:jc w:val="center"/>
                    <w:rPr>
                      <w:rFonts w:hint="eastAsia"/>
                      <w:sz w:val="21"/>
                      <w:szCs w:val="21"/>
                    </w:rPr>
                  </w:pPr>
                  <w:r>
                    <w:rPr>
                      <w:rFonts w:hint="eastAsia"/>
                      <w:sz w:val="21"/>
                      <w:szCs w:val="21"/>
                    </w:rPr>
                    <w:t>0.319-0.847</w:t>
                  </w:r>
                </w:p>
              </w:tc>
              <w:tc>
                <w:tcPr>
                  <w:tcW w:w="1509" w:type="dxa"/>
                  <w:vMerge w:val="continue"/>
                  <w:vAlign w:val="center"/>
                </w:tcPr>
                <w:p>
                  <w:pPr>
                    <w:pStyle w:val="70"/>
                    <w:jc w:val="center"/>
                    <w:rPr>
                      <w:rFonts w:ascii="Times New Roman"/>
                      <w:color w:val="auto"/>
                      <w:sz w:val="21"/>
                      <w:szCs w:val="21"/>
                    </w:rPr>
                  </w:pPr>
                </w:p>
              </w:tc>
              <w:tc>
                <w:tcPr>
                  <w:tcW w:w="1612" w:type="dxa"/>
                  <w:vAlign w:val="center"/>
                </w:tcPr>
                <w:p>
                  <w:pPr>
                    <w:pStyle w:val="70"/>
                    <w:jc w:val="center"/>
                    <w:rPr>
                      <w:rFonts w:ascii="Times New Roman"/>
                      <w:color w:val="auto"/>
                      <w:sz w:val="21"/>
                      <w:szCs w:val="21"/>
                    </w:rPr>
                  </w:pPr>
                  <w:r>
                    <w:rPr>
                      <w:rFonts w:ascii="Times New Roman"/>
                      <w:color w:val="auto"/>
                      <w:sz w:val="21"/>
                      <w:szCs w:val="21"/>
                    </w:rPr>
                    <w:t>0</w:t>
                  </w:r>
                </w:p>
              </w:tc>
              <w:tc>
                <w:tcPr>
                  <w:tcW w:w="1745" w:type="dxa"/>
                  <w:vAlign w:val="center"/>
                </w:tcPr>
                <w:p>
                  <w:pPr>
                    <w:pStyle w:val="70"/>
                    <w:jc w:val="center"/>
                    <w:rPr>
                      <w:rFonts w:ascii="Times New Roman"/>
                      <w:color w:val="auto"/>
                      <w:sz w:val="21"/>
                      <w:szCs w:val="21"/>
                    </w:rPr>
                  </w:pPr>
                  <w:r>
                    <w:rPr>
                      <w:rFonts w:ascii="Times New Roman"/>
                      <w:color w:val="auto"/>
                      <w:sz w:val="21"/>
                      <w:szCs w:val="21"/>
                    </w:rPr>
                    <w:t>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286" w:hRule="atLeast"/>
              </w:trPr>
              <w:tc>
                <w:tcPr>
                  <w:tcW w:w="1375" w:type="dxa"/>
                  <w:vMerge w:val="restart"/>
                  <w:vAlign w:val="center"/>
                </w:tcPr>
                <w:p>
                  <w:pPr>
                    <w:widowControl/>
                    <w:jc w:val="center"/>
                    <w:rPr>
                      <w:sz w:val="21"/>
                      <w:szCs w:val="21"/>
                    </w:rPr>
                  </w:pPr>
                  <w:r>
                    <w:rPr>
                      <w:rFonts w:hint="eastAsia"/>
                      <w:sz w:val="21"/>
                      <w:szCs w:val="21"/>
                    </w:rPr>
                    <w:t>臭氧</w:t>
                  </w:r>
                </w:p>
              </w:tc>
              <w:tc>
                <w:tcPr>
                  <w:tcW w:w="976" w:type="dxa"/>
                  <w:vAlign w:val="center"/>
                </w:tcPr>
                <w:p>
                  <w:pPr>
                    <w:jc w:val="center"/>
                    <w:rPr>
                      <w:sz w:val="21"/>
                      <w:szCs w:val="21"/>
                    </w:rPr>
                  </w:pPr>
                  <w:r>
                    <w:rPr>
                      <w:sz w:val="21"/>
                      <w:szCs w:val="21"/>
                    </w:rPr>
                    <w:t>G1</w:t>
                  </w:r>
                </w:p>
              </w:tc>
              <w:tc>
                <w:tcPr>
                  <w:tcW w:w="1296" w:type="dxa"/>
                  <w:vAlign w:val="center"/>
                </w:tcPr>
                <w:p>
                  <w:pPr>
                    <w:jc w:val="center"/>
                    <w:rPr>
                      <w:rFonts w:hint="eastAsia"/>
                      <w:sz w:val="21"/>
                      <w:szCs w:val="21"/>
                    </w:rPr>
                  </w:pPr>
                  <w:r>
                    <w:rPr>
                      <w:rFonts w:hint="eastAsia"/>
                      <w:sz w:val="21"/>
                      <w:szCs w:val="21"/>
                    </w:rPr>
                    <w:t>14-121</w:t>
                  </w:r>
                </w:p>
              </w:tc>
              <w:tc>
                <w:tcPr>
                  <w:tcW w:w="1509" w:type="dxa"/>
                  <w:vMerge w:val="restart"/>
                  <w:vAlign w:val="center"/>
                </w:tcPr>
                <w:p>
                  <w:pPr>
                    <w:pStyle w:val="70"/>
                    <w:jc w:val="center"/>
                    <w:rPr>
                      <w:rFonts w:ascii="Times New Roman"/>
                      <w:color w:val="auto"/>
                      <w:sz w:val="21"/>
                      <w:szCs w:val="21"/>
                    </w:rPr>
                  </w:pPr>
                  <w:r>
                    <w:rPr>
                      <w:rFonts w:hint="eastAsia" w:ascii="Times New Roman"/>
                      <w:color w:val="auto"/>
                      <w:sz w:val="21"/>
                      <w:szCs w:val="21"/>
                    </w:rPr>
                    <w:t>200（小时均值）</w:t>
                  </w:r>
                </w:p>
              </w:tc>
              <w:tc>
                <w:tcPr>
                  <w:tcW w:w="1612" w:type="dxa"/>
                  <w:vAlign w:val="center"/>
                </w:tcPr>
                <w:p>
                  <w:pPr>
                    <w:pStyle w:val="70"/>
                    <w:jc w:val="center"/>
                    <w:rPr>
                      <w:rFonts w:ascii="Times New Roman"/>
                      <w:color w:val="auto"/>
                      <w:sz w:val="21"/>
                      <w:szCs w:val="21"/>
                    </w:rPr>
                  </w:pPr>
                  <w:r>
                    <w:rPr>
                      <w:rFonts w:ascii="Times New Roman"/>
                      <w:color w:val="auto"/>
                      <w:sz w:val="21"/>
                      <w:szCs w:val="21"/>
                    </w:rPr>
                    <w:t>0</w:t>
                  </w:r>
                </w:p>
              </w:tc>
              <w:tc>
                <w:tcPr>
                  <w:tcW w:w="1745" w:type="dxa"/>
                  <w:vAlign w:val="center"/>
                </w:tcPr>
                <w:p>
                  <w:pPr>
                    <w:pStyle w:val="70"/>
                    <w:jc w:val="center"/>
                    <w:rPr>
                      <w:rFonts w:ascii="Times New Roman"/>
                      <w:color w:val="auto"/>
                      <w:sz w:val="21"/>
                      <w:szCs w:val="21"/>
                    </w:rPr>
                  </w:pPr>
                  <w:r>
                    <w:rPr>
                      <w:rFonts w:ascii="Times New Roman"/>
                      <w:color w:val="auto"/>
                      <w:sz w:val="21"/>
                      <w:szCs w:val="21"/>
                    </w:rPr>
                    <w:t>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286" w:hRule="atLeast"/>
              </w:trPr>
              <w:tc>
                <w:tcPr>
                  <w:tcW w:w="1375" w:type="dxa"/>
                  <w:vMerge w:val="continue"/>
                  <w:vAlign w:val="center"/>
                </w:tcPr>
                <w:p>
                  <w:pPr>
                    <w:widowControl/>
                    <w:jc w:val="center"/>
                    <w:rPr>
                      <w:sz w:val="21"/>
                      <w:szCs w:val="21"/>
                    </w:rPr>
                  </w:pPr>
                </w:p>
              </w:tc>
              <w:tc>
                <w:tcPr>
                  <w:tcW w:w="976" w:type="dxa"/>
                  <w:vAlign w:val="center"/>
                </w:tcPr>
                <w:p>
                  <w:pPr>
                    <w:jc w:val="center"/>
                    <w:rPr>
                      <w:sz w:val="21"/>
                      <w:szCs w:val="21"/>
                    </w:rPr>
                  </w:pPr>
                  <w:r>
                    <w:rPr>
                      <w:sz w:val="21"/>
                      <w:szCs w:val="21"/>
                    </w:rPr>
                    <w:t>G2</w:t>
                  </w:r>
                </w:p>
              </w:tc>
              <w:tc>
                <w:tcPr>
                  <w:tcW w:w="1296" w:type="dxa"/>
                  <w:vAlign w:val="center"/>
                </w:tcPr>
                <w:p>
                  <w:pPr>
                    <w:jc w:val="center"/>
                    <w:rPr>
                      <w:rFonts w:hint="eastAsia"/>
                      <w:sz w:val="21"/>
                      <w:szCs w:val="21"/>
                    </w:rPr>
                  </w:pPr>
                  <w:r>
                    <w:rPr>
                      <w:rFonts w:hint="eastAsia"/>
                      <w:sz w:val="21"/>
                      <w:szCs w:val="21"/>
                    </w:rPr>
                    <w:t>19-81</w:t>
                  </w:r>
                </w:p>
              </w:tc>
              <w:tc>
                <w:tcPr>
                  <w:tcW w:w="1509" w:type="dxa"/>
                  <w:vMerge w:val="continue"/>
                  <w:vAlign w:val="center"/>
                </w:tcPr>
                <w:p>
                  <w:pPr>
                    <w:pStyle w:val="70"/>
                    <w:jc w:val="center"/>
                    <w:rPr>
                      <w:rFonts w:ascii="Times New Roman"/>
                      <w:color w:val="auto"/>
                      <w:sz w:val="21"/>
                      <w:szCs w:val="21"/>
                    </w:rPr>
                  </w:pPr>
                </w:p>
              </w:tc>
              <w:tc>
                <w:tcPr>
                  <w:tcW w:w="1612" w:type="dxa"/>
                  <w:vAlign w:val="center"/>
                </w:tcPr>
                <w:p>
                  <w:pPr>
                    <w:pStyle w:val="70"/>
                    <w:jc w:val="center"/>
                    <w:rPr>
                      <w:rFonts w:ascii="Times New Roman"/>
                      <w:color w:val="auto"/>
                      <w:sz w:val="21"/>
                      <w:szCs w:val="21"/>
                    </w:rPr>
                  </w:pPr>
                  <w:r>
                    <w:rPr>
                      <w:rFonts w:ascii="Times New Roman"/>
                      <w:color w:val="auto"/>
                      <w:sz w:val="21"/>
                      <w:szCs w:val="21"/>
                    </w:rPr>
                    <w:t>0</w:t>
                  </w:r>
                </w:p>
              </w:tc>
              <w:tc>
                <w:tcPr>
                  <w:tcW w:w="1745" w:type="dxa"/>
                  <w:vAlign w:val="center"/>
                </w:tcPr>
                <w:p>
                  <w:pPr>
                    <w:pStyle w:val="70"/>
                    <w:jc w:val="center"/>
                    <w:rPr>
                      <w:rFonts w:ascii="Times New Roman"/>
                      <w:color w:val="auto"/>
                      <w:sz w:val="21"/>
                      <w:szCs w:val="21"/>
                    </w:rPr>
                  </w:pPr>
                  <w:r>
                    <w:rPr>
                      <w:rFonts w:ascii="Times New Roman"/>
                      <w:color w:val="auto"/>
                      <w:sz w:val="21"/>
                      <w:szCs w:val="21"/>
                    </w:rPr>
                    <w:t>0</w:t>
                  </w:r>
                </w:p>
              </w:tc>
            </w:tr>
          </w:tbl>
          <w:p>
            <w:pPr>
              <w:spacing w:line="360" w:lineRule="auto"/>
              <w:ind w:firstLine="480" w:firstLineChars="200"/>
              <w:rPr>
                <w:rFonts w:hint="eastAsia"/>
                <w:sz w:val="24"/>
              </w:rPr>
            </w:pPr>
            <w:r>
              <w:rPr>
                <w:sz w:val="24"/>
              </w:rPr>
              <w:t>监测结果表明</w:t>
            </w:r>
            <w:r>
              <w:rPr>
                <w:rFonts w:hint="eastAsia"/>
                <w:sz w:val="24"/>
              </w:rPr>
              <w:t>项目所在区域</w:t>
            </w:r>
            <w:r>
              <w:rPr>
                <w:sz w:val="24"/>
              </w:rPr>
              <w:t>大气环境质量现状良好，</w:t>
            </w:r>
            <w:r>
              <w:rPr>
                <w:rFonts w:hint="eastAsia"/>
                <w:sz w:val="24"/>
              </w:rPr>
              <w:t>能够</w:t>
            </w:r>
            <w:r>
              <w:rPr>
                <w:sz w:val="24"/>
              </w:rPr>
              <w:t>达到环境空气功能区要求，符合《环境空气质量标准》（GB3095-2012）中二级标准</w:t>
            </w:r>
            <w:r>
              <w:rPr>
                <w:rFonts w:hint="eastAsia"/>
                <w:sz w:val="24"/>
              </w:rPr>
              <w:t>要求</w:t>
            </w:r>
            <w:r>
              <w:rPr>
                <w:sz w:val="24"/>
              </w:rPr>
              <w:t>。</w:t>
            </w:r>
          </w:p>
          <w:p>
            <w:pPr>
              <w:snapToGrid w:val="0"/>
              <w:spacing w:line="480" w:lineRule="exact"/>
              <w:ind w:firstLine="480" w:firstLineChars="200"/>
              <w:rPr>
                <w:snapToGrid w:val="0"/>
                <w:kern w:val="0"/>
                <w:sz w:val="24"/>
              </w:rPr>
            </w:pPr>
          </w:p>
          <w:p>
            <w:pPr>
              <w:pStyle w:val="18"/>
              <w:spacing w:line="20" w:lineRule="exact"/>
              <w:ind w:firstLine="442" w:firstLineChars="200"/>
              <w:rPr>
                <w:b/>
                <w:bCs/>
                <w:color w:val="000000"/>
                <w:sz w:val="22"/>
              </w:rPr>
            </w:pPr>
          </w:p>
          <w:p>
            <w:pPr>
              <w:snapToGrid w:val="0"/>
              <w:spacing w:line="480" w:lineRule="exact"/>
              <w:ind w:firstLine="538" w:firstLineChars="224"/>
              <w:outlineLvl w:val="1"/>
              <w:rPr>
                <w:snapToGrid w:val="0"/>
                <w:kern w:val="0"/>
                <w:sz w:val="24"/>
                <w:szCs w:val="24"/>
              </w:rPr>
            </w:pPr>
            <w:bookmarkStart w:id="16" w:name="_Toc410812092"/>
            <w:bookmarkStart w:id="17" w:name="_Toc461580593"/>
            <w:r>
              <w:rPr>
                <w:snapToGrid w:val="0"/>
                <w:kern w:val="0"/>
                <w:sz w:val="24"/>
                <w:szCs w:val="24"/>
              </w:rPr>
              <w:t>2.地表水环境现状调查与评价</w:t>
            </w:r>
            <w:bookmarkEnd w:id="16"/>
            <w:bookmarkEnd w:id="17"/>
          </w:p>
          <w:p>
            <w:pPr>
              <w:adjustRightInd w:val="0"/>
              <w:snapToGrid w:val="0"/>
              <w:spacing w:line="360" w:lineRule="auto"/>
              <w:ind w:firstLine="480" w:firstLineChars="200"/>
              <w:jc w:val="left"/>
              <w:rPr>
                <w:kern w:val="0"/>
                <w:sz w:val="24"/>
              </w:rPr>
            </w:pPr>
            <w:r>
              <w:rPr>
                <w:snapToGrid w:val="0"/>
                <w:kern w:val="0"/>
                <w:sz w:val="24"/>
                <w:szCs w:val="24"/>
              </w:rPr>
              <w:t>本项目运行期</w:t>
            </w:r>
            <w:r>
              <w:rPr>
                <w:rFonts w:hint="eastAsia"/>
                <w:snapToGrid w:val="0"/>
                <w:kern w:val="0"/>
                <w:sz w:val="24"/>
                <w:szCs w:val="24"/>
              </w:rPr>
              <w:t>产生的</w:t>
            </w:r>
            <w:r>
              <w:rPr>
                <w:snapToGrid w:val="0"/>
                <w:kern w:val="0"/>
                <w:sz w:val="24"/>
                <w:szCs w:val="24"/>
              </w:rPr>
              <w:t>废水</w:t>
            </w:r>
            <w:r>
              <w:rPr>
                <w:rFonts w:hint="eastAsia"/>
                <w:snapToGrid w:val="0"/>
                <w:kern w:val="0"/>
                <w:sz w:val="24"/>
                <w:szCs w:val="24"/>
              </w:rPr>
              <w:t>主要来源于排水沟、排水立管、地漏及排水泵井等</w:t>
            </w:r>
            <w:r>
              <w:rPr>
                <w:snapToGrid w:val="0"/>
                <w:kern w:val="0"/>
                <w:sz w:val="24"/>
                <w:szCs w:val="24"/>
              </w:rPr>
              <w:t>。评价区域内主要地表水体为</w:t>
            </w:r>
            <w:r>
              <w:rPr>
                <w:rFonts w:hint="eastAsia"/>
                <w:snapToGrid w:val="0"/>
                <w:kern w:val="0"/>
                <w:sz w:val="24"/>
                <w:szCs w:val="24"/>
                <w:lang w:val="en-US" w:eastAsia="zh-CN"/>
              </w:rPr>
              <w:t>梅溪港、北港河、南湖</w:t>
            </w:r>
            <w:r>
              <w:rPr>
                <w:snapToGrid w:val="0"/>
                <w:kern w:val="0"/>
                <w:sz w:val="24"/>
                <w:szCs w:val="24"/>
              </w:rPr>
              <w:t>，区域废水主要排入</w:t>
            </w:r>
            <w:r>
              <w:rPr>
                <w:rFonts w:hint="eastAsia"/>
                <w:snapToGrid w:val="0"/>
                <w:kern w:val="0"/>
                <w:sz w:val="24"/>
                <w:szCs w:val="24"/>
                <w:lang w:val="en-US" w:eastAsia="zh-CN"/>
              </w:rPr>
              <w:t>南湖</w:t>
            </w:r>
            <w:r>
              <w:rPr>
                <w:snapToGrid w:val="0"/>
                <w:kern w:val="0"/>
                <w:sz w:val="24"/>
                <w:szCs w:val="24"/>
              </w:rPr>
              <w:t>。为了解</w:t>
            </w:r>
            <w:r>
              <w:rPr>
                <w:rFonts w:hint="eastAsia"/>
                <w:snapToGrid w:val="0"/>
                <w:kern w:val="0"/>
                <w:sz w:val="24"/>
                <w:szCs w:val="24"/>
                <w:lang w:val="en-US" w:eastAsia="zh-CN"/>
              </w:rPr>
              <w:t>梅溪港、南湖</w:t>
            </w:r>
            <w:r>
              <w:rPr>
                <w:snapToGrid w:val="0"/>
                <w:kern w:val="0"/>
                <w:sz w:val="24"/>
                <w:szCs w:val="24"/>
              </w:rPr>
              <w:t>评价范围内水环境质量现状，</w:t>
            </w:r>
            <w:r>
              <w:rPr>
                <w:sz w:val="24"/>
              </w:rPr>
              <w:t>本次地表水环境质量现状评价</w:t>
            </w:r>
            <w:r>
              <w:rPr>
                <w:rFonts w:hint="eastAsia"/>
                <w:sz w:val="24"/>
              </w:rPr>
              <w:t>引用</w:t>
            </w:r>
            <w:r>
              <w:rPr>
                <w:sz w:val="24"/>
              </w:rPr>
              <w:fldChar w:fldCharType="begin"/>
            </w:r>
            <w:r>
              <w:rPr>
                <w:sz w:val="24"/>
              </w:rPr>
              <w:instrText xml:space="preserve"> HYPERLINK "http://www.so.com/link?url=http%3A%2F%2Fwww.yikejc.com%2F&amp;q=%E6%B9%96%E5%8D%97%E4%BA%BF%E7%A7%91%E6%A3%80%E6%B5%8B%E6%9C%89%E9%99%90%E5%85%AC%E5%8F%B8&amp;ts=1462328041&amp;t=9ee69f391b29efaef921f99dd2de4ca&amp;src=haosou" \t "_blank" </w:instrText>
            </w:r>
            <w:r>
              <w:rPr>
                <w:sz w:val="24"/>
              </w:rPr>
              <w:fldChar w:fldCharType="separate"/>
            </w:r>
            <w:r>
              <w:rPr>
                <w:sz w:val="24"/>
              </w:rPr>
              <w:t>湖南亿科检测有限公司</w:t>
            </w:r>
            <w:r>
              <w:rPr>
                <w:sz w:val="24"/>
              </w:rPr>
              <w:fldChar w:fldCharType="end"/>
            </w:r>
            <w:r>
              <w:rPr>
                <w:sz w:val="24"/>
              </w:rPr>
              <w:t>201</w:t>
            </w:r>
            <w:r>
              <w:rPr>
                <w:rFonts w:hint="eastAsia"/>
                <w:sz w:val="24"/>
              </w:rPr>
              <w:t>6</w:t>
            </w:r>
            <w:r>
              <w:rPr>
                <w:sz w:val="24"/>
              </w:rPr>
              <w:t>年</w:t>
            </w:r>
            <w:r>
              <w:rPr>
                <w:rFonts w:hint="eastAsia"/>
                <w:sz w:val="24"/>
              </w:rPr>
              <w:t>4</w:t>
            </w:r>
            <w:r>
              <w:rPr>
                <w:sz w:val="24"/>
              </w:rPr>
              <w:t>月</w:t>
            </w:r>
            <w:r>
              <w:rPr>
                <w:rFonts w:hint="eastAsia"/>
                <w:sz w:val="24"/>
              </w:rPr>
              <w:t>《岳阳东城医院建设项目环境影响报告书》中对北港河和南湖的水环境质量</w:t>
            </w:r>
            <w:r>
              <w:rPr>
                <w:rFonts w:hint="eastAsia"/>
                <w:kern w:val="0"/>
                <w:sz w:val="24"/>
              </w:rPr>
              <w:t>现状监测数据以及</w:t>
            </w:r>
            <w:r>
              <w:rPr>
                <w:sz w:val="24"/>
              </w:rPr>
              <w:t>湖南永蓝检测技术有限公司</w:t>
            </w:r>
            <w:r>
              <w:rPr>
                <w:rFonts w:hint="eastAsia"/>
                <w:sz w:val="24"/>
              </w:rPr>
              <w:t>2</w:t>
            </w:r>
            <w:r>
              <w:rPr>
                <w:sz w:val="24"/>
              </w:rPr>
              <w:t>01</w:t>
            </w:r>
            <w:r>
              <w:rPr>
                <w:rFonts w:hint="eastAsia"/>
                <w:sz w:val="24"/>
              </w:rPr>
              <w:t>6</w:t>
            </w:r>
            <w:r>
              <w:rPr>
                <w:sz w:val="24"/>
              </w:rPr>
              <w:t>年</w:t>
            </w:r>
            <w:r>
              <w:rPr>
                <w:rFonts w:hint="eastAsia"/>
                <w:sz w:val="24"/>
              </w:rPr>
              <w:t>6</w:t>
            </w:r>
            <w:r>
              <w:rPr>
                <w:sz w:val="24"/>
              </w:rPr>
              <w:t>月</w:t>
            </w:r>
            <w:r>
              <w:rPr>
                <w:rFonts w:hint="eastAsia"/>
                <w:sz w:val="24"/>
              </w:rPr>
              <w:t>30</w:t>
            </w:r>
            <w:r>
              <w:rPr>
                <w:sz w:val="24"/>
              </w:rPr>
              <w:t>日~</w:t>
            </w:r>
            <w:r>
              <w:rPr>
                <w:rFonts w:hint="eastAsia"/>
                <w:sz w:val="24"/>
              </w:rPr>
              <w:t xml:space="preserve"> 31</w:t>
            </w:r>
            <w:r>
              <w:rPr>
                <w:sz w:val="24"/>
              </w:rPr>
              <w:t>日</w:t>
            </w:r>
            <w:r>
              <w:rPr>
                <w:rFonts w:hint="eastAsia"/>
                <w:sz w:val="24"/>
              </w:rPr>
              <w:t>《岳阳市妇幼保健院迁建及岳阳市儿童医院新建项目环境影响报告书》对梅溪港的水环境质量</w:t>
            </w:r>
            <w:r>
              <w:rPr>
                <w:rFonts w:hint="eastAsia"/>
                <w:kern w:val="0"/>
                <w:sz w:val="24"/>
              </w:rPr>
              <w:t>现状监测数据</w:t>
            </w:r>
            <w:r>
              <w:rPr>
                <w:sz w:val="24"/>
              </w:rPr>
              <w:t>。</w:t>
            </w:r>
          </w:p>
          <w:p>
            <w:pPr>
              <w:adjustRightInd w:val="0"/>
              <w:snapToGrid w:val="0"/>
              <w:spacing w:line="360" w:lineRule="auto"/>
              <w:ind w:firstLine="480" w:firstLineChars="200"/>
              <w:jc w:val="left"/>
              <w:rPr>
                <w:rFonts w:hint="eastAsia"/>
                <w:sz w:val="24"/>
                <w:u w:val="none"/>
              </w:rPr>
            </w:pPr>
            <w:r>
              <w:rPr>
                <w:rFonts w:hint="eastAsia"/>
                <w:sz w:val="24"/>
                <w:u w:val="none"/>
              </w:rPr>
              <w:t>（1）监测断面</w:t>
            </w:r>
          </w:p>
          <w:p>
            <w:pPr>
              <w:adjustRightInd w:val="0"/>
              <w:snapToGrid w:val="0"/>
              <w:spacing w:line="360" w:lineRule="auto"/>
              <w:ind w:firstLine="480" w:firstLineChars="200"/>
              <w:jc w:val="left"/>
              <w:rPr>
                <w:rFonts w:hint="eastAsia"/>
                <w:sz w:val="24"/>
                <w:u w:val="none"/>
              </w:rPr>
            </w:pPr>
            <w:r>
              <w:rPr>
                <w:rFonts w:hint="eastAsia"/>
                <w:sz w:val="24"/>
                <w:u w:val="none"/>
              </w:rPr>
              <w:t>W1</w:t>
            </w:r>
            <w:r>
              <w:rPr>
                <w:sz w:val="24"/>
                <w:u w:val="none"/>
              </w:rPr>
              <w:t>断面：</w:t>
            </w:r>
            <w:r>
              <w:rPr>
                <w:rFonts w:hint="eastAsia"/>
                <w:sz w:val="24"/>
                <w:u w:val="none"/>
              </w:rPr>
              <w:t>罗家坡污水处理厂排污口上游200m（北港河）；</w:t>
            </w:r>
          </w:p>
          <w:p>
            <w:pPr>
              <w:adjustRightInd w:val="0"/>
              <w:snapToGrid w:val="0"/>
              <w:spacing w:line="360" w:lineRule="auto"/>
              <w:ind w:firstLine="480" w:firstLineChars="200"/>
              <w:jc w:val="left"/>
              <w:rPr>
                <w:rFonts w:hint="eastAsia"/>
                <w:sz w:val="24"/>
                <w:u w:val="none"/>
              </w:rPr>
            </w:pPr>
            <w:r>
              <w:rPr>
                <w:rFonts w:hint="eastAsia"/>
                <w:sz w:val="24"/>
                <w:u w:val="none"/>
              </w:rPr>
              <w:t>W2</w:t>
            </w:r>
            <w:r>
              <w:rPr>
                <w:sz w:val="24"/>
                <w:u w:val="none"/>
              </w:rPr>
              <w:t>断面：</w:t>
            </w:r>
            <w:r>
              <w:rPr>
                <w:rFonts w:hint="eastAsia"/>
                <w:sz w:val="24"/>
                <w:u w:val="none"/>
              </w:rPr>
              <w:t>罗家坡污水处理厂排污口下游1500m（北港河）；</w:t>
            </w:r>
          </w:p>
          <w:p>
            <w:pPr>
              <w:adjustRightInd w:val="0"/>
              <w:snapToGrid w:val="0"/>
              <w:spacing w:line="360" w:lineRule="auto"/>
              <w:ind w:firstLine="480" w:firstLineChars="200"/>
              <w:jc w:val="left"/>
              <w:rPr>
                <w:rFonts w:hint="eastAsia"/>
                <w:sz w:val="24"/>
                <w:u w:val="none"/>
              </w:rPr>
            </w:pPr>
            <w:r>
              <w:rPr>
                <w:rFonts w:hint="eastAsia"/>
                <w:sz w:val="24"/>
                <w:u w:val="none"/>
              </w:rPr>
              <w:t>W3</w:t>
            </w:r>
            <w:r>
              <w:rPr>
                <w:sz w:val="24"/>
                <w:u w:val="none"/>
              </w:rPr>
              <w:t>断面：</w:t>
            </w:r>
            <w:r>
              <w:rPr>
                <w:rFonts w:hint="eastAsia"/>
                <w:sz w:val="24"/>
                <w:u w:val="none"/>
              </w:rPr>
              <w:t>罗家坡污水处理厂排污口进入南湖下游3500m（南湖）；</w:t>
            </w:r>
          </w:p>
          <w:p>
            <w:pPr>
              <w:spacing w:line="360" w:lineRule="auto"/>
              <w:ind w:firstLine="480" w:firstLineChars="200"/>
              <w:jc w:val="left"/>
              <w:rPr>
                <w:rFonts w:hint="eastAsia"/>
                <w:sz w:val="24"/>
                <w:u w:val="none"/>
              </w:rPr>
            </w:pPr>
            <w:r>
              <w:rPr>
                <w:rFonts w:hint="eastAsia"/>
                <w:sz w:val="24"/>
                <w:u w:val="none"/>
              </w:rPr>
              <w:t>W4</w:t>
            </w:r>
            <w:r>
              <w:rPr>
                <w:sz w:val="24"/>
                <w:u w:val="none"/>
              </w:rPr>
              <w:t>断面</w:t>
            </w:r>
            <w:r>
              <w:rPr>
                <w:rFonts w:hint="eastAsia"/>
                <w:sz w:val="24"/>
                <w:u w:val="none"/>
              </w:rPr>
              <w:t>：项目拟建地梅溪港上游200m（位于</w:t>
            </w:r>
            <w:r>
              <w:rPr>
                <w:rFonts w:hint="eastAsia"/>
                <w:sz w:val="24"/>
                <w:u w:val="none"/>
                <w:lang w:val="en-US" w:eastAsia="zh-CN"/>
              </w:rPr>
              <w:t>分水垄路</w:t>
            </w:r>
            <w:r>
              <w:rPr>
                <w:rFonts w:hint="eastAsia"/>
                <w:sz w:val="24"/>
                <w:u w:val="none"/>
              </w:rPr>
              <w:t>北段起点西南面1000m处）；</w:t>
            </w:r>
          </w:p>
          <w:p>
            <w:pPr>
              <w:spacing w:line="360" w:lineRule="auto"/>
              <w:ind w:firstLine="480" w:firstLineChars="200"/>
              <w:jc w:val="left"/>
              <w:rPr>
                <w:rFonts w:hint="eastAsia"/>
                <w:sz w:val="24"/>
                <w:u w:val="none"/>
              </w:rPr>
            </w:pPr>
            <w:r>
              <w:rPr>
                <w:rFonts w:hint="eastAsia"/>
                <w:sz w:val="24"/>
                <w:u w:val="none"/>
              </w:rPr>
              <w:t>W5</w:t>
            </w:r>
            <w:r>
              <w:rPr>
                <w:sz w:val="24"/>
                <w:u w:val="none"/>
              </w:rPr>
              <w:t>断面</w:t>
            </w:r>
            <w:r>
              <w:rPr>
                <w:rFonts w:hint="eastAsia"/>
                <w:sz w:val="24"/>
                <w:u w:val="none"/>
              </w:rPr>
              <w:t>：项目拟建地梅溪港下游500m（位于</w:t>
            </w:r>
            <w:r>
              <w:rPr>
                <w:rFonts w:hint="eastAsia"/>
                <w:sz w:val="24"/>
                <w:u w:val="none"/>
                <w:lang w:val="en-US" w:eastAsia="zh-CN"/>
              </w:rPr>
              <w:t>分水垄路</w:t>
            </w:r>
            <w:r>
              <w:rPr>
                <w:rFonts w:hint="eastAsia"/>
                <w:sz w:val="24"/>
                <w:u w:val="none"/>
              </w:rPr>
              <w:t>北段起点东南面300m处）。</w:t>
            </w:r>
          </w:p>
          <w:p>
            <w:pPr>
              <w:adjustRightInd w:val="0"/>
              <w:snapToGrid w:val="0"/>
              <w:spacing w:line="360" w:lineRule="auto"/>
              <w:ind w:firstLine="480" w:firstLineChars="200"/>
              <w:jc w:val="left"/>
              <w:rPr>
                <w:rFonts w:hint="eastAsia"/>
                <w:sz w:val="24"/>
              </w:rPr>
            </w:pPr>
            <w:r>
              <w:rPr>
                <w:rFonts w:hint="eastAsia"/>
                <w:sz w:val="24"/>
              </w:rPr>
              <w:t>（2）</w:t>
            </w:r>
            <w:r>
              <w:rPr>
                <w:sz w:val="24"/>
              </w:rPr>
              <w:t>监测</w:t>
            </w:r>
            <w:r>
              <w:rPr>
                <w:rFonts w:hint="eastAsia"/>
                <w:sz w:val="24"/>
              </w:rPr>
              <w:t>因子</w:t>
            </w:r>
            <w:r>
              <w:rPr>
                <w:sz w:val="24"/>
              </w:rPr>
              <w:t>：pH、COD、BOD</w:t>
            </w:r>
            <w:r>
              <w:rPr>
                <w:sz w:val="24"/>
                <w:vertAlign w:val="subscript"/>
              </w:rPr>
              <w:t>5</w:t>
            </w:r>
            <w:r>
              <w:rPr>
                <w:sz w:val="24"/>
              </w:rPr>
              <w:t>、DO、氨氮、粪大肠菌群</w:t>
            </w:r>
            <w:r>
              <w:rPr>
                <w:rFonts w:hint="eastAsia"/>
                <w:sz w:val="24"/>
              </w:rPr>
              <w:t>、SS、总氮、石油类。</w:t>
            </w:r>
          </w:p>
          <w:p>
            <w:pPr>
              <w:adjustRightInd w:val="0"/>
              <w:snapToGrid w:val="0"/>
              <w:spacing w:line="360" w:lineRule="auto"/>
              <w:ind w:firstLine="480" w:firstLineChars="200"/>
              <w:jc w:val="left"/>
              <w:rPr>
                <w:sz w:val="24"/>
              </w:rPr>
            </w:pPr>
            <w:r>
              <w:rPr>
                <w:rFonts w:hint="eastAsia"/>
                <w:sz w:val="24"/>
              </w:rPr>
              <w:t>（3）</w:t>
            </w:r>
            <w:r>
              <w:rPr>
                <w:sz w:val="24"/>
              </w:rPr>
              <w:t>监测结果分析</w:t>
            </w:r>
            <w:r>
              <w:rPr>
                <w:rFonts w:hint="eastAsia"/>
                <w:sz w:val="24"/>
              </w:rPr>
              <w:t>：</w:t>
            </w:r>
            <w:r>
              <w:rPr>
                <w:sz w:val="24"/>
              </w:rPr>
              <w:t>具体水质监测结果见表</w:t>
            </w:r>
            <w:r>
              <w:rPr>
                <w:rFonts w:hint="eastAsia"/>
                <w:sz w:val="24"/>
                <w:lang w:val="en-US" w:eastAsia="zh-CN"/>
              </w:rPr>
              <w:t>3</w:t>
            </w:r>
            <w:r>
              <w:rPr>
                <w:rFonts w:hint="eastAsia"/>
                <w:sz w:val="24"/>
              </w:rPr>
              <w:t>-2和</w:t>
            </w:r>
            <w:r>
              <w:rPr>
                <w:rFonts w:hint="eastAsia"/>
                <w:sz w:val="24"/>
                <w:lang w:val="en-US" w:eastAsia="zh-CN"/>
              </w:rPr>
              <w:t>3</w:t>
            </w:r>
            <w:r>
              <w:rPr>
                <w:rFonts w:hint="eastAsia"/>
                <w:sz w:val="24"/>
              </w:rPr>
              <w:t>-3。</w:t>
            </w:r>
          </w:p>
          <w:p>
            <w:pPr>
              <w:snapToGrid w:val="0"/>
              <w:ind w:firstLine="236" w:firstLineChars="98"/>
              <w:rPr>
                <w:rFonts w:hint="eastAsia"/>
                <w:b/>
                <w:sz w:val="24"/>
              </w:rPr>
            </w:pPr>
            <w:r>
              <w:rPr>
                <w:b/>
                <w:sz w:val="24"/>
              </w:rPr>
              <w:t>表</w:t>
            </w:r>
            <w:r>
              <w:rPr>
                <w:rFonts w:hint="eastAsia"/>
                <w:b/>
                <w:sz w:val="24"/>
                <w:lang w:val="en-US" w:eastAsia="zh-CN"/>
              </w:rPr>
              <w:t>3</w:t>
            </w:r>
            <w:r>
              <w:rPr>
                <w:rFonts w:hint="eastAsia"/>
                <w:b/>
                <w:sz w:val="24"/>
              </w:rPr>
              <w:t>-2</w:t>
            </w:r>
            <w:r>
              <w:rPr>
                <w:b/>
                <w:sz w:val="24"/>
              </w:rPr>
              <w:t xml:space="preserve">  </w:t>
            </w:r>
            <w:r>
              <w:rPr>
                <w:rFonts w:hint="eastAsia"/>
                <w:b/>
                <w:sz w:val="24"/>
              </w:rPr>
              <w:t>北港河和南湖</w:t>
            </w:r>
            <w:r>
              <w:rPr>
                <w:b/>
                <w:sz w:val="24"/>
              </w:rPr>
              <w:t>环境质量现状监测评价结果统计表[单位：mg/L，</w:t>
            </w:r>
            <w:r>
              <w:rPr>
                <w:rFonts w:hint="eastAsia"/>
                <w:b/>
                <w:sz w:val="24"/>
              </w:rPr>
              <w:t>p</w:t>
            </w:r>
            <w:r>
              <w:rPr>
                <w:b/>
                <w:sz w:val="24"/>
              </w:rPr>
              <w:t>H除外</w:t>
            </w:r>
            <w:r>
              <w:rPr>
                <w:rFonts w:hint="eastAsia"/>
                <w:b/>
                <w:sz w:val="24"/>
              </w:rPr>
              <w:t>]</w:t>
            </w:r>
          </w:p>
          <w:tbl>
            <w:tblPr>
              <w:tblStyle w:val="42"/>
              <w:tblW w:w="864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1518"/>
              <w:gridCol w:w="1703"/>
              <w:gridCol w:w="1281"/>
              <w:gridCol w:w="910"/>
              <w:gridCol w:w="890"/>
              <w:gridCol w:w="162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83" w:hRule="atLeast"/>
              </w:trPr>
              <w:tc>
                <w:tcPr>
                  <w:tcW w:w="718" w:type="dxa"/>
                  <w:vAlign w:val="center"/>
                </w:tcPr>
                <w:p>
                  <w:pPr>
                    <w:pStyle w:val="7"/>
                    <w:spacing w:before="36" w:after="36" w:line="240" w:lineRule="exact"/>
                    <w:jc w:val="center"/>
                    <w:rPr>
                      <w:sz w:val="21"/>
                      <w:szCs w:val="21"/>
                    </w:rPr>
                  </w:pPr>
                  <w:r>
                    <w:rPr>
                      <w:rFonts w:hAnsi="宋体"/>
                      <w:sz w:val="21"/>
                      <w:szCs w:val="21"/>
                    </w:rPr>
                    <w:t>断面</w:t>
                  </w:r>
                </w:p>
              </w:tc>
              <w:tc>
                <w:tcPr>
                  <w:tcW w:w="1518" w:type="dxa"/>
                  <w:vAlign w:val="center"/>
                </w:tcPr>
                <w:p>
                  <w:pPr>
                    <w:pStyle w:val="7"/>
                    <w:spacing w:before="36" w:after="36" w:line="240" w:lineRule="exact"/>
                    <w:ind w:firstLine="210"/>
                    <w:jc w:val="center"/>
                    <w:rPr>
                      <w:sz w:val="21"/>
                      <w:szCs w:val="21"/>
                    </w:rPr>
                  </w:pPr>
                  <w:r>
                    <w:rPr>
                      <w:rFonts w:hAnsi="宋体"/>
                      <w:sz w:val="21"/>
                      <w:szCs w:val="21"/>
                    </w:rPr>
                    <w:t>监测因子</w:t>
                  </w:r>
                </w:p>
              </w:tc>
              <w:tc>
                <w:tcPr>
                  <w:tcW w:w="1703" w:type="dxa"/>
                  <w:vAlign w:val="center"/>
                </w:tcPr>
                <w:p>
                  <w:pPr>
                    <w:pStyle w:val="7"/>
                    <w:spacing w:before="36" w:after="36" w:line="240" w:lineRule="exact"/>
                    <w:ind w:firstLine="210"/>
                    <w:jc w:val="center"/>
                    <w:rPr>
                      <w:sz w:val="21"/>
                      <w:szCs w:val="21"/>
                    </w:rPr>
                  </w:pPr>
                  <w:r>
                    <w:rPr>
                      <w:rFonts w:hAnsi="宋体"/>
                      <w:sz w:val="21"/>
                      <w:szCs w:val="21"/>
                    </w:rPr>
                    <w:t>范围值</w:t>
                  </w:r>
                </w:p>
              </w:tc>
              <w:tc>
                <w:tcPr>
                  <w:tcW w:w="1281" w:type="dxa"/>
                  <w:vAlign w:val="center"/>
                </w:tcPr>
                <w:p>
                  <w:pPr>
                    <w:pStyle w:val="7"/>
                    <w:spacing w:before="36" w:after="36" w:line="240" w:lineRule="exact"/>
                    <w:jc w:val="center"/>
                    <w:rPr>
                      <w:sz w:val="21"/>
                      <w:szCs w:val="21"/>
                    </w:rPr>
                  </w:pPr>
                  <w:r>
                    <w:rPr>
                      <w:rFonts w:hAnsi="宋体"/>
                      <w:sz w:val="21"/>
                      <w:szCs w:val="21"/>
                    </w:rPr>
                    <w:t>平均值</w:t>
                  </w:r>
                </w:p>
              </w:tc>
              <w:tc>
                <w:tcPr>
                  <w:tcW w:w="910" w:type="dxa"/>
                  <w:vAlign w:val="center"/>
                </w:tcPr>
                <w:p>
                  <w:pPr>
                    <w:pStyle w:val="7"/>
                    <w:spacing w:before="36" w:after="36" w:line="240" w:lineRule="exact"/>
                    <w:jc w:val="center"/>
                    <w:rPr>
                      <w:sz w:val="21"/>
                      <w:szCs w:val="21"/>
                    </w:rPr>
                  </w:pPr>
                  <w:r>
                    <w:rPr>
                      <w:rFonts w:hAnsi="宋体"/>
                      <w:kern w:val="0"/>
                      <w:sz w:val="21"/>
                      <w:szCs w:val="21"/>
                    </w:rPr>
                    <w:t>超标率</w:t>
                  </w:r>
                </w:p>
              </w:tc>
              <w:tc>
                <w:tcPr>
                  <w:tcW w:w="890" w:type="dxa"/>
                  <w:vAlign w:val="center"/>
                </w:tcPr>
                <w:p>
                  <w:pPr>
                    <w:pStyle w:val="7"/>
                    <w:spacing w:before="36" w:after="36" w:line="240" w:lineRule="exact"/>
                    <w:jc w:val="center"/>
                    <w:rPr>
                      <w:rFonts w:hint="eastAsia" w:hAnsi="宋体"/>
                      <w:sz w:val="21"/>
                      <w:szCs w:val="21"/>
                    </w:rPr>
                  </w:pPr>
                  <w:r>
                    <w:rPr>
                      <w:rFonts w:hAnsi="宋体"/>
                      <w:sz w:val="21"/>
                      <w:szCs w:val="21"/>
                    </w:rPr>
                    <w:t>最大超</w:t>
                  </w:r>
                </w:p>
                <w:p>
                  <w:pPr>
                    <w:pStyle w:val="7"/>
                    <w:spacing w:before="36" w:after="36" w:line="240" w:lineRule="exact"/>
                    <w:jc w:val="center"/>
                    <w:rPr>
                      <w:sz w:val="21"/>
                      <w:szCs w:val="21"/>
                    </w:rPr>
                  </w:pPr>
                  <w:r>
                    <w:rPr>
                      <w:rFonts w:hAnsi="宋体"/>
                      <w:sz w:val="21"/>
                      <w:szCs w:val="21"/>
                    </w:rPr>
                    <w:t>标倍数</w:t>
                  </w:r>
                </w:p>
              </w:tc>
              <w:tc>
                <w:tcPr>
                  <w:tcW w:w="1620" w:type="dxa"/>
                  <w:vAlign w:val="center"/>
                </w:tcPr>
                <w:p>
                  <w:pPr>
                    <w:pStyle w:val="7"/>
                    <w:spacing w:before="36" w:after="36" w:line="240" w:lineRule="exact"/>
                    <w:ind w:firstLine="105" w:firstLineChars="50"/>
                    <w:jc w:val="center"/>
                    <w:rPr>
                      <w:sz w:val="21"/>
                      <w:szCs w:val="21"/>
                    </w:rPr>
                  </w:pPr>
                  <w:r>
                    <w:rPr>
                      <w:rFonts w:ascii="宋体" w:hAnsi="宋体"/>
                      <w:sz w:val="21"/>
                      <w:szCs w:val="21"/>
                    </w:rPr>
                    <w:t>Ⅲ</w:t>
                  </w:r>
                  <w:r>
                    <w:rPr>
                      <w:rFonts w:hAnsi="宋体"/>
                      <w:sz w:val="21"/>
                      <w:szCs w:val="21"/>
                    </w:rPr>
                    <w:t>类标准值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82" w:hRule="atLeast"/>
              </w:trPr>
              <w:tc>
                <w:tcPr>
                  <w:tcW w:w="718" w:type="dxa"/>
                  <w:vMerge w:val="restart"/>
                  <w:vAlign w:val="center"/>
                </w:tcPr>
                <w:p>
                  <w:pPr>
                    <w:pStyle w:val="7"/>
                    <w:spacing w:before="36" w:after="36" w:line="240" w:lineRule="exact"/>
                    <w:ind w:firstLine="105" w:firstLineChars="50"/>
                    <w:jc w:val="center"/>
                    <w:rPr>
                      <w:sz w:val="21"/>
                      <w:szCs w:val="21"/>
                    </w:rPr>
                  </w:pPr>
                  <w:r>
                    <w:rPr>
                      <w:rFonts w:hint="eastAsia"/>
                      <w:sz w:val="21"/>
                      <w:szCs w:val="21"/>
                    </w:rPr>
                    <w:t>W1</w:t>
                  </w:r>
                </w:p>
              </w:tc>
              <w:tc>
                <w:tcPr>
                  <w:tcW w:w="1518" w:type="dxa"/>
                  <w:vAlign w:val="center"/>
                </w:tcPr>
                <w:p>
                  <w:pPr>
                    <w:jc w:val="center"/>
                    <w:rPr>
                      <w:sz w:val="21"/>
                      <w:szCs w:val="21"/>
                    </w:rPr>
                  </w:pPr>
                  <w:r>
                    <w:rPr>
                      <w:sz w:val="21"/>
                      <w:szCs w:val="21"/>
                    </w:rPr>
                    <w:t>pH</w:t>
                  </w:r>
                </w:p>
              </w:tc>
              <w:tc>
                <w:tcPr>
                  <w:tcW w:w="1703" w:type="dxa"/>
                  <w:vAlign w:val="center"/>
                </w:tcPr>
                <w:p>
                  <w:pPr>
                    <w:jc w:val="center"/>
                    <w:rPr>
                      <w:rFonts w:hint="eastAsia"/>
                      <w:sz w:val="21"/>
                      <w:szCs w:val="21"/>
                    </w:rPr>
                  </w:pPr>
                  <w:r>
                    <w:rPr>
                      <w:rFonts w:hint="eastAsia"/>
                      <w:sz w:val="21"/>
                      <w:szCs w:val="21"/>
                    </w:rPr>
                    <w:t>6.74-6.75</w:t>
                  </w:r>
                </w:p>
              </w:tc>
              <w:tc>
                <w:tcPr>
                  <w:tcW w:w="1281" w:type="dxa"/>
                  <w:vAlign w:val="center"/>
                </w:tcPr>
                <w:p>
                  <w:pPr>
                    <w:jc w:val="center"/>
                    <w:rPr>
                      <w:sz w:val="21"/>
                      <w:szCs w:val="21"/>
                    </w:rPr>
                  </w:pPr>
                  <w:r>
                    <w:rPr>
                      <w:sz w:val="21"/>
                      <w:szCs w:val="21"/>
                    </w:rPr>
                    <w:t>/</w:t>
                  </w:r>
                </w:p>
              </w:tc>
              <w:tc>
                <w:tcPr>
                  <w:tcW w:w="910" w:type="dxa"/>
                  <w:vAlign w:val="center"/>
                </w:tcPr>
                <w:p>
                  <w:pPr>
                    <w:jc w:val="center"/>
                    <w:rPr>
                      <w:sz w:val="21"/>
                      <w:szCs w:val="21"/>
                    </w:rPr>
                  </w:pPr>
                  <w:r>
                    <w:rPr>
                      <w:sz w:val="21"/>
                      <w:szCs w:val="21"/>
                    </w:rPr>
                    <w:t>/</w:t>
                  </w:r>
                </w:p>
              </w:tc>
              <w:tc>
                <w:tcPr>
                  <w:tcW w:w="890" w:type="dxa"/>
                  <w:vAlign w:val="center"/>
                </w:tcPr>
                <w:p>
                  <w:pPr>
                    <w:jc w:val="center"/>
                    <w:rPr>
                      <w:sz w:val="21"/>
                      <w:szCs w:val="21"/>
                    </w:rPr>
                  </w:pPr>
                  <w:r>
                    <w:rPr>
                      <w:sz w:val="21"/>
                      <w:szCs w:val="21"/>
                    </w:rPr>
                    <w:t>/</w:t>
                  </w:r>
                </w:p>
              </w:tc>
              <w:tc>
                <w:tcPr>
                  <w:tcW w:w="1620" w:type="dxa"/>
                  <w:vAlign w:val="center"/>
                </w:tcPr>
                <w:p>
                  <w:pPr>
                    <w:jc w:val="center"/>
                    <w:rPr>
                      <w:sz w:val="21"/>
                      <w:szCs w:val="21"/>
                    </w:rPr>
                  </w:pPr>
                  <w:r>
                    <w:rPr>
                      <w:sz w:val="21"/>
                      <w:szCs w:val="21"/>
                    </w:rPr>
                    <w:t>6~9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5" w:hRule="atLeast"/>
              </w:trPr>
              <w:tc>
                <w:tcPr>
                  <w:tcW w:w="718" w:type="dxa"/>
                  <w:vMerge w:val="continue"/>
                  <w:vAlign w:val="center"/>
                </w:tcPr>
                <w:p>
                  <w:pPr>
                    <w:pStyle w:val="7"/>
                    <w:spacing w:before="36" w:after="36" w:line="240" w:lineRule="exact"/>
                    <w:ind w:firstLine="210"/>
                    <w:jc w:val="center"/>
                    <w:rPr>
                      <w:sz w:val="21"/>
                      <w:szCs w:val="21"/>
                    </w:rPr>
                  </w:pPr>
                </w:p>
              </w:tc>
              <w:tc>
                <w:tcPr>
                  <w:tcW w:w="1518" w:type="dxa"/>
                  <w:vAlign w:val="center"/>
                </w:tcPr>
                <w:p>
                  <w:pPr>
                    <w:jc w:val="center"/>
                    <w:rPr>
                      <w:rFonts w:hint="eastAsia"/>
                      <w:sz w:val="21"/>
                      <w:szCs w:val="21"/>
                    </w:rPr>
                  </w:pPr>
                  <w:r>
                    <w:rPr>
                      <w:rFonts w:hint="eastAsia"/>
                      <w:sz w:val="21"/>
                      <w:szCs w:val="21"/>
                    </w:rPr>
                    <w:t>DO</w:t>
                  </w:r>
                </w:p>
              </w:tc>
              <w:tc>
                <w:tcPr>
                  <w:tcW w:w="1703" w:type="dxa"/>
                  <w:vAlign w:val="center"/>
                </w:tcPr>
                <w:p>
                  <w:pPr>
                    <w:jc w:val="center"/>
                    <w:rPr>
                      <w:rFonts w:hint="eastAsia"/>
                      <w:sz w:val="21"/>
                      <w:szCs w:val="21"/>
                    </w:rPr>
                  </w:pPr>
                  <w:r>
                    <w:rPr>
                      <w:rFonts w:hint="eastAsia"/>
                      <w:sz w:val="21"/>
                      <w:szCs w:val="21"/>
                    </w:rPr>
                    <w:t>6.1-6.8</w:t>
                  </w:r>
                </w:p>
              </w:tc>
              <w:tc>
                <w:tcPr>
                  <w:tcW w:w="1281" w:type="dxa"/>
                  <w:vAlign w:val="center"/>
                </w:tcPr>
                <w:p>
                  <w:pPr>
                    <w:jc w:val="center"/>
                    <w:rPr>
                      <w:rFonts w:hint="eastAsia"/>
                      <w:sz w:val="21"/>
                      <w:szCs w:val="21"/>
                    </w:rPr>
                  </w:pPr>
                  <w:r>
                    <w:rPr>
                      <w:rFonts w:hint="eastAsia"/>
                      <w:sz w:val="21"/>
                      <w:szCs w:val="21"/>
                    </w:rPr>
                    <w:t>6.5</w:t>
                  </w:r>
                </w:p>
              </w:tc>
              <w:tc>
                <w:tcPr>
                  <w:tcW w:w="910" w:type="dxa"/>
                  <w:vAlign w:val="center"/>
                </w:tcPr>
                <w:p>
                  <w:pPr>
                    <w:jc w:val="center"/>
                    <w:rPr>
                      <w:sz w:val="21"/>
                      <w:szCs w:val="21"/>
                    </w:rPr>
                  </w:pPr>
                  <w:r>
                    <w:rPr>
                      <w:sz w:val="21"/>
                      <w:szCs w:val="21"/>
                    </w:rPr>
                    <w:t>/</w:t>
                  </w:r>
                </w:p>
              </w:tc>
              <w:tc>
                <w:tcPr>
                  <w:tcW w:w="890" w:type="dxa"/>
                  <w:vAlign w:val="center"/>
                </w:tcPr>
                <w:p>
                  <w:pPr>
                    <w:jc w:val="center"/>
                    <w:rPr>
                      <w:sz w:val="21"/>
                      <w:szCs w:val="21"/>
                    </w:rPr>
                  </w:pPr>
                  <w:r>
                    <w:rPr>
                      <w:sz w:val="21"/>
                      <w:szCs w:val="21"/>
                    </w:rPr>
                    <w:t>/</w:t>
                  </w:r>
                </w:p>
              </w:tc>
              <w:tc>
                <w:tcPr>
                  <w:tcW w:w="1620" w:type="dxa"/>
                  <w:vAlign w:val="center"/>
                </w:tcPr>
                <w:p>
                  <w:pPr>
                    <w:jc w:val="center"/>
                    <w:rPr>
                      <w:rFonts w:hint="eastAsia"/>
                      <w:sz w:val="21"/>
                      <w:szCs w:val="21"/>
                    </w:rPr>
                  </w:pPr>
                  <w:r>
                    <w:rPr>
                      <w:sz w:val="21"/>
                      <w:szCs w:val="21"/>
                    </w:rPr>
                    <w:t>≥</w:t>
                  </w:r>
                  <w:r>
                    <w:rPr>
                      <w:rFonts w:hint="eastAsia"/>
                      <w:sz w:val="21"/>
                      <w:szCs w:val="21"/>
                    </w:rPr>
                    <w:t>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5" w:hRule="atLeast"/>
              </w:trPr>
              <w:tc>
                <w:tcPr>
                  <w:tcW w:w="718" w:type="dxa"/>
                  <w:vMerge w:val="continue"/>
                  <w:vAlign w:val="center"/>
                </w:tcPr>
                <w:p>
                  <w:pPr>
                    <w:pStyle w:val="7"/>
                    <w:spacing w:before="36" w:after="36" w:line="240" w:lineRule="exact"/>
                    <w:ind w:firstLine="210"/>
                    <w:jc w:val="center"/>
                    <w:rPr>
                      <w:sz w:val="21"/>
                      <w:szCs w:val="21"/>
                    </w:rPr>
                  </w:pPr>
                </w:p>
              </w:tc>
              <w:tc>
                <w:tcPr>
                  <w:tcW w:w="1518" w:type="dxa"/>
                  <w:vAlign w:val="center"/>
                </w:tcPr>
                <w:p>
                  <w:pPr>
                    <w:jc w:val="center"/>
                    <w:rPr>
                      <w:rFonts w:hint="eastAsia"/>
                      <w:sz w:val="21"/>
                      <w:szCs w:val="21"/>
                    </w:rPr>
                  </w:pPr>
                  <w:r>
                    <w:rPr>
                      <w:rFonts w:hint="eastAsia"/>
                      <w:sz w:val="21"/>
                      <w:szCs w:val="21"/>
                    </w:rPr>
                    <w:t>SS</w:t>
                  </w:r>
                </w:p>
              </w:tc>
              <w:tc>
                <w:tcPr>
                  <w:tcW w:w="1703" w:type="dxa"/>
                  <w:vAlign w:val="center"/>
                </w:tcPr>
                <w:p>
                  <w:pPr>
                    <w:jc w:val="center"/>
                    <w:rPr>
                      <w:rFonts w:hint="eastAsia"/>
                      <w:sz w:val="21"/>
                      <w:szCs w:val="21"/>
                    </w:rPr>
                  </w:pPr>
                  <w:r>
                    <w:rPr>
                      <w:rFonts w:hint="eastAsia"/>
                      <w:sz w:val="21"/>
                      <w:szCs w:val="21"/>
                    </w:rPr>
                    <w:t>14-14</w:t>
                  </w:r>
                </w:p>
              </w:tc>
              <w:tc>
                <w:tcPr>
                  <w:tcW w:w="1281" w:type="dxa"/>
                  <w:vAlign w:val="center"/>
                </w:tcPr>
                <w:p>
                  <w:pPr>
                    <w:jc w:val="center"/>
                    <w:rPr>
                      <w:rFonts w:hint="eastAsia"/>
                      <w:sz w:val="21"/>
                      <w:szCs w:val="21"/>
                    </w:rPr>
                  </w:pPr>
                  <w:r>
                    <w:rPr>
                      <w:rFonts w:hint="eastAsia"/>
                      <w:sz w:val="21"/>
                      <w:szCs w:val="21"/>
                    </w:rPr>
                    <w:t>14</w:t>
                  </w:r>
                </w:p>
              </w:tc>
              <w:tc>
                <w:tcPr>
                  <w:tcW w:w="910" w:type="dxa"/>
                  <w:vAlign w:val="center"/>
                </w:tcPr>
                <w:p>
                  <w:pPr>
                    <w:jc w:val="center"/>
                    <w:rPr>
                      <w:sz w:val="21"/>
                      <w:szCs w:val="21"/>
                    </w:rPr>
                  </w:pPr>
                  <w:r>
                    <w:rPr>
                      <w:sz w:val="21"/>
                      <w:szCs w:val="21"/>
                    </w:rPr>
                    <w:t>/</w:t>
                  </w:r>
                </w:p>
              </w:tc>
              <w:tc>
                <w:tcPr>
                  <w:tcW w:w="890" w:type="dxa"/>
                  <w:vAlign w:val="center"/>
                </w:tcPr>
                <w:p>
                  <w:pPr>
                    <w:jc w:val="center"/>
                    <w:rPr>
                      <w:sz w:val="21"/>
                      <w:szCs w:val="21"/>
                    </w:rPr>
                  </w:pPr>
                  <w:r>
                    <w:rPr>
                      <w:sz w:val="21"/>
                      <w:szCs w:val="21"/>
                    </w:rPr>
                    <w:t>/</w:t>
                  </w:r>
                </w:p>
              </w:tc>
              <w:tc>
                <w:tcPr>
                  <w:tcW w:w="1620" w:type="dxa"/>
                  <w:vAlign w:val="center"/>
                </w:tcPr>
                <w:p>
                  <w:pPr>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5" w:hRule="atLeast"/>
              </w:trPr>
              <w:tc>
                <w:tcPr>
                  <w:tcW w:w="718" w:type="dxa"/>
                  <w:vMerge w:val="continue"/>
                  <w:vAlign w:val="center"/>
                </w:tcPr>
                <w:p>
                  <w:pPr>
                    <w:pStyle w:val="7"/>
                    <w:spacing w:before="36" w:after="36" w:line="240" w:lineRule="exact"/>
                    <w:ind w:firstLine="210"/>
                    <w:jc w:val="center"/>
                    <w:rPr>
                      <w:sz w:val="21"/>
                      <w:szCs w:val="21"/>
                    </w:rPr>
                  </w:pPr>
                </w:p>
              </w:tc>
              <w:tc>
                <w:tcPr>
                  <w:tcW w:w="1518" w:type="dxa"/>
                  <w:vAlign w:val="center"/>
                </w:tcPr>
                <w:p>
                  <w:pPr>
                    <w:jc w:val="center"/>
                    <w:rPr>
                      <w:sz w:val="21"/>
                      <w:szCs w:val="21"/>
                    </w:rPr>
                  </w:pPr>
                  <w:r>
                    <w:rPr>
                      <w:sz w:val="21"/>
                      <w:szCs w:val="21"/>
                    </w:rPr>
                    <w:t>COD</w:t>
                  </w:r>
                </w:p>
              </w:tc>
              <w:tc>
                <w:tcPr>
                  <w:tcW w:w="1703" w:type="dxa"/>
                  <w:vAlign w:val="center"/>
                </w:tcPr>
                <w:p>
                  <w:pPr>
                    <w:jc w:val="center"/>
                    <w:rPr>
                      <w:rFonts w:hint="eastAsia"/>
                      <w:sz w:val="21"/>
                      <w:szCs w:val="21"/>
                    </w:rPr>
                  </w:pPr>
                  <w:r>
                    <w:rPr>
                      <w:rFonts w:hint="eastAsia"/>
                      <w:sz w:val="21"/>
                      <w:szCs w:val="21"/>
                    </w:rPr>
                    <w:t>17-18</w:t>
                  </w:r>
                </w:p>
              </w:tc>
              <w:tc>
                <w:tcPr>
                  <w:tcW w:w="1281" w:type="dxa"/>
                  <w:vAlign w:val="center"/>
                </w:tcPr>
                <w:p>
                  <w:pPr>
                    <w:jc w:val="center"/>
                    <w:rPr>
                      <w:rFonts w:hint="eastAsia"/>
                      <w:sz w:val="21"/>
                      <w:szCs w:val="21"/>
                    </w:rPr>
                  </w:pPr>
                  <w:r>
                    <w:rPr>
                      <w:rFonts w:hint="eastAsia"/>
                      <w:sz w:val="21"/>
                      <w:szCs w:val="21"/>
                    </w:rPr>
                    <w:t>17.3</w:t>
                  </w:r>
                </w:p>
              </w:tc>
              <w:tc>
                <w:tcPr>
                  <w:tcW w:w="910" w:type="dxa"/>
                  <w:vAlign w:val="center"/>
                </w:tcPr>
                <w:p>
                  <w:pPr>
                    <w:jc w:val="center"/>
                    <w:rPr>
                      <w:sz w:val="21"/>
                      <w:szCs w:val="21"/>
                    </w:rPr>
                  </w:pPr>
                  <w:r>
                    <w:rPr>
                      <w:sz w:val="21"/>
                      <w:szCs w:val="21"/>
                    </w:rPr>
                    <w:t>/</w:t>
                  </w:r>
                </w:p>
              </w:tc>
              <w:tc>
                <w:tcPr>
                  <w:tcW w:w="890" w:type="dxa"/>
                  <w:vAlign w:val="center"/>
                </w:tcPr>
                <w:p>
                  <w:pPr>
                    <w:jc w:val="center"/>
                    <w:rPr>
                      <w:sz w:val="21"/>
                      <w:szCs w:val="21"/>
                    </w:rPr>
                  </w:pPr>
                  <w:r>
                    <w:rPr>
                      <w:sz w:val="21"/>
                      <w:szCs w:val="21"/>
                    </w:rPr>
                    <w:t>/</w:t>
                  </w:r>
                </w:p>
              </w:tc>
              <w:tc>
                <w:tcPr>
                  <w:tcW w:w="1620" w:type="dxa"/>
                  <w:vAlign w:val="center"/>
                </w:tcPr>
                <w:p>
                  <w:pPr>
                    <w:jc w:val="center"/>
                    <w:rPr>
                      <w:rFonts w:hint="eastAsia"/>
                      <w:sz w:val="21"/>
                      <w:szCs w:val="21"/>
                    </w:rPr>
                  </w:pPr>
                  <w:r>
                    <w:rPr>
                      <w:sz w:val="21"/>
                      <w:szCs w:val="21"/>
                    </w:rPr>
                    <w:t>≤</w:t>
                  </w:r>
                  <w:r>
                    <w:rPr>
                      <w:rFonts w:hint="eastAsia"/>
                      <w:sz w:val="21"/>
                      <w:szCs w:val="21"/>
                    </w:rPr>
                    <w:t>20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5" w:hRule="atLeast"/>
              </w:trPr>
              <w:tc>
                <w:tcPr>
                  <w:tcW w:w="718" w:type="dxa"/>
                  <w:vMerge w:val="continue"/>
                  <w:vAlign w:val="center"/>
                </w:tcPr>
                <w:p>
                  <w:pPr>
                    <w:pStyle w:val="7"/>
                    <w:spacing w:before="36" w:after="36" w:line="240" w:lineRule="exact"/>
                    <w:ind w:firstLine="210"/>
                    <w:jc w:val="center"/>
                    <w:rPr>
                      <w:sz w:val="21"/>
                      <w:szCs w:val="21"/>
                    </w:rPr>
                  </w:pPr>
                </w:p>
              </w:tc>
              <w:tc>
                <w:tcPr>
                  <w:tcW w:w="1518" w:type="dxa"/>
                  <w:vAlign w:val="center"/>
                </w:tcPr>
                <w:p>
                  <w:pPr>
                    <w:jc w:val="center"/>
                    <w:rPr>
                      <w:sz w:val="21"/>
                      <w:szCs w:val="21"/>
                    </w:rPr>
                  </w:pPr>
                  <w:r>
                    <w:rPr>
                      <w:sz w:val="21"/>
                      <w:szCs w:val="21"/>
                    </w:rPr>
                    <w:t>BOD</w:t>
                  </w:r>
                  <w:r>
                    <w:rPr>
                      <w:sz w:val="21"/>
                      <w:szCs w:val="21"/>
                      <w:vertAlign w:val="subscript"/>
                    </w:rPr>
                    <w:t>5</w:t>
                  </w:r>
                </w:p>
              </w:tc>
              <w:tc>
                <w:tcPr>
                  <w:tcW w:w="1703" w:type="dxa"/>
                  <w:vAlign w:val="center"/>
                </w:tcPr>
                <w:p>
                  <w:pPr>
                    <w:jc w:val="center"/>
                    <w:rPr>
                      <w:rFonts w:hint="eastAsia"/>
                      <w:sz w:val="21"/>
                      <w:szCs w:val="21"/>
                    </w:rPr>
                  </w:pPr>
                  <w:r>
                    <w:rPr>
                      <w:rFonts w:hint="eastAsia"/>
                      <w:sz w:val="21"/>
                      <w:szCs w:val="21"/>
                    </w:rPr>
                    <w:t>2.03-2.42</w:t>
                  </w:r>
                </w:p>
              </w:tc>
              <w:tc>
                <w:tcPr>
                  <w:tcW w:w="1281" w:type="dxa"/>
                  <w:vAlign w:val="center"/>
                </w:tcPr>
                <w:p>
                  <w:pPr>
                    <w:jc w:val="center"/>
                    <w:rPr>
                      <w:rFonts w:hint="eastAsia"/>
                      <w:sz w:val="21"/>
                      <w:szCs w:val="21"/>
                    </w:rPr>
                  </w:pPr>
                  <w:r>
                    <w:rPr>
                      <w:rFonts w:hint="eastAsia"/>
                      <w:sz w:val="21"/>
                      <w:szCs w:val="21"/>
                    </w:rPr>
                    <w:t>2.28</w:t>
                  </w:r>
                </w:p>
              </w:tc>
              <w:tc>
                <w:tcPr>
                  <w:tcW w:w="910" w:type="dxa"/>
                  <w:vAlign w:val="center"/>
                </w:tcPr>
                <w:p>
                  <w:pPr>
                    <w:jc w:val="center"/>
                    <w:rPr>
                      <w:sz w:val="21"/>
                      <w:szCs w:val="21"/>
                    </w:rPr>
                  </w:pPr>
                  <w:r>
                    <w:rPr>
                      <w:sz w:val="21"/>
                      <w:szCs w:val="21"/>
                    </w:rPr>
                    <w:t>/</w:t>
                  </w:r>
                </w:p>
              </w:tc>
              <w:tc>
                <w:tcPr>
                  <w:tcW w:w="890" w:type="dxa"/>
                  <w:vAlign w:val="center"/>
                </w:tcPr>
                <w:p>
                  <w:pPr>
                    <w:jc w:val="center"/>
                    <w:rPr>
                      <w:sz w:val="21"/>
                      <w:szCs w:val="21"/>
                    </w:rPr>
                  </w:pPr>
                  <w:r>
                    <w:rPr>
                      <w:sz w:val="21"/>
                      <w:szCs w:val="21"/>
                    </w:rPr>
                    <w:t>/</w:t>
                  </w:r>
                </w:p>
              </w:tc>
              <w:tc>
                <w:tcPr>
                  <w:tcW w:w="1620" w:type="dxa"/>
                  <w:vAlign w:val="center"/>
                </w:tcPr>
                <w:p>
                  <w:pPr>
                    <w:jc w:val="center"/>
                    <w:rPr>
                      <w:sz w:val="21"/>
                      <w:szCs w:val="21"/>
                    </w:rPr>
                  </w:pPr>
                  <w:r>
                    <w:rPr>
                      <w:sz w:val="21"/>
                      <w:szCs w:val="21"/>
                    </w:rPr>
                    <w:t>≤</w:t>
                  </w:r>
                  <w:r>
                    <w:rPr>
                      <w:rFonts w:hint="eastAsia"/>
                      <w:sz w:val="21"/>
                      <w:szCs w:val="21"/>
                    </w:rPr>
                    <w:t>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16" w:hRule="atLeast"/>
              </w:trPr>
              <w:tc>
                <w:tcPr>
                  <w:tcW w:w="718" w:type="dxa"/>
                  <w:vMerge w:val="continue"/>
                  <w:vAlign w:val="center"/>
                </w:tcPr>
                <w:p>
                  <w:pPr>
                    <w:pStyle w:val="7"/>
                    <w:spacing w:before="36" w:after="36" w:line="240" w:lineRule="exact"/>
                    <w:ind w:firstLine="210"/>
                    <w:jc w:val="center"/>
                    <w:rPr>
                      <w:sz w:val="21"/>
                      <w:szCs w:val="21"/>
                    </w:rPr>
                  </w:pPr>
                </w:p>
              </w:tc>
              <w:tc>
                <w:tcPr>
                  <w:tcW w:w="1518" w:type="dxa"/>
                  <w:vAlign w:val="center"/>
                </w:tcPr>
                <w:p>
                  <w:pPr>
                    <w:jc w:val="center"/>
                    <w:rPr>
                      <w:sz w:val="21"/>
                      <w:szCs w:val="21"/>
                    </w:rPr>
                  </w:pPr>
                  <w:r>
                    <w:rPr>
                      <w:sz w:val="21"/>
                      <w:szCs w:val="21"/>
                    </w:rPr>
                    <w:t>NH</w:t>
                  </w:r>
                  <w:r>
                    <w:rPr>
                      <w:sz w:val="21"/>
                      <w:szCs w:val="21"/>
                      <w:vertAlign w:val="subscript"/>
                    </w:rPr>
                    <w:t>3</w:t>
                  </w:r>
                  <w:r>
                    <w:rPr>
                      <w:sz w:val="21"/>
                      <w:szCs w:val="21"/>
                    </w:rPr>
                    <w:t>-N</w:t>
                  </w:r>
                </w:p>
              </w:tc>
              <w:tc>
                <w:tcPr>
                  <w:tcW w:w="1703" w:type="dxa"/>
                  <w:vAlign w:val="center"/>
                </w:tcPr>
                <w:p>
                  <w:pPr>
                    <w:jc w:val="center"/>
                    <w:rPr>
                      <w:rFonts w:hint="eastAsia"/>
                      <w:sz w:val="21"/>
                      <w:szCs w:val="21"/>
                    </w:rPr>
                  </w:pPr>
                  <w:r>
                    <w:rPr>
                      <w:rFonts w:hint="eastAsia"/>
                      <w:sz w:val="21"/>
                      <w:szCs w:val="21"/>
                    </w:rPr>
                    <w:t>0.337-0.358</w:t>
                  </w:r>
                </w:p>
              </w:tc>
              <w:tc>
                <w:tcPr>
                  <w:tcW w:w="1281" w:type="dxa"/>
                  <w:vAlign w:val="center"/>
                </w:tcPr>
                <w:p>
                  <w:pPr>
                    <w:jc w:val="center"/>
                    <w:rPr>
                      <w:rFonts w:hint="eastAsia"/>
                      <w:sz w:val="21"/>
                      <w:szCs w:val="21"/>
                    </w:rPr>
                  </w:pPr>
                  <w:r>
                    <w:rPr>
                      <w:rFonts w:hint="eastAsia"/>
                      <w:sz w:val="21"/>
                      <w:szCs w:val="21"/>
                    </w:rPr>
                    <w:t>0.347</w:t>
                  </w:r>
                </w:p>
              </w:tc>
              <w:tc>
                <w:tcPr>
                  <w:tcW w:w="910" w:type="dxa"/>
                  <w:vAlign w:val="center"/>
                </w:tcPr>
                <w:p>
                  <w:pPr>
                    <w:jc w:val="center"/>
                    <w:rPr>
                      <w:sz w:val="21"/>
                      <w:szCs w:val="21"/>
                    </w:rPr>
                  </w:pPr>
                  <w:r>
                    <w:rPr>
                      <w:sz w:val="21"/>
                      <w:szCs w:val="21"/>
                    </w:rPr>
                    <w:t>/</w:t>
                  </w:r>
                </w:p>
              </w:tc>
              <w:tc>
                <w:tcPr>
                  <w:tcW w:w="890" w:type="dxa"/>
                  <w:vAlign w:val="center"/>
                </w:tcPr>
                <w:p>
                  <w:pPr>
                    <w:jc w:val="center"/>
                    <w:rPr>
                      <w:sz w:val="21"/>
                      <w:szCs w:val="21"/>
                    </w:rPr>
                  </w:pPr>
                  <w:r>
                    <w:rPr>
                      <w:sz w:val="21"/>
                      <w:szCs w:val="21"/>
                    </w:rPr>
                    <w:t>/</w:t>
                  </w:r>
                </w:p>
              </w:tc>
              <w:tc>
                <w:tcPr>
                  <w:tcW w:w="1620" w:type="dxa"/>
                  <w:vAlign w:val="center"/>
                </w:tcPr>
                <w:p>
                  <w:pPr>
                    <w:jc w:val="center"/>
                    <w:rPr>
                      <w:rFonts w:hint="eastAsia"/>
                      <w:sz w:val="21"/>
                      <w:szCs w:val="21"/>
                    </w:rPr>
                  </w:pPr>
                  <w:r>
                    <w:rPr>
                      <w:sz w:val="21"/>
                      <w:szCs w:val="21"/>
                    </w:rPr>
                    <w:t>≤</w:t>
                  </w:r>
                  <w:r>
                    <w:rPr>
                      <w:rFonts w:hint="eastAsia"/>
                      <w:sz w:val="21"/>
                      <w:szCs w:val="21"/>
                    </w:rPr>
                    <w:t>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5" w:hRule="atLeast"/>
              </w:trPr>
              <w:tc>
                <w:tcPr>
                  <w:tcW w:w="718" w:type="dxa"/>
                  <w:vMerge w:val="continue"/>
                  <w:vAlign w:val="center"/>
                </w:tcPr>
                <w:p>
                  <w:pPr>
                    <w:pStyle w:val="7"/>
                    <w:spacing w:before="36" w:after="36" w:line="240" w:lineRule="exact"/>
                    <w:ind w:firstLine="210"/>
                    <w:jc w:val="center"/>
                    <w:rPr>
                      <w:sz w:val="21"/>
                      <w:szCs w:val="21"/>
                    </w:rPr>
                  </w:pPr>
                </w:p>
              </w:tc>
              <w:tc>
                <w:tcPr>
                  <w:tcW w:w="1518" w:type="dxa"/>
                  <w:vAlign w:val="center"/>
                </w:tcPr>
                <w:p>
                  <w:pPr>
                    <w:jc w:val="center"/>
                    <w:rPr>
                      <w:sz w:val="21"/>
                      <w:szCs w:val="21"/>
                    </w:rPr>
                  </w:pPr>
                  <w:r>
                    <w:rPr>
                      <w:sz w:val="21"/>
                      <w:szCs w:val="21"/>
                    </w:rPr>
                    <w:t>TP</w:t>
                  </w:r>
                </w:p>
              </w:tc>
              <w:tc>
                <w:tcPr>
                  <w:tcW w:w="1703" w:type="dxa"/>
                  <w:vAlign w:val="center"/>
                </w:tcPr>
                <w:p>
                  <w:pPr>
                    <w:jc w:val="center"/>
                    <w:rPr>
                      <w:rFonts w:hint="eastAsia"/>
                      <w:sz w:val="21"/>
                      <w:szCs w:val="21"/>
                    </w:rPr>
                  </w:pPr>
                  <w:r>
                    <w:rPr>
                      <w:rFonts w:hint="eastAsia"/>
                      <w:sz w:val="21"/>
                      <w:szCs w:val="21"/>
                    </w:rPr>
                    <w:t>0.13-0.15</w:t>
                  </w:r>
                </w:p>
              </w:tc>
              <w:tc>
                <w:tcPr>
                  <w:tcW w:w="1281" w:type="dxa"/>
                  <w:vAlign w:val="center"/>
                </w:tcPr>
                <w:p>
                  <w:pPr>
                    <w:jc w:val="center"/>
                    <w:rPr>
                      <w:rFonts w:hint="eastAsia"/>
                      <w:sz w:val="21"/>
                      <w:szCs w:val="21"/>
                    </w:rPr>
                  </w:pPr>
                  <w:r>
                    <w:rPr>
                      <w:rFonts w:hint="eastAsia"/>
                      <w:sz w:val="21"/>
                      <w:szCs w:val="21"/>
                    </w:rPr>
                    <w:t>0.14</w:t>
                  </w:r>
                </w:p>
              </w:tc>
              <w:tc>
                <w:tcPr>
                  <w:tcW w:w="910" w:type="dxa"/>
                  <w:vAlign w:val="center"/>
                </w:tcPr>
                <w:p>
                  <w:pPr>
                    <w:jc w:val="center"/>
                    <w:rPr>
                      <w:sz w:val="21"/>
                      <w:szCs w:val="21"/>
                    </w:rPr>
                  </w:pPr>
                  <w:r>
                    <w:rPr>
                      <w:sz w:val="21"/>
                      <w:szCs w:val="21"/>
                    </w:rPr>
                    <w:t>/</w:t>
                  </w:r>
                </w:p>
              </w:tc>
              <w:tc>
                <w:tcPr>
                  <w:tcW w:w="890" w:type="dxa"/>
                  <w:vAlign w:val="center"/>
                </w:tcPr>
                <w:p>
                  <w:pPr>
                    <w:jc w:val="center"/>
                    <w:rPr>
                      <w:sz w:val="21"/>
                      <w:szCs w:val="21"/>
                    </w:rPr>
                  </w:pPr>
                  <w:r>
                    <w:rPr>
                      <w:sz w:val="21"/>
                      <w:szCs w:val="21"/>
                    </w:rPr>
                    <w:t>/</w:t>
                  </w:r>
                </w:p>
              </w:tc>
              <w:tc>
                <w:tcPr>
                  <w:tcW w:w="1620" w:type="dxa"/>
                  <w:vAlign w:val="center"/>
                </w:tcPr>
                <w:p>
                  <w:pPr>
                    <w:jc w:val="center"/>
                    <w:rPr>
                      <w:rFonts w:hint="eastAsia"/>
                      <w:sz w:val="21"/>
                      <w:szCs w:val="21"/>
                    </w:rPr>
                  </w:pPr>
                  <w:r>
                    <w:rPr>
                      <w:sz w:val="21"/>
                      <w:szCs w:val="21"/>
                    </w:rPr>
                    <w:t>≤0</w:t>
                  </w:r>
                  <w:r>
                    <w:rPr>
                      <w:rFonts w:hint="eastAsia"/>
                      <w:sz w:val="21"/>
                      <w:szCs w:val="21"/>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83" w:hRule="atLeast"/>
              </w:trPr>
              <w:tc>
                <w:tcPr>
                  <w:tcW w:w="718" w:type="dxa"/>
                  <w:vMerge w:val="continue"/>
                  <w:vAlign w:val="center"/>
                </w:tcPr>
                <w:p>
                  <w:pPr>
                    <w:pStyle w:val="7"/>
                    <w:spacing w:before="36" w:after="36" w:line="240" w:lineRule="exact"/>
                    <w:ind w:firstLine="210"/>
                    <w:jc w:val="center"/>
                    <w:rPr>
                      <w:sz w:val="21"/>
                      <w:szCs w:val="21"/>
                    </w:rPr>
                  </w:pPr>
                </w:p>
              </w:tc>
              <w:tc>
                <w:tcPr>
                  <w:tcW w:w="1518" w:type="dxa"/>
                  <w:vAlign w:val="center"/>
                </w:tcPr>
                <w:p>
                  <w:pPr>
                    <w:jc w:val="center"/>
                    <w:rPr>
                      <w:rFonts w:hint="eastAsia"/>
                      <w:sz w:val="21"/>
                      <w:szCs w:val="21"/>
                    </w:rPr>
                  </w:pPr>
                  <w:r>
                    <w:rPr>
                      <w:rFonts w:hint="eastAsia"/>
                      <w:sz w:val="21"/>
                      <w:szCs w:val="21"/>
                    </w:rPr>
                    <w:t>总氮</w:t>
                  </w:r>
                </w:p>
              </w:tc>
              <w:tc>
                <w:tcPr>
                  <w:tcW w:w="1703" w:type="dxa"/>
                  <w:vAlign w:val="center"/>
                </w:tcPr>
                <w:p>
                  <w:pPr>
                    <w:jc w:val="center"/>
                    <w:rPr>
                      <w:rFonts w:hint="eastAsia"/>
                      <w:sz w:val="21"/>
                      <w:szCs w:val="21"/>
                    </w:rPr>
                  </w:pPr>
                  <w:r>
                    <w:rPr>
                      <w:rFonts w:hint="eastAsia"/>
                      <w:sz w:val="21"/>
                      <w:szCs w:val="21"/>
                    </w:rPr>
                    <w:t>0.727-0.801</w:t>
                  </w:r>
                </w:p>
              </w:tc>
              <w:tc>
                <w:tcPr>
                  <w:tcW w:w="1281" w:type="dxa"/>
                  <w:vAlign w:val="center"/>
                </w:tcPr>
                <w:p>
                  <w:pPr>
                    <w:jc w:val="center"/>
                    <w:rPr>
                      <w:rFonts w:hint="eastAsia"/>
                      <w:sz w:val="21"/>
                      <w:szCs w:val="21"/>
                    </w:rPr>
                  </w:pPr>
                  <w:r>
                    <w:rPr>
                      <w:rFonts w:hint="eastAsia"/>
                      <w:sz w:val="21"/>
                      <w:szCs w:val="21"/>
                    </w:rPr>
                    <w:t>0.759</w:t>
                  </w:r>
                </w:p>
              </w:tc>
              <w:tc>
                <w:tcPr>
                  <w:tcW w:w="910" w:type="dxa"/>
                  <w:vAlign w:val="center"/>
                </w:tcPr>
                <w:p>
                  <w:pPr>
                    <w:jc w:val="center"/>
                    <w:rPr>
                      <w:sz w:val="21"/>
                      <w:szCs w:val="21"/>
                    </w:rPr>
                  </w:pPr>
                  <w:r>
                    <w:rPr>
                      <w:sz w:val="21"/>
                      <w:szCs w:val="21"/>
                    </w:rPr>
                    <w:t>/</w:t>
                  </w:r>
                </w:p>
              </w:tc>
              <w:tc>
                <w:tcPr>
                  <w:tcW w:w="890" w:type="dxa"/>
                  <w:vAlign w:val="center"/>
                </w:tcPr>
                <w:p>
                  <w:pPr>
                    <w:jc w:val="center"/>
                    <w:rPr>
                      <w:sz w:val="21"/>
                      <w:szCs w:val="21"/>
                    </w:rPr>
                  </w:pPr>
                  <w:r>
                    <w:rPr>
                      <w:sz w:val="21"/>
                      <w:szCs w:val="21"/>
                    </w:rPr>
                    <w:t>/</w:t>
                  </w:r>
                </w:p>
              </w:tc>
              <w:tc>
                <w:tcPr>
                  <w:tcW w:w="1620" w:type="dxa"/>
                  <w:vAlign w:val="center"/>
                </w:tcPr>
                <w:p>
                  <w:pPr>
                    <w:jc w:val="center"/>
                    <w:rPr>
                      <w:sz w:val="21"/>
                      <w:szCs w:val="21"/>
                    </w:rPr>
                  </w:pPr>
                  <w:r>
                    <w:rPr>
                      <w:sz w:val="21"/>
                      <w:szCs w:val="21"/>
                    </w:rPr>
                    <w:t>≤</w:t>
                  </w:r>
                  <w:r>
                    <w:rPr>
                      <w:rFonts w:hint="eastAsia"/>
                      <w:sz w:val="21"/>
                      <w:szCs w:val="21"/>
                    </w:rPr>
                    <w:t>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5" w:hRule="atLeast"/>
              </w:trPr>
              <w:tc>
                <w:tcPr>
                  <w:tcW w:w="718" w:type="dxa"/>
                  <w:vMerge w:val="continue"/>
                  <w:vAlign w:val="center"/>
                </w:tcPr>
                <w:p>
                  <w:pPr>
                    <w:pStyle w:val="7"/>
                    <w:spacing w:before="36" w:after="36" w:line="240" w:lineRule="exact"/>
                    <w:ind w:firstLine="210"/>
                    <w:jc w:val="center"/>
                    <w:rPr>
                      <w:sz w:val="21"/>
                      <w:szCs w:val="21"/>
                    </w:rPr>
                  </w:pPr>
                </w:p>
              </w:tc>
              <w:tc>
                <w:tcPr>
                  <w:tcW w:w="1518" w:type="dxa"/>
                  <w:vAlign w:val="center"/>
                </w:tcPr>
                <w:p>
                  <w:pPr>
                    <w:jc w:val="center"/>
                    <w:rPr>
                      <w:rFonts w:hint="eastAsia"/>
                      <w:sz w:val="21"/>
                      <w:szCs w:val="21"/>
                    </w:rPr>
                  </w:pPr>
                  <w:r>
                    <w:rPr>
                      <w:rFonts w:hint="eastAsia"/>
                      <w:sz w:val="21"/>
                      <w:szCs w:val="21"/>
                    </w:rPr>
                    <w:t>粪大肠菌群</w:t>
                  </w:r>
                </w:p>
              </w:tc>
              <w:tc>
                <w:tcPr>
                  <w:tcW w:w="1703" w:type="dxa"/>
                  <w:vAlign w:val="center"/>
                </w:tcPr>
                <w:p>
                  <w:pPr>
                    <w:jc w:val="center"/>
                    <w:rPr>
                      <w:rFonts w:hint="eastAsia"/>
                      <w:sz w:val="21"/>
                      <w:szCs w:val="21"/>
                    </w:rPr>
                  </w:pPr>
                  <w:r>
                    <w:rPr>
                      <w:rFonts w:hint="eastAsia"/>
                      <w:sz w:val="21"/>
                      <w:szCs w:val="21"/>
                    </w:rPr>
                    <w:t>4300-4400</w:t>
                  </w:r>
                </w:p>
              </w:tc>
              <w:tc>
                <w:tcPr>
                  <w:tcW w:w="1281" w:type="dxa"/>
                  <w:vAlign w:val="center"/>
                </w:tcPr>
                <w:p>
                  <w:pPr>
                    <w:jc w:val="center"/>
                    <w:rPr>
                      <w:rFonts w:hint="eastAsia"/>
                      <w:sz w:val="21"/>
                      <w:szCs w:val="21"/>
                    </w:rPr>
                  </w:pPr>
                  <w:r>
                    <w:rPr>
                      <w:rFonts w:hint="eastAsia"/>
                      <w:sz w:val="21"/>
                      <w:szCs w:val="21"/>
                    </w:rPr>
                    <w:t>4330</w:t>
                  </w:r>
                </w:p>
              </w:tc>
              <w:tc>
                <w:tcPr>
                  <w:tcW w:w="910" w:type="dxa"/>
                  <w:vAlign w:val="center"/>
                </w:tcPr>
                <w:p>
                  <w:pPr>
                    <w:jc w:val="center"/>
                    <w:rPr>
                      <w:sz w:val="21"/>
                      <w:szCs w:val="21"/>
                    </w:rPr>
                  </w:pPr>
                  <w:r>
                    <w:rPr>
                      <w:sz w:val="21"/>
                      <w:szCs w:val="21"/>
                    </w:rPr>
                    <w:t>/</w:t>
                  </w:r>
                </w:p>
              </w:tc>
              <w:tc>
                <w:tcPr>
                  <w:tcW w:w="890" w:type="dxa"/>
                  <w:vAlign w:val="center"/>
                </w:tcPr>
                <w:p>
                  <w:pPr>
                    <w:jc w:val="center"/>
                    <w:rPr>
                      <w:sz w:val="21"/>
                      <w:szCs w:val="21"/>
                    </w:rPr>
                  </w:pPr>
                  <w:r>
                    <w:rPr>
                      <w:sz w:val="21"/>
                      <w:szCs w:val="21"/>
                    </w:rPr>
                    <w:t>/</w:t>
                  </w:r>
                </w:p>
              </w:tc>
              <w:tc>
                <w:tcPr>
                  <w:tcW w:w="1620" w:type="dxa"/>
                  <w:vAlign w:val="center"/>
                </w:tcPr>
                <w:p>
                  <w:pPr>
                    <w:jc w:val="center"/>
                    <w:rPr>
                      <w:sz w:val="21"/>
                      <w:szCs w:val="21"/>
                    </w:rPr>
                  </w:pPr>
                  <w:r>
                    <w:rPr>
                      <w:sz w:val="21"/>
                      <w:szCs w:val="21"/>
                    </w:rPr>
                    <w:t>≤</w:t>
                  </w:r>
                  <w:r>
                    <w:rPr>
                      <w:rFonts w:hint="eastAsia"/>
                      <w:sz w:val="21"/>
                      <w:szCs w:val="21"/>
                    </w:rPr>
                    <w:t>10000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5" w:hRule="atLeast"/>
              </w:trPr>
              <w:tc>
                <w:tcPr>
                  <w:tcW w:w="718" w:type="dxa"/>
                  <w:vMerge w:val="continue"/>
                  <w:vAlign w:val="center"/>
                </w:tcPr>
                <w:p>
                  <w:pPr>
                    <w:pStyle w:val="7"/>
                    <w:spacing w:before="36" w:after="36" w:line="240" w:lineRule="exact"/>
                    <w:ind w:firstLine="210"/>
                    <w:jc w:val="center"/>
                    <w:rPr>
                      <w:sz w:val="21"/>
                      <w:szCs w:val="21"/>
                    </w:rPr>
                  </w:pPr>
                </w:p>
              </w:tc>
              <w:tc>
                <w:tcPr>
                  <w:tcW w:w="1518" w:type="dxa"/>
                  <w:vAlign w:val="center"/>
                </w:tcPr>
                <w:p>
                  <w:pPr>
                    <w:jc w:val="center"/>
                    <w:rPr>
                      <w:rFonts w:hint="eastAsia"/>
                      <w:sz w:val="21"/>
                      <w:szCs w:val="21"/>
                    </w:rPr>
                  </w:pPr>
                  <w:r>
                    <w:rPr>
                      <w:rFonts w:hint="eastAsia"/>
                      <w:sz w:val="21"/>
                      <w:szCs w:val="21"/>
                    </w:rPr>
                    <w:t>石油类</w:t>
                  </w:r>
                </w:p>
              </w:tc>
              <w:tc>
                <w:tcPr>
                  <w:tcW w:w="1703" w:type="dxa"/>
                  <w:vAlign w:val="center"/>
                </w:tcPr>
                <w:p>
                  <w:pPr>
                    <w:jc w:val="center"/>
                    <w:rPr>
                      <w:rFonts w:hint="eastAsia"/>
                      <w:sz w:val="21"/>
                      <w:szCs w:val="21"/>
                    </w:rPr>
                  </w:pPr>
                  <w:r>
                    <w:rPr>
                      <w:rFonts w:hint="eastAsia"/>
                      <w:sz w:val="21"/>
                      <w:szCs w:val="21"/>
                    </w:rPr>
                    <w:t>0.01ND</w:t>
                  </w:r>
                </w:p>
              </w:tc>
              <w:tc>
                <w:tcPr>
                  <w:tcW w:w="1281" w:type="dxa"/>
                  <w:vAlign w:val="center"/>
                </w:tcPr>
                <w:p>
                  <w:pPr>
                    <w:jc w:val="center"/>
                    <w:rPr>
                      <w:rFonts w:hint="eastAsia"/>
                      <w:sz w:val="21"/>
                      <w:szCs w:val="21"/>
                    </w:rPr>
                  </w:pPr>
                  <w:r>
                    <w:rPr>
                      <w:rFonts w:hint="eastAsia"/>
                      <w:sz w:val="21"/>
                      <w:szCs w:val="21"/>
                    </w:rPr>
                    <w:t>0.01ND</w:t>
                  </w:r>
                </w:p>
              </w:tc>
              <w:tc>
                <w:tcPr>
                  <w:tcW w:w="910" w:type="dxa"/>
                  <w:vAlign w:val="center"/>
                </w:tcPr>
                <w:p>
                  <w:pPr>
                    <w:jc w:val="center"/>
                    <w:rPr>
                      <w:sz w:val="21"/>
                      <w:szCs w:val="21"/>
                    </w:rPr>
                  </w:pPr>
                  <w:r>
                    <w:rPr>
                      <w:sz w:val="21"/>
                      <w:szCs w:val="21"/>
                    </w:rPr>
                    <w:t>/</w:t>
                  </w:r>
                </w:p>
              </w:tc>
              <w:tc>
                <w:tcPr>
                  <w:tcW w:w="890" w:type="dxa"/>
                  <w:vAlign w:val="center"/>
                </w:tcPr>
                <w:p>
                  <w:pPr>
                    <w:jc w:val="center"/>
                    <w:rPr>
                      <w:sz w:val="21"/>
                      <w:szCs w:val="21"/>
                    </w:rPr>
                  </w:pPr>
                  <w:r>
                    <w:rPr>
                      <w:sz w:val="21"/>
                      <w:szCs w:val="21"/>
                    </w:rPr>
                    <w:t>/</w:t>
                  </w:r>
                </w:p>
              </w:tc>
              <w:tc>
                <w:tcPr>
                  <w:tcW w:w="1620" w:type="dxa"/>
                  <w:vAlign w:val="center"/>
                </w:tcPr>
                <w:p>
                  <w:pPr>
                    <w:jc w:val="center"/>
                    <w:rPr>
                      <w:rFonts w:hint="eastAsia"/>
                      <w:sz w:val="21"/>
                      <w:szCs w:val="21"/>
                    </w:rPr>
                  </w:pPr>
                  <w:r>
                    <w:rPr>
                      <w:sz w:val="21"/>
                      <w:szCs w:val="21"/>
                    </w:rPr>
                    <w:t>≤0</w:t>
                  </w:r>
                  <w:r>
                    <w:rPr>
                      <w:rFonts w:hint="eastAsia"/>
                      <w:sz w:val="21"/>
                      <w:szCs w:val="21"/>
                    </w:rPr>
                    <w:t>.05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4" w:hRule="atLeast"/>
              </w:trPr>
              <w:tc>
                <w:tcPr>
                  <w:tcW w:w="718" w:type="dxa"/>
                  <w:vMerge w:val="restart"/>
                  <w:vAlign w:val="center"/>
                </w:tcPr>
                <w:p>
                  <w:pPr>
                    <w:spacing w:line="240" w:lineRule="exact"/>
                    <w:jc w:val="center"/>
                    <w:rPr>
                      <w:sz w:val="21"/>
                      <w:szCs w:val="21"/>
                      <w:vertAlign w:val="subscript"/>
                    </w:rPr>
                  </w:pPr>
                  <w:r>
                    <w:rPr>
                      <w:rFonts w:hint="eastAsia"/>
                      <w:sz w:val="21"/>
                      <w:szCs w:val="21"/>
                    </w:rPr>
                    <w:t>W2</w:t>
                  </w:r>
                </w:p>
              </w:tc>
              <w:tc>
                <w:tcPr>
                  <w:tcW w:w="1518" w:type="dxa"/>
                  <w:vAlign w:val="center"/>
                </w:tcPr>
                <w:p>
                  <w:pPr>
                    <w:jc w:val="center"/>
                    <w:rPr>
                      <w:sz w:val="21"/>
                      <w:szCs w:val="21"/>
                    </w:rPr>
                  </w:pPr>
                  <w:r>
                    <w:rPr>
                      <w:sz w:val="21"/>
                      <w:szCs w:val="21"/>
                    </w:rPr>
                    <w:t>pH</w:t>
                  </w:r>
                </w:p>
              </w:tc>
              <w:tc>
                <w:tcPr>
                  <w:tcW w:w="1703" w:type="dxa"/>
                  <w:vAlign w:val="center"/>
                </w:tcPr>
                <w:p>
                  <w:pPr>
                    <w:jc w:val="center"/>
                    <w:rPr>
                      <w:rFonts w:hint="eastAsia"/>
                      <w:sz w:val="21"/>
                      <w:szCs w:val="21"/>
                    </w:rPr>
                  </w:pPr>
                  <w:r>
                    <w:rPr>
                      <w:rFonts w:hint="eastAsia"/>
                      <w:sz w:val="21"/>
                      <w:szCs w:val="21"/>
                    </w:rPr>
                    <w:t>7.05-7.20</w:t>
                  </w:r>
                </w:p>
              </w:tc>
              <w:tc>
                <w:tcPr>
                  <w:tcW w:w="1281" w:type="dxa"/>
                  <w:vAlign w:val="center"/>
                </w:tcPr>
                <w:p>
                  <w:pPr>
                    <w:jc w:val="center"/>
                    <w:rPr>
                      <w:sz w:val="21"/>
                      <w:szCs w:val="21"/>
                    </w:rPr>
                  </w:pPr>
                  <w:r>
                    <w:rPr>
                      <w:sz w:val="21"/>
                      <w:szCs w:val="21"/>
                    </w:rPr>
                    <w:t>/</w:t>
                  </w:r>
                </w:p>
              </w:tc>
              <w:tc>
                <w:tcPr>
                  <w:tcW w:w="910" w:type="dxa"/>
                  <w:vAlign w:val="center"/>
                </w:tcPr>
                <w:p>
                  <w:pPr>
                    <w:jc w:val="center"/>
                    <w:rPr>
                      <w:sz w:val="21"/>
                      <w:szCs w:val="21"/>
                    </w:rPr>
                  </w:pPr>
                  <w:r>
                    <w:rPr>
                      <w:sz w:val="21"/>
                      <w:szCs w:val="21"/>
                    </w:rPr>
                    <w:t>/</w:t>
                  </w:r>
                </w:p>
              </w:tc>
              <w:tc>
                <w:tcPr>
                  <w:tcW w:w="890" w:type="dxa"/>
                  <w:vAlign w:val="center"/>
                </w:tcPr>
                <w:p>
                  <w:pPr>
                    <w:jc w:val="center"/>
                    <w:rPr>
                      <w:sz w:val="21"/>
                      <w:szCs w:val="21"/>
                    </w:rPr>
                  </w:pPr>
                  <w:r>
                    <w:rPr>
                      <w:sz w:val="21"/>
                      <w:szCs w:val="21"/>
                    </w:rPr>
                    <w:t>/</w:t>
                  </w:r>
                </w:p>
              </w:tc>
              <w:tc>
                <w:tcPr>
                  <w:tcW w:w="1620" w:type="dxa"/>
                  <w:vAlign w:val="center"/>
                </w:tcPr>
                <w:p>
                  <w:pPr>
                    <w:jc w:val="center"/>
                    <w:rPr>
                      <w:sz w:val="21"/>
                      <w:szCs w:val="21"/>
                    </w:rPr>
                  </w:pPr>
                  <w:r>
                    <w:rPr>
                      <w:sz w:val="21"/>
                      <w:szCs w:val="21"/>
                    </w:rPr>
                    <w:t>6~9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5" w:hRule="atLeast"/>
              </w:trPr>
              <w:tc>
                <w:tcPr>
                  <w:tcW w:w="718" w:type="dxa"/>
                  <w:vMerge w:val="continue"/>
                  <w:vAlign w:val="center"/>
                </w:tcPr>
                <w:p>
                  <w:pPr>
                    <w:spacing w:line="240" w:lineRule="exact"/>
                    <w:jc w:val="center"/>
                    <w:rPr>
                      <w:sz w:val="21"/>
                      <w:szCs w:val="21"/>
                    </w:rPr>
                  </w:pPr>
                </w:p>
              </w:tc>
              <w:tc>
                <w:tcPr>
                  <w:tcW w:w="1518" w:type="dxa"/>
                  <w:vAlign w:val="center"/>
                </w:tcPr>
                <w:p>
                  <w:pPr>
                    <w:jc w:val="center"/>
                    <w:rPr>
                      <w:rFonts w:hint="eastAsia"/>
                      <w:sz w:val="21"/>
                      <w:szCs w:val="21"/>
                    </w:rPr>
                  </w:pPr>
                  <w:r>
                    <w:rPr>
                      <w:rFonts w:hint="eastAsia"/>
                      <w:sz w:val="21"/>
                      <w:szCs w:val="21"/>
                    </w:rPr>
                    <w:t>DO</w:t>
                  </w:r>
                </w:p>
              </w:tc>
              <w:tc>
                <w:tcPr>
                  <w:tcW w:w="1703" w:type="dxa"/>
                  <w:vAlign w:val="center"/>
                </w:tcPr>
                <w:p>
                  <w:pPr>
                    <w:jc w:val="center"/>
                    <w:rPr>
                      <w:rFonts w:hint="eastAsia"/>
                      <w:sz w:val="21"/>
                      <w:szCs w:val="21"/>
                    </w:rPr>
                  </w:pPr>
                  <w:r>
                    <w:rPr>
                      <w:rFonts w:hint="eastAsia"/>
                      <w:sz w:val="21"/>
                      <w:szCs w:val="21"/>
                    </w:rPr>
                    <w:t>6.5-6.8</w:t>
                  </w:r>
                </w:p>
              </w:tc>
              <w:tc>
                <w:tcPr>
                  <w:tcW w:w="1281" w:type="dxa"/>
                  <w:vAlign w:val="center"/>
                </w:tcPr>
                <w:p>
                  <w:pPr>
                    <w:jc w:val="center"/>
                    <w:rPr>
                      <w:rFonts w:hint="eastAsia"/>
                      <w:sz w:val="21"/>
                      <w:szCs w:val="21"/>
                    </w:rPr>
                  </w:pPr>
                  <w:r>
                    <w:rPr>
                      <w:rFonts w:hint="eastAsia"/>
                      <w:sz w:val="21"/>
                      <w:szCs w:val="21"/>
                    </w:rPr>
                    <w:t>6.63</w:t>
                  </w:r>
                </w:p>
              </w:tc>
              <w:tc>
                <w:tcPr>
                  <w:tcW w:w="910" w:type="dxa"/>
                  <w:vAlign w:val="center"/>
                </w:tcPr>
                <w:p>
                  <w:pPr>
                    <w:jc w:val="center"/>
                    <w:rPr>
                      <w:sz w:val="21"/>
                      <w:szCs w:val="21"/>
                    </w:rPr>
                  </w:pPr>
                  <w:r>
                    <w:rPr>
                      <w:sz w:val="21"/>
                      <w:szCs w:val="21"/>
                    </w:rPr>
                    <w:t>/</w:t>
                  </w:r>
                </w:p>
              </w:tc>
              <w:tc>
                <w:tcPr>
                  <w:tcW w:w="890" w:type="dxa"/>
                  <w:vAlign w:val="center"/>
                </w:tcPr>
                <w:p>
                  <w:pPr>
                    <w:jc w:val="center"/>
                    <w:rPr>
                      <w:sz w:val="21"/>
                      <w:szCs w:val="21"/>
                    </w:rPr>
                  </w:pPr>
                  <w:r>
                    <w:rPr>
                      <w:sz w:val="21"/>
                      <w:szCs w:val="21"/>
                    </w:rPr>
                    <w:t>/</w:t>
                  </w:r>
                </w:p>
              </w:tc>
              <w:tc>
                <w:tcPr>
                  <w:tcW w:w="1620" w:type="dxa"/>
                  <w:vAlign w:val="center"/>
                </w:tcPr>
                <w:p>
                  <w:pPr>
                    <w:jc w:val="center"/>
                    <w:rPr>
                      <w:rFonts w:hint="eastAsia"/>
                      <w:sz w:val="21"/>
                      <w:szCs w:val="21"/>
                    </w:rPr>
                  </w:pPr>
                  <w:r>
                    <w:rPr>
                      <w:sz w:val="21"/>
                      <w:szCs w:val="21"/>
                    </w:rPr>
                    <w:t>≥</w:t>
                  </w:r>
                  <w:r>
                    <w:rPr>
                      <w:rFonts w:hint="eastAsia"/>
                      <w:sz w:val="21"/>
                      <w:szCs w:val="21"/>
                    </w:rPr>
                    <w:t>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5" w:hRule="atLeast"/>
              </w:trPr>
              <w:tc>
                <w:tcPr>
                  <w:tcW w:w="718" w:type="dxa"/>
                  <w:vMerge w:val="continue"/>
                  <w:vAlign w:val="center"/>
                </w:tcPr>
                <w:p>
                  <w:pPr>
                    <w:spacing w:line="240" w:lineRule="exact"/>
                    <w:jc w:val="center"/>
                    <w:rPr>
                      <w:sz w:val="21"/>
                      <w:szCs w:val="21"/>
                    </w:rPr>
                  </w:pPr>
                </w:p>
              </w:tc>
              <w:tc>
                <w:tcPr>
                  <w:tcW w:w="1518" w:type="dxa"/>
                  <w:vAlign w:val="center"/>
                </w:tcPr>
                <w:p>
                  <w:pPr>
                    <w:jc w:val="center"/>
                    <w:rPr>
                      <w:rFonts w:hint="eastAsia"/>
                      <w:sz w:val="21"/>
                      <w:szCs w:val="21"/>
                    </w:rPr>
                  </w:pPr>
                  <w:r>
                    <w:rPr>
                      <w:rFonts w:hint="eastAsia"/>
                      <w:sz w:val="21"/>
                      <w:szCs w:val="21"/>
                    </w:rPr>
                    <w:t>SS</w:t>
                  </w:r>
                </w:p>
              </w:tc>
              <w:tc>
                <w:tcPr>
                  <w:tcW w:w="1703" w:type="dxa"/>
                  <w:vAlign w:val="center"/>
                </w:tcPr>
                <w:p>
                  <w:pPr>
                    <w:jc w:val="center"/>
                    <w:rPr>
                      <w:rFonts w:hint="eastAsia"/>
                      <w:sz w:val="21"/>
                      <w:szCs w:val="21"/>
                    </w:rPr>
                  </w:pPr>
                  <w:r>
                    <w:rPr>
                      <w:rFonts w:hint="eastAsia"/>
                      <w:sz w:val="21"/>
                      <w:szCs w:val="21"/>
                    </w:rPr>
                    <w:t>13-15</w:t>
                  </w:r>
                </w:p>
              </w:tc>
              <w:tc>
                <w:tcPr>
                  <w:tcW w:w="1281" w:type="dxa"/>
                  <w:vAlign w:val="center"/>
                </w:tcPr>
                <w:p>
                  <w:pPr>
                    <w:jc w:val="center"/>
                    <w:rPr>
                      <w:rFonts w:hint="eastAsia"/>
                      <w:sz w:val="21"/>
                      <w:szCs w:val="21"/>
                    </w:rPr>
                  </w:pPr>
                  <w:r>
                    <w:rPr>
                      <w:rFonts w:hint="eastAsia"/>
                      <w:sz w:val="21"/>
                      <w:szCs w:val="21"/>
                    </w:rPr>
                    <w:t>14</w:t>
                  </w:r>
                </w:p>
              </w:tc>
              <w:tc>
                <w:tcPr>
                  <w:tcW w:w="910" w:type="dxa"/>
                  <w:vAlign w:val="center"/>
                </w:tcPr>
                <w:p>
                  <w:pPr>
                    <w:jc w:val="center"/>
                    <w:rPr>
                      <w:sz w:val="21"/>
                      <w:szCs w:val="21"/>
                    </w:rPr>
                  </w:pPr>
                  <w:r>
                    <w:rPr>
                      <w:sz w:val="21"/>
                      <w:szCs w:val="21"/>
                    </w:rPr>
                    <w:t>/</w:t>
                  </w:r>
                </w:p>
              </w:tc>
              <w:tc>
                <w:tcPr>
                  <w:tcW w:w="890" w:type="dxa"/>
                  <w:vAlign w:val="center"/>
                </w:tcPr>
                <w:p>
                  <w:pPr>
                    <w:jc w:val="center"/>
                    <w:rPr>
                      <w:sz w:val="21"/>
                      <w:szCs w:val="21"/>
                    </w:rPr>
                  </w:pPr>
                  <w:r>
                    <w:rPr>
                      <w:sz w:val="21"/>
                      <w:szCs w:val="21"/>
                    </w:rPr>
                    <w:t>/</w:t>
                  </w:r>
                </w:p>
              </w:tc>
              <w:tc>
                <w:tcPr>
                  <w:tcW w:w="1620" w:type="dxa"/>
                  <w:vAlign w:val="center"/>
                </w:tcPr>
                <w:p>
                  <w:pPr>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5" w:hRule="atLeast"/>
              </w:trPr>
              <w:tc>
                <w:tcPr>
                  <w:tcW w:w="718" w:type="dxa"/>
                  <w:vMerge w:val="continue"/>
                  <w:vAlign w:val="center"/>
                </w:tcPr>
                <w:p>
                  <w:pPr>
                    <w:spacing w:line="240" w:lineRule="exact"/>
                    <w:jc w:val="center"/>
                    <w:rPr>
                      <w:sz w:val="21"/>
                      <w:szCs w:val="21"/>
                    </w:rPr>
                  </w:pPr>
                </w:p>
              </w:tc>
              <w:tc>
                <w:tcPr>
                  <w:tcW w:w="1518" w:type="dxa"/>
                  <w:vAlign w:val="center"/>
                </w:tcPr>
                <w:p>
                  <w:pPr>
                    <w:jc w:val="center"/>
                    <w:rPr>
                      <w:sz w:val="21"/>
                      <w:szCs w:val="21"/>
                    </w:rPr>
                  </w:pPr>
                  <w:r>
                    <w:rPr>
                      <w:sz w:val="21"/>
                      <w:szCs w:val="21"/>
                    </w:rPr>
                    <w:t>COD</w:t>
                  </w:r>
                </w:p>
              </w:tc>
              <w:tc>
                <w:tcPr>
                  <w:tcW w:w="1703" w:type="dxa"/>
                  <w:vAlign w:val="center"/>
                </w:tcPr>
                <w:p>
                  <w:pPr>
                    <w:jc w:val="center"/>
                    <w:rPr>
                      <w:rFonts w:hint="eastAsia"/>
                      <w:sz w:val="21"/>
                      <w:szCs w:val="21"/>
                    </w:rPr>
                  </w:pPr>
                  <w:r>
                    <w:rPr>
                      <w:rFonts w:hint="eastAsia"/>
                      <w:sz w:val="21"/>
                      <w:szCs w:val="21"/>
                    </w:rPr>
                    <w:t>18-19</w:t>
                  </w:r>
                </w:p>
              </w:tc>
              <w:tc>
                <w:tcPr>
                  <w:tcW w:w="1281" w:type="dxa"/>
                  <w:vAlign w:val="center"/>
                </w:tcPr>
                <w:p>
                  <w:pPr>
                    <w:jc w:val="center"/>
                    <w:rPr>
                      <w:rFonts w:hint="eastAsia"/>
                      <w:sz w:val="21"/>
                      <w:szCs w:val="21"/>
                    </w:rPr>
                  </w:pPr>
                  <w:r>
                    <w:rPr>
                      <w:rFonts w:hint="eastAsia"/>
                      <w:sz w:val="21"/>
                      <w:szCs w:val="21"/>
                    </w:rPr>
                    <w:t>18.5</w:t>
                  </w:r>
                </w:p>
              </w:tc>
              <w:tc>
                <w:tcPr>
                  <w:tcW w:w="910" w:type="dxa"/>
                  <w:vAlign w:val="center"/>
                </w:tcPr>
                <w:p>
                  <w:pPr>
                    <w:jc w:val="center"/>
                    <w:rPr>
                      <w:sz w:val="21"/>
                      <w:szCs w:val="21"/>
                    </w:rPr>
                  </w:pPr>
                  <w:r>
                    <w:rPr>
                      <w:sz w:val="21"/>
                      <w:szCs w:val="21"/>
                    </w:rPr>
                    <w:t>/</w:t>
                  </w:r>
                </w:p>
              </w:tc>
              <w:tc>
                <w:tcPr>
                  <w:tcW w:w="890" w:type="dxa"/>
                  <w:vAlign w:val="center"/>
                </w:tcPr>
                <w:p>
                  <w:pPr>
                    <w:jc w:val="center"/>
                    <w:rPr>
                      <w:sz w:val="21"/>
                      <w:szCs w:val="21"/>
                    </w:rPr>
                  </w:pPr>
                  <w:r>
                    <w:rPr>
                      <w:sz w:val="21"/>
                      <w:szCs w:val="21"/>
                    </w:rPr>
                    <w:t>/</w:t>
                  </w:r>
                </w:p>
              </w:tc>
              <w:tc>
                <w:tcPr>
                  <w:tcW w:w="1620" w:type="dxa"/>
                  <w:vAlign w:val="center"/>
                </w:tcPr>
                <w:p>
                  <w:pPr>
                    <w:jc w:val="center"/>
                    <w:rPr>
                      <w:rFonts w:hint="eastAsia"/>
                      <w:sz w:val="21"/>
                      <w:szCs w:val="21"/>
                    </w:rPr>
                  </w:pPr>
                  <w:r>
                    <w:rPr>
                      <w:sz w:val="21"/>
                      <w:szCs w:val="21"/>
                    </w:rPr>
                    <w:t>≤</w:t>
                  </w:r>
                  <w:r>
                    <w:rPr>
                      <w:rFonts w:hint="eastAsia"/>
                      <w:sz w:val="21"/>
                      <w:szCs w:val="21"/>
                    </w:rPr>
                    <w:t>20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5" w:hRule="atLeast"/>
              </w:trPr>
              <w:tc>
                <w:tcPr>
                  <w:tcW w:w="718" w:type="dxa"/>
                  <w:vMerge w:val="continue"/>
                  <w:vAlign w:val="center"/>
                </w:tcPr>
                <w:p>
                  <w:pPr>
                    <w:spacing w:line="240" w:lineRule="exact"/>
                    <w:jc w:val="center"/>
                    <w:rPr>
                      <w:sz w:val="21"/>
                      <w:szCs w:val="21"/>
                    </w:rPr>
                  </w:pPr>
                </w:p>
              </w:tc>
              <w:tc>
                <w:tcPr>
                  <w:tcW w:w="1518" w:type="dxa"/>
                  <w:vAlign w:val="center"/>
                </w:tcPr>
                <w:p>
                  <w:pPr>
                    <w:jc w:val="center"/>
                    <w:rPr>
                      <w:sz w:val="21"/>
                      <w:szCs w:val="21"/>
                    </w:rPr>
                  </w:pPr>
                  <w:r>
                    <w:rPr>
                      <w:sz w:val="21"/>
                      <w:szCs w:val="21"/>
                    </w:rPr>
                    <w:t>BOD</w:t>
                  </w:r>
                  <w:r>
                    <w:rPr>
                      <w:sz w:val="21"/>
                      <w:szCs w:val="21"/>
                      <w:vertAlign w:val="subscript"/>
                    </w:rPr>
                    <w:t>5</w:t>
                  </w:r>
                </w:p>
              </w:tc>
              <w:tc>
                <w:tcPr>
                  <w:tcW w:w="1703" w:type="dxa"/>
                  <w:vAlign w:val="center"/>
                </w:tcPr>
                <w:p>
                  <w:pPr>
                    <w:jc w:val="center"/>
                    <w:rPr>
                      <w:rFonts w:hint="eastAsia"/>
                      <w:sz w:val="21"/>
                      <w:szCs w:val="21"/>
                    </w:rPr>
                  </w:pPr>
                  <w:r>
                    <w:rPr>
                      <w:rFonts w:hint="eastAsia"/>
                      <w:sz w:val="21"/>
                      <w:szCs w:val="21"/>
                    </w:rPr>
                    <w:t>2.42-3.10</w:t>
                  </w:r>
                </w:p>
              </w:tc>
              <w:tc>
                <w:tcPr>
                  <w:tcW w:w="1281" w:type="dxa"/>
                  <w:vAlign w:val="center"/>
                </w:tcPr>
                <w:p>
                  <w:pPr>
                    <w:jc w:val="center"/>
                    <w:rPr>
                      <w:rFonts w:hint="eastAsia"/>
                      <w:sz w:val="21"/>
                      <w:szCs w:val="21"/>
                    </w:rPr>
                  </w:pPr>
                  <w:r>
                    <w:rPr>
                      <w:rFonts w:hint="eastAsia"/>
                      <w:sz w:val="21"/>
                      <w:szCs w:val="21"/>
                    </w:rPr>
                    <w:t>2.85</w:t>
                  </w:r>
                </w:p>
              </w:tc>
              <w:tc>
                <w:tcPr>
                  <w:tcW w:w="910" w:type="dxa"/>
                  <w:vAlign w:val="center"/>
                </w:tcPr>
                <w:p>
                  <w:pPr>
                    <w:jc w:val="center"/>
                    <w:rPr>
                      <w:sz w:val="21"/>
                      <w:szCs w:val="21"/>
                    </w:rPr>
                  </w:pPr>
                  <w:r>
                    <w:rPr>
                      <w:sz w:val="21"/>
                      <w:szCs w:val="21"/>
                    </w:rPr>
                    <w:t>/</w:t>
                  </w:r>
                </w:p>
              </w:tc>
              <w:tc>
                <w:tcPr>
                  <w:tcW w:w="890" w:type="dxa"/>
                  <w:vAlign w:val="center"/>
                </w:tcPr>
                <w:p>
                  <w:pPr>
                    <w:jc w:val="center"/>
                    <w:rPr>
                      <w:sz w:val="21"/>
                      <w:szCs w:val="21"/>
                    </w:rPr>
                  </w:pPr>
                  <w:r>
                    <w:rPr>
                      <w:sz w:val="21"/>
                      <w:szCs w:val="21"/>
                    </w:rPr>
                    <w:t>/</w:t>
                  </w:r>
                </w:p>
              </w:tc>
              <w:tc>
                <w:tcPr>
                  <w:tcW w:w="1620" w:type="dxa"/>
                  <w:vAlign w:val="center"/>
                </w:tcPr>
                <w:p>
                  <w:pPr>
                    <w:jc w:val="center"/>
                    <w:rPr>
                      <w:sz w:val="21"/>
                      <w:szCs w:val="21"/>
                    </w:rPr>
                  </w:pPr>
                  <w:r>
                    <w:rPr>
                      <w:sz w:val="21"/>
                      <w:szCs w:val="21"/>
                    </w:rPr>
                    <w:t>≤</w:t>
                  </w:r>
                  <w:r>
                    <w:rPr>
                      <w:rFonts w:hint="eastAsia"/>
                      <w:sz w:val="21"/>
                      <w:szCs w:val="21"/>
                    </w:rPr>
                    <w:t>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5" w:hRule="atLeast"/>
              </w:trPr>
              <w:tc>
                <w:tcPr>
                  <w:tcW w:w="718" w:type="dxa"/>
                  <w:vMerge w:val="continue"/>
                  <w:vAlign w:val="center"/>
                </w:tcPr>
                <w:p>
                  <w:pPr>
                    <w:spacing w:line="240" w:lineRule="exact"/>
                    <w:jc w:val="center"/>
                    <w:rPr>
                      <w:sz w:val="21"/>
                      <w:szCs w:val="21"/>
                    </w:rPr>
                  </w:pPr>
                </w:p>
              </w:tc>
              <w:tc>
                <w:tcPr>
                  <w:tcW w:w="1518" w:type="dxa"/>
                  <w:vAlign w:val="center"/>
                </w:tcPr>
                <w:p>
                  <w:pPr>
                    <w:jc w:val="center"/>
                    <w:rPr>
                      <w:sz w:val="21"/>
                      <w:szCs w:val="21"/>
                    </w:rPr>
                  </w:pPr>
                  <w:r>
                    <w:rPr>
                      <w:sz w:val="21"/>
                      <w:szCs w:val="21"/>
                    </w:rPr>
                    <w:t>NH</w:t>
                  </w:r>
                  <w:r>
                    <w:rPr>
                      <w:sz w:val="21"/>
                      <w:szCs w:val="21"/>
                      <w:vertAlign w:val="subscript"/>
                    </w:rPr>
                    <w:t>3</w:t>
                  </w:r>
                  <w:r>
                    <w:rPr>
                      <w:sz w:val="21"/>
                      <w:szCs w:val="21"/>
                    </w:rPr>
                    <w:t>-N</w:t>
                  </w:r>
                </w:p>
              </w:tc>
              <w:tc>
                <w:tcPr>
                  <w:tcW w:w="1703" w:type="dxa"/>
                  <w:vAlign w:val="center"/>
                </w:tcPr>
                <w:p>
                  <w:pPr>
                    <w:jc w:val="center"/>
                    <w:rPr>
                      <w:rFonts w:hint="eastAsia"/>
                      <w:sz w:val="21"/>
                      <w:szCs w:val="21"/>
                    </w:rPr>
                  </w:pPr>
                  <w:r>
                    <w:rPr>
                      <w:rFonts w:hint="eastAsia"/>
                      <w:sz w:val="21"/>
                      <w:szCs w:val="21"/>
                    </w:rPr>
                    <w:t>0.318-0.347</w:t>
                  </w:r>
                </w:p>
              </w:tc>
              <w:tc>
                <w:tcPr>
                  <w:tcW w:w="1281" w:type="dxa"/>
                  <w:vAlign w:val="center"/>
                </w:tcPr>
                <w:p>
                  <w:pPr>
                    <w:jc w:val="center"/>
                    <w:rPr>
                      <w:rFonts w:hint="eastAsia"/>
                      <w:sz w:val="21"/>
                      <w:szCs w:val="21"/>
                    </w:rPr>
                  </w:pPr>
                  <w:r>
                    <w:rPr>
                      <w:rFonts w:hint="eastAsia"/>
                      <w:sz w:val="21"/>
                      <w:szCs w:val="21"/>
                    </w:rPr>
                    <w:t>0.334</w:t>
                  </w:r>
                </w:p>
              </w:tc>
              <w:tc>
                <w:tcPr>
                  <w:tcW w:w="910" w:type="dxa"/>
                  <w:vAlign w:val="center"/>
                </w:tcPr>
                <w:p>
                  <w:pPr>
                    <w:jc w:val="center"/>
                    <w:rPr>
                      <w:sz w:val="21"/>
                      <w:szCs w:val="21"/>
                    </w:rPr>
                  </w:pPr>
                  <w:r>
                    <w:rPr>
                      <w:sz w:val="21"/>
                      <w:szCs w:val="21"/>
                    </w:rPr>
                    <w:t>/</w:t>
                  </w:r>
                </w:p>
              </w:tc>
              <w:tc>
                <w:tcPr>
                  <w:tcW w:w="890" w:type="dxa"/>
                  <w:vAlign w:val="center"/>
                </w:tcPr>
                <w:p>
                  <w:pPr>
                    <w:jc w:val="center"/>
                    <w:rPr>
                      <w:sz w:val="21"/>
                      <w:szCs w:val="21"/>
                    </w:rPr>
                  </w:pPr>
                  <w:r>
                    <w:rPr>
                      <w:sz w:val="21"/>
                      <w:szCs w:val="21"/>
                    </w:rPr>
                    <w:t>/</w:t>
                  </w:r>
                </w:p>
              </w:tc>
              <w:tc>
                <w:tcPr>
                  <w:tcW w:w="1620" w:type="dxa"/>
                  <w:vAlign w:val="center"/>
                </w:tcPr>
                <w:p>
                  <w:pPr>
                    <w:jc w:val="center"/>
                    <w:rPr>
                      <w:rFonts w:hint="eastAsia"/>
                      <w:sz w:val="21"/>
                      <w:szCs w:val="21"/>
                    </w:rPr>
                  </w:pPr>
                  <w:r>
                    <w:rPr>
                      <w:sz w:val="21"/>
                      <w:szCs w:val="21"/>
                    </w:rPr>
                    <w:t>≤</w:t>
                  </w:r>
                  <w:r>
                    <w:rPr>
                      <w:rFonts w:hint="eastAsia"/>
                      <w:sz w:val="21"/>
                      <w:szCs w:val="21"/>
                    </w:rPr>
                    <w:t>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5" w:hRule="atLeast"/>
              </w:trPr>
              <w:tc>
                <w:tcPr>
                  <w:tcW w:w="718" w:type="dxa"/>
                  <w:vMerge w:val="continue"/>
                  <w:vAlign w:val="center"/>
                </w:tcPr>
                <w:p>
                  <w:pPr>
                    <w:spacing w:line="240" w:lineRule="exact"/>
                    <w:jc w:val="center"/>
                    <w:rPr>
                      <w:sz w:val="21"/>
                      <w:szCs w:val="21"/>
                    </w:rPr>
                  </w:pPr>
                </w:p>
              </w:tc>
              <w:tc>
                <w:tcPr>
                  <w:tcW w:w="1518" w:type="dxa"/>
                  <w:vAlign w:val="center"/>
                </w:tcPr>
                <w:p>
                  <w:pPr>
                    <w:jc w:val="center"/>
                    <w:rPr>
                      <w:sz w:val="21"/>
                      <w:szCs w:val="21"/>
                    </w:rPr>
                  </w:pPr>
                  <w:r>
                    <w:rPr>
                      <w:sz w:val="21"/>
                      <w:szCs w:val="21"/>
                    </w:rPr>
                    <w:t>TP</w:t>
                  </w:r>
                </w:p>
              </w:tc>
              <w:tc>
                <w:tcPr>
                  <w:tcW w:w="1703" w:type="dxa"/>
                  <w:vAlign w:val="center"/>
                </w:tcPr>
                <w:p>
                  <w:pPr>
                    <w:jc w:val="center"/>
                    <w:rPr>
                      <w:rFonts w:hint="eastAsia"/>
                      <w:sz w:val="21"/>
                      <w:szCs w:val="21"/>
                    </w:rPr>
                  </w:pPr>
                  <w:r>
                    <w:rPr>
                      <w:rFonts w:hint="eastAsia"/>
                      <w:sz w:val="21"/>
                      <w:szCs w:val="21"/>
                    </w:rPr>
                    <w:t>0.13-0.15</w:t>
                  </w:r>
                </w:p>
              </w:tc>
              <w:tc>
                <w:tcPr>
                  <w:tcW w:w="1281" w:type="dxa"/>
                  <w:vAlign w:val="center"/>
                </w:tcPr>
                <w:p>
                  <w:pPr>
                    <w:jc w:val="center"/>
                    <w:rPr>
                      <w:rFonts w:hint="eastAsia"/>
                      <w:sz w:val="21"/>
                      <w:szCs w:val="21"/>
                    </w:rPr>
                  </w:pPr>
                  <w:r>
                    <w:rPr>
                      <w:rFonts w:hint="eastAsia"/>
                      <w:sz w:val="21"/>
                      <w:szCs w:val="21"/>
                    </w:rPr>
                    <w:t>0.14</w:t>
                  </w:r>
                </w:p>
              </w:tc>
              <w:tc>
                <w:tcPr>
                  <w:tcW w:w="910" w:type="dxa"/>
                  <w:vAlign w:val="center"/>
                </w:tcPr>
                <w:p>
                  <w:pPr>
                    <w:jc w:val="center"/>
                    <w:rPr>
                      <w:sz w:val="21"/>
                      <w:szCs w:val="21"/>
                    </w:rPr>
                  </w:pPr>
                  <w:r>
                    <w:rPr>
                      <w:sz w:val="21"/>
                      <w:szCs w:val="21"/>
                    </w:rPr>
                    <w:t>/</w:t>
                  </w:r>
                </w:p>
              </w:tc>
              <w:tc>
                <w:tcPr>
                  <w:tcW w:w="890" w:type="dxa"/>
                  <w:vAlign w:val="center"/>
                </w:tcPr>
                <w:p>
                  <w:pPr>
                    <w:jc w:val="center"/>
                    <w:rPr>
                      <w:sz w:val="21"/>
                      <w:szCs w:val="21"/>
                    </w:rPr>
                  </w:pPr>
                  <w:r>
                    <w:rPr>
                      <w:sz w:val="21"/>
                      <w:szCs w:val="21"/>
                    </w:rPr>
                    <w:t>/</w:t>
                  </w:r>
                </w:p>
              </w:tc>
              <w:tc>
                <w:tcPr>
                  <w:tcW w:w="1620" w:type="dxa"/>
                  <w:vAlign w:val="center"/>
                </w:tcPr>
                <w:p>
                  <w:pPr>
                    <w:jc w:val="center"/>
                    <w:rPr>
                      <w:rFonts w:hint="eastAsia"/>
                      <w:sz w:val="21"/>
                      <w:szCs w:val="21"/>
                    </w:rPr>
                  </w:pPr>
                  <w:r>
                    <w:rPr>
                      <w:sz w:val="21"/>
                      <w:szCs w:val="21"/>
                    </w:rPr>
                    <w:t>≤0</w:t>
                  </w:r>
                  <w:r>
                    <w:rPr>
                      <w:rFonts w:hint="eastAsia"/>
                      <w:sz w:val="21"/>
                      <w:szCs w:val="21"/>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5" w:hRule="atLeast"/>
              </w:trPr>
              <w:tc>
                <w:tcPr>
                  <w:tcW w:w="718" w:type="dxa"/>
                  <w:vMerge w:val="continue"/>
                  <w:vAlign w:val="center"/>
                </w:tcPr>
                <w:p>
                  <w:pPr>
                    <w:spacing w:line="240" w:lineRule="exact"/>
                    <w:jc w:val="center"/>
                    <w:rPr>
                      <w:sz w:val="21"/>
                      <w:szCs w:val="21"/>
                    </w:rPr>
                  </w:pPr>
                </w:p>
              </w:tc>
              <w:tc>
                <w:tcPr>
                  <w:tcW w:w="1518" w:type="dxa"/>
                  <w:vAlign w:val="center"/>
                </w:tcPr>
                <w:p>
                  <w:pPr>
                    <w:jc w:val="center"/>
                    <w:rPr>
                      <w:rFonts w:hint="eastAsia"/>
                      <w:sz w:val="21"/>
                      <w:szCs w:val="21"/>
                    </w:rPr>
                  </w:pPr>
                  <w:r>
                    <w:rPr>
                      <w:rFonts w:hint="eastAsia"/>
                      <w:sz w:val="21"/>
                      <w:szCs w:val="21"/>
                    </w:rPr>
                    <w:t>总氮</w:t>
                  </w:r>
                </w:p>
              </w:tc>
              <w:tc>
                <w:tcPr>
                  <w:tcW w:w="1703" w:type="dxa"/>
                  <w:vAlign w:val="center"/>
                </w:tcPr>
                <w:p>
                  <w:pPr>
                    <w:jc w:val="center"/>
                    <w:rPr>
                      <w:rFonts w:hint="eastAsia"/>
                      <w:sz w:val="21"/>
                      <w:szCs w:val="21"/>
                    </w:rPr>
                  </w:pPr>
                  <w:r>
                    <w:rPr>
                      <w:rFonts w:hint="eastAsia"/>
                      <w:sz w:val="21"/>
                      <w:szCs w:val="21"/>
                    </w:rPr>
                    <w:t>0.746-0.767</w:t>
                  </w:r>
                </w:p>
              </w:tc>
              <w:tc>
                <w:tcPr>
                  <w:tcW w:w="1281" w:type="dxa"/>
                  <w:vAlign w:val="center"/>
                </w:tcPr>
                <w:p>
                  <w:pPr>
                    <w:jc w:val="center"/>
                    <w:rPr>
                      <w:rFonts w:hint="eastAsia"/>
                      <w:sz w:val="21"/>
                      <w:szCs w:val="21"/>
                    </w:rPr>
                  </w:pPr>
                  <w:r>
                    <w:rPr>
                      <w:rFonts w:hint="eastAsia"/>
                      <w:sz w:val="21"/>
                      <w:szCs w:val="21"/>
                    </w:rPr>
                    <w:t>0.755</w:t>
                  </w:r>
                </w:p>
              </w:tc>
              <w:tc>
                <w:tcPr>
                  <w:tcW w:w="910" w:type="dxa"/>
                  <w:vAlign w:val="center"/>
                </w:tcPr>
                <w:p>
                  <w:pPr>
                    <w:jc w:val="center"/>
                    <w:rPr>
                      <w:sz w:val="21"/>
                      <w:szCs w:val="21"/>
                    </w:rPr>
                  </w:pPr>
                  <w:r>
                    <w:rPr>
                      <w:sz w:val="21"/>
                      <w:szCs w:val="21"/>
                    </w:rPr>
                    <w:t>/</w:t>
                  </w:r>
                </w:p>
              </w:tc>
              <w:tc>
                <w:tcPr>
                  <w:tcW w:w="890" w:type="dxa"/>
                  <w:vAlign w:val="center"/>
                </w:tcPr>
                <w:p>
                  <w:pPr>
                    <w:jc w:val="center"/>
                    <w:rPr>
                      <w:sz w:val="21"/>
                      <w:szCs w:val="21"/>
                    </w:rPr>
                  </w:pPr>
                  <w:r>
                    <w:rPr>
                      <w:sz w:val="21"/>
                      <w:szCs w:val="21"/>
                    </w:rPr>
                    <w:t>/</w:t>
                  </w:r>
                </w:p>
              </w:tc>
              <w:tc>
                <w:tcPr>
                  <w:tcW w:w="1620" w:type="dxa"/>
                  <w:vAlign w:val="center"/>
                </w:tcPr>
                <w:p>
                  <w:pPr>
                    <w:jc w:val="center"/>
                    <w:rPr>
                      <w:sz w:val="21"/>
                      <w:szCs w:val="21"/>
                    </w:rPr>
                  </w:pPr>
                  <w:r>
                    <w:rPr>
                      <w:sz w:val="21"/>
                      <w:szCs w:val="21"/>
                    </w:rPr>
                    <w:t>≤</w:t>
                  </w:r>
                  <w:r>
                    <w:rPr>
                      <w:rFonts w:hint="eastAsia"/>
                      <w:sz w:val="21"/>
                      <w:szCs w:val="21"/>
                    </w:rPr>
                    <w:t>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83" w:hRule="atLeast"/>
              </w:trPr>
              <w:tc>
                <w:tcPr>
                  <w:tcW w:w="718" w:type="dxa"/>
                  <w:vMerge w:val="continue"/>
                  <w:vAlign w:val="center"/>
                </w:tcPr>
                <w:p>
                  <w:pPr>
                    <w:spacing w:line="240" w:lineRule="exact"/>
                    <w:jc w:val="center"/>
                    <w:rPr>
                      <w:sz w:val="21"/>
                      <w:szCs w:val="21"/>
                    </w:rPr>
                  </w:pPr>
                </w:p>
              </w:tc>
              <w:tc>
                <w:tcPr>
                  <w:tcW w:w="1518" w:type="dxa"/>
                  <w:vAlign w:val="center"/>
                </w:tcPr>
                <w:p>
                  <w:pPr>
                    <w:jc w:val="center"/>
                    <w:rPr>
                      <w:rFonts w:hint="eastAsia"/>
                      <w:sz w:val="21"/>
                      <w:szCs w:val="21"/>
                    </w:rPr>
                  </w:pPr>
                  <w:r>
                    <w:rPr>
                      <w:rFonts w:hint="eastAsia"/>
                      <w:sz w:val="21"/>
                      <w:szCs w:val="21"/>
                    </w:rPr>
                    <w:t>粪大肠菌群</w:t>
                  </w:r>
                </w:p>
              </w:tc>
              <w:tc>
                <w:tcPr>
                  <w:tcW w:w="1703" w:type="dxa"/>
                  <w:vAlign w:val="center"/>
                </w:tcPr>
                <w:p>
                  <w:pPr>
                    <w:jc w:val="center"/>
                    <w:rPr>
                      <w:rFonts w:hint="eastAsia"/>
                      <w:sz w:val="21"/>
                      <w:szCs w:val="21"/>
                    </w:rPr>
                  </w:pPr>
                  <w:r>
                    <w:rPr>
                      <w:rFonts w:hint="eastAsia"/>
                      <w:sz w:val="21"/>
                      <w:szCs w:val="21"/>
                    </w:rPr>
                    <w:t>4400-5300</w:t>
                  </w:r>
                </w:p>
              </w:tc>
              <w:tc>
                <w:tcPr>
                  <w:tcW w:w="1281" w:type="dxa"/>
                  <w:vAlign w:val="center"/>
                </w:tcPr>
                <w:p>
                  <w:pPr>
                    <w:jc w:val="center"/>
                    <w:rPr>
                      <w:rFonts w:hint="eastAsia"/>
                      <w:sz w:val="21"/>
                      <w:szCs w:val="21"/>
                    </w:rPr>
                  </w:pPr>
                  <w:r>
                    <w:rPr>
                      <w:rFonts w:hint="eastAsia"/>
                      <w:sz w:val="21"/>
                      <w:szCs w:val="21"/>
                    </w:rPr>
                    <w:t>5000</w:t>
                  </w:r>
                </w:p>
              </w:tc>
              <w:tc>
                <w:tcPr>
                  <w:tcW w:w="910" w:type="dxa"/>
                  <w:vAlign w:val="center"/>
                </w:tcPr>
                <w:p>
                  <w:pPr>
                    <w:jc w:val="center"/>
                    <w:rPr>
                      <w:sz w:val="21"/>
                      <w:szCs w:val="21"/>
                    </w:rPr>
                  </w:pPr>
                  <w:r>
                    <w:rPr>
                      <w:sz w:val="21"/>
                      <w:szCs w:val="21"/>
                    </w:rPr>
                    <w:t>/</w:t>
                  </w:r>
                </w:p>
              </w:tc>
              <w:tc>
                <w:tcPr>
                  <w:tcW w:w="890" w:type="dxa"/>
                  <w:vAlign w:val="center"/>
                </w:tcPr>
                <w:p>
                  <w:pPr>
                    <w:jc w:val="center"/>
                    <w:rPr>
                      <w:sz w:val="21"/>
                      <w:szCs w:val="21"/>
                    </w:rPr>
                  </w:pPr>
                  <w:r>
                    <w:rPr>
                      <w:sz w:val="21"/>
                      <w:szCs w:val="21"/>
                    </w:rPr>
                    <w:t>/</w:t>
                  </w:r>
                </w:p>
              </w:tc>
              <w:tc>
                <w:tcPr>
                  <w:tcW w:w="1620" w:type="dxa"/>
                  <w:vAlign w:val="center"/>
                </w:tcPr>
                <w:p>
                  <w:pPr>
                    <w:jc w:val="center"/>
                    <w:rPr>
                      <w:sz w:val="21"/>
                      <w:szCs w:val="21"/>
                    </w:rPr>
                  </w:pPr>
                  <w:r>
                    <w:rPr>
                      <w:sz w:val="21"/>
                      <w:szCs w:val="21"/>
                    </w:rPr>
                    <w:t>≤</w:t>
                  </w:r>
                  <w:r>
                    <w:rPr>
                      <w:rFonts w:hint="eastAsia"/>
                      <w:sz w:val="21"/>
                      <w:szCs w:val="21"/>
                    </w:rPr>
                    <w:t>10000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5" w:hRule="atLeast"/>
              </w:trPr>
              <w:tc>
                <w:tcPr>
                  <w:tcW w:w="718" w:type="dxa"/>
                  <w:vMerge w:val="continue"/>
                  <w:vAlign w:val="center"/>
                </w:tcPr>
                <w:p>
                  <w:pPr>
                    <w:spacing w:line="240" w:lineRule="exact"/>
                    <w:jc w:val="center"/>
                    <w:rPr>
                      <w:sz w:val="21"/>
                      <w:szCs w:val="21"/>
                    </w:rPr>
                  </w:pPr>
                </w:p>
              </w:tc>
              <w:tc>
                <w:tcPr>
                  <w:tcW w:w="1518" w:type="dxa"/>
                  <w:vAlign w:val="center"/>
                </w:tcPr>
                <w:p>
                  <w:pPr>
                    <w:jc w:val="center"/>
                    <w:rPr>
                      <w:rFonts w:hint="eastAsia"/>
                      <w:sz w:val="21"/>
                      <w:szCs w:val="21"/>
                    </w:rPr>
                  </w:pPr>
                  <w:r>
                    <w:rPr>
                      <w:rFonts w:hint="eastAsia"/>
                      <w:sz w:val="21"/>
                      <w:szCs w:val="21"/>
                    </w:rPr>
                    <w:t>动植物油</w:t>
                  </w:r>
                </w:p>
              </w:tc>
              <w:tc>
                <w:tcPr>
                  <w:tcW w:w="1703" w:type="dxa"/>
                  <w:vAlign w:val="center"/>
                </w:tcPr>
                <w:p>
                  <w:pPr>
                    <w:jc w:val="center"/>
                    <w:rPr>
                      <w:rFonts w:hint="eastAsia"/>
                      <w:sz w:val="21"/>
                      <w:szCs w:val="21"/>
                    </w:rPr>
                  </w:pPr>
                  <w:r>
                    <w:rPr>
                      <w:rFonts w:hint="eastAsia"/>
                      <w:sz w:val="21"/>
                      <w:szCs w:val="21"/>
                    </w:rPr>
                    <w:t>0.01ND</w:t>
                  </w:r>
                </w:p>
              </w:tc>
              <w:tc>
                <w:tcPr>
                  <w:tcW w:w="1281" w:type="dxa"/>
                  <w:vAlign w:val="center"/>
                </w:tcPr>
                <w:p>
                  <w:pPr>
                    <w:jc w:val="center"/>
                    <w:rPr>
                      <w:rFonts w:hint="eastAsia"/>
                      <w:sz w:val="21"/>
                      <w:szCs w:val="21"/>
                    </w:rPr>
                  </w:pPr>
                  <w:r>
                    <w:rPr>
                      <w:rFonts w:hint="eastAsia"/>
                      <w:sz w:val="21"/>
                      <w:szCs w:val="21"/>
                    </w:rPr>
                    <w:t>0.01ND</w:t>
                  </w:r>
                </w:p>
              </w:tc>
              <w:tc>
                <w:tcPr>
                  <w:tcW w:w="910" w:type="dxa"/>
                  <w:vAlign w:val="center"/>
                </w:tcPr>
                <w:p>
                  <w:pPr>
                    <w:jc w:val="center"/>
                    <w:rPr>
                      <w:sz w:val="21"/>
                      <w:szCs w:val="21"/>
                    </w:rPr>
                  </w:pPr>
                  <w:r>
                    <w:rPr>
                      <w:sz w:val="21"/>
                      <w:szCs w:val="21"/>
                    </w:rPr>
                    <w:t>/</w:t>
                  </w:r>
                </w:p>
              </w:tc>
              <w:tc>
                <w:tcPr>
                  <w:tcW w:w="890" w:type="dxa"/>
                  <w:vAlign w:val="center"/>
                </w:tcPr>
                <w:p>
                  <w:pPr>
                    <w:jc w:val="center"/>
                    <w:rPr>
                      <w:sz w:val="21"/>
                      <w:szCs w:val="21"/>
                    </w:rPr>
                  </w:pPr>
                  <w:r>
                    <w:rPr>
                      <w:sz w:val="21"/>
                      <w:szCs w:val="21"/>
                    </w:rPr>
                    <w:t>/</w:t>
                  </w:r>
                </w:p>
              </w:tc>
              <w:tc>
                <w:tcPr>
                  <w:tcW w:w="1620" w:type="dxa"/>
                  <w:vAlign w:val="center"/>
                </w:tcPr>
                <w:p>
                  <w:pPr>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5" w:hRule="atLeast"/>
              </w:trPr>
              <w:tc>
                <w:tcPr>
                  <w:tcW w:w="718" w:type="dxa"/>
                  <w:vMerge w:val="continue"/>
                  <w:vAlign w:val="center"/>
                </w:tcPr>
                <w:p>
                  <w:pPr>
                    <w:spacing w:line="240" w:lineRule="exact"/>
                    <w:jc w:val="center"/>
                    <w:rPr>
                      <w:sz w:val="21"/>
                      <w:szCs w:val="21"/>
                    </w:rPr>
                  </w:pPr>
                </w:p>
              </w:tc>
              <w:tc>
                <w:tcPr>
                  <w:tcW w:w="1518" w:type="dxa"/>
                  <w:vAlign w:val="center"/>
                </w:tcPr>
                <w:p>
                  <w:pPr>
                    <w:jc w:val="center"/>
                    <w:rPr>
                      <w:rFonts w:hint="eastAsia"/>
                      <w:sz w:val="21"/>
                      <w:szCs w:val="21"/>
                    </w:rPr>
                  </w:pPr>
                  <w:r>
                    <w:rPr>
                      <w:rFonts w:hint="eastAsia"/>
                      <w:sz w:val="21"/>
                      <w:szCs w:val="21"/>
                    </w:rPr>
                    <w:t>石油类</w:t>
                  </w:r>
                </w:p>
              </w:tc>
              <w:tc>
                <w:tcPr>
                  <w:tcW w:w="1703" w:type="dxa"/>
                  <w:vAlign w:val="center"/>
                </w:tcPr>
                <w:p>
                  <w:pPr>
                    <w:jc w:val="center"/>
                    <w:rPr>
                      <w:rFonts w:hint="eastAsia"/>
                      <w:sz w:val="21"/>
                      <w:szCs w:val="21"/>
                    </w:rPr>
                  </w:pPr>
                  <w:r>
                    <w:rPr>
                      <w:rFonts w:hint="eastAsia"/>
                      <w:sz w:val="21"/>
                      <w:szCs w:val="21"/>
                    </w:rPr>
                    <w:t>0.01ND</w:t>
                  </w:r>
                </w:p>
              </w:tc>
              <w:tc>
                <w:tcPr>
                  <w:tcW w:w="1281" w:type="dxa"/>
                  <w:vAlign w:val="center"/>
                </w:tcPr>
                <w:p>
                  <w:pPr>
                    <w:jc w:val="center"/>
                    <w:rPr>
                      <w:rFonts w:hint="eastAsia"/>
                      <w:sz w:val="21"/>
                      <w:szCs w:val="21"/>
                    </w:rPr>
                  </w:pPr>
                  <w:r>
                    <w:rPr>
                      <w:rFonts w:hint="eastAsia"/>
                      <w:sz w:val="21"/>
                      <w:szCs w:val="21"/>
                    </w:rPr>
                    <w:t>0.01ND</w:t>
                  </w:r>
                </w:p>
              </w:tc>
              <w:tc>
                <w:tcPr>
                  <w:tcW w:w="910" w:type="dxa"/>
                  <w:vAlign w:val="center"/>
                </w:tcPr>
                <w:p>
                  <w:pPr>
                    <w:jc w:val="center"/>
                    <w:rPr>
                      <w:sz w:val="21"/>
                      <w:szCs w:val="21"/>
                    </w:rPr>
                  </w:pPr>
                  <w:r>
                    <w:rPr>
                      <w:sz w:val="21"/>
                      <w:szCs w:val="21"/>
                    </w:rPr>
                    <w:t>/</w:t>
                  </w:r>
                </w:p>
              </w:tc>
              <w:tc>
                <w:tcPr>
                  <w:tcW w:w="890" w:type="dxa"/>
                  <w:vAlign w:val="center"/>
                </w:tcPr>
                <w:p>
                  <w:pPr>
                    <w:jc w:val="center"/>
                    <w:rPr>
                      <w:sz w:val="21"/>
                      <w:szCs w:val="21"/>
                    </w:rPr>
                  </w:pPr>
                  <w:r>
                    <w:rPr>
                      <w:sz w:val="21"/>
                      <w:szCs w:val="21"/>
                    </w:rPr>
                    <w:t>/</w:t>
                  </w:r>
                </w:p>
              </w:tc>
              <w:tc>
                <w:tcPr>
                  <w:tcW w:w="1620" w:type="dxa"/>
                  <w:vAlign w:val="center"/>
                </w:tcPr>
                <w:p>
                  <w:pPr>
                    <w:jc w:val="center"/>
                    <w:rPr>
                      <w:rFonts w:hint="eastAsia"/>
                      <w:sz w:val="21"/>
                      <w:szCs w:val="21"/>
                    </w:rPr>
                  </w:pPr>
                  <w:r>
                    <w:rPr>
                      <w:sz w:val="21"/>
                      <w:szCs w:val="21"/>
                    </w:rPr>
                    <w:t>≤0</w:t>
                  </w:r>
                  <w:r>
                    <w:rPr>
                      <w:rFonts w:hint="eastAsia"/>
                      <w:sz w:val="21"/>
                      <w:szCs w:val="21"/>
                    </w:rPr>
                    <w:t>.05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83" w:hRule="atLeast"/>
              </w:trPr>
              <w:tc>
                <w:tcPr>
                  <w:tcW w:w="718" w:type="dxa"/>
                  <w:vMerge w:val="restart"/>
                  <w:vAlign w:val="center"/>
                </w:tcPr>
                <w:p>
                  <w:pPr>
                    <w:spacing w:line="240" w:lineRule="exact"/>
                    <w:jc w:val="center"/>
                    <w:rPr>
                      <w:sz w:val="21"/>
                      <w:szCs w:val="21"/>
                    </w:rPr>
                  </w:pPr>
                  <w:r>
                    <w:rPr>
                      <w:rFonts w:hint="eastAsia"/>
                      <w:sz w:val="21"/>
                      <w:szCs w:val="21"/>
                    </w:rPr>
                    <w:t>W3</w:t>
                  </w:r>
                </w:p>
              </w:tc>
              <w:tc>
                <w:tcPr>
                  <w:tcW w:w="1518" w:type="dxa"/>
                  <w:vAlign w:val="center"/>
                </w:tcPr>
                <w:p>
                  <w:pPr>
                    <w:jc w:val="center"/>
                    <w:rPr>
                      <w:sz w:val="21"/>
                      <w:szCs w:val="21"/>
                    </w:rPr>
                  </w:pPr>
                  <w:r>
                    <w:rPr>
                      <w:sz w:val="21"/>
                      <w:szCs w:val="21"/>
                    </w:rPr>
                    <w:t>pH</w:t>
                  </w:r>
                </w:p>
              </w:tc>
              <w:tc>
                <w:tcPr>
                  <w:tcW w:w="1703" w:type="dxa"/>
                  <w:vAlign w:val="center"/>
                </w:tcPr>
                <w:p>
                  <w:pPr>
                    <w:jc w:val="center"/>
                    <w:rPr>
                      <w:rFonts w:hint="eastAsia"/>
                      <w:sz w:val="21"/>
                      <w:szCs w:val="21"/>
                    </w:rPr>
                  </w:pPr>
                  <w:r>
                    <w:rPr>
                      <w:rFonts w:hint="eastAsia"/>
                      <w:sz w:val="21"/>
                      <w:szCs w:val="21"/>
                    </w:rPr>
                    <w:t>6.89-7.03</w:t>
                  </w:r>
                </w:p>
              </w:tc>
              <w:tc>
                <w:tcPr>
                  <w:tcW w:w="1281" w:type="dxa"/>
                  <w:vAlign w:val="center"/>
                </w:tcPr>
                <w:p>
                  <w:pPr>
                    <w:jc w:val="center"/>
                    <w:rPr>
                      <w:sz w:val="21"/>
                      <w:szCs w:val="21"/>
                    </w:rPr>
                  </w:pPr>
                  <w:r>
                    <w:rPr>
                      <w:sz w:val="21"/>
                      <w:szCs w:val="21"/>
                    </w:rPr>
                    <w:t>/</w:t>
                  </w:r>
                </w:p>
              </w:tc>
              <w:tc>
                <w:tcPr>
                  <w:tcW w:w="910" w:type="dxa"/>
                  <w:vAlign w:val="center"/>
                </w:tcPr>
                <w:p>
                  <w:pPr>
                    <w:jc w:val="center"/>
                    <w:rPr>
                      <w:sz w:val="21"/>
                      <w:szCs w:val="21"/>
                    </w:rPr>
                  </w:pPr>
                  <w:r>
                    <w:rPr>
                      <w:sz w:val="21"/>
                      <w:szCs w:val="21"/>
                    </w:rPr>
                    <w:t>/</w:t>
                  </w:r>
                </w:p>
              </w:tc>
              <w:tc>
                <w:tcPr>
                  <w:tcW w:w="890" w:type="dxa"/>
                  <w:vAlign w:val="center"/>
                </w:tcPr>
                <w:p>
                  <w:pPr>
                    <w:jc w:val="center"/>
                    <w:rPr>
                      <w:sz w:val="21"/>
                      <w:szCs w:val="21"/>
                    </w:rPr>
                  </w:pPr>
                  <w:r>
                    <w:rPr>
                      <w:sz w:val="21"/>
                      <w:szCs w:val="21"/>
                    </w:rPr>
                    <w:t>/</w:t>
                  </w:r>
                </w:p>
              </w:tc>
              <w:tc>
                <w:tcPr>
                  <w:tcW w:w="1620" w:type="dxa"/>
                  <w:vAlign w:val="center"/>
                </w:tcPr>
                <w:p>
                  <w:pPr>
                    <w:jc w:val="center"/>
                    <w:rPr>
                      <w:sz w:val="21"/>
                      <w:szCs w:val="21"/>
                    </w:rPr>
                  </w:pPr>
                  <w:r>
                    <w:rPr>
                      <w:sz w:val="21"/>
                      <w:szCs w:val="21"/>
                    </w:rPr>
                    <w:t>6~9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5" w:hRule="atLeast"/>
              </w:trPr>
              <w:tc>
                <w:tcPr>
                  <w:tcW w:w="718" w:type="dxa"/>
                  <w:vMerge w:val="continue"/>
                  <w:vAlign w:val="center"/>
                </w:tcPr>
                <w:p>
                  <w:pPr>
                    <w:spacing w:line="240" w:lineRule="exact"/>
                    <w:jc w:val="center"/>
                    <w:rPr>
                      <w:sz w:val="21"/>
                      <w:szCs w:val="21"/>
                    </w:rPr>
                  </w:pPr>
                </w:p>
              </w:tc>
              <w:tc>
                <w:tcPr>
                  <w:tcW w:w="1518" w:type="dxa"/>
                  <w:vAlign w:val="center"/>
                </w:tcPr>
                <w:p>
                  <w:pPr>
                    <w:jc w:val="center"/>
                    <w:rPr>
                      <w:rFonts w:hint="eastAsia"/>
                      <w:sz w:val="21"/>
                      <w:szCs w:val="21"/>
                    </w:rPr>
                  </w:pPr>
                  <w:r>
                    <w:rPr>
                      <w:rFonts w:hint="eastAsia"/>
                      <w:sz w:val="21"/>
                      <w:szCs w:val="21"/>
                    </w:rPr>
                    <w:t>DO</w:t>
                  </w:r>
                </w:p>
              </w:tc>
              <w:tc>
                <w:tcPr>
                  <w:tcW w:w="1703" w:type="dxa"/>
                  <w:vAlign w:val="center"/>
                </w:tcPr>
                <w:p>
                  <w:pPr>
                    <w:jc w:val="center"/>
                    <w:rPr>
                      <w:rFonts w:hint="eastAsia"/>
                      <w:sz w:val="21"/>
                      <w:szCs w:val="21"/>
                    </w:rPr>
                  </w:pPr>
                  <w:r>
                    <w:rPr>
                      <w:rFonts w:hint="eastAsia"/>
                      <w:sz w:val="21"/>
                      <w:szCs w:val="21"/>
                    </w:rPr>
                    <w:t>6.2-6.7</w:t>
                  </w:r>
                </w:p>
              </w:tc>
              <w:tc>
                <w:tcPr>
                  <w:tcW w:w="1281" w:type="dxa"/>
                  <w:vAlign w:val="center"/>
                </w:tcPr>
                <w:p>
                  <w:pPr>
                    <w:jc w:val="center"/>
                    <w:rPr>
                      <w:rFonts w:hint="eastAsia"/>
                      <w:sz w:val="21"/>
                      <w:szCs w:val="21"/>
                    </w:rPr>
                  </w:pPr>
                  <w:r>
                    <w:rPr>
                      <w:rFonts w:hint="eastAsia"/>
                      <w:sz w:val="21"/>
                      <w:szCs w:val="21"/>
                    </w:rPr>
                    <w:t>6.5</w:t>
                  </w:r>
                </w:p>
              </w:tc>
              <w:tc>
                <w:tcPr>
                  <w:tcW w:w="910" w:type="dxa"/>
                  <w:vAlign w:val="center"/>
                </w:tcPr>
                <w:p>
                  <w:pPr>
                    <w:jc w:val="center"/>
                    <w:rPr>
                      <w:sz w:val="21"/>
                      <w:szCs w:val="21"/>
                    </w:rPr>
                  </w:pPr>
                  <w:r>
                    <w:rPr>
                      <w:sz w:val="21"/>
                      <w:szCs w:val="21"/>
                    </w:rPr>
                    <w:t>/</w:t>
                  </w:r>
                </w:p>
              </w:tc>
              <w:tc>
                <w:tcPr>
                  <w:tcW w:w="890" w:type="dxa"/>
                  <w:vAlign w:val="center"/>
                </w:tcPr>
                <w:p>
                  <w:pPr>
                    <w:jc w:val="center"/>
                    <w:rPr>
                      <w:sz w:val="21"/>
                      <w:szCs w:val="21"/>
                    </w:rPr>
                  </w:pPr>
                  <w:r>
                    <w:rPr>
                      <w:sz w:val="21"/>
                      <w:szCs w:val="21"/>
                    </w:rPr>
                    <w:t>/</w:t>
                  </w:r>
                </w:p>
              </w:tc>
              <w:tc>
                <w:tcPr>
                  <w:tcW w:w="1620" w:type="dxa"/>
                  <w:vAlign w:val="center"/>
                </w:tcPr>
                <w:p>
                  <w:pPr>
                    <w:jc w:val="center"/>
                    <w:rPr>
                      <w:rFonts w:hint="eastAsia"/>
                      <w:sz w:val="21"/>
                      <w:szCs w:val="21"/>
                    </w:rPr>
                  </w:pPr>
                  <w:r>
                    <w:rPr>
                      <w:sz w:val="21"/>
                      <w:szCs w:val="21"/>
                    </w:rPr>
                    <w:t>≥</w:t>
                  </w:r>
                  <w:r>
                    <w:rPr>
                      <w:rFonts w:hint="eastAsia"/>
                      <w:sz w:val="21"/>
                      <w:szCs w:val="21"/>
                    </w:rPr>
                    <w:t>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5" w:hRule="atLeast"/>
              </w:trPr>
              <w:tc>
                <w:tcPr>
                  <w:tcW w:w="718" w:type="dxa"/>
                  <w:vMerge w:val="continue"/>
                  <w:vAlign w:val="center"/>
                </w:tcPr>
                <w:p>
                  <w:pPr>
                    <w:spacing w:line="240" w:lineRule="exact"/>
                    <w:jc w:val="center"/>
                    <w:rPr>
                      <w:sz w:val="21"/>
                      <w:szCs w:val="21"/>
                    </w:rPr>
                  </w:pPr>
                </w:p>
              </w:tc>
              <w:tc>
                <w:tcPr>
                  <w:tcW w:w="1518" w:type="dxa"/>
                  <w:vAlign w:val="center"/>
                </w:tcPr>
                <w:p>
                  <w:pPr>
                    <w:jc w:val="center"/>
                    <w:rPr>
                      <w:rFonts w:hint="eastAsia"/>
                      <w:sz w:val="21"/>
                      <w:szCs w:val="21"/>
                    </w:rPr>
                  </w:pPr>
                  <w:r>
                    <w:rPr>
                      <w:rFonts w:hint="eastAsia"/>
                      <w:sz w:val="21"/>
                      <w:szCs w:val="21"/>
                    </w:rPr>
                    <w:t>SS</w:t>
                  </w:r>
                </w:p>
              </w:tc>
              <w:tc>
                <w:tcPr>
                  <w:tcW w:w="1703" w:type="dxa"/>
                  <w:vAlign w:val="center"/>
                </w:tcPr>
                <w:p>
                  <w:pPr>
                    <w:jc w:val="center"/>
                    <w:rPr>
                      <w:rFonts w:hint="eastAsia"/>
                      <w:sz w:val="21"/>
                      <w:szCs w:val="21"/>
                    </w:rPr>
                  </w:pPr>
                  <w:r>
                    <w:rPr>
                      <w:rFonts w:hint="eastAsia"/>
                      <w:sz w:val="21"/>
                      <w:szCs w:val="21"/>
                    </w:rPr>
                    <w:t>12-16</w:t>
                  </w:r>
                </w:p>
              </w:tc>
              <w:tc>
                <w:tcPr>
                  <w:tcW w:w="1281" w:type="dxa"/>
                  <w:vAlign w:val="center"/>
                </w:tcPr>
                <w:p>
                  <w:pPr>
                    <w:jc w:val="center"/>
                    <w:rPr>
                      <w:rFonts w:hint="eastAsia"/>
                      <w:sz w:val="21"/>
                      <w:szCs w:val="21"/>
                    </w:rPr>
                  </w:pPr>
                  <w:r>
                    <w:rPr>
                      <w:rFonts w:hint="eastAsia"/>
                      <w:sz w:val="21"/>
                      <w:szCs w:val="21"/>
                    </w:rPr>
                    <w:t>14</w:t>
                  </w:r>
                </w:p>
              </w:tc>
              <w:tc>
                <w:tcPr>
                  <w:tcW w:w="910" w:type="dxa"/>
                  <w:vAlign w:val="center"/>
                </w:tcPr>
                <w:p>
                  <w:pPr>
                    <w:jc w:val="center"/>
                    <w:rPr>
                      <w:sz w:val="21"/>
                      <w:szCs w:val="21"/>
                    </w:rPr>
                  </w:pPr>
                  <w:r>
                    <w:rPr>
                      <w:sz w:val="21"/>
                      <w:szCs w:val="21"/>
                    </w:rPr>
                    <w:t>/</w:t>
                  </w:r>
                </w:p>
              </w:tc>
              <w:tc>
                <w:tcPr>
                  <w:tcW w:w="890" w:type="dxa"/>
                  <w:vAlign w:val="center"/>
                </w:tcPr>
                <w:p>
                  <w:pPr>
                    <w:jc w:val="center"/>
                    <w:rPr>
                      <w:sz w:val="21"/>
                      <w:szCs w:val="21"/>
                    </w:rPr>
                  </w:pPr>
                  <w:r>
                    <w:rPr>
                      <w:sz w:val="21"/>
                      <w:szCs w:val="21"/>
                    </w:rPr>
                    <w:t>/</w:t>
                  </w:r>
                </w:p>
              </w:tc>
              <w:tc>
                <w:tcPr>
                  <w:tcW w:w="1620" w:type="dxa"/>
                  <w:vAlign w:val="center"/>
                </w:tcPr>
                <w:p>
                  <w:pPr>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5" w:hRule="atLeast"/>
              </w:trPr>
              <w:tc>
                <w:tcPr>
                  <w:tcW w:w="718" w:type="dxa"/>
                  <w:vMerge w:val="continue"/>
                  <w:vAlign w:val="center"/>
                </w:tcPr>
                <w:p>
                  <w:pPr>
                    <w:spacing w:line="240" w:lineRule="exact"/>
                    <w:jc w:val="center"/>
                    <w:rPr>
                      <w:sz w:val="21"/>
                      <w:szCs w:val="21"/>
                    </w:rPr>
                  </w:pPr>
                </w:p>
              </w:tc>
              <w:tc>
                <w:tcPr>
                  <w:tcW w:w="1518" w:type="dxa"/>
                  <w:vAlign w:val="center"/>
                </w:tcPr>
                <w:p>
                  <w:pPr>
                    <w:jc w:val="center"/>
                    <w:rPr>
                      <w:sz w:val="21"/>
                      <w:szCs w:val="21"/>
                    </w:rPr>
                  </w:pPr>
                  <w:r>
                    <w:rPr>
                      <w:sz w:val="21"/>
                      <w:szCs w:val="21"/>
                    </w:rPr>
                    <w:t>COD</w:t>
                  </w:r>
                </w:p>
              </w:tc>
              <w:tc>
                <w:tcPr>
                  <w:tcW w:w="1703" w:type="dxa"/>
                  <w:vAlign w:val="center"/>
                </w:tcPr>
                <w:p>
                  <w:pPr>
                    <w:jc w:val="center"/>
                    <w:rPr>
                      <w:rFonts w:hint="eastAsia"/>
                      <w:sz w:val="21"/>
                      <w:szCs w:val="21"/>
                    </w:rPr>
                  </w:pPr>
                  <w:r>
                    <w:rPr>
                      <w:rFonts w:hint="eastAsia"/>
                      <w:sz w:val="21"/>
                      <w:szCs w:val="21"/>
                    </w:rPr>
                    <w:t>15-16</w:t>
                  </w:r>
                </w:p>
              </w:tc>
              <w:tc>
                <w:tcPr>
                  <w:tcW w:w="1281" w:type="dxa"/>
                  <w:vAlign w:val="center"/>
                </w:tcPr>
                <w:p>
                  <w:pPr>
                    <w:jc w:val="center"/>
                    <w:rPr>
                      <w:rFonts w:hint="eastAsia"/>
                      <w:sz w:val="21"/>
                      <w:szCs w:val="21"/>
                    </w:rPr>
                  </w:pPr>
                  <w:r>
                    <w:rPr>
                      <w:rFonts w:hint="eastAsia"/>
                      <w:sz w:val="21"/>
                      <w:szCs w:val="21"/>
                    </w:rPr>
                    <w:t>15.3</w:t>
                  </w:r>
                </w:p>
              </w:tc>
              <w:tc>
                <w:tcPr>
                  <w:tcW w:w="910" w:type="dxa"/>
                  <w:vAlign w:val="center"/>
                </w:tcPr>
                <w:p>
                  <w:pPr>
                    <w:jc w:val="center"/>
                    <w:rPr>
                      <w:sz w:val="21"/>
                      <w:szCs w:val="21"/>
                    </w:rPr>
                  </w:pPr>
                  <w:r>
                    <w:rPr>
                      <w:sz w:val="21"/>
                      <w:szCs w:val="21"/>
                    </w:rPr>
                    <w:t>/</w:t>
                  </w:r>
                </w:p>
              </w:tc>
              <w:tc>
                <w:tcPr>
                  <w:tcW w:w="890" w:type="dxa"/>
                  <w:vAlign w:val="center"/>
                </w:tcPr>
                <w:p>
                  <w:pPr>
                    <w:jc w:val="center"/>
                    <w:rPr>
                      <w:sz w:val="21"/>
                      <w:szCs w:val="21"/>
                    </w:rPr>
                  </w:pPr>
                  <w:r>
                    <w:rPr>
                      <w:sz w:val="21"/>
                      <w:szCs w:val="21"/>
                    </w:rPr>
                    <w:t>/</w:t>
                  </w:r>
                </w:p>
              </w:tc>
              <w:tc>
                <w:tcPr>
                  <w:tcW w:w="1620" w:type="dxa"/>
                  <w:vAlign w:val="center"/>
                </w:tcPr>
                <w:p>
                  <w:pPr>
                    <w:jc w:val="center"/>
                    <w:rPr>
                      <w:rFonts w:hint="eastAsia"/>
                      <w:sz w:val="21"/>
                      <w:szCs w:val="21"/>
                    </w:rPr>
                  </w:pPr>
                  <w:r>
                    <w:rPr>
                      <w:sz w:val="21"/>
                      <w:szCs w:val="21"/>
                    </w:rPr>
                    <w:t>≤</w:t>
                  </w:r>
                  <w:r>
                    <w:rPr>
                      <w:rFonts w:hint="eastAsia"/>
                      <w:sz w:val="21"/>
                      <w:szCs w:val="21"/>
                    </w:rPr>
                    <w:t>20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5" w:hRule="atLeast"/>
              </w:trPr>
              <w:tc>
                <w:tcPr>
                  <w:tcW w:w="718" w:type="dxa"/>
                  <w:vMerge w:val="continue"/>
                  <w:vAlign w:val="center"/>
                </w:tcPr>
                <w:p>
                  <w:pPr>
                    <w:spacing w:line="240" w:lineRule="exact"/>
                    <w:jc w:val="center"/>
                    <w:rPr>
                      <w:sz w:val="21"/>
                      <w:szCs w:val="21"/>
                    </w:rPr>
                  </w:pPr>
                </w:p>
              </w:tc>
              <w:tc>
                <w:tcPr>
                  <w:tcW w:w="1518" w:type="dxa"/>
                  <w:vAlign w:val="center"/>
                </w:tcPr>
                <w:p>
                  <w:pPr>
                    <w:jc w:val="center"/>
                    <w:rPr>
                      <w:sz w:val="21"/>
                      <w:szCs w:val="21"/>
                    </w:rPr>
                  </w:pPr>
                  <w:r>
                    <w:rPr>
                      <w:sz w:val="21"/>
                      <w:szCs w:val="21"/>
                    </w:rPr>
                    <w:t>BOD</w:t>
                  </w:r>
                  <w:r>
                    <w:rPr>
                      <w:sz w:val="21"/>
                      <w:szCs w:val="21"/>
                      <w:vertAlign w:val="subscript"/>
                    </w:rPr>
                    <w:t>5</w:t>
                  </w:r>
                </w:p>
              </w:tc>
              <w:tc>
                <w:tcPr>
                  <w:tcW w:w="1703" w:type="dxa"/>
                  <w:vAlign w:val="center"/>
                </w:tcPr>
                <w:p>
                  <w:pPr>
                    <w:jc w:val="center"/>
                    <w:rPr>
                      <w:rFonts w:hint="eastAsia"/>
                      <w:sz w:val="21"/>
                      <w:szCs w:val="21"/>
                    </w:rPr>
                  </w:pPr>
                  <w:r>
                    <w:rPr>
                      <w:rFonts w:hint="eastAsia"/>
                      <w:sz w:val="21"/>
                      <w:szCs w:val="21"/>
                    </w:rPr>
                    <w:t>2.04-2.71</w:t>
                  </w:r>
                </w:p>
              </w:tc>
              <w:tc>
                <w:tcPr>
                  <w:tcW w:w="1281" w:type="dxa"/>
                  <w:vAlign w:val="center"/>
                </w:tcPr>
                <w:p>
                  <w:pPr>
                    <w:jc w:val="center"/>
                    <w:rPr>
                      <w:rFonts w:hint="eastAsia"/>
                      <w:sz w:val="21"/>
                      <w:szCs w:val="21"/>
                    </w:rPr>
                  </w:pPr>
                  <w:r>
                    <w:rPr>
                      <w:rFonts w:hint="eastAsia"/>
                      <w:sz w:val="21"/>
                      <w:szCs w:val="21"/>
                    </w:rPr>
                    <w:t>2.38</w:t>
                  </w:r>
                </w:p>
              </w:tc>
              <w:tc>
                <w:tcPr>
                  <w:tcW w:w="910" w:type="dxa"/>
                  <w:vAlign w:val="center"/>
                </w:tcPr>
                <w:p>
                  <w:pPr>
                    <w:jc w:val="center"/>
                    <w:rPr>
                      <w:sz w:val="21"/>
                      <w:szCs w:val="21"/>
                    </w:rPr>
                  </w:pPr>
                  <w:r>
                    <w:rPr>
                      <w:sz w:val="21"/>
                      <w:szCs w:val="21"/>
                    </w:rPr>
                    <w:t>/</w:t>
                  </w:r>
                </w:p>
              </w:tc>
              <w:tc>
                <w:tcPr>
                  <w:tcW w:w="890" w:type="dxa"/>
                  <w:vAlign w:val="center"/>
                </w:tcPr>
                <w:p>
                  <w:pPr>
                    <w:jc w:val="center"/>
                    <w:rPr>
                      <w:sz w:val="21"/>
                      <w:szCs w:val="21"/>
                    </w:rPr>
                  </w:pPr>
                  <w:r>
                    <w:rPr>
                      <w:sz w:val="21"/>
                      <w:szCs w:val="21"/>
                    </w:rPr>
                    <w:t>/</w:t>
                  </w:r>
                </w:p>
              </w:tc>
              <w:tc>
                <w:tcPr>
                  <w:tcW w:w="1620" w:type="dxa"/>
                  <w:vAlign w:val="center"/>
                </w:tcPr>
                <w:p>
                  <w:pPr>
                    <w:jc w:val="center"/>
                    <w:rPr>
                      <w:sz w:val="21"/>
                      <w:szCs w:val="21"/>
                    </w:rPr>
                  </w:pPr>
                  <w:r>
                    <w:rPr>
                      <w:sz w:val="21"/>
                      <w:szCs w:val="21"/>
                    </w:rPr>
                    <w:t>≤</w:t>
                  </w:r>
                  <w:r>
                    <w:rPr>
                      <w:rFonts w:hint="eastAsia"/>
                      <w:sz w:val="21"/>
                      <w:szCs w:val="21"/>
                    </w:rPr>
                    <w:t>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5" w:hRule="atLeast"/>
              </w:trPr>
              <w:tc>
                <w:tcPr>
                  <w:tcW w:w="718" w:type="dxa"/>
                  <w:vMerge w:val="continue"/>
                  <w:vAlign w:val="center"/>
                </w:tcPr>
                <w:p>
                  <w:pPr>
                    <w:spacing w:line="240" w:lineRule="exact"/>
                    <w:jc w:val="center"/>
                    <w:rPr>
                      <w:sz w:val="21"/>
                      <w:szCs w:val="21"/>
                    </w:rPr>
                  </w:pPr>
                </w:p>
              </w:tc>
              <w:tc>
                <w:tcPr>
                  <w:tcW w:w="1518" w:type="dxa"/>
                  <w:vAlign w:val="center"/>
                </w:tcPr>
                <w:p>
                  <w:pPr>
                    <w:jc w:val="center"/>
                    <w:rPr>
                      <w:sz w:val="21"/>
                      <w:szCs w:val="21"/>
                    </w:rPr>
                  </w:pPr>
                  <w:r>
                    <w:rPr>
                      <w:sz w:val="21"/>
                      <w:szCs w:val="21"/>
                    </w:rPr>
                    <w:t>NH</w:t>
                  </w:r>
                  <w:r>
                    <w:rPr>
                      <w:sz w:val="21"/>
                      <w:szCs w:val="21"/>
                      <w:vertAlign w:val="subscript"/>
                    </w:rPr>
                    <w:t>3</w:t>
                  </w:r>
                  <w:r>
                    <w:rPr>
                      <w:sz w:val="21"/>
                      <w:szCs w:val="21"/>
                    </w:rPr>
                    <w:t>-N</w:t>
                  </w:r>
                </w:p>
              </w:tc>
              <w:tc>
                <w:tcPr>
                  <w:tcW w:w="1703" w:type="dxa"/>
                  <w:vAlign w:val="center"/>
                </w:tcPr>
                <w:p>
                  <w:pPr>
                    <w:jc w:val="center"/>
                    <w:rPr>
                      <w:rFonts w:hint="eastAsia"/>
                      <w:sz w:val="21"/>
                      <w:szCs w:val="21"/>
                    </w:rPr>
                  </w:pPr>
                  <w:r>
                    <w:rPr>
                      <w:rFonts w:hint="eastAsia"/>
                      <w:sz w:val="21"/>
                      <w:szCs w:val="21"/>
                    </w:rPr>
                    <w:t>0.309-0.55</w:t>
                  </w:r>
                </w:p>
              </w:tc>
              <w:tc>
                <w:tcPr>
                  <w:tcW w:w="1281" w:type="dxa"/>
                  <w:vAlign w:val="center"/>
                </w:tcPr>
                <w:p>
                  <w:pPr>
                    <w:jc w:val="center"/>
                    <w:rPr>
                      <w:rFonts w:hint="eastAsia"/>
                      <w:sz w:val="21"/>
                      <w:szCs w:val="21"/>
                    </w:rPr>
                  </w:pPr>
                  <w:r>
                    <w:rPr>
                      <w:rFonts w:hint="eastAsia"/>
                      <w:sz w:val="21"/>
                      <w:szCs w:val="21"/>
                    </w:rPr>
                    <w:t>0.347</w:t>
                  </w:r>
                </w:p>
              </w:tc>
              <w:tc>
                <w:tcPr>
                  <w:tcW w:w="910" w:type="dxa"/>
                  <w:vAlign w:val="center"/>
                </w:tcPr>
                <w:p>
                  <w:pPr>
                    <w:jc w:val="center"/>
                    <w:rPr>
                      <w:sz w:val="21"/>
                      <w:szCs w:val="21"/>
                    </w:rPr>
                  </w:pPr>
                  <w:r>
                    <w:rPr>
                      <w:sz w:val="21"/>
                      <w:szCs w:val="21"/>
                    </w:rPr>
                    <w:t>/</w:t>
                  </w:r>
                </w:p>
              </w:tc>
              <w:tc>
                <w:tcPr>
                  <w:tcW w:w="890" w:type="dxa"/>
                  <w:vAlign w:val="center"/>
                </w:tcPr>
                <w:p>
                  <w:pPr>
                    <w:jc w:val="center"/>
                    <w:rPr>
                      <w:sz w:val="21"/>
                      <w:szCs w:val="21"/>
                    </w:rPr>
                  </w:pPr>
                  <w:r>
                    <w:rPr>
                      <w:sz w:val="21"/>
                      <w:szCs w:val="21"/>
                    </w:rPr>
                    <w:t>/</w:t>
                  </w:r>
                </w:p>
              </w:tc>
              <w:tc>
                <w:tcPr>
                  <w:tcW w:w="1620" w:type="dxa"/>
                  <w:vAlign w:val="center"/>
                </w:tcPr>
                <w:p>
                  <w:pPr>
                    <w:jc w:val="center"/>
                    <w:rPr>
                      <w:rFonts w:hint="eastAsia"/>
                      <w:sz w:val="21"/>
                      <w:szCs w:val="21"/>
                    </w:rPr>
                  </w:pPr>
                  <w:r>
                    <w:rPr>
                      <w:sz w:val="21"/>
                      <w:szCs w:val="21"/>
                    </w:rPr>
                    <w:t>≤</w:t>
                  </w:r>
                  <w:r>
                    <w:rPr>
                      <w:rFonts w:hint="eastAsia"/>
                      <w:sz w:val="21"/>
                      <w:szCs w:val="21"/>
                    </w:rPr>
                    <w:t>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5" w:hRule="atLeast"/>
              </w:trPr>
              <w:tc>
                <w:tcPr>
                  <w:tcW w:w="718" w:type="dxa"/>
                  <w:vMerge w:val="continue"/>
                  <w:vAlign w:val="center"/>
                </w:tcPr>
                <w:p>
                  <w:pPr>
                    <w:spacing w:line="240" w:lineRule="exact"/>
                    <w:jc w:val="center"/>
                    <w:rPr>
                      <w:sz w:val="21"/>
                      <w:szCs w:val="21"/>
                    </w:rPr>
                  </w:pPr>
                </w:p>
              </w:tc>
              <w:tc>
                <w:tcPr>
                  <w:tcW w:w="1518" w:type="dxa"/>
                  <w:vAlign w:val="center"/>
                </w:tcPr>
                <w:p>
                  <w:pPr>
                    <w:jc w:val="center"/>
                    <w:rPr>
                      <w:sz w:val="21"/>
                      <w:szCs w:val="21"/>
                    </w:rPr>
                  </w:pPr>
                  <w:r>
                    <w:rPr>
                      <w:sz w:val="21"/>
                      <w:szCs w:val="21"/>
                    </w:rPr>
                    <w:t>TP</w:t>
                  </w:r>
                </w:p>
              </w:tc>
              <w:tc>
                <w:tcPr>
                  <w:tcW w:w="1703" w:type="dxa"/>
                  <w:vAlign w:val="center"/>
                </w:tcPr>
                <w:p>
                  <w:pPr>
                    <w:jc w:val="center"/>
                    <w:rPr>
                      <w:rFonts w:hint="eastAsia"/>
                      <w:sz w:val="21"/>
                      <w:szCs w:val="21"/>
                    </w:rPr>
                  </w:pPr>
                  <w:r>
                    <w:rPr>
                      <w:rFonts w:hint="eastAsia"/>
                      <w:sz w:val="21"/>
                      <w:szCs w:val="21"/>
                    </w:rPr>
                    <w:t>0.14-0.15</w:t>
                  </w:r>
                </w:p>
              </w:tc>
              <w:tc>
                <w:tcPr>
                  <w:tcW w:w="1281" w:type="dxa"/>
                  <w:vAlign w:val="center"/>
                </w:tcPr>
                <w:p>
                  <w:pPr>
                    <w:jc w:val="center"/>
                    <w:rPr>
                      <w:rFonts w:hint="eastAsia"/>
                      <w:sz w:val="21"/>
                      <w:szCs w:val="21"/>
                    </w:rPr>
                  </w:pPr>
                  <w:r>
                    <w:rPr>
                      <w:rFonts w:hint="eastAsia"/>
                      <w:sz w:val="21"/>
                      <w:szCs w:val="21"/>
                    </w:rPr>
                    <w:t>0.143</w:t>
                  </w:r>
                </w:p>
              </w:tc>
              <w:tc>
                <w:tcPr>
                  <w:tcW w:w="910" w:type="dxa"/>
                  <w:vAlign w:val="center"/>
                </w:tcPr>
                <w:p>
                  <w:pPr>
                    <w:jc w:val="center"/>
                    <w:rPr>
                      <w:sz w:val="21"/>
                      <w:szCs w:val="21"/>
                    </w:rPr>
                  </w:pPr>
                  <w:r>
                    <w:rPr>
                      <w:sz w:val="21"/>
                      <w:szCs w:val="21"/>
                    </w:rPr>
                    <w:t>/</w:t>
                  </w:r>
                </w:p>
              </w:tc>
              <w:tc>
                <w:tcPr>
                  <w:tcW w:w="890" w:type="dxa"/>
                  <w:vAlign w:val="center"/>
                </w:tcPr>
                <w:p>
                  <w:pPr>
                    <w:jc w:val="center"/>
                    <w:rPr>
                      <w:sz w:val="21"/>
                      <w:szCs w:val="21"/>
                    </w:rPr>
                  </w:pPr>
                  <w:r>
                    <w:rPr>
                      <w:sz w:val="21"/>
                      <w:szCs w:val="21"/>
                    </w:rPr>
                    <w:t>/</w:t>
                  </w:r>
                </w:p>
              </w:tc>
              <w:tc>
                <w:tcPr>
                  <w:tcW w:w="1620" w:type="dxa"/>
                  <w:vAlign w:val="center"/>
                </w:tcPr>
                <w:p>
                  <w:pPr>
                    <w:jc w:val="center"/>
                    <w:rPr>
                      <w:rFonts w:hint="eastAsia"/>
                      <w:sz w:val="21"/>
                      <w:szCs w:val="21"/>
                    </w:rPr>
                  </w:pPr>
                  <w:r>
                    <w:rPr>
                      <w:sz w:val="21"/>
                      <w:szCs w:val="21"/>
                    </w:rPr>
                    <w:t>≤0</w:t>
                  </w:r>
                  <w:r>
                    <w:rPr>
                      <w:rFonts w:hint="eastAsia"/>
                      <w:sz w:val="21"/>
                      <w:szCs w:val="21"/>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5" w:hRule="atLeast"/>
              </w:trPr>
              <w:tc>
                <w:tcPr>
                  <w:tcW w:w="718" w:type="dxa"/>
                  <w:vMerge w:val="continue"/>
                  <w:vAlign w:val="center"/>
                </w:tcPr>
                <w:p>
                  <w:pPr>
                    <w:spacing w:line="240" w:lineRule="exact"/>
                    <w:jc w:val="center"/>
                    <w:rPr>
                      <w:sz w:val="21"/>
                      <w:szCs w:val="21"/>
                    </w:rPr>
                  </w:pPr>
                </w:p>
              </w:tc>
              <w:tc>
                <w:tcPr>
                  <w:tcW w:w="1518" w:type="dxa"/>
                  <w:vAlign w:val="center"/>
                </w:tcPr>
                <w:p>
                  <w:pPr>
                    <w:jc w:val="center"/>
                    <w:rPr>
                      <w:rFonts w:hint="eastAsia"/>
                      <w:sz w:val="21"/>
                      <w:szCs w:val="21"/>
                    </w:rPr>
                  </w:pPr>
                  <w:r>
                    <w:rPr>
                      <w:rFonts w:hint="eastAsia"/>
                      <w:sz w:val="21"/>
                      <w:szCs w:val="21"/>
                    </w:rPr>
                    <w:t>总氮</w:t>
                  </w:r>
                </w:p>
              </w:tc>
              <w:tc>
                <w:tcPr>
                  <w:tcW w:w="1703" w:type="dxa"/>
                  <w:vAlign w:val="center"/>
                </w:tcPr>
                <w:p>
                  <w:pPr>
                    <w:jc w:val="center"/>
                    <w:rPr>
                      <w:rFonts w:hint="eastAsia"/>
                      <w:sz w:val="21"/>
                      <w:szCs w:val="21"/>
                    </w:rPr>
                  </w:pPr>
                  <w:r>
                    <w:rPr>
                      <w:rFonts w:hint="eastAsia"/>
                      <w:sz w:val="21"/>
                      <w:szCs w:val="21"/>
                    </w:rPr>
                    <w:t>0.835-0.857</w:t>
                  </w:r>
                </w:p>
              </w:tc>
              <w:tc>
                <w:tcPr>
                  <w:tcW w:w="1281" w:type="dxa"/>
                  <w:vAlign w:val="center"/>
                </w:tcPr>
                <w:p>
                  <w:pPr>
                    <w:jc w:val="center"/>
                    <w:rPr>
                      <w:rFonts w:hint="eastAsia"/>
                      <w:sz w:val="21"/>
                      <w:szCs w:val="21"/>
                    </w:rPr>
                  </w:pPr>
                  <w:r>
                    <w:rPr>
                      <w:rFonts w:hint="eastAsia"/>
                      <w:sz w:val="21"/>
                      <w:szCs w:val="21"/>
                    </w:rPr>
                    <w:t>0.846</w:t>
                  </w:r>
                </w:p>
              </w:tc>
              <w:tc>
                <w:tcPr>
                  <w:tcW w:w="910" w:type="dxa"/>
                  <w:vAlign w:val="center"/>
                </w:tcPr>
                <w:p>
                  <w:pPr>
                    <w:jc w:val="center"/>
                    <w:rPr>
                      <w:sz w:val="21"/>
                      <w:szCs w:val="21"/>
                    </w:rPr>
                  </w:pPr>
                  <w:r>
                    <w:rPr>
                      <w:sz w:val="21"/>
                      <w:szCs w:val="21"/>
                    </w:rPr>
                    <w:t>/</w:t>
                  </w:r>
                </w:p>
              </w:tc>
              <w:tc>
                <w:tcPr>
                  <w:tcW w:w="890" w:type="dxa"/>
                  <w:vAlign w:val="center"/>
                </w:tcPr>
                <w:p>
                  <w:pPr>
                    <w:jc w:val="center"/>
                    <w:rPr>
                      <w:sz w:val="21"/>
                      <w:szCs w:val="21"/>
                    </w:rPr>
                  </w:pPr>
                  <w:r>
                    <w:rPr>
                      <w:sz w:val="21"/>
                      <w:szCs w:val="21"/>
                    </w:rPr>
                    <w:t>/</w:t>
                  </w:r>
                </w:p>
              </w:tc>
              <w:tc>
                <w:tcPr>
                  <w:tcW w:w="1620" w:type="dxa"/>
                  <w:vAlign w:val="center"/>
                </w:tcPr>
                <w:p>
                  <w:pPr>
                    <w:jc w:val="center"/>
                    <w:rPr>
                      <w:sz w:val="21"/>
                      <w:szCs w:val="21"/>
                    </w:rPr>
                  </w:pPr>
                  <w:r>
                    <w:rPr>
                      <w:sz w:val="21"/>
                      <w:szCs w:val="21"/>
                    </w:rPr>
                    <w:t>≤</w:t>
                  </w:r>
                  <w:r>
                    <w:rPr>
                      <w:rFonts w:hint="eastAsia"/>
                      <w:sz w:val="21"/>
                      <w:szCs w:val="21"/>
                    </w:rPr>
                    <w:t>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5" w:hRule="atLeast"/>
              </w:trPr>
              <w:tc>
                <w:tcPr>
                  <w:tcW w:w="718" w:type="dxa"/>
                  <w:vMerge w:val="continue"/>
                  <w:vAlign w:val="center"/>
                </w:tcPr>
                <w:p>
                  <w:pPr>
                    <w:spacing w:line="240" w:lineRule="exact"/>
                    <w:jc w:val="center"/>
                    <w:rPr>
                      <w:sz w:val="21"/>
                      <w:szCs w:val="21"/>
                    </w:rPr>
                  </w:pPr>
                </w:p>
              </w:tc>
              <w:tc>
                <w:tcPr>
                  <w:tcW w:w="1518" w:type="dxa"/>
                  <w:vAlign w:val="center"/>
                </w:tcPr>
                <w:p>
                  <w:pPr>
                    <w:jc w:val="center"/>
                    <w:rPr>
                      <w:rFonts w:hint="eastAsia"/>
                      <w:sz w:val="21"/>
                      <w:szCs w:val="21"/>
                    </w:rPr>
                  </w:pPr>
                  <w:r>
                    <w:rPr>
                      <w:rFonts w:hint="eastAsia"/>
                      <w:sz w:val="21"/>
                      <w:szCs w:val="21"/>
                    </w:rPr>
                    <w:t>粪大肠菌群</w:t>
                  </w:r>
                </w:p>
              </w:tc>
              <w:tc>
                <w:tcPr>
                  <w:tcW w:w="1703" w:type="dxa"/>
                  <w:vAlign w:val="center"/>
                </w:tcPr>
                <w:p>
                  <w:pPr>
                    <w:jc w:val="center"/>
                    <w:rPr>
                      <w:rFonts w:hint="eastAsia"/>
                      <w:sz w:val="21"/>
                      <w:szCs w:val="21"/>
                    </w:rPr>
                  </w:pPr>
                  <w:r>
                    <w:rPr>
                      <w:rFonts w:hint="eastAsia"/>
                      <w:sz w:val="21"/>
                      <w:szCs w:val="21"/>
                    </w:rPr>
                    <w:t>4300-5600</w:t>
                  </w:r>
                </w:p>
              </w:tc>
              <w:tc>
                <w:tcPr>
                  <w:tcW w:w="1281" w:type="dxa"/>
                  <w:vAlign w:val="center"/>
                </w:tcPr>
                <w:p>
                  <w:pPr>
                    <w:jc w:val="center"/>
                    <w:rPr>
                      <w:rFonts w:hint="eastAsia"/>
                      <w:sz w:val="21"/>
                      <w:szCs w:val="21"/>
                    </w:rPr>
                  </w:pPr>
                  <w:r>
                    <w:rPr>
                      <w:rFonts w:hint="eastAsia"/>
                      <w:sz w:val="21"/>
                      <w:szCs w:val="21"/>
                    </w:rPr>
                    <w:t>5400</w:t>
                  </w:r>
                </w:p>
              </w:tc>
              <w:tc>
                <w:tcPr>
                  <w:tcW w:w="910" w:type="dxa"/>
                  <w:vAlign w:val="center"/>
                </w:tcPr>
                <w:p>
                  <w:pPr>
                    <w:jc w:val="center"/>
                    <w:rPr>
                      <w:sz w:val="21"/>
                      <w:szCs w:val="21"/>
                    </w:rPr>
                  </w:pPr>
                  <w:r>
                    <w:rPr>
                      <w:sz w:val="21"/>
                      <w:szCs w:val="21"/>
                    </w:rPr>
                    <w:t>/</w:t>
                  </w:r>
                </w:p>
              </w:tc>
              <w:tc>
                <w:tcPr>
                  <w:tcW w:w="890" w:type="dxa"/>
                  <w:vAlign w:val="center"/>
                </w:tcPr>
                <w:p>
                  <w:pPr>
                    <w:jc w:val="center"/>
                    <w:rPr>
                      <w:sz w:val="21"/>
                      <w:szCs w:val="21"/>
                    </w:rPr>
                  </w:pPr>
                  <w:r>
                    <w:rPr>
                      <w:sz w:val="21"/>
                      <w:szCs w:val="21"/>
                    </w:rPr>
                    <w:t>/</w:t>
                  </w:r>
                </w:p>
              </w:tc>
              <w:tc>
                <w:tcPr>
                  <w:tcW w:w="1620" w:type="dxa"/>
                  <w:vAlign w:val="center"/>
                </w:tcPr>
                <w:p>
                  <w:pPr>
                    <w:jc w:val="center"/>
                    <w:rPr>
                      <w:sz w:val="21"/>
                      <w:szCs w:val="21"/>
                    </w:rPr>
                  </w:pPr>
                  <w:r>
                    <w:rPr>
                      <w:sz w:val="21"/>
                      <w:szCs w:val="21"/>
                    </w:rPr>
                    <w:t>≤</w:t>
                  </w:r>
                  <w:r>
                    <w:rPr>
                      <w:rFonts w:hint="eastAsia"/>
                      <w:sz w:val="21"/>
                      <w:szCs w:val="21"/>
                    </w:rPr>
                    <w:t>10000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5" w:hRule="atLeast"/>
              </w:trPr>
              <w:tc>
                <w:tcPr>
                  <w:tcW w:w="718" w:type="dxa"/>
                  <w:vMerge w:val="continue"/>
                  <w:vAlign w:val="center"/>
                </w:tcPr>
                <w:p>
                  <w:pPr>
                    <w:spacing w:line="240" w:lineRule="exact"/>
                    <w:jc w:val="center"/>
                    <w:rPr>
                      <w:sz w:val="21"/>
                      <w:szCs w:val="21"/>
                    </w:rPr>
                  </w:pPr>
                </w:p>
              </w:tc>
              <w:tc>
                <w:tcPr>
                  <w:tcW w:w="1518" w:type="dxa"/>
                  <w:vAlign w:val="center"/>
                </w:tcPr>
                <w:p>
                  <w:pPr>
                    <w:jc w:val="center"/>
                    <w:rPr>
                      <w:rFonts w:hint="eastAsia"/>
                      <w:sz w:val="21"/>
                      <w:szCs w:val="21"/>
                    </w:rPr>
                  </w:pPr>
                  <w:r>
                    <w:rPr>
                      <w:rFonts w:hint="eastAsia"/>
                      <w:sz w:val="21"/>
                      <w:szCs w:val="21"/>
                    </w:rPr>
                    <w:t>石油类</w:t>
                  </w:r>
                </w:p>
              </w:tc>
              <w:tc>
                <w:tcPr>
                  <w:tcW w:w="1703" w:type="dxa"/>
                  <w:vAlign w:val="center"/>
                </w:tcPr>
                <w:p>
                  <w:pPr>
                    <w:jc w:val="center"/>
                    <w:rPr>
                      <w:rFonts w:hint="eastAsia"/>
                      <w:sz w:val="21"/>
                      <w:szCs w:val="21"/>
                    </w:rPr>
                  </w:pPr>
                  <w:r>
                    <w:rPr>
                      <w:rFonts w:hint="eastAsia"/>
                      <w:sz w:val="21"/>
                      <w:szCs w:val="21"/>
                    </w:rPr>
                    <w:t>0.01ND</w:t>
                  </w:r>
                </w:p>
              </w:tc>
              <w:tc>
                <w:tcPr>
                  <w:tcW w:w="1281" w:type="dxa"/>
                  <w:vAlign w:val="center"/>
                </w:tcPr>
                <w:p>
                  <w:pPr>
                    <w:jc w:val="center"/>
                    <w:rPr>
                      <w:rFonts w:hint="eastAsia"/>
                      <w:sz w:val="21"/>
                      <w:szCs w:val="21"/>
                    </w:rPr>
                  </w:pPr>
                  <w:r>
                    <w:rPr>
                      <w:rFonts w:hint="eastAsia"/>
                      <w:sz w:val="21"/>
                      <w:szCs w:val="21"/>
                    </w:rPr>
                    <w:t>0.01ND</w:t>
                  </w:r>
                </w:p>
              </w:tc>
              <w:tc>
                <w:tcPr>
                  <w:tcW w:w="910" w:type="dxa"/>
                  <w:vAlign w:val="center"/>
                </w:tcPr>
                <w:p>
                  <w:pPr>
                    <w:jc w:val="center"/>
                    <w:rPr>
                      <w:sz w:val="21"/>
                      <w:szCs w:val="21"/>
                    </w:rPr>
                  </w:pPr>
                  <w:r>
                    <w:rPr>
                      <w:sz w:val="21"/>
                      <w:szCs w:val="21"/>
                    </w:rPr>
                    <w:t>/</w:t>
                  </w:r>
                </w:p>
              </w:tc>
              <w:tc>
                <w:tcPr>
                  <w:tcW w:w="890" w:type="dxa"/>
                  <w:vAlign w:val="center"/>
                </w:tcPr>
                <w:p>
                  <w:pPr>
                    <w:jc w:val="center"/>
                    <w:rPr>
                      <w:sz w:val="21"/>
                      <w:szCs w:val="21"/>
                    </w:rPr>
                  </w:pPr>
                  <w:r>
                    <w:rPr>
                      <w:sz w:val="21"/>
                      <w:szCs w:val="21"/>
                    </w:rPr>
                    <w:t>/</w:t>
                  </w:r>
                </w:p>
              </w:tc>
              <w:tc>
                <w:tcPr>
                  <w:tcW w:w="1620" w:type="dxa"/>
                  <w:vAlign w:val="center"/>
                </w:tcPr>
                <w:p>
                  <w:pPr>
                    <w:jc w:val="center"/>
                    <w:rPr>
                      <w:rFonts w:hint="eastAsia"/>
                      <w:sz w:val="21"/>
                      <w:szCs w:val="21"/>
                    </w:rPr>
                  </w:pPr>
                  <w:r>
                    <w:rPr>
                      <w:sz w:val="21"/>
                      <w:szCs w:val="21"/>
                    </w:rPr>
                    <w:t>≤0</w:t>
                  </w:r>
                  <w:r>
                    <w:rPr>
                      <w:rFonts w:hint="eastAsia"/>
                      <w:sz w:val="21"/>
                      <w:szCs w:val="21"/>
                    </w:rPr>
                    <w:t>.05</w:t>
                  </w:r>
                </w:p>
              </w:tc>
            </w:tr>
          </w:tbl>
          <w:p>
            <w:pPr>
              <w:pStyle w:val="34"/>
              <w:spacing w:before="0" w:beforeAutospacing="0" w:after="0" w:afterAutospacing="0" w:line="360" w:lineRule="auto"/>
              <w:ind w:firstLine="600" w:firstLineChars="250"/>
              <w:jc w:val="both"/>
              <w:rPr>
                <w:rFonts w:hint="eastAsia" w:ascii="Times New Roman" w:hAnsi="Times New Roman" w:cs="Times New Roman"/>
                <w:kern w:val="2"/>
              </w:rPr>
            </w:pPr>
            <w:r>
              <w:rPr>
                <w:rFonts w:hint="eastAsia" w:ascii="Times New Roman" w:hAnsi="Times New Roman" w:cs="Times New Roman"/>
                <w:kern w:val="2"/>
              </w:rPr>
              <w:t>由上表</w:t>
            </w:r>
            <w:r>
              <w:rPr>
                <w:rFonts w:ascii="Times New Roman" w:hAnsi="Times New Roman" w:cs="Times New Roman"/>
                <w:kern w:val="2"/>
              </w:rPr>
              <w:t>可以看出，</w:t>
            </w:r>
            <w:r>
              <w:rPr>
                <w:rFonts w:hint="eastAsia" w:ascii="Times New Roman" w:hAnsi="Times New Roman" w:cs="Times New Roman"/>
                <w:kern w:val="2"/>
              </w:rPr>
              <w:t>南湖和北港河各监测因子均能满足</w:t>
            </w:r>
            <w:r>
              <w:rPr>
                <w:rFonts w:ascii="Times New Roman" w:hAnsi="Times New Roman" w:cs="Times New Roman"/>
                <w:kern w:val="2"/>
              </w:rPr>
              <w:t>《地表水环境质量标准》（GB3838-2002）</w:t>
            </w:r>
            <w:r>
              <w:rPr>
                <w:rFonts w:hint="eastAsia" w:ascii="Times New Roman" w:hAnsi="Times New Roman" w:cs="Times New Roman"/>
                <w:kern w:val="2"/>
              </w:rPr>
              <w:t>Ⅲ</w:t>
            </w:r>
            <w:r>
              <w:rPr>
                <w:rFonts w:ascii="Times New Roman" w:hAnsi="Times New Roman" w:cs="Times New Roman"/>
                <w:kern w:val="2"/>
              </w:rPr>
              <w:t>类标准</w:t>
            </w:r>
            <w:r>
              <w:rPr>
                <w:rFonts w:hint="eastAsia" w:ascii="Times New Roman" w:hAnsi="Times New Roman" w:cs="Times New Roman"/>
                <w:kern w:val="2"/>
              </w:rPr>
              <w:t>要求，说明项目所在地表水环境质量现状较好。</w:t>
            </w:r>
          </w:p>
          <w:p>
            <w:pPr>
              <w:snapToGrid w:val="0"/>
              <w:jc w:val="center"/>
              <w:rPr>
                <w:rFonts w:hint="eastAsia"/>
                <w:b/>
                <w:sz w:val="24"/>
              </w:rPr>
            </w:pPr>
            <w:r>
              <w:rPr>
                <w:b/>
                <w:sz w:val="24"/>
              </w:rPr>
              <w:t>表</w:t>
            </w:r>
            <w:r>
              <w:rPr>
                <w:rFonts w:hint="eastAsia"/>
                <w:b/>
                <w:sz w:val="24"/>
                <w:lang w:val="en-US" w:eastAsia="zh-CN"/>
              </w:rPr>
              <w:t>3</w:t>
            </w:r>
            <w:r>
              <w:rPr>
                <w:rFonts w:hint="eastAsia"/>
                <w:b/>
                <w:sz w:val="24"/>
              </w:rPr>
              <w:t>-3</w:t>
            </w:r>
            <w:r>
              <w:rPr>
                <w:b/>
                <w:sz w:val="24"/>
              </w:rPr>
              <w:t xml:space="preserve"> </w:t>
            </w:r>
            <w:r>
              <w:rPr>
                <w:rFonts w:hint="eastAsia"/>
                <w:b/>
                <w:sz w:val="24"/>
              </w:rPr>
              <w:t xml:space="preserve"> 梅溪港</w:t>
            </w:r>
            <w:r>
              <w:rPr>
                <w:b/>
                <w:sz w:val="24"/>
              </w:rPr>
              <w:t>环境质量现状监测评价结果统计表[单位：mg/L，</w:t>
            </w:r>
            <w:r>
              <w:rPr>
                <w:rFonts w:hint="eastAsia"/>
                <w:b/>
                <w:sz w:val="24"/>
              </w:rPr>
              <w:t>p</w:t>
            </w:r>
            <w:r>
              <w:rPr>
                <w:b/>
                <w:sz w:val="24"/>
              </w:rPr>
              <w:t>H除外</w:t>
            </w:r>
          </w:p>
          <w:tbl>
            <w:tblPr>
              <w:tblStyle w:val="42"/>
              <w:tblW w:w="8662"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67"/>
              <w:gridCol w:w="1609"/>
              <w:gridCol w:w="1805"/>
              <w:gridCol w:w="1357"/>
              <w:gridCol w:w="964"/>
              <w:gridCol w:w="1134"/>
              <w:gridCol w:w="102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0" w:hRule="atLeast"/>
              </w:trPr>
              <w:tc>
                <w:tcPr>
                  <w:tcW w:w="767" w:type="dxa"/>
                  <w:vAlign w:val="center"/>
                </w:tcPr>
                <w:p>
                  <w:pPr>
                    <w:jc w:val="center"/>
                    <w:rPr>
                      <w:sz w:val="21"/>
                      <w:szCs w:val="21"/>
                    </w:rPr>
                  </w:pPr>
                  <w:r>
                    <w:rPr>
                      <w:sz w:val="21"/>
                      <w:szCs w:val="21"/>
                    </w:rPr>
                    <w:t>断面</w:t>
                  </w:r>
                </w:p>
              </w:tc>
              <w:tc>
                <w:tcPr>
                  <w:tcW w:w="1609" w:type="dxa"/>
                  <w:vAlign w:val="center"/>
                </w:tcPr>
                <w:p>
                  <w:pPr>
                    <w:jc w:val="center"/>
                    <w:rPr>
                      <w:sz w:val="21"/>
                      <w:szCs w:val="21"/>
                    </w:rPr>
                  </w:pPr>
                  <w:r>
                    <w:rPr>
                      <w:sz w:val="21"/>
                      <w:szCs w:val="21"/>
                    </w:rPr>
                    <w:t>监测因子</w:t>
                  </w:r>
                </w:p>
              </w:tc>
              <w:tc>
                <w:tcPr>
                  <w:tcW w:w="1805" w:type="dxa"/>
                  <w:vAlign w:val="center"/>
                </w:tcPr>
                <w:p>
                  <w:pPr>
                    <w:jc w:val="center"/>
                    <w:rPr>
                      <w:sz w:val="21"/>
                      <w:szCs w:val="21"/>
                    </w:rPr>
                  </w:pPr>
                  <w:r>
                    <w:rPr>
                      <w:sz w:val="21"/>
                      <w:szCs w:val="21"/>
                    </w:rPr>
                    <w:t>范围值</w:t>
                  </w:r>
                </w:p>
              </w:tc>
              <w:tc>
                <w:tcPr>
                  <w:tcW w:w="1357" w:type="dxa"/>
                  <w:vAlign w:val="center"/>
                </w:tcPr>
                <w:p>
                  <w:pPr>
                    <w:jc w:val="center"/>
                    <w:rPr>
                      <w:sz w:val="21"/>
                      <w:szCs w:val="21"/>
                    </w:rPr>
                  </w:pPr>
                  <w:r>
                    <w:rPr>
                      <w:sz w:val="21"/>
                      <w:szCs w:val="21"/>
                    </w:rPr>
                    <w:t>平均值</w:t>
                  </w:r>
                </w:p>
              </w:tc>
              <w:tc>
                <w:tcPr>
                  <w:tcW w:w="964" w:type="dxa"/>
                  <w:vAlign w:val="center"/>
                </w:tcPr>
                <w:p>
                  <w:pPr>
                    <w:jc w:val="center"/>
                    <w:rPr>
                      <w:sz w:val="21"/>
                      <w:szCs w:val="21"/>
                    </w:rPr>
                  </w:pPr>
                  <w:r>
                    <w:rPr>
                      <w:sz w:val="21"/>
                      <w:szCs w:val="21"/>
                    </w:rPr>
                    <w:t>超标率</w:t>
                  </w:r>
                </w:p>
              </w:tc>
              <w:tc>
                <w:tcPr>
                  <w:tcW w:w="1134" w:type="dxa"/>
                  <w:vAlign w:val="center"/>
                </w:tcPr>
                <w:p>
                  <w:pPr>
                    <w:jc w:val="center"/>
                    <w:rPr>
                      <w:rFonts w:hint="eastAsia"/>
                      <w:sz w:val="21"/>
                      <w:szCs w:val="21"/>
                    </w:rPr>
                  </w:pPr>
                  <w:r>
                    <w:rPr>
                      <w:sz w:val="21"/>
                      <w:szCs w:val="21"/>
                    </w:rPr>
                    <w:t>最大超</w:t>
                  </w:r>
                </w:p>
                <w:p>
                  <w:pPr>
                    <w:jc w:val="center"/>
                    <w:rPr>
                      <w:sz w:val="21"/>
                      <w:szCs w:val="21"/>
                    </w:rPr>
                  </w:pPr>
                  <w:r>
                    <w:rPr>
                      <w:sz w:val="21"/>
                      <w:szCs w:val="21"/>
                    </w:rPr>
                    <w:t>标倍数</w:t>
                  </w:r>
                </w:p>
              </w:tc>
              <w:tc>
                <w:tcPr>
                  <w:tcW w:w="1026" w:type="dxa"/>
                  <w:vAlign w:val="center"/>
                </w:tcPr>
                <w:p>
                  <w:pPr>
                    <w:jc w:val="center"/>
                    <w:rPr>
                      <w:rFonts w:hint="eastAsia"/>
                      <w:sz w:val="21"/>
                      <w:szCs w:val="21"/>
                    </w:rPr>
                  </w:pPr>
                  <w:r>
                    <w:rPr>
                      <w:rFonts w:hint="eastAsia" w:ascii="宋体" w:hAnsi="宋体"/>
                      <w:sz w:val="24"/>
                    </w:rPr>
                    <w:t>Ⅳ</w:t>
                  </w:r>
                  <w:r>
                    <w:rPr>
                      <w:sz w:val="21"/>
                      <w:szCs w:val="21"/>
                    </w:rPr>
                    <w:t>类</w:t>
                  </w:r>
                </w:p>
                <w:p>
                  <w:pPr>
                    <w:jc w:val="center"/>
                    <w:rPr>
                      <w:sz w:val="21"/>
                      <w:szCs w:val="21"/>
                    </w:rPr>
                  </w:pPr>
                  <w:r>
                    <w:rPr>
                      <w:sz w:val="21"/>
                      <w:szCs w:val="21"/>
                    </w:rPr>
                    <w:t>标准值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89" w:hRule="atLeast"/>
              </w:trPr>
              <w:tc>
                <w:tcPr>
                  <w:tcW w:w="767" w:type="dxa"/>
                  <w:vMerge w:val="restart"/>
                  <w:vAlign w:val="center"/>
                </w:tcPr>
                <w:p>
                  <w:pPr>
                    <w:jc w:val="center"/>
                    <w:rPr>
                      <w:sz w:val="21"/>
                      <w:szCs w:val="21"/>
                    </w:rPr>
                  </w:pPr>
                  <w:r>
                    <w:rPr>
                      <w:rFonts w:hint="eastAsia"/>
                      <w:sz w:val="21"/>
                      <w:szCs w:val="21"/>
                    </w:rPr>
                    <w:t>W4</w:t>
                  </w:r>
                </w:p>
              </w:tc>
              <w:tc>
                <w:tcPr>
                  <w:tcW w:w="1609" w:type="dxa"/>
                  <w:vAlign w:val="center"/>
                </w:tcPr>
                <w:p>
                  <w:pPr>
                    <w:jc w:val="center"/>
                    <w:rPr>
                      <w:sz w:val="21"/>
                      <w:szCs w:val="21"/>
                    </w:rPr>
                  </w:pPr>
                  <w:r>
                    <w:rPr>
                      <w:sz w:val="21"/>
                      <w:szCs w:val="21"/>
                    </w:rPr>
                    <w:t>pH</w:t>
                  </w:r>
                </w:p>
              </w:tc>
              <w:tc>
                <w:tcPr>
                  <w:tcW w:w="1805" w:type="dxa"/>
                  <w:vAlign w:val="center"/>
                </w:tcPr>
                <w:p>
                  <w:pPr>
                    <w:jc w:val="center"/>
                    <w:rPr>
                      <w:rFonts w:hint="eastAsia"/>
                      <w:sz w:val="21"/>
                      <w:szCs w:val="21"/>
                    </w:rPr>
                  </w:pPr>
                  <w:r>
                    <w:rPr>
                      <w:rFonts w:hint="eastAsia"/>
                      <w:sz w:val="21"/>
                      <w:szCs w:val="21"/>
                    </w:rPr>
                    <w:t>7.27-7.36</w:t>
                  </w:r>
                </w:p>
              </w:tc>
              <w:tc>
                <w:tcPr>
                  <w:tcW w:w="1357" w:type="dxa"/>
                  <w:vAlign w:val="center"/>
                </w:tcPr>
                <w:p>
                  <w:pPr>
                    <w:jc w:val="center"/>
                    <w:rPr>
                      <w:sz w:val="21"/>
                      <w:szCs w:val="21"/>
                    </w:rPr>
                  </w:pPr>
                  <w:r>
                    <w:rPr>
                      <w:sz w:val="21"/>
                      <w:szCs w:val="21"/>
                    </w:rPr>
                    <w:t>/</w:t>
                  </w:r>
                </w:p>
              </w:tc>
              <w:tc>
                <w:tcPr>
                  <w:tcW w:w="964" w:type="dxa"/>
                  <w:vAlign w:val="center"/>
                </w:tcPr>
                <w:p>
                  <w:pPr>
                    <w:jc w:val="center"/>
                    <w:rPr>
                      <w:sz w:val="21"/>
                      <w:szCs w:val="21"/>
                    </w:rPr>
                  </w:pPr>
                  <w:r>
                    <w:rPr>
                      <w:sz w:val="21"/>
                      <w:szCs w:val="21"/>
                    </w:rPr>
                    <w:t>/</w:t>
                  </w:r>
                </w:p>
              </w:tc>
              <w:tc>
                <w:tcPr>
                  <w:tcW w:w="1134" w:type="dxa"/>
                  <w:vAlign w:val="center"/>
                </w:tcPr>
                <w:p>
                  <w:pPr>
                    <w:jc w:val="center"/>
                    <w:rPr>
                      <w:sz w:val="21"/>
                      <w:szCs w:val="21"/>
                    </w:rPr>
                  </w:pPr>
                  <w:r>
                    <w:rPr>
                      <w:sz w:val="21"/>
                      <w:szCs w:val="21"/>
                    </w:rPr>
                    <w:t>/</w:t>
                  </w:r>
                </w:p>
              </w:tc>
              <w:tc>
                <w:tcPr>
                  <w:tcW w:w="1026" w:type="dxa"/>
                  <w:textDirection w:val="lrTb"/>
                  <w:vAlign w:val="center"/>
                </w:tcPr>
                <w:p>
                  <w:pPr>
                    <w:jc w:val="center"/>
                    <w:rPr>
                      <w:sz w:val="21"/>
                      <w:szCs w:val="21"/>
                    </w:rPr>
                  </w:pPr>
                  <w:r>
                    <w:rPr>
                      <w:sz w:val="21"/>
                      <w:szCs w:val="21"/>
                    </w:rPr>
                    <w:t>6~9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5" w:hRule="atLeast"/>
              </w:trPr>
              <w:tc>
                <w:tcPr>
                  <w:tcW w:w="767" w:type="dxa"/>
                  <w:vMerge w:val="continue"/>
                  <w:vAlign w:val="center"/>
                </w:tcPr>
                <w:p>
                  <w:pPr>
                    <w:jc w:val="center"/>
                    <w:rPr>
                      <w:sz w:val="21"/>
                      <w:szCs w:val="21"/>
                    </w:rPr>
                  </w:pPr>
                </w:p>
              </w:tc>
              <w:tc>
                <w:tcPr>
                  <w:tcW w:w="1609" w:type="dxa"/>
                  <w:vAlign w:val="center"/>
                </w:tcPr>
                <w:p>
                  <w:pPr>
                    <w:jc w:val="center"/>
                    <w:rPr>
                      <w:rFonts w:hint="eastAsia"/>
                      <w:sz w:val="21"/>
                      <w:szCs w:val="21"/>
                    </w:rPr>
                  </w:pPr>
                  <w:r>
                    <w:rPr>
                      <w:rFonts w:hint="eastAsia"/>
                      <w:sz w:val="21"/>
                      <w:szCs w:val="21"/>
                    </w:rPr>
                    <w:t>DO</w:t>
                  </w:r>
                </w:p>
              </w:tc>
              <w:tc>
                <w:tcPr>
                  <w:tcW w:w="1805" w:type="dxa"/>
                  <w:vAlign w:val="center"/>
                </w:tcPr>
                <w:p>
                  <w:pPr>
                    <w:jc w:val="center"/>
                    <w:rPr>
                      <w:rFonts w:hint="eastAsia"/>
                      <w:sz w:val="21"/>
                      <w:szCs w:val="21"/>
                    </w:rPr>
                  </w:pPr>
                  <w:r>
                    <w:rPr>
                      <w:rFonts w:hint="eastAsia"/>
                      <w:sz w:val="21"/>
                      <w:szCs w:val="21"/>
                    </w:rPr>
                    <w:t>5.14-5.20</w:t>
                  </w:r>
                </w:p>
              </w:tc>
              <w:tc>
                <w:tcPr>
                  <w:tcW w:w="1357" w:type="dxa"/>
                  <w:vAlign w:val="center"/>
                </w:tcPr>
                <w:p>
                  <w:pPr>
                    <w:jc w:val="center"/>
                    <w:rPr>
                      <w:rFonts w:hint="eastAsia"/>
                      <w:sz w:val="21"/>
                      <w:szCs w:val="21"/>
                    </w:rPr>
                  </w:pPr>
                  <w:r>
                    <w:rPr>
                      <w:rFonts w:hint="eastAsia"/>
                      <w:sz w:val="21"/>
                      <w:szCs w:val="21"/>
                    </w:rPr>
                    <w:t>5.17</w:t>
                  </w:r>
                </w:p>
              </w:tc>
              <w:tc>
                <w:tcPr>
                  <w:tcW w:w="964" w:type="dxa"/>
                  <w:vAlign w:val="center"/>
                </w:tcPr>
                <w:p>
                  <w:pPr>
                    <w:jc w:val="center"/>
                    <w:rPr>
                      <w:sz w:val="21"/>
                      <w:szCs w:val="21"/>
                    </w:rPr>
                  </w:pPr>
                  <w:r>
                    <w:rPr>
                      <w:sz w:val="21"/>
                      <w:szCs w:val="21"/>
                    </w:rPr>
                    <w:t>/</w:t>
                  </w:r>
                </w:p>
              </w:tc>
              <w:tc>
                <w:tcPr>
                  <w:tcW w:w="1134" w:type="dxa"/>
                  <w:vAlign w:val="center"/>
                </w:tcPr>
                <w:p>
                  <w:pPr>
                    <w:jc w:val="center"/>
                    <w:rPr>
                      <w:sz w:val="21"/>
                      <w:szCs w:val="21"/>
                    </w:rPr>
                  </w:pPr>
                  <w:r>
                    <w:rPr>
                      <w:sz w:val="21"/>
                      <w:szCs w:val="21"/>
                    </w:rPr>
                    <w:t>/</w:t>
                  </w:r>
                </w:p>
              </w:tc>
              <w:tc>
                <w:tcPr>
                  <w:tcW w:w="1026" w:type="dxa"/>
                  <w:textDirection w:val="lrTb"/>
                  <w:vAlign w:val="center"/>
                </w:tcPr>
                <w:p>
                  <w:pPr>
                    <w:jc w:val="center"/>
                    <w:rPr>
                      <w:rFonts w:hint="eastAsia"/>
                      <w:sz w:val="21"/>
                      <w:szCs w:val="21"/>
                    </w:rPr>
                  </w:pPr>
                  <w:r>
                    <w:rPr>
                      <w:sz w:val="21"/>
                      <w:szCs w:val="21"/>
                    </w:rPr>
                    <w:t>≥</w:t>
                  </w:r>
                  <w:r>
                    <w:rPr>
                      <w:rFonts w:hint="eastAsia"/>
                      <w:sz w:val="21"/>
                      <w:szCs w:val="21"/>
                    </w:rPr>
                    <w:t>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5" w:hRule="atLeast"/>
              </w:trPr>
              <w:tc>
                <w:tcPr>
                  <w:tcW w:w="767" w:type="dxa"/>
                  <w:vMerge w:val="continue"/>
                  <w:vAlign w:val="center"/>
                </w:tcPr>
                <w:p>
                  <w:pPr>
                    <w:jc w:val="center"/>
                    <w:rPr>
                      <w:sz w:val="21"/>
                      <w:szCs w:val="21"/>
                    </w:rPr>
                  </w:pPr>
                </w:p>
              </w:tc>
              <w:tc>
                <w:tcPr>
                  <w:tcW w:w="1609" w:type="dxa"/>
                  <w:vAlign w:val="center"/>
                </w:tcPr>
                <w:p>
                  <w:pPr>
                    <w:jc w:val="center"/>
                    <w:rPr>
                      <w:rFonts w:hint="eastAsia"/>
                      <w:sz w:val="21"/>
                      <w:szCs w:val="21"/>
                    </w:rPr>
                  </w:pPr>
                  <w:r>
                    <w:rPr>
                      <w:rFonts w:hint="eastAsia"/>
                      <w:sz w:val="21"/>
                      <w:szCs w:val="21"/>
                    </w:rPr>
                    <w:t>SS</w:t>
                  </w:r>
                </w:p>
              </w:tc>
              <w:tc>
                <w:tcPr>
                  <w:tcW w:w="1805" w:type="dxa"/>
                  <w:vAlign w:val="center"/>
                </w:tcPr>
                <w:p>
                  <w:pPr>
                    <w:jc w:val="center"/>
                    <w:rPr>
                      <w:rFonts w:hint="eastAsia"/>
                      <w:sz w:val="21"/>
                      <w:szCs w:val="21"/>
                    </w:rPr>
                  </w:pPr>
                  <w:r>
                    <w:rPr>
                      <w:rFonts w:hint="eastAsia"/>
                      <w:sz w:val="21"/>
                      <w:szCs w:val="21"/>
                    </w:rPr>
                    <w:t>26-28</w:t>
                  </w:r>
                </w:p>
              </w:tc>
              <w:tc>
                <w:tcPr>
                  <w:tcW w:w="1357" w:type="dxa"/>
                  <w:vAlign w:val="center"/>
                </w:tcPr>
                <w:p>
                  <w:pPr>
                    <w:jc w:val="center"/>
                    <w:rPr>
                      <w:rFonts w:hint="eastAsia"/>
                      <w:sz w:val="21"/>
                      <w:szCs w:val="21"/>
                    </w:rPr>
                  </w:pPr>
                  <w:r>
                    <w:rPr>
                      <w:rFonts w:hint="eastAsia"/>
                      <w:sz w:val="21"/>
                      <w:szCs w:val="21"/>
                    </w:rPr>
                    <w:t>27</w:t>
                  </w:r>
                </w:p>
              </w:tc>
              <w:tc>
                <w:tcPr>
                  <w:tcW w:w="964" w:type="dxa"/>
                  <w:vAlign w:val="center"/>
                </w:tcPr>
                <w:p>
                  <w:pPr>
                    <w:jc w:val="center"/>
                    <w:rPr>
                      <w:sz w:val="21"/>
                      <w:szCs w:val="21"/>
                    </w:rPr>
                  </w:pPr>
                  <w:r>
                    <w:rPr>
                      <w:sz w:val="21"/>
                      <w:szCs w:val="21"/>
                    </w:rPr>
                    <w:t>/</w:t>
                  </w:r>
                </w:p>
              </w:tc>
              <w:tc>
                <w:tcPr>
                  <w:tcW w:w="1134" w:type="dxa"/>
                  <w:vAlign w:val="center"/>
                </w:tcPr>
                <w:p>
                  <w:pPr>
                    <w:jc w:val="center"/>
                    <w:rPr>
                      <w:sz w:val="21"/>
                      <w:szCs w:val="21"/>
                    </w:rPr>
                  </w:pPr>
                  <w:r>
                    <w:rPr>
                      <w:sz w:val="21"/>
                      <w:szCs w:val="21"/>
                    </w:rPr>
                    <w:t>/</w:t>
                  </w:r>
                </w:p>
              </w:tc>
              <w:tc>
                <w:tcPr>
                  <w:tcW w:w="1026" w:type="dxa"/>
                  <w:textDirection w:val="lrTb"/>
                  <w:vAlign w:val="center"/>
                </w:tcPr>
                <w:p>
                  <w:pPr>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5" w:hRule="atLeast"/>
              </w:trPr>
              <w:tc>
                <w:tcPr>
                  <w:tcW w:w="767" w:type="dxa"/>
                  <w:vMerge w:val="continue"/>
                  <w:vAlign w:val="center"/>
                </w:tcPr>
                <w:p>
                  <w:pPr>
                    <w:jc w:val="center"/>
                    <w:rPr>
                      <w:sz w:val="21"/>
                      <w:szCs w:val="21"/>
                    </w:rPr>
                  </w:pPr>
                </w:p>
              </w:tc>
              <w:tc>
                <w:tcPr>
                  <w:tcW w:w="1609" w:type="dxa"/>
                  <w:vAlign w:val="center"/>
                </w:tcPr>
                <w:p>
                  <w:pPr>
                    <w:jc w:val="center"/>
                    <w:rPr>
                      <w:sz w:val="21"/>
                      <w:szCs w:val="21"/>
                    </w:rPr>
                  </w:pPr>
                  <w:r>
                    <w:rPr>
                      <w:sz w:val="21"/>
                      <w:szCs w:val="21"/>
                    </w:rPr>
                    <w:t>COD</w:t>
                  </w:r>
                </w:p>
              </w:tc>
              <w:tc>
                <w:tcPr>
                  <w:tcW w:w="1805" w:type="dxa"/>
                  <w:vAlign w:val="center"/>
                </w:tcPr>
                <w:p>
                  <w:pPr>
                    <w:jc w:val="center"/>
                    <w:rPr>
                      <w:rFonts w:hint="eastAsia"/>
                      <w:sz w:val="21"/>
                      <w:szCs w:val="21"/>
                    </w:rPr>
                  </w:pPr>
                  <w:r>
                    <w:rPr>
                      <w:rFonts w:hint="eastAsia"/>
                      <w:sz w:val="21"/>
                      <w:szCs w:val="21"/>
                    </w:rPr>
                    <w:t>22-22.4</w:t>
                  </w:r>
                </w:p>
              </w:tc>
              <w:tc>
                <w:tcPr>
                  <w:tcW w:w="1357" w:type="dxa"/>
                  <w:vAlign w:val="center"/>
                </w:tcPr>
                <w:p>
                  <w:pPr>
                    <w:jc w:val="center"/>
                    <w:rPr>
                      <w:rFonts w:hint="eastAsia"/>
                      <w:sz w:val="21"/>
                      <w:szCs w:val="21"/>
                    </w:rPr>
                  </w:pPr>
                  <w:r>
                    <w:rPr>
                      <w:rFonts w:hint="eastAsia"/>
                      <w:sz w:val="21"/>
                      <w:szCs w:val="21"/>
                    </w:rPr>
                    <w:t>22.2</w:t>
                  </w:r>
                </w:p>
              </w:tc>
              <w:tc>
                <w:tcPr>
                  <w:tcW w:w="964" w:type="dxa"/>
                  <w:vAlign w:val="center"/>
                </w:tcPr>
                <w:p>
                  <w:pPr>
                    <w:jc w:val="center"/>
                    <w:rPr>
                      <w:sz w:val="21"/>
                      <w:szCs w:val="21"/>
                    </w:rPr>
                  </w:pPr>
                  <w:r>
                    <w:rPr>
                      <w:sz w:val="21"/>
                      <w:szCs w:val="21"/>
                    </w:rPr>
                    <w:t>/</w:t>
                  </w:r>
                </w:p>
              </w:tc>
              <w:tc>
                <w:tcPr>
                  <w:tcW w:w="1134" w:type="dxa"/>
                  <w:vAlign w:val="center"/>
                </w:tcPr>
                <w:p>
                  <w:pPr>
                    <w:jc w:val="center"/>
                    <w:rPr>
                      <w:sz w:val="21"/>
                      <w:szCs w:val="21"/>
                    </w:rPr>
                  </w:pPr>
                  <w:r>
                    <w:rPr>
                      <w:sz w:val="21"/>
                      <w:szCs w:val="21"/>
                    </w:rPr>
                    <w:t>/</w:t>
                  </w:r>
                </w:p>
              </w:tc>
              <w:tc>
                <w:tcPr>
                  <w:tcW w:w="1026" w:type="dxa"/>
                  <w:textDirection w:val="lrTb"/>
                  <w:vAlign w:val="center"/>
                </w:tcPr>
                <w:p>
                  <w:pPr>
                    <w:jc w:val="center"/>
                    <w:rPr>
                      <w:rFonts w:hint="eastAsia"/>
                      <w:sz w:val="21"/>
                      <w:szCs w:val="21"/>
                    </w:rPr>
                  </w:pPr>
                  <w:r>
                    <w:rPr>
                      <w:sz w:val="21"/>
                      <w:szCs w:val="21"/>
                    </w:rPr>
                    <w:t>≤</w:t>
                  </w:r>
                  <w:r>
                    <w:rPr>
                      <w:rFonts w:hint="eastAsia"/>
                      <w:sz w:val="21"/>
                      <w:szCs w:val="21"/>
                    </w:rPr>
                    <w:t>30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5" w:hRule="atLeast"/>
              </w:trPr>
              <w:tc>
                <w:tcPr>
                  <w:tcW w:w="767" w:type="dxa"/>
                  <w:vMerge w:val="continue"/>
                  <w:vAlign w:val="center"/>
                </w:tcPr>
                <w:p>
                  <w:pPr>
                    <w:jc w:val="center"/>
                    <w:rPr>
                      <w:sz w:val="21"/>
                      <w:szCs w:val="21"/>
                    </w:rPr>
                  </w:pPr>
                </w:p>
              </w:tc>
              <w:tc>
                <w:tcPr>
                  <w:tcW w:w="1609" w:type="dxa"/>
                  <w:vAlign w:val="center"/>
                </w:tcPr>
                <w:p>
                  <w:pPr>
                    <w:jc w:val="center"/>
                    <w:rPr>
                      <w:sz w:val="21"/>
                      <w:szCs w:val="21"/>
                    </w:rPr>
                  </w:pPr>
                  <w:r>
                    <w:rPr>
                      <w:sz w:val="21"/>
                      <w:szCs w:val="21"/>
                    </w:rPr>
                    <w:t>BOD</w:t>
                  </w:r>
                  <w:r>
                    <w:rPr>
                      <w:sz w:val="21"/>
                      <w:szCs w:val="21"/>
                      <w:vertAlign w:val="subscript"/>
                    </w:rPr>
                    <w:t>5</w:t>
                  </w:r>
                </w:p>
              </w:tc>
              <w:tc>
                <w:tcPr>
                  <w:tcW w:w="1805" w:type="dxa"/>
                  <w:vAlign w:val="center"/>
                </w:tcPr>
                <w:p>
                  <w:pPr>
                    <w:jc w:val="center"/>
                    <w:rPr>
                      <w:rFonts w:hint="eastAsia"/>
                      <w:sz w:val="21"/>
                      <w:szCs w:val="21"/>
                    </w:rPr>
                  </w:pPr>
                  <w:r>
                    <w:rPr>
                      <w:rFonts w:hint="eastAsia"/>
                      <w:sz w:val="21"/>
                      <w:szCs w:val="21"/>
                    </w:rPr>
                    <w:t>4.78-4.84</w:t>
                  </w:r>
                </w:p>
              </w:tc>
              <w:tc>
                <w:tcPr>
                  <w:tcW w:w="1357" w:type="dxa"/>
                  <w:vAlign w:val="center"/>
                </w:tcPr>
                <w:p>
                  <w:pPr>
                    <w:jc w:val="center"/>
                    <w:rPr>
                      <w:rFonts w:hint="eastAsia"/>
                      <w:sz w:val="21"/>
                      <w:szCs w:val="21"/>
                    </w:rPr>
                  </w:pPr>
                  <w:r>
                    <w:rPr>
                      <w:rFonts w:hint="eastAsia"/>
                      <w:sz w:val="21"/>
                      <w:szCs w:val="21"/>
                    </w:rPr>
                    <w:t>4.81</w:t>
                  </w:r>
                </w:p>
              </w:tc>
              <w:tc>
                <w:tcPr>
                  <w:tcW w:w="964" w:type="dxa"/>
                  <w:vAlign w:val="center"/>
                </w:tcPr>
                <w:p>
                  <w:pPr>
                    <w:jc w:val="center"/>
                    <w:rPr>
                      <w:sz w:val="21"/>
                      <w:szCs w:val="21"/>
                    </w:rPr>
                  </w:pPr>
                  <w:r>
                    <w:rPr>
                      <w:sz w:val="21"/>
                      <w:szCs w:val="21"/>
                    </w:rPr>
                    <w:t>/</w:t>
                  </w:r>
                </w:p>
              </w:tc>
              <w:tc>
                <w:tcPr>
                  <w:tcW w:w="1134" w:type="dxa"/>
                  <w:vAlign w:val="center"/>
                </w:tcPr>
                <w:p>
                  <w:pPr>
                    <w:jc w:val="center"/>
                    <w:rPr>
                      <w:sz w:val="21"/>
                      <w:szCs w:val="21"/>
                    </w:rPr>
                  </w:pPr>
                  <w:r>
                    <w:rPr>
                      <w:sz w:val="21"/>
                      <w:szCs w:val="21"/>
                    </w:rPr>
                    <w:t>/</w:t>
                  </w:r>
                </w:p>
              </w:tc>
              <w:tc>
                <w:tcPr>
                  <w:tcW w:w="1026" w:type="dxa"/>
                  <w:textDirection w:val="lrTb"/>
                  <w:vAlign w:val="center"/>
                </w:tcPr>
                <w:p>
                  <w:pPr>
                    <w:jc w:val="center"/>
                    <w:rPr>
                      <w:sz w:val="21"/>
                      <w:szCs w:val="21"/>
                    </w:rPr>
                  </w:pPr>
                  <w:r>
                    <w:rPr>
                      <w:sz w:val="21"/>
                      <w:szCs w:val="21"/>
                    </w:rPr>
                    <w:t>≤</w:t>
                  </w:r>
                  <w:r>
                    <w:rPr>
                      <w:rFonts w:hint="eastAsia"/>
                      <w:sz w:val="21"/>
                      <w:szCs w:val="21"/>
                    </w:rPr>
                    <w:t>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5" w:hRule="atLeast"/>
              </w:trPr>
              <w:tc>
                <w:tcPr>
                  <w:tcW w:w="767" w:type="dxa"/>
                  <w:vMerge w:val="continue"/>
                  <w:vAlign w:val="center"/>
                </w:tcPr>
                <w:p>
                  <w:pPr>
                    <w:jc w:val="center"/>
                    <w:rPr>
                      <w:sz w:val="21"/>
                      <w:szCs w:val="21"/>
                    </w:rPr>
                  </w:pPr>
                </w:p>
              </w:tc>
              <w:tc>
                <w:tcPr>
                  <w:tcW w:w="1609" w:type="dxa"/>
                  <w:vAlign w:val="center"/>
                </w:tcPr>
                <w:p>
                  <w:pPr>
                    <w:jc w:val="center"/>
                    <w:rPr>
                      <w:sz w:val="21"/>
                      <w:szCs w:val="21"/>
                    </w:rPr>
                  </w:pPr>
                  <w:r>
                    <w:rPr>
                      <w:sz w:val="21"/>
                      <w:szCs w:val="21"/>
                    </w:rPr>
                    <w:t>NH</w:t>
                  </w:r>
                  <w:r>
                    <w:rPr>
                      <w:sz w:val="21"/>
                      <w:szCs w:val="21"/>
                      <w:vertAlign w:val="subscript"/>
                    </w:rPr>
                    <w:t>3</w:t>
                  </w:r>
                  <w:r>
                    <w:rPr>
                      <w:sz w:val="21"/>
                      <w:szCs w:val="21"/>
                    </w:rPr>
                    <w:t>-N</w:t>
                  </w:r>
                </w:p>
              </w:tc>
              <w:tc>
                <w:tcPr>
                  <w:tcW w:w="1805" w:type="dxa"/>
                  <w:vAlign w:val="center"/>
                </w:tcPr>
                <w:p>
                  <w:pPr>
                    <w:jc w:val="center"/>
                    <w:rPr>
                      <w:rFonts w:hint="eastAsia"/>
                      <w:sz w:val="21"/>
                      <w:szCs w:val="21"/>
                    </w:rPr>
                  </w:pPr>
                  <w:r>
                    <w:rPr>
                      <w:rFonts w:hint="eastAsia"/>
                      <w:sz w:val="21"/>
                      <w:szCs w:val="21"/>
                    </w:rPr>
                    <w:t>0.82-0.84</w:t>
                  </w:r>
                </w:p>
              </w:tc>
              <w:tc>
                <w:tcPr>
                  <w:tcW w:w="1357" w:type="dxa"/>
                  <w:vAlign w:val="center"/>
                </w:tcPr>
                <w:p>
                  <w:pPr>
                    <w:jc w:val="center"/>
                    <w:rPr>
                      <w:rFonts w:hint="eastAsia"/>
                      <w:sz w:val="21"/>
                      <w:szCs w:val="21"/>
                    </w:rPr>
                  </w:pPr>
                  <w:r>
                    <w:rPr>
                      <w:rFonts w:hint="eastAsia"/>
                      <w:sz w:val="21"/>
                      <w:szCs w:val="21"/>
                    </w:rPr>
                    <w:t>0.83</w:t>
                  </w:r>
                </w:p>
              </w:tc>
              <w:tc>
                <w:tcPr>
                  <w:tcW w:w="964" w:type="dxa"/>
                  <w:vAlign w:val="center"/>
                </w:tcPr>
                <w:p>
                  <w:pPr>
                    <w:jc w:val="center"/>
                    <w:rPr>
                      <w:sz w:val="21"/>
                      <w:szCs w:val="21"/>
                    </w:rPr>
                  </w:pPr>
                  <w:r>
                    <w:rPr>
                      <w:sz w:val="21"/>
                      <w:szCs w:val="21"/>
                    </w:rPr>
                    <w:t>/</w:t>
                  </w:r>
                </w:p>
              </w:tc>
              <w:tc>
                <w:tcPr>
                  <w:tcW w:w="1134" w:type="dxa"/>
                  <w:vAlign w:val="center"/>
                </w:tcPr>
                <w:p>
                  <w:pPr>
                    <w:jc w:val="center"/>
                    <w:rPr>
                      <w:sz w:val="21"/>
                      <w:szCs w:val="21"/>
                    </w:rPr>
                  </w:pPr>
                  <w:r>
                    <w:rPr>
                      <w:sz w:val="21"/>
                      <w:szCs w:val="21"/>
                    </w:rPr>
                    <w:t>/</w:t>
                  </w:r>
                </w:p>
              </w:tc>
              <w:tc>
                <w:tcPr>
                  <w:tcW w:w="1026" w:type="dxa"/>
                  <w:textDirection w:val="lrTb"/>
                  <w:vAlign w:val="center"/>
                </w:tcPr>
                <w:p>
                  <w:pPr>
                    <w:jc w:val="center"/>
                    <w:rPr>
                      <w:rFonts w:hint="eastAsia"/>
                      <w:sz w:val="21"/>
                      <w:szCs w:val="21"/>
                    </w:rPr>
                  </w:pPr>
                  <w:r>
                    <w:rPr>
                      <w:sz w:val="21"/>
                      <w:szCs w:val="21"/>
                    </w:rPr>
                    <w:t>≤</w:t>
                  </w:r>
                  <w:r>
                    <w:rPr>
                      <w:rFonts w:hint="eastAsia"/>
                      <w:sz w:val="21"/>
                      <w:szCs w:val="21"/>
                    </w:rPr>
                    <w:t>1.5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5" w:hRule="atLeast"/>
              </w:trPr>
              <w:tc>
                <w:tcPr>
                  <w:tcW w:w="767" w:type="dxa"/>
                  <w:vMerge w:val="continue"/>
                  <w:vAlign w:val="center"/>
                </w:tcPr>
                <w:p>
                  <w:pPr>
                    <w:jc w:val="center"/>
                    <w:rPr>
                      <w:sz w:val="21"/>
                      <w:szCs w:val="21"/>
                    </w:rPr>
                  </w:pPr>
                </w:p>
              </w:tc>
              <w:tc>
                <w:tcPr>
                  <w:tcW w:w="1609" w:type="dxa"/>
                  <w:vAlign w:val="center"/>
                </w:tcPr>
                <w:p>
                  <w:pPr>
                    <w:jc w:val="center"/>
                    <w:rPr>
                      <w:sz w:val="21"/>
                      <w:szCs w:val="21"/>
                    </w:rPr>
                  </w:pPr>
                  <w:r>
                    <w:rPr>
                      <w:sz w:val="21"/>
                      <w:szCs w:val="21"/>
                    </w:rPr>
                    <w:t>TP</w:t>
                  </w:r>
                </w:p>
              </w:tc>
              <w:tc>
                <w:tcPr>
                  <w:tcW w:w="1805" w:type="dxa"/>
                  <w:vAlign w:val="center"/>
                </w:tcPr>
                <w:p>
                  <w:pPr>
                    <w:jc w:val="center"/>
                    <w:rPr>
                      <w:rFonts w:hint="eastAsia"/>
                      <w:sz w:val="21"/>
                      <w:szCs w:val="21"/>
                    </w:rPr>
                  </w:pPr>
                  <w:r>
                    <w:rPr>
                      <w:rFonts w:hint="eastAsia"/>
                      <w:sz w:val="21"/>
                      <w:szCs w:val="21"/>
                    </w:rPr>
                    <w:t>0.25-0.27</w:t>
                  </w:r>
                </w:p>
              </w:tc>
              <w:tc>
                <w:tcPr>
                  <w:tcW w:w="1357" w:type="dxa"/>
                  <w:vAlign w:val="center"/>
                </w:tcPr>
                <w:p>
                  <w:pPr>
                    <w:jc w:val="center"/>
                    <w:rPr>
                      <w:rFonts w:hint="eastAsia"/>
                      <w:sz w:val="21"/>
                      <w:szCs w:val="21"/>
                    </w:rPr>
                  </w:pPr>
                  <w:r>
                    <w:rPr>
                      <w:rFonts w:hint="eastAsia"/>
                      <w:sz w:val="21"/>
                      <w:szCs w:val="21"/>
                    </w:rPr>
                    <w:t>0.16</w:t>
                  </w:r>
                </w:p>
              </w:tc>
              <w:tc>
                <w:tcPr>
                  <w:tcW w:w="964" w:type="dxa"/>
                  <w:vAlign w:val="center"/>
                </w:tcPr>
                <w:p>
                  <w:pPr>
                    <w:jc w:val="center"/>
                    <w:rPr>
                      <w:sz w:val="21"/>
                      <w:szCs w:val="21"/>
                    </w:rPr>
                  </w:pPr>
                  <w:r>
                    <w:rPr>
                      <w:sz w:val="21"/>
                      <w:szCs w:val="21"/>
                    </w:rPr>
                    <w:t>/</w:t>
                  </w:r>
                </w:p>
              </w:tc>
              <w:tc>
                <w:tcPr>
                  <w:tcW w:w="1134" w:type="dxa"/>
                  <w:vAlign w:val="center"/>
                </w:tcPr>
                <w:p>
                  <w:pPr>
                    <w:jc w:val="center"/>
                    <w:rPr>
                      <w:sz w:val="21"/>
                      <w:szCs w:val="21"/>
                    </w:rPr>
                  </w:pPr>
                  <w:r>
                    <w:rPr>
                      <w:sz w:val="21"/>
                      <w:szCs w:val="21"/>
                    </w:rPr>
                    <w:t>/</w:t>
                  </w:r>
                </w:p>
              </w:tc>
              <w:tc>
                <w:tcPr>
                  <w:tcW w:w="1026" w:type="dxa"/>
                  <w:textDirection w:val="lrTb"/>
                  <w:vAlign w:val="center"/>
                </w:tcPr>
                <w:p>
                  <w:pPr>
                    <w:jc w:val="center"/>
                    <w:rPr>
                      <w:rFonts w:hint="eastAsia"/>
                      <w:sz w:val="21"/>
                      <w:szCs w:val="21"/>
                    </w:rPr>
                  </w:pPr>
                  <w:r>
                    <w:rPr>
                      <w:sz w:val="21"/>
                      <w:szCs w:val="21"/>
                    </w:rPr>
                    <w:t>≤0</w:t>
                  </w:r>
                  <w:r>
                    <w:rPr>
                      <w:rFonts w:hint="eastAsia"/>
                      <w:sz w:val="21"/>
                      <w:szCs w:val="21"/>
                    </w:rPr>
                    <w:t>.3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5" w:hRule="atLeast"/>
              </w:trPr>
              <w:tc>
                <w:tcPr>
                  <w:tcW w:w="767" w:type="dxa"/>
                  <w:vMerge w:val="continue"/>
                  <w:vAlign w:val="center"/>
                </w:tcPr>
                <w:p>
                  <w:pPr>
                    <w:jc w:val="center"/>
                    <w:rPr>
                      <w:sz w:val="21"/>
                      <w:szCs w:val="21"/>
                    </w:rPr>
                  </w:pPr>
                </w:p>
              </w:tc>
              <w:tc>
                <w:tcPr>
                  <w:tcW w:w="1609" w:type="dxa"/>
                  <w:vAlign w:val="center"/>
                </w:tcPr>
                <w:p>
                  <w:pPr>
                    <w:jc w:val="center"/>
                    <w:rPr>
                      <w:rFonts w:hint="eastAsia"/>
                      <w:sz w:val="21"/>
                      <w:szCs w:val="21"/>
                    </w:rPr>
                  </w:pPr>
                  <w:r>
                    <w:rPr>
                      <w:rFonts w:hint="eastAsia"/>
                      <w:sz w:val="21"/>
                      <w:szCs w:val="21"/>
                    </w:rPr>
                    <w:t>石油类</w:t>
                  </w:r>
                </w:p>
              </w:tc>
              <w:tc>
                <w:tcPr>
                  <w:tcW w:w="1805" w:type="dxa"/>
                  <w:vAlign w:val="center"/>
                </w:tcPr>
                <w:p>
                  <w:pPr>
                    <w:jc w:val="center"/>
                    <w:rPr>
                      <w:rFonts w:hint="eastAsia"/>
                      <w:sz w:val="21"/>
                      <w:szCs w:val="21"/>
                    </w:rPr>
                  </w:pPr>
                  <w:r>
                    <w:rPr>
                      <w:rFonts w:hint="eastAsia"/>
                      <w:sz w:val="21"/>
                      <w:szCs w:val="21"/>
                    </w:rPr>
                    <w:t>0.01ND</w:t>
                  </w:r>
                </w:p>
              </w:tc>
              <w:tc>
                <w:tcPr>
                  <w:tcW w:w="1357" w:type="dxa"/>
                  <w:vAlign w:val="center"/>
                </w:tcPr>
                <w:p>
                  <w:pPr>
                    <w:jc w:val="center"/>
                    <w:rPr>
                      <w:rFonts w:hint="eastAsia"/>
                      <w:sz w:val="21"/>
                      <w:szCs w:val="21"/>
                    </w:rPr>
                  </w:pPr>
                  <w:r>
                    <w:rPr>
                      <w:rFonts w:hint="eastAsia"/>
                      <w:sz w:val="21"/>
                      <w:szCs w:val="21"/>
                    </w:rPr>
                    <w:t>0.01ND</w:t>
                  </w:r>
                </w:p>
              </w:tc>
              <w:tc>
                <w:tcPr>
                  <w:tcW w:w="964" w:type="dxa"/>
                  <w:vAlign w:val="center"/>
                </w:tcPr>
                <w:p>
                  <w:pPr>
                    <w:jc w:val="center"/>
                    <w:rPr>
                      <w:sz w:val="21"/>
                      <w:szCs w:val="21"/>
                    </w:rPr>
                  </w:pPr>
                  <w:r>
                    <w:rPr>
                      <w:sz w:val="21"/>
                      <w:szCs w:val="21"/>
                    </w:rPr>
                    <w:t>/</w:t>
                  </w:r>
                </w:p>
              </w:tc>
              <w:tc>
                <w:tcPr>
                  <w:tcW w:w="1134" w:type="dxa"/>
                  <w:vAlign w:val="center"/>
                </w:tcPr>
                <w:p>
                  <w:pPr>
                    <w:jc w:val="center"/>
                    <w:rPr>
                      <w:sz w:val="21"/>
                      <w:szCs w:val="21"/>
                    </w:rPr>
                  </w:pPr>
                  <w:r>
                    <w:rPr>
                      <w:sz w:val="21"/>
                      <w:szCs w:val="21"/>
                    </w:rPr>
                    <w:t>/</w:t>
                  </w:r>
                </w:p>
              </w:tc>
              <w:tc>
                <w:tcPr>
                  <w:tcW w:w="1026" w:type="dxa"/>
                  <w:textDirection w:val="lrTb"/>
                  <w:vAlign w:val="center"/>
                </w:tcPr>
                <w:p>
                  <w:pPr>
                    <w:jc w:val="center"/>
                    <w:rPr>
                      <w:rFonts w:hint="eastAsia"/>
                      <w:sz w:val="21"/>
                      <w:szCs w:val="21"/>
                    </w:rPr>
                  </w:pPr>
                  <w:r>
                    <w:rPr>
                      <w:sz w:val="21"/>
                      <w:szCs w:val="21"/>
                    </w:rPr>
                    <w:t>≤0</w:t>
                  </w:r>
                  <w:r>
                    <w:rPr>
                      <w:rFonts w:hint="eastAsia"/>
                      <w:sz w:val="21"/>
                      <w:szCs w:val="21"/>
                    </w:rPr>
                    <w:t>.05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4" w:hRule="atLeast"/>
              </w:trPr>
              <w:tc>
                <w:tcPr>
                  <w:tcW w:w="767" w:type="dxa"/>
                  <w:vMerge w:val="restart"/>
                  <w:vAlign w:val="center"/>
                </w:tcPr>
                <w:p>
                  <w:pPr>
                    <w:jc w:val="center"/>
                    <w:rPr>
                      <w:sz w:val="21"/>
                      <w:szCs w:val="21"/>
                    </w:rPr>
                  </w:pPr>
                  <w:r>
                    <w:rPr>
                      <w:rFonts w:hint="eastAsia"/>
                      <w:sz w:val="21"/>
                      <w:szCs w:val="21"/>
                    </w:rPr>
                    <w:t>W5</w:t>
                  </w:r>
                </w:p>
              </w:tc>
              <w:tc>
                <w:tcPr>
                  <w:tcW w:w="1609" w:type="dxa"/>
                  <w:vAlign w:val="center"/>
                </w:tcPr>
                <w:p>
                  <w:pPr>
                    <w:jc w:val="center"/>
                    <w:rPr>
                      <w:sz w:val="21"/>
                      <w:szCs w:val="21"/>
                    </w:rPr>
                  </w:pPr>
                  <w:r>
                    <w:rPr>
                      <w:sz w:val="21"/>
                      <w:szCs w:val="21"/>
                    </w:rPr>
                    <w:t>pH</w:t>
                  </w:r>
                </w:p>
              </w:tc>
              <w:tc>
                <w:tcPr>
                  <w:tcW w:w="1805" w:type="dxa"/>
                  <w:vAlign w:val="center"/>
                </w:tcPr>
                <w:p>
                  <w:pPr>
                    <w:jc w:val="center"/>
                    <w:rPr>
                      <w:rFonts w:hint="eastAsia"/>
                      <w:sz w:val="21"/>
                      <w:szCs w:val="21"/>
                    </w:rPr>
                  </w:pPr>
                  <w:r>
                    <w:rPr>
                      <w:rFonts w:hint="eastAsia"/>
                      <w:sz w:val="21"/>
                      <w:szCs w:val="21"/>
                    </w:rPr>
                    <w:t>7.12-7.14</w:t>
                  </w:r>
                </w:p>
              </w:tc>
              <w:tc>
                <w:tcPr>
                  <w:tcW w:w="1357" w:type="dxa"/>
                  <w:vAlign w:val="center"/>
                </w:tcPr>
                <w:p>
                  <w:pPr>
                    <w:jc w:val="center"/>
                    <w:rPr>
                      <w:sz w:val="21"/>
                      <w:szCs w:val="21"/>
                    </w:rPr>
                  </w:pPr>
                  <w:r>
                    <w:rPr>
                      <w:sz w:val="21"/>
                      <w:szCs w:val="21"/>
                    </w:rPr>
                    <w:t>/</w:t>
                  </w:r>
                </w:p>
              </w:tc>
              <w:tc>
                <w:tcPr>
                  <w:tcW w:w="964" w:type="dxa"/>
                  <w:vAlign w:val="center"/>
                </w:tcPr>
                <w:p>
                  <w:pPr>
                    <w:jc w:val="center"/>
                    <w:rPr>
                      <w:sz w:val="21"/>
                      <w:szCs w:val="21"/>
                    </w:rPr>
                  </w:pPr>
                  <w:r>
                    <w:rPr>
                      <w:sz w:val="21"/>
                      <w:szCs w:val="21"/>
                    </w:rPr>
                    <w:t>/</w:t>
                  </w:r>
                </w:p>
              </w:tc>
              <w:tc>
                <w:tcPr>
                  <w:tcW w:w="1134" w:type="dxa"/>
                  <w:vAlign w:val="center"/>
                </w:tcPr>
                <w:p>
                  <w:pPr>
                    <w:jc w:val="center"/>
                    <w:rPr>
                      <w:sz w:val="21"/>
                      <w:szCs w:val="21"/>
                    </w:rPr>
                  </w:pPr>
                  <w:r>
                    <w:rPr>
                      <w:sz w:val="21"/>
                      <w:szCs w:val="21"/>
                    </w:rPr>
                    <w:t>/</w:t>
                  </w:r>
                </w:p>
              </w:tc>
              <w:tc>
                <w:tcPr>
                  <w:tcW w:w="1026" w:type="dxa"/>
                  <w:textDirection w:val="lrTb"/>
                  <w:vAlign w:val="center"/>
                </w:tcPr>
                <w:p>
                  <w:pPr>
                    <w:jc w:val="center"/>
                    <w:rPr>
                      <w:sz w:val="21"/>
                      <w:szCs w:val="21"/>
                    </w:rPr>
                  </w:pPr>
                  <w:r>
                    <w:rPr>
                      <w:sz w:val="21"/>
                      <w:szCs w:val="21"/>
                    </w:rPr>
                    <w:t>6~9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5" w:hRule="atLeast"/>
              </w:trPr>
              <w:tc>
                <w:tcPr>
                  <w:tcW w:w="767" w:type="dxa"/>
                  <w:vMerge w:val="continue"/>
                  <w:vAlign w:val="center"/>
                </w:tcPr>
                <w:p>
                  <w:pPr>
                    <w:jc w:val="center"/>
                    <w:rPr>
                      <w:sz w:val="21"/>
                      <w:szCs w:val="21"/>
                    </w:rPr>
                  </w:pPr>
                </w:p>
              </w:tc>
              <w:tc>
                <w:tcPr>
                  <w:tcW w:w="1609" w:type="dxa"/>
                  <w:vAlign w:val="center"/>
                </w:tcPr>
                <w:p>
                  <w:pPr>
                    <w:jc w:val="center"/>
                    <w:rPr>
                      <w:rFonts w:hint="eastAsia"/>
                      <w:sz w:val="21"/>
                      <w:szCs w:val="21"/>
                    </w:rPr>
                  </w:pPr>
                  <w:r>
                    <w:rPr>
                      <w:rFonts w:hint="eastAsia"/>
                      <w:sz w:val="21"/>
                      <w:szCs w:val="21"/>
                    </w:rPr>
                    <w:t>DO</w:t>
                  </w:r>
                </w:p>
              </w:tc>
              <w:tc>
                <w:tcPr>
                  <w:tcW w:w="1805" w:type="dxa"/>
                  <w:vAlign w:val="center"/>
                </w:tcPr>
                <w:p>
                  <w:pPr>
                    <w:jc w:val="center"/>
                    <w:rPr>
                      <w:rFonts w:hint="eastAsia"/>
                      <w:sz w:val="21"/>
                      <w:szCs w:val="21"/>
                    </w:rPr>
                  </w:pPr>
                  <w:r>
                    <w:rPr>
                      <w:rFonts w:hint="eastAsia"/>
                      <w:sz w:val="21"/>
                      <w:szCs w:val="21"/>
                    </w:rPr>
                    <w:t>5.25-5.32</w:t>
                  </w:r>
                </w:p>
              </w:tc>
              <w:tc>
                <w:tcPr>
                  <w:tcW w:w="1357" w:type="dxa"/>
                  <w:vAlign w:val="center"/>
                </w:tcPr>
                <w:p>
                  <w:pPr>
                    <w:jc w:val="center"/>
                    <w:rPr>
                      <w:rFonts w:hint="eastAsia"/>
                      <w:sz w:val="21"/>
                      <w:szCs w:val="21"/>
                    </w:rPr>
                  </w:pPr>
                  <w:r>
                    <w:rPr>
                      <w:rFonts w:hint="eastAsia"/>
                      <w:sz w:val="21"/>
                      <w:szCs w:val="21"/>
                    </w:rPr>
                    <w:t>5.28</w:t>
                  </w:r>
                </w:p>
              </w:tc>
              <w:tc>
                <w:tcPr>
                  <w:tcW w:w="964" w:type="dxa"/>
                  <w:vAlign w:val="center"/>
                </w:tcPr>
                <w:p>
                  <w:pPr>
                    <w:jc w:val="center"/>
                    <w:rPr>
                      <w:sz w:val="21"/>
                      <w:szCs w:val="21"/>
                    </w:rPr>
                  </w:pPr>
                  <w:r>
                    <w:rPr>
                      <w:sz w:val="21"/>
                      <w:szCs w:val="21"/>
                    </w:rPr>
                    <w:t>/</w:t>
                  </w:r>
                </w:p>
              </w:tc>
              <w:tc>
                <w:tcPr>
                  <w:tcW w:w="1134" w:type="dxa"/>
                  <w:vAlign w:val="center"/>
                </w:tcPr>
                <w:p>
                  <w:pPr>
                    <w:jc w:val="center"/>
                    <w:rPr>
                      <w:sz w:val="21"/>
                      <w:szCs w:val="21"/>
                    </w:rPr>
                  </w:pPr>
                  <w:r>
                    <w:rPr>
                      <w:sz w:val="21"/>
                      <w:szCs w:val="21"/>
                    </w:rPr>
                    <w:t>/</w:t>
                  </w:r>
                </w:p>
              </w:tc>
              <w:tc>
                <w:tcPr>
                  <w:tcW w:w="1026" w:type="dxa"/>
                  <w:textDirection w:val="lrTb"/>
                  <w:vAlign w:val="center"/>
                </w:tcPr>
                <w:p>
                  <w:pPr>
                    <w:jc w:val="center"/>
                    <w:rPr>
                      <w:rFonts w:hint="eastAsia"/>
                      <w:sz w:val="21"/>
                      <w:szCs w:val="21"/>
                    </w:rPr>
                  </w:pPr>
                  <w:r>
                    <w:rPr>
                      <w:sz w:val="21"/>
                      <w:szCs w:val="21"/>
                    </w:rPr>
                    <w:t>≥</w:t>
                  </w:r>
                  <w:r>
                    <w:rPr>
                      <w:rFonts w:hint="eastAsia"/>
                      <w:sz w:val="21"/>
                      <w:szCs w:val="21"/>
                    </w:rPr>
                    <w:t>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5" w:hRule="atLeast"/>
              </w:trPr>
              <w:tc>
                <w:tcPr>
                  <w:tcW w:w="767" w:type="dxa"/>
                  <w:vMerge w:val="continue"/>
                  <w:vAlign w:val="center"/>
                </w:tcPr>
                <w:p>
                  <w:pPr>
                    <w:jc w:val="center"/>
                    <w:rPr>
                      <w:sz w:val="21"/>
                      <w:szCs w:val="21"/>
                    </w:rPr>
                  </w:pPr>
                </w:p>
              </w:tc>
              <w:tc>
                <w:tcPr>
                  <w:tcW w:w="1609" w:type="dxa"/>
                  <w:vAlign w:val="center"/>
                </w:tcPr>
                <w:p>
                  <w:pPr>
                    <w:jc w:val="center"/>
                    <w:rPr>
                      <w:rFonts w:hint="eastAsia"/>
                      <w:sz w:val="21"/>
                      <w:szCs w:val="21"/>
                    </w:rPr>
                  </w:pPr>
                  <w:r>
                    <w:rPr>
                      <w:rFonts w:hint="eastAsia"/>
                      <w:sz w:val="21"/>
                      <w:szCs w:val="21"/>
                    </w:rPr>
                    <w:t>SS</w:t>
                  </w:r>
                </w:p>
              </w:tc>
              <w:tc>
                <w:tcPr>
                  <w:tcW w:w="1805" w:type="dxa"/>
                  <w:vAlign w:val="center"/>
                </w:tcPr>
                <w:p>
                  <w:pPr>
                    <w:jc w:val="center"/>
                    <w:rPr>
                      <w:rFonts w:hint="eastAsia"/>
                      <w:sz w:val="21"/>
                      <w:szCs w:val="21"/>
                    </w:rPr>
                  </w:pPr>
                  <w:r>
                    <w:rPr>
                      <w:rFonts w:hint="eastAsia"/>
                      <w:sz w:val="21"/>
                      <w:szCs w:val="21"/>
                    </w:rPr>
                    <w:t>25-27</w:t>
                  </w:r>
                </w:p>
              </w:tc>
              <w:tc>
                <w:tcPr>
                  <w:tcW w:w="1357" w:type="dxa"/>
                  <w:vAlign w:val="center"/>
                </w:tcPr>
                <w:p>
                  <w:pPr>
                    <w:jc w:val="center"/>
                    <w:rPr>
                      <w:rFonts w:hint="eastAsia"/>
                      <w:sz w:val="21"/>
                      <w:szCs w:val="21"/>
                    </w:rPr>
                  </w:pPr>
                  <w:r>
                    <w:rPr>
                      <w:rFonts w:hint="eastAsia"/>
                      <w:sz w:val="21"/>
                      <w:szCs w:val="21"/>
                    </w:rPr>
                    <w:t>26</w:t>
                  </w:r>
                </w:p>
              </w:tc>
              <w:tc>
                <w:tcPr>
                  <w:tcW w:w="964" w:type="dxa"/>
                  <w:vAlign w:val="center"/>
                </w:tcPr>
                <w:p>
                  <w:pPr>
                    <w:jc w:val="center"/>
                    <w:rPr>
                      <w:sz w:val="21"/>
                      <w:szCs w:val="21"/>
                    </w:rPr>
                  </w:pPr>
                  <w:r>
                    <w:rPr>
                      <w:sz w:val="21"/>
                      <w:szCs w:val="21"/>
                    </w:rPr>
                    <w:t>/</w:t>
                  </w:r>
                </w:p>
              </w:tc>
              <w:tc>
                <w:tcPr>
                  <w:tcW w:w="1134" w:type="dxa"/>
                  <w:vAlign w:val="center"/>
                </w:tcPr>
                <w:p>
                  <w:pPr>
                    <w:jc w:val="center"/>
                    <w:rPr>
                      <w:sz w:val="21"/>
                      <w:szCs w:val="21"/>
                    </w:rPr>
                  </w:pPr>
                  <w:r>
                    <w:rPr>
                      <w:sz w:val="21"/>
                      <w:szCs w:val="21"/>
                    </w:rPr>
                    <w:t>/</w:t>
                  </w:r>
                </w:p>
              </w:tc>
              <w:tc>
                <w:tcPr>
                  <w:tcW w:w="1026" w:type="dxa"/>
                  <w:textDirection w:val="lrTb"/>
                  <w:vAlign w:val="center"/>
                </w:tcPr>
                <w:p>
                  <w:pPr>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5" w:hRule="atLeast"/>
              </w:trPr>
              <w:tc>
                <w:tcPr>
                  <w:tcW w:w="767" w:type="dxa"/>
                  <w:vMerge w:val="continue"/>
                  <w:vAlign w:val="center"/>
                </w:tcPr>
                <w:p>
                  <w:pPr>
                    <w:jc w:val="center"/>
                    <w:rPr>
                      <w:sz w:val="21"/>
                      <w:szCs w:val="21"/>
                    </w:rPr>
                  </w:pPr>
                </w:p>
              </w:tc>
              <w:tc>
                <w:tcPr>
                  <w:tcW w:w="1609" w:type="dxa"/>
                  <w:vAlign w:val="center"/>
                </w:tcPr>
                <w:p>
                  <w:pPr>
                    <w:jc w:val="center"/>
                    <w:rPr>
                      <w:sz w:val="21"/>
                      <w:szCs w:val="21"/>
                    </w:rPr>
                  </w:pPr>
                  <w:r>
                    <w:rPr>
                      <w:sz w:val="21"/>
                      <w:szCs w:val="21"/>
                    </w:rPr>
                    <w:t>COD</w:t>
                  </w:r>
                </w:p>
              </w:tc>
              <w:tc>
                <w:tcPr>
                  <w:tcW w:w="1805" w:type="dxa"/>
                  <w:vAlign w:val="center"/>
                </w:tcPr>
                <w:p>
                  <w:pPr>
                    <w:jc w:val="center"/>
                    <w:rPr>
                      <w:rFonts w:hint="eastAsia"/>
                      <w:sz w:val="21"/>
                      <w:szCs w:val="21"/>
                    </w:rPr>
                  </w:pPr>
                  <w:r>
                    <w:rPr>
                      <w:rFonts w:hint="eastAsia"/>
                      <w:sz w:val="21"/>
                      <w:szCs w:val="21"/>
                    </w:rPr>
                    <w:t>25-26</w:t>
                  </w:r>
                </w:p>
              </w:tc>
              <w:tc>
                <w:tcPr>
                  <w:tcW w:w="1357" w:type="dxa"/>
                  <w:vAlign w:val="center"/>
                </w:tcPr>
                <w:p>
                  <w:pPr>
                    <w:jc w:val="center"/>
                    <w:rPr>
                      <w:rFonts w:hint="eastAsia"/>
                      <w:sz w:val="21"/>
                      <w:szCs w:val="21"/>
                    </w:rPr>
                  </w:pPr>
                  <w:r>
                    <w:rPr>
                      <w:rFonts w:hint="eastAsia"/>
                      <w:sz w:val="21"/>
                      <w:szCs w:val="21"/>
                    </w:rPr>
                    <w:t>25.5</w:t>
                  </w:r>
                </w:p>
              </w:tc>
              <w:tc>
                <w:tcPr>
                  <w:tcW w:w="964" w:type="dxa"/>
                  <w:vAlign w:val="center"/>
                </w:tcPr>
                <w:p>
                  <w:pPr>
                    <w:jc w:val="center"/>
                    <w:rPr>
                      <w:sz w:val="21"/>
                      <w:szCs w:val="21"/>
                    </w:rPr>
                  </w:pPr>
                  <w:r>
                    <w:rPr>
                      <w:sz w:val="21"/>
                      <w:szCs w:val="21"/>
                    </w:rPr>
                    <w:t>/</w:t>
                  </w:r>
                </w:p>
              </w:tc>
              <w:tc>
                <w:tcPr>
                  <w:tcW w:w="1134" w:type="dxa"/>
                  <w:vAlign w:val="center"/>
                </w:tcPr>
                <w:p>
                  <w:pPr>
                    <w:jc w:val="center"/>
                    <w:rPr>
                      <w:sz w:val="21"/>
                      <w:szCs w:val="21"/>
                    </w:rPr>
                  </w:pPr>
                  <w:r>
                    <w:rPr>
                      <w:sz w:val="21"/>
                      <w:szCs w:val="21"/>
                    </w:rPr>
                    <w:t>/</w:t>
                  </w:r>
                </w:p>
              </w:tc>
              <w:tc>
                <w:tcPr>
                  <w:tcW w:w="1026" w:type="dxa"/>
                  <w:textDirection w:val="lrTb"/>
                  <w:vAlign w:val="center"/>
                </w:tcPr>
                <w:p>
                  <w:pPr>
                    <w:jc w:val="center"/>
                    <w:rPr>
                      <w:rFonts w:hint="eastAsia"/>
                      <w:sz w:val="21"/>
                      <w:szCs w:val="21"/>
                    </w:rPr>
                  </w:pPr>
                  <w:r>
                    <w:rPr>
                      <w:sz w:val="21"/>
                      <w:szCs w:val="21"/>
                    </w:rPr>
                    <w:t>≤</w:t>
                  </w:r>
                  <w:r>
                    <w:rPr>
                      <w:rFonts w:hint="eastAsia"/>
                      <w:sz w:val="21"/>
                      <w:szCs w:val="21"/>
                    </w:rPr>
                    <w:t>30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5" w:hRule="atLeast"/>
              </w:trPr>
              <w:tc>
                <w:tcPr>
                  <w:tcW w:w="767" w:type="dxa"/>
                  <w:vMerge w:val="continue"/>
                  <w:vAlign w:val="center"/>
                </w:tcPr>
                <w:p>
                  <w:pPr>
                    <w:jc w:val="center"/>
                    <w:rPr>
                      <w:sz w:val="21"/>
                      <w:szCs w:val="21"/>
                    </w:rPr>
                  </w:pPr>
                </w:p>
              </w:tc>
              <w:tc>
                <w:tcPr>
                  <w:tcW w:w="1609" w:type="dxa"/>
                  <w:vAlign w:val="center"/>
                </w:tcPr>
                <w:p>
                  <w:pPr>
                    <w:jc w:val="center"/>
                    <w:rPr>
                      <w:sz w:val="21"/>
                      <w:szCs w:val="21"/>
                    </w:rPr>
                  </w:pPr>
                  <w:r>
                    <w:rPr>
                      <w:sz w:val="21"/>
                      <w:szCs w:val="21"/>
                    </w:rPr>
                    <w:t>BOD</w:t>
                  </w:r>
                  <w:r>
                    <w:rPr>
                      <w:sz w:val="21"/>
                      <w:szCs w:val="21"/>
                      <w:vertAlign w:val="subscript"/>
                    </w:rPr>
                    <w:t>5</w:t>
                  </w:r>
                </w:p>
              </w:tc>
              <w:tc>
                <w:tcPr>
                  <w:tcW w:w="1805" w:type="dxa"/>
                  <w:vAlign w:val="center"/>
                </w:tcPr>
                <w:p>
                  <w:pPr>
                    <w:jc w:val="center"/>
                    <w:rPr>
                      <w:rFonts w:hint="eastAsia"/>
                      <w:sz w:val="21"/>
                      <w:szCs w:val="21"/>
                    </w:rPr>
                  </w:pPr>
                  <w:r>
                    <w:rPr>
                      <w:rFonts w:hint="eastAsia"/>
                      <w:sz w:val="21"/>
                      <w:szCs w:val="21"/>
                    </w:rPr>
                    <w:t>3.56-3.72</w:t>
                  </w:r>
                </w:p>
              </w:tc>
              <w:tc>
                <w:tcPr>
                  <w:tcW w:w="1357" w:type="dxa"/>
                  <w:vAlign w:val="center"/>
                </w:tcPr>
                <w:p>
                  <w:pPr>
                    <w:jc w:val="center"/>
                    <w:rPr>
                      <w:rFonts w:hint="eastAsia"/>
                      <w:sz w:val="21"/>
                      <w:szCs w:val="21"/>
                    </w:rPr>
                  </w:pPr>
                  <w:r>
                    <w:rPr>
                      <w:rFonts w:hint="eastAsia"/>
                      <w:sz w:val="21"/>
                      <w:szCs w:val="21"/>
                    </w:rPr>
                    <w:t>3.64</w:t>
                  </w:r>
                </w:p>
              </w:tc>
              <w:tc>
                <w:tcPr>
                  <w:tcW w:w="964" w:type="dxa"/>
                  <w:vAlign w:val="center"/>
                </w:tcPr>
                <w:p>
                  <w:pPr>
                    <w:jc w:val="center"/>
                    <w:rPr>
                      <w:sz w:val="21"/>
                      <w:szCs w:val="21"/>
                    </w:rPr>
                  </w:pPr>
                  <w:r>
                    <w:rPr>
                      <w:sz w:val="21"/>
                      <w:szCs w:val="21"/>
                    </w:rPr>
                    <w:t>/</w:t>
                  </w:r>
                </w:p>
              </w:tc>
              <w:tc>
                <w:tcPr>
                  <w:tcW w:w="1134" w:type="dxa"/>
                  <w:vAlign w:val="center"/>
                </w:tcPr>
                <w:p>
                  <w:pPr>
                    <w:jc w:val="center"/>
                    <w:rPr>
                      <w:sz w:val="21"/>
                      <w:szCs w:val="21"/>
                    </w:rPr>
                  </w:pPr>
                  <w:r>
                    <w:rPr>
                      <w:sz w:val="21"/>
                      <w:szCs w:val="21"/>
                    </w:rPr>
                    <w:t>/</w:t>
                  </w:r>
                </w:p>
              </w:tc>
              <w:tc>
                <w:tcPr>
                  <w:tcW w:w="1026" w:type="dxa"/>
                  <w:textDirection w:val="lrTb"/>
                  <w:vAlign w:val="center"/>
                </w:tcPr>
                <w:p>
                  <w:pPr>
                    <w:jc w:val="center"/>
                    <w:rPr>
                      <w:sz w:val="21"/>
                      <w:szCs w:val="21"/>
                    </w:rPr>
                  </w:pPr>
                  <w:r>
                    <w:rPr>
                      <w:sz w:val="21"/>
                      <w:szCs w:val="21"/>
                    </w:rPr>
                    <w:t>≤</w:t>
                  </w:r>
                  <w:r>
                    <w:rPr>
                      <w:rFonts w:hint="eastAsia"/>
                      <w:sz w:val="21"/>
                      <w:szCs w:val="21"/>
                    </w:rPr>
                    <w:t>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5" w:hRule="atLeast"/>
              </w:trPr>
              <w:tc>
                <w:tcPr>
                  <w:tcW w:w="767" w:type="dxa"/>
                  <w:vMerge w:val="continue"/>
                  <w:vAlign w:val="center"/>
                </w:tcPr>
                <w:p>
                  <w:pPr>
                    <w:jc w:val="center"/>
                    <w:rPr>
                      <w:sz w:val="21"/>
                      <w:szCs w:val="21"/>
                    </w:rPr>
                  </w:pPr>
                </w:p>
              </w:tc>
              <w:tc>
                <w:tcPr>
                  <w:tcW w:w="1609" w:type="dxa"/>
                  <w:vAlign w:val="center"/>
                </w:tcPr>
                <w:p>
                  <w:pPr>
                    <w:jc w:val="center"/>
                    <w:rPr>
                      <w:sz w:val="21"/>
                      <w:szCs w:val="21"/>
                    </w:rPr>
                  </w:pPr>
                  <w:r>
                    <w:rPr>
                      <w:sz w:val="21"/>
                      <w:szCs w:val="21"/>
                    </w:rPr>
                    <w:t>NH</w:t>
                  </w:r>
                  <w:r>
                    <w:rPr>
                      <w:sz w:val="21"/>
                      <w:szCs w:val="21"/>
                      <w:vertAlign w:val="subscript"/>
                    </w:rPr>
                    <w:t>3</w:t>
                  </w:r>
                  <w:r>
                    <w:rPr>
                      <w:sz w:val="21"/>
                      <w:szCs w:val="21"/>
                    </w:rPr>
                    <w:t>-N</w:t>
                  </w:r>
                </w:p>
              </w:tc>
              <w:tc>
                <w:tcPr>
                  <w:tcW w:w="1805" w:type="dxa"/>
                  <w:vAlign w:val="center"/>
                </w:tcPr>
                <w:p>
                  <w:pPr>
                    <w:jc w:val="center"/>
                    <w:rPr>
                      <w:rFonts w:hint="eastAsia"/>
                      <w:sz w:val="21"/>
                      <w:szCs w:val="21"/>
                    </w:rPr>
                  </w:pPr>
                  <w:r>
                    <w:rPr>
                      <w:rFonts w:hint="eastAsia"/>
                      <w:sz w:val="21"/>
                      <w:szCs w:val="21"/>
                    </w:rPr>
                    <w:t>0.887-0.896</w:t>
                  </w:r>
                </w:p>
              </w:tc>
              <w:tc>
                <w:tcPr>
                  <w:tcW w:w="1357" w:type="dxa"/>
                  <w:vAlign w:val="center"/>
                </w:tcPr>
                <w:p>
                  <w:pPr>
                    <w:jc w:val="center"/>
                    <w:rPr>
                      <w:rFonts w:hint="eastAsia"/>
                      <w:sz w:val="21"/>
                      <w:szCs w:val="21"/>
                    </w:rPr>
                  </w:pPr>
                  <w:r>
                    <w:rPr>
                      <w:rFonts w:hint="eastAsia"/>
                      <w:sz w:val="21"/>
                      <w:szCs w:val="21"/>
                    </w:rPr>
                    <w:t>0.891</w:t>
                  </w:r>
                </w:p>
              </w:tc>
              <w:tc>
                <w:tcPr>
                  <w:tcW w:w="964" w:type="dxa"/>
                  <w:vAlign w:val="center"/>
                </w:tcPr>
                <w:p>
                  <w:pPr>
                    <w:jc w:val="center"/>
                    <w:rPr>
                      <w:sz w:val="21"/>
                      <w:szCs w:val="21"/>
                    </w:rPr>
                  </w:pPr>
                  <w:r>
                    <w:rPr>
                      <w:sz w:val="21"/>
                      <w:szCs w:val="21"/>
                    </w:rPr>
                    <w:t>/</w:t>
                  </w:r>
                </w:p>
              </w:tc>
              <w:tc>
                <w:tcPr>
                  <w:tcW w:w="1134" w:type="dxa"/>
                  <w:vAlign w:val="center"/>
                </w:tcPr>
                <w:p>
                  <w:pPr>
                    <w:jc w:val="center"/>
                    <w:rPr>
                      <w:sz w:val="21"/>
                      <w:szCs w:val="21"/>
                    </w:rPr>
                  </w:pPr>
                  <w:r>
                    <w:rPr>
                      <w:sz w:val="21"/>
                      <w:szCs w:val="21"/>
                    </w:rPr>
                    <w:t>/</w:t>
                  </w:r>
                </w:p>
              </w:tc>
              <w:tc>
                <w:tcPr>
                  <w:tcW w:w="1026" w:type="dxa"/>
                  <w:textDirection w:val="lrTb"/>
                  <w:vAlign w:val="center"/>
                </w:tcPr>
                <w:p>
                  <w:pPr>
                    <w:jc w:val="center"/>
                    <w:rPr>
                      <w:rFonts w:hint="eastAsia"/>
                      <w:sz w:val="21"/>
                      <w:szCs w:val="21"/>
                    </w:rPr>
                  </w:pPr>
                  <w:r>
                    <w:rPr>
                      <w:sz w:val="21"/>
                      <w:szCs w:val="21"/>
                    </w:rPr>
                    <w:t>≤</w:t>
                  </w:r>
                  <w:r>
                    <w:rPr>
                      <w:rFonts w:hint="eastAsia"/>
                      <w:sz w:val="21"/>
                      <w:szCs w:val="21"/>
                    </w:rPr>
                    <w:t>1.5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5" w:hRule="atLeast"/>
              </w:trPr>
              <w:tc>
                <w:tcPr>
                  <w:tcW w:w="767" w:type="dxa"/>
                  <w:vMerge w:val="continue"/>
                  <w:vAlign w:val="center"/>
                </w:tcPr>
                <w:p>
                  <w:pPr>
                    <w:jc w:val="center"/>
                    <w:rPr>
                      <w:sz w:val="21"/>
                      <w:szCs w:val="21"/>
                    </w:rPr>
                  </w:pPr>
                </w:p>
              </w:tc>
              <w:tc>
                <w:tcPr>
                  <w:tcW w:w="1609" w:type="dxa"/>
                  <w:vAlign w:val="center"/>
                </w:tcPr>
                <w:p>
                  <w:pPr>
                    <w:jc w:val="center"/>
                    <w:rPr>
                      <w:sz w:val="21"/>
                      <w:szCs w:val="21"/>
                    </w:rPr>
                  </w:pPr>
                  <w:r>
                    <w:rPr>
                      <w:sz w:val="21"/>
                      <w:szCs w:val="21"/>
                    </w:rPr>
                    <w:t>TP</w:t>
                  </w:r>
                </w:p>
              </w:tc>
              <w:tc>
                <w:tcPr>
                  <w:tcW w:w="1805" w:type="dxa"/>
                  <w:vAlign w:val="center"/>
                </w:tcPr>
                <w:p>
                  <w:pPr>
                    <w:jc w:val="center"/>
                    <w:rPr>
                      <w:rFonts w:hint="eastAsia"/>
                      <w:sz w:val="21"/>
                      <w:szCs w:val="21"/>
                    </w:rPr>
                  </w:pPr>
                  <w:r>
                    <w:rPr>
                      <w:rFonts w:hint="eastAsia"/>
                      <w:sz w:val="21"/>
                      <w:szCs w:val="21"/>
                    </w:rPr>
                    <w:t>0.25-0.27</w:t>
                  </w:r>
                </w:p>
              </w:tc>
              <w:tc>
                <w:tcPr>
                  <w:tcW w:w="1357" w:type="dxa"/>
                  <w:vAlign w:val="center"/>
                </w:tcPr>
                <w:p>
                  <w:pPr>
                    <w:jc w:val="center"/>
                    <w:rPr>
                      <w:rFonts w:hint="eastAsia"/>
                      <w:sz w:val="21"/>
                      <w:szCs w:val="21"/>
                    </w:rPr>
                  </w:pPr>
                  <w:r>
                    <w:rPr>
                      <w:rFonts w:hint="eastAsia"/>
                      <w:sz w:val="21"/>
                      <w:szCs w:val="21"/>
                    </w:rPr>
                    <w:t>0.26</w:t>
                  </w:r>
                </w:p>
              </w:tc>
              <w:tc>
                <w:tcPr>
                  <w:tcW w:w="964" w:type="dxa"/>
                  <w:vAlign w:val="center"/>
                </w:tcPr>
                <w:p>
                  <w:pPr>
                    <w:jc w:val="center"/>
                    <w:rPr>
                      <w:sz w:val="21"/>
                      <w:szCs w:val="21"/>
                    </w:rPr>
                  </w:pPr>
                  <w:r>
                    <w:rPr>
                      <w:sz w:val="21"/>
                      <w:szCs w:val="21"/>
                    </w:rPr>
                    <w:t>/</w:t>
                  </w:r>
                </w:p>
              </w:tc>
              <w:tc>
                <w:tcPr>
                  <w:tcW w:w="1134" w:type="dxa"/>
                  <w:vAlign w:val="center"/>
                </w:tcPr>
                <w:p>
                  <w:pPr>
                    <w:jc w:val="center"/>
                    <w:rPr>
                      <w:sz w:val="21"/>
                      <w:szCs w:val="21"/>
                    </w:rPr>
                  </w:pPr>
                  <w:r>
                    <w:rPr>
                      <w:sz w:val="21"/>
                      <w:szCs w:val="21"/>
                    </w:rPr>
                    <w:t>/</w:t>
                  </w:r>
                </w:p>
              </w:tc>
              <w:tc>
                <w:tcPr>
                  <w:tcW w:w="1026" w:type="dxa"/>
                  <w:textDirection w:val="lrTb"/>
                  <w:vAlign w:val="center"/>
                </w:tcPr>
                <w:p>
                  <w:pPr>
                    <w:jc w:val="center"/>
                    <w:rPr>
                      <w:rFonts w:hint="eastAsia"/>
                      <w:sz w:val="21"/>
                      <w:szCs w:val="21"/>
                    </w:rPr>
                  </w:pPr>
                  <w:r>
                    <w:rPr>
                      <w:sz w:val="21"/>
                      <w:szCs w:val="21"/>
                    </w:rPr>
                    <w:t>≤0</w:t>
                  </w:r>
                  <w:r>
                    <w:rPr>
                      <w:rFonts w:hint="eastAsia"/>
                      <w:sz w:val="21"/>
                      <w:szCs w:val="21"/>
                    </w:rPr>
                    <w:t>.3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5" w:hRule="atLeast"/>
              </w:trPr>
              <w:tc>
                <w:tcPr>
                  <w:tcW w:w="767" w:type="dxa"/>
                  <w:vMerge w:val="continue"/>
                  <w:vAlign w:val="center"/>
                </w:tcPr>
                <w:p>
                  <w:pPr>
                    <w:jc w:val="center"/>
                    <w:rPr>
                      <w:sz w:val="21"/>
                      <w:szCs w:val="21"/>
                    </w:rPr>
                  </w:pPr>
                </w:p>
              </w:tc>
              <w:tc>
                <w:tcPr>
                  <w:tcW w:w="1609" w:type="dxa"/>
                  <w:vAlign w:val="center"/>
                </w:tcPr>
                <w:p>
                  <w:pPr>
                    <w:jc w:val="center"/>
                    <w:rPr>
                      <w:rFonts w:hint="eastAsia"/>
                      <w:sz w:val="21"/>
                      <w:szCs w:val="21"/>
                    </w:rPr>
                  </w:pPr>
                  <w:r>
                    <w:rPr>
                      <w:rFonts w:hint="eastAsia"/>
                      <w:sz w:val="21"/>
                      <w:szCs w:val="21"/>
                    </w:rPr>
                    <w:t>石油类</w:t>
                  </w:r>
                </w:p>
              </w:tc>
              <w:tc>
                <w:tcPr>
                  <w:tcW w:w="1805" w:type="dxa"/>
                  <w:vAlign w:val="center"/>
                </w:tcPr>
                <w:p>
                  <w:pPr>
                    <w:jc w:val="center"/>
                    <w:rPr>
                      <w:rFonts w:hint="eastAsia"/>
                      <w:sz w:val="21"/>
                      <w:szCs w:val="21"/>
                    </w:rPr>
                  </w:pPr>
                  <w:r>
                    <w:rPr>
                      <w:rFonts w:hint="eastAsia"/>
                      <w:sz w:val="21"/>
                      <w:szCs w:val="21"/>
                    </w:rPr>
                    <w:t>0.01ND</w:t>
                  </w:r>
                </w:p>
              </w:tc>
              <w:tc>
                <w:tcPr>
                  <w:tcW w:w="1357" w:type="dxa"/>
                  <w:vAlign w:val="center"/>
                </w:tcPr>
                <w:p>
                  <w:pPr>
                    <w:jc w:val="center"/>
                    <w:rPr>
                      <w:rFonts w:hint="eastAsia"/>
                      <w:sz w:val="21"/>
                      <w:szCs w:val="21"/>
                    </w:rPr>
                  </w:pPr>
                  <w:r>
                    <w:rPr>
                      <w:rFonts w:hint="eastAsia"/>
                      <w:sz w:val="21"/>
                      <w:szCs w:val="21"/>
                    </w:rPr>
                    <w:t>0.01ND</w:t>
                  </w:r>
                </w:p>
              </w:tc>
              <w:tc>
                <w:tcPr>
                  <w:tcW w:w="964" w:type="dxa"/>
                  <w:vAlign w:val="center"/>
                </w:tcPr>
                <w:p>
                  <w:pPr>
                    <w:jc w:val="center"/>
                    <w:rPr>
                      <w:sz w:val="21"/>
                      <w:szCs w:val="21"/>
                    </w:rPr>
                  </w:pPr>
                  <w:r>
                    <w:rPr>
                      <w:sz w:val="21"/>
                      <w:szCs w:val="21"/>
                    </w:rPr>
                    <w:t>/</w:t>
                  </w:r>
                </w:p>
              </w:tc>
              <w:tc>
                <w:tcPr>
                  <w:tcW w:w="1134" w:type="dxa"/>
                  <w:vAlign w:val="center"/>
                </w:tcPr>
                <w:p>
                  <w:pPr>
                    <w:jc w:val="center"/>
                    <w:rPr>
                      <w:sz w:val="21"/>
                      <w:szCs w:val="21"/>
                    </w:rPr>
                  </w:pPr>
                  <w:r>
                    <w:rPr>
                      <w:sz w:val="21"/>
                      <w:szCs w:val="21"/>
                    </w:rPr>
                    <w:t>/</w:t>
                  </w:r>
                </w:p>
              </w:tc>
              <w:tc>
                <w:tcPr>
                  <w:tcW w:w="1026" w:type="dxa"/>
                  <w:textDirection w:val="lrTb"/>
                  <w:vAlign w:val="center"/>
                </w:tcPr>
                <w:p>
                  <w:pPr>
                    <w:jc w:val="center"/>
                    <w:rPr>
                      <w:rFonts w:hint="eastAsia"/>
                      <w:sz w:val="21"/>
                      <w:szCs w:val="21"/>
                    </w:rPr>
                  </w:pPr>
                  <w:r>
                    <w:rPr>
                      <w:sz w:val="21"/>
                      <w:szCs w:val="21"/>
                    </w:rPr>
                    <w:t>≤0</w:t>
                  </w:r>
                  <w:r>
                    <w:rPr>
                      <w:rFonts w:hint="eastAsia"/>
                      <w:sz w:val="21"/>
                      <w:szCs w:val="21"/>
                    </w:rPr>
                    <w:t>.05</w:t>
                  </w:r>
                </w:p>
              </w:tc>
            </w:tr>
          </w:tbl>
          <w:p>
            <w:pPr>
              <w:pStyle w:val="114"/>
              <w:rPr>
                <w:rFonts w:cs="Times New Roman"/>
              </w:rPr>
            </w:pPr>
            <w:r>
              <w:rPr>
                <w:rFonts w:hint="eastAsia"/>
                <w:kern w:val="0"/>
                <w:sz w:val="24"/>
              </w:rPr>
              <w:t>根据监测结果可知梅溪港水质均能满足</w:t>
            </w:r>
            <w:r>
              <w:rPr>
                <w:kern w:val="0"/>
                <w:sz w:val="24"/>
              </w:rPr>
              <w:t>《</w:t>
            </w:r>
            <w:r>
              <w:rPr>
                <w:rFonts w:hint="eastAsia"/>
                <w:kern w:val="0"/>
                <w:sz w:val="24"/>
              </w:rPr>
              <w:t>地表水环境质量标准</w:t>
            </w:r>
            <w:r>
              <w:rPr>
                <w:kern w:val="0"/>
                <w:sz w:val="24"/>
              </w:rPr>
              <w:t>》（GB3838-2002）中的</w:t>
            </w:r>
            <w:r>
              <w:rPr>
                <w:rFonts w:hint="eastAsia" w:ascii="宋体" w:hAnsi="宋体"/>
                <w:sz w:val="24"/>
              </w:rPr>
              <w:t>Ⅳ</w:t>
            </w:r>
            <w:r>
              <w:rPr>
                <w:kern w:val="0"/>
                <w:sz w:val="24"/>
              </w:rPr>
              <w:t>类标准</w:t>
            </w:r>
            <w:r>
              <w:rPr>
                <w:rFonts w:hint="eastAsia"/>
                <w:kern w:val="0"/>
                <w:sz w:val="24"/>
              </w:rPr>
              <w:t>要求。</w:t>
            </w:r>
          </w:p>
          <w:p>
            <w:pPr>
              <w:pStyle w:val="127"/>
              <w:spacing w:before="156" w:beforeLines="50"/>
              <w:ind w:firstLine="482"/>
              <w:rPr>
                <w:rFonts w:cs="Times New Roman"/>
                <w:b/>
                <w:bCs/>
              </w:rPr>
            </w:pPr>
            <w:bookmarkStart w:id="18" w:name="_Toc350416927"/>
            <w:bookmarkStart w:id="19" w:name="_Toc350430040"/>
            <w:bookmarkStart w:id="20" w:name="_Toc350511680"/>
            <w:r>
              <w:rPr>
                <w:rFonts w:cs="Times New Roman"/>
                <w:b/>
                <w:bCs/>
              </w:rPr>
              <w:t>3、声环境质量现状</w:t>
            </w:r>
            <w:bookmarkEnd w:id="18"/>
            <w:bookmarkEnd w:id="19"/>
            <w:bookmarkEnd w:id="20"/>
          </w:p>
          <w:p>
            <w:pPr>
              <w:pStyle w:val="114"/>
              <w:rPr>
                <w:rFonts w:cs="Times New Roman"/>
                <w:b/>
                <w:szCs w:val="24"/>
              </w:rPr>
            </w:pPr>
            <w:r>
              <w:rPr>
                <w:rFonts w:cs="Times New Roman"/>
              </w:rPr>
              <w:t>为了解本项目周围声环境状况，本次评价于201</w:t>
            </w:r>
            <w:r>
              <w:rPr>
                <w:rFonts w:hint="eastAsia" w:cs="Times New Roman"/>
                <w:lang w:val="en-US" w:eastAsia="zh-CN"/>
              </w:rPr>
              <w:t>7</w:t>
            </w:r>
            <w:r>
              <w:rPr>
                <w:rFonts w:cs="Times New Roman"/>
              </w:rPr>
              <w:t>年</w:t>
            </w:r>
            <w:r>
              <w:rPr>
                <w:rFonts w:hint="eastAsia" w:cs="Times New Roman"/>
                <w:lang w:val="en-US" w:eastAsia="zh-CN"/>
              </w:rPr>
              <w:t>3</w:t>
            </w:r>
            <w:r>
              <w:rPr>
                <w:rFonts w:cs="Times New Roman"/>
              </w:rPr>
              <w:t>月</w:t>
            </w:r>
            <w:r>
              <w:rPr>
                <w:rFonts w:hint="eastAsia" w:cs="Times New Roman"/>
                <w:lang w:val="en-US" w:eastAsia="zh-CN"/>
              </w:rPr>
              <w:t>30</w:t>
            </w:r>
            <w:r>
              <w:rPr>
                <w:rFonts w:cs="Times New Roman"/>
              </w:rPr>
              <w:t>日对项目建设场地</w:t>
            </w:r>
            <w:r>
              <w:rPr>
                <w:rFonts w:hint="eastAsia" w:cs="Times New Roman"/>
              </w:rPr>
              <w:t>起点、中间段和终点</w:t>
            </w:r>
            <w:r>
              <w:rPr>
                <w:rFonts w:cs="Times New Roman"/>
              </w:rPr>
              <w:t>进行了为期</w:t>
            </w:r>
            <w:r>
              <w:rPr>
                <w:rFonts w:hint="eastAsia" w:cs="Times New Roman"/>
              </w:rPr>
              <w:t>一</w:t>
            </w:r>
            <w:r>
              <w:rPr>
                <w:rFonts w:cs="Times New Roman"/>
              </w:rPr>
              <w:t>天的声环境现状监测，设</w:t>
            </w:r>
            <w:r>
              <w:rPr>
                <w:rFonts w:hint="eastAsia" w:cs="Times New Roman"/>
              </w:rPr>
              <w:t>3</w:t>
            </w:r>
            <w:r>
              <w:rPr>
                <w:rFonts w:cs="Times New Roman"/>
              </w:rPr>
              <w:t>个监测点</w:t>
            </w:r>
            <w:r>
              <w:rPr>
                <w:rFonts w:hint="eastAsia" w:cs="Times New Roman"/>
              </w:rPr>
              <w:t>监测布点见附图2</w:t>
            </w:r>
            <w:r>
              <w:rPr>
                <w:rFonts w:cs="Times New Roman"/>
              </w:rPr>
              <w:t>，</w:t>
            </w:r>
            <w:r>
              <w:rPr>
                <w:rFonts w:cs="Times New Roman"/>
                <w:b/>
                <w:szCs w:val="24"/>
              </w:rPr>
              <w:t xml:space="preserve"> </w:t>
            </w:r>
            <w:r>
              <w:rPr>
                <w:rFonts w:cs="Times New Roman"/>
              </w:rPr>
              <w:t>实测昼、夜环境噪声声级，监测方法按《声环境质量标准》（GB3096-2008）的要求进行。本次噪声监测结果详见下表。</w:t>
            </w:r>
          </w:p>
          <w:p>
            <w:pPr>
              <w:pStyle w:val="16"/>
              <w:keepNext/>
              <w:jc w:val="center"/>
              <w:rPr>
                <w:rFonts w:ascii="Times New Roman" w:hAnsi="Times New Roman" w:eastAsia="宋体" w:cs="Times New Roman"/>
                <w:b/>
                <w:sz w:val="21"/>
                <w:szCs w:val="21"/>
              </w:rPr>
            </w:pPr>
            <w:r>
              <w:rPr>
                <w:rFonts w:ascii="Times New Roman" w:hAnsi="Times New Roman" w:eastAsia="宋体" w:cs="Times New Roman"/>
                <w:b/>
                <w:sz w:val="21"/>
                <w:szCs w:val="21"/>
              </w:rPr>
              <w:t xml:space="preserve">表 </w:t>
            </w:r>
            <w:r>
              <w:rPr>
                <w:rFonts w:hint="eastAsia" w:ascii="Times New Roman" w:hAnsi="Times New Roman" w:eastAsia="宋体" w:cs="Times New Roman"/>
                <w:b/>
                <w:sz w:val="21"/>
                <w:szCs w:val="21"/>
              </w:rPr>
              <w:t>4</w:t>
            </w:r>
            <w:r>
              <w:rPr>
                <w:rFonts w:ascii="Times New Roman" w:hAnsi="Times New Roman" w:eastAsia="宋体" w:cs="Times New Roman"/>
                <w:b/>
                <w:sz w:val="21"/>
                <w:szCs w:val="21"/>
              </w:rPr>
              <w:t xml:space="preserve"> 声环境监测统计结果表  [单位：dB（A）]</w:t>
            </w:r>
          </w:p>
          <w:tbl>
            <w:tblPr>
              <w:tblStyle w:val="42"/>
              <w:tblW w:w="8559" w:type="dxa"/>
              <w:tblInd w:w="1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4"/>
              <w:gridCol w:w="1466"/>
              <w:gridCol w:w="990"/>
              <w:gridCol w:w="1058"/>
              <w:gridCol w:w="1054"/>
              <w:gridCol w:w="1055"/>
              <w:gridCol w:w="939"/>
              <w:gridCol w:w="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224" w:type="dxa"/>
                  <w:vMerge w:val="restart"/>
                  <w:vAlign w:val="center"/>
                </w:tcPr>
                <w:p>
                  <w:pPr>
                    <w:adjustRightInd w:val="0"/>
                    <w:snapToGrid w:val="0"/>
                    <w:spacing w:line="360" w:lineRule="exact"/>
                    <w:contextualSpacing/>
                    <w:jc w:val="center"/>
                    <w:rPr>
                      <w:sz w:val="24"/>
                      <w:szCs w:val="24"/>
                    </w:rPr>
                  </w:pPr>
                  <w:r>
                    <w:rPr>
                      <w:sz w:val="24"/>
                      <w:szCs w:val="24"/>
                    </w:rPr>
                    <w:t>编号</w:t>
                  </w:r>
                </w:p>
              </w:tc>
              <w:tc>
                <w:tcPr>
                  <w:tcW w:w="1466" w:type="dxa"/>
                  <w:vMerge w:val="restart"/>
                  <w:vAlign w:val="center"/>
                </w:tcPr>
                <w:p>
                  <w:pPr>
                    <w:adjustRightInd w:val="0"/>
                    <w:snapToGrid w:val="0"/>
                    <w:spacing w:line="360" w:lineRule="exact"/>
                    <w:contextualSpacing/>
                    <w:jc w:val="center"/>
                    <w:rPr>
                      <w:sz w:val="24"/>
                      <w:szCs w:val="24"/>
                    </w:rPr>
                  </w:pPr>
                  <w:r>
                    <w:rPr>
                      <w:sz w:val="24"/>
                      <w:szCs w:val="24"/>
                    </w:rPr>
                    <w:t>监测点名称</w:t>
                  </w:r>
                </w:p>
              </w:tc>
              <w:tc>
                <w:tcPr>
                  <w:tcW w:w="2048" w:type="dxa"/>
                  <w:gridSpan w:val="2"/>
                  <w:vAlign w:val="center"/>
                </w:tcPr>
                <w:p>
                  <w:pPr>
                    <w:adjustRightInd w:val="0"/>
                    <w:snapToGrid w:val="0"/>
                    <w:spacing w:line="360" w:lineRule="exact"/>
                    <w:contextualSpacing/>
                    <w:jc w:val="center"/>
                    <w:rPr>
                      <w:sz w:val="24"/>
                      <w:szCs w:val="24"/>
                    </w:rPr>
                  </w:pPr>
                  <w:r>
                    <w:rPr>
                      <w:sz w:val="24"/>
                      <w:szCs w:val="24"/>
                    </w:rPr>
                    <w:t>监测值</w:t>
                  </w:r>
                </w:p>
              </w:tc>
              <w:tc>
                <w:tcPr>
                  <w:tcW w:w="2109" w:type="dxa"/>
                  <w:gridSpan w:val="2"/>
                  <w:vAlign w:val="center"/>
                </w:tcPr>
                <w:p>
                  <w:pPr>
                    <w:adjustRightInd w:val="0"/>
                    <w:snapToGrid w:val="0"/>
                    <w:spacing w:line="360" w:lineRule="exact"/>
                    <w:contextualSpacing/>
                    <w:jc w:val="center"/>
                    <w:rPr>
                      <w:sz w:val="24"/>
                      <w:szCs w:val="24"/>
                    </w:rPr>
                  </w:pPr>
                  <w:r>
                    <w:rPr>
                      <w:sz w:val="24"/>
                      <w:szCs w:val="24"/>
                    </w:rPr>
                    <w:t>执行标准</w:t>
                  </w:r>
                </w:p>
              </w:tc>
              <w:tc>
                <w:tcPr>
                  <w:tcW w:w="1712" w:type="dxa"/>
                  <w:gridSpan w:val="2"/>
                  <w:vAlign w:val="center"/>
                </w:tcPr>
                <w:p>
                  <w:pPr>
                    <w:adjustRightInd w:val="0"/>
                    <w:snapToGrid w:val="0"/>
                    <w:spacing w:line="360" w:lineRule="exact"/>
                    <w:contextualSpacing/>
                    <w:jc w:val="center"/>
                    <w:rPr>
                      <w:sz w:val="24"/>
                      <w:szCs w:val="24"/>
                    </w:rPr>
                  </w:pPr>
                  <w:r>
                    <w:rPr>
                      <w:sz w:val="24"/>
                      <w:szCs w:val="24"/>
                    </w:rPr>
                    <w:t>达标情况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224" w:type="dxa"/>
                  <w:vMerge w:val="continue"/>
                  <w:vAlign w:val="center"/>
                </w:tcPr>
                <w:p>
                  <w:pPr>
                    <w:adjustRightInd w:val="0"/>
                    <w:snapToGrid w:val="0"/>
                    <w:spacing w:line="360" w:lineRule="exact"/>
                    <w:contextualSpacing/>
                    <w:jc w:val="center"/>
                    <w:rPr>
                      <w:sz w:val="24"/>
                      <w:szCs w:val="24"/>
                    </w:rPr>
                  </w:pPr>
                </w:p>
              </w:tc>
              <w:tc>
                <w:tcPr>
                  <w:tcW w:w="1466" w:type="dxa"/>
                  <w:vMerge w:val="continue"/>
                  <w:vAlign w:val="center"/>
                </w:tcPr>
                <w:p>
                  <w:pPr>
                    <w:adjustRightInd w:val="0"/>
                    <w:snapToGrid w:val="0"/>
                    <w:spacing w:line="360" w:lineRule="exact"/>
                    <w:contextualSpacing/>
                    <w:jc w:val="center"/>
                    <w:rPr>
                      <w:sz w:val="24"/>
                      <w:szCs w:val="24"/>
                    </w:rPr>
                  </w:pPr>
                </w:p>
              </w:tc>
              <w:tc>
                <w:tcPr>
                  <w:tcW w:w="990" w:type="dxa"/>
                  <w:vAlign w:val="center"/>
                </w:tcPr>
                <w:p>
                  <w:pPr>
                    <w:adjustRightInd w:val="0"/>
                    <w:snapToGrid w:val="0"/>
                    <w:spacing w:line="360" w:lineRule="exact"/>
                    <w:contextualSpacing/>
                    <w:jc w:val="center"/>
                    <w:rPr>
                      <w:sz w:val="24"/>
                      <w:szCs w:val="24"/>
                    </w:rPr>
                  </w:pPr>
                  <w:r>
                    <w:rPr>
                      <w:sz w:val="24"/>
                      <w:szCs w:val="24"/>
                    </w:rPr>
                    <w:t>昼间</w:t>
                  </w:r>
                </w:p>
              </w:tc>
              <w:tc>
                <w:tcPr>
                  <w:tcW w:w="1058" w:type="dxa"/>
                  <w:vAlign w:val="center"/>
                </w:tcPr>
                <w:p>
                  <w:pPr>
                    <w:adjustRightInd w:val="0"/>
                    <w:snapToGrid w:val="0"/>
                    <w:spacing w:line="360" w:lineRule="exact"/>
                    <w:contextualSpacing/>
                    <w:jc w:val="center"/>
                    <w:rPr>
                      <w:sz w:val="24"/>
                      <w:szCs w:val="24"/>
                    </w:rPr>
                  </w:pPr>
                  <w:r>
                    <w:rPr>
                      <w:sz w:val="24"/>
                      <w:szCs w:val="24"/>
                    </w:rPr>
                    <w:t>夜间</w:t>
                  </w:r>
                </w:p>
              </w:tc>
              <w:tc>
                <w:tcPr>
                  <w:tcW w:w="1054" w:type="dxa"/>
                  <w:vAlign w:val="center"/>
                </w:tcPr>
                <w:p>
                  <w:pPr>
                    <w:adjustRightInd w:val="0"/>
                    <w:snapToGrid w:val="0"/>
                    <w:spacing w:line="360" w:lineRule="exact"/>
                    <w:contextualSpacing/>
                    <w:jc w:val="center"/>
                    <w:rPr>
                      <w:sz w:val="24"/>
                      <w:szCs w:val="24"/>
                    </w:rPr>
                  </w:pPr>
                  <w:r>
                    <w:rPr>
                      <w:sz w:val="24"/>
                      <w:szCs w:val="24"/>
                    </w:rPr>
                    <w:t>昼间</w:t>
                  </w:r>
                </w:p>
              </w:tc>
              <w:tc>
                <w:tcPr>
                  <w:tcW w:w="1055" w:type="dxa"/>
                  <w:vAlign w:val="center"/>
                </w:tcPr>
                <w:p>
                  <w:pPr>
                    <w:adjustRightInd w:val="0"/>
                    <w:snapToGrid w:val="0"/>
                    <w:spacing w:line="360" w:lineRule="exact"/>
                    <w:contextualSpacing/>
                    <w:jc w:val="center"/>
                    <w:rPr>
                      <w:sz w:val="24"/>
                      <w:szCs w:val="24"/>
                    </w:rPr>
                  </w:pPr>
                  <w:r>
                    <w:rPr>
                      <w:sz w:val="24"/>
                      <w:szCs w:val="24"/>
                    </w:rPr>
                    <w:t>夜间</w:t>
                  </w:r>
                </w:p>
              </w:tc>
              <w:tc>
                <w:tcPr>
                  <w:tcW w:w="939" w:type="dxa"/>
                  <w:vAlign w:val="center"/>
                </w:tcPr>
                <w:p>
                  <w:pPr>
                    <w:adjustRightInd w:val="0"/>
                    <w:snapToGrid w:val="0"/>
                    <w:spacing w:line="360" w:lineRule="exact"/>
                    <w:contextualSpacing/>
                    <w:jc w:val="center"/>
                    <w:rPr>
                      <w:sz w:val="24"/>
                      <w:szCs w:val="24"/>
                    </w:rPr>
                  </w:pPr>
                  <w:r>
                    <w:rPr>
                      <w:sz w:val="24"/>
                      <w:szCs w:val="24"/>
                    </w:rPr>
                    <w:t>昼间</w:t>
                  </w:r>
                </w:p>
              </w:tc>
              <w:tc>
                <w:tcPr>
                  <w:tcW w:w="773" w:type="dxa"/>
                  <w:vAlign w:val="center"/>
                </w:tcPr>
                <w:p>
                  <w:pPr>
                    <w:adjustRightInd w:val="0"/>
                    <w:snapToGrid w:val="0"/>
                    <w:spacing w:line="360" w:lineRule="exact"/>
                    <w:contextualSpacing/>
                    <w:jc w:val="center"/>
                    <w:rPr>
                      <w:sz w:val="24"/>
                      <w:szCs w:val="24"/>
                    </w:rPr>
                  </w:pPr>
                  <w:r>
                    <w:rPr>
                      <w:sz w:val="24"/>
                      <w:szCs w:val="24"/>
                    </w:rPr>
                    <w:t>夜间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224" w:type="dxa"/>
                  <w:vAlign w:val="center"/>
                </w:tcPr>
                <w:p>
                  <w:pPr>
                    <w:adjustRightInd w:val="0"/>
                    <w:snapToGrid w:val="0"/>
                    <w:spacing w:line="360" w:lineRule="exact"/>
                    <w:contextualSpacing/>
                    <w:jc w:val="center"/>
                    <w:rPr>
                      <w:sz w:val="24"/>
                      <w:szCs w:val="24"/>
                    </w:rPr>
                  </w:pPr>
                  <w:r>
                    <w:rPr>
                      <w:sz w:val="24"/>
                      <w:szCs w:val="24"/>
                    </w:rPr>
                    <w:t>1#</w:t>
                  </w:r>
                </w:p>
              </w:tc>
              <w:tc>
                <w:tcPr>
                  <w:tcW w:w="1466" w:type="dxa"/>
                  <w:vAlign w:val="center"/>
                </w:tcPr>
                <w:p>
                  <w:pPr>
                    <w:adjustRightInd w:val="0"/>
                    <w:snapToGrid w:val="0"/>
                    <w:spacing w:line="360" w:lineRule="exact"/>
                    <w:contextualSpacing/>
                    <w:jc w:val="center"/>
                    <w:rPr>
                      <w:sz w:val="24"/>
                      <w:szCs w:val="24"/>
                    </w:rPr>
                  </w:pPr>
                  <w:r>
                    <w:rPr>
                      <w:rFonts w:hint="eastAsia"/>
                      <w:sz w:val="24"/>
                      <w:szCs w:val="24"/>
                    </w:rPr>
                    <w:t>项目起点</w:t>
                  </w:r>
                </w:p>
              </w:tc>
              <w:tc>
                <w:tcPr>
                  <w:tcW w:w="990" w:type="dxa"/>
                  <w:vAlign w:val="center"/>
                </w:tcPr>
                <w:p>
                  <w:pPr>
                    <w:adjustRightInd w:val="0"/>
                    <w:snapToGrid w:val="0"/>
                    <w:spacing w:line="360" w:lineRule="exact"/>
                    <w:contextualSpacing/>
                    <w:jc w:val="center"/>
                    <w:rPr>
                      <w:sz w:val="24"/>
                      <w:szCs w:val="24"/>
                    </w:rPr>
                  </w:pPr>
                  <w:r>
                    <w:rPr>
                      <w:rFonts w:hint="eastAsia"/>
                      <w:sz w:val="24"/>
                      <w:szCs w:val="24"/>
                    </w:rPr>
                    <w:t>5</w:t>
                  </w:r>
                  <w:r>
                    <w:rPr>
                      <w:rFonts w:hint="eastAsia"/>
                      <w:sz w:val="24"/>
                      <w:szCs w:val="24"/>
                      <w:lang w:val="en-US" w:eastAsia="zh-CN"/>
                    </w:rPr>
                    <w:t>5</w:t>
                  </w:r>
                  <w:r>
                    <w:rPr>
                      <w:sz w:val="24"/>
                      <w:szCs w:val="24"/>
                    </w:rPr>
                    <w:t>.</w:t>
                  </w:r>
                  <w:r>
                    <w:rPr>
                      <w:rFonts w:hint="eastAsia"/>
                      <w:sz w:val="24"/>
                      <w:szCs w:val="24"/>
                    </w:rPr>
                    <w:t>6</w:t>
                  </w:r>
                </w:p>
              </w:tc>
              <w:tc>
                <w:tcPr>
                  <w:tcW w:w="1058" w:type="dxa"/>
                  <w:vAlign w:val="center"/>
                </w:tcPr>
                <w:p>
                  <w:pPr>
                    <w:adjustRightInd w:val="0"/>
                    <w:snapToGrid w:val="0"/>
                    <w:spacing w:line="360" w:lineRule="exact"/>
                    <w:contextualSpacing/>
                    <w:jc w:val="center"/>
                    <w:rPr>
                      <w:sz w:val="24"/>
                      <w:szCs w:val="24"/>
                    </w:rPr>
                  </w:pPr>
                  <w:r>
                    <w:rPr>
                      <w:rFonts w:hint="eastAsia"/>
                      <w:sz w:val="24"/>
                      <w:szCs w:val="24"/>
                    </w:rPr>
                    <w:t>45.7</w:t>
                  </w:r>
                </w:p>
              </w:tc>
              <w:tc>
                <w:tcPr>
                  <w:tcW w:w="1054" w:type="dxa"/>
                  <w:vAlign w:val="center"/>
                </w:tcPr>
                <w:p>
                  <w:pPr>
                    <w:adjustRightInd w:val="0"/>
                    <w:snapToGrid w:val="0"/>
                    <w:spacing w:line="360" w:lineRule="exact"/>
                    <w:contextualSpacing/>
                    <w:jc w:val="center"/>
                    <w:rPr>
                      <w:sz w:val="24"/>
                      <w:szCs w:val="24"/>
                    </w:rPr>
                  </w:pPr>
                  <w:r>
                    <w:rPr>
                      <w:rFonts w:hint="eastAsia"/>
                      <w:sz w:val="24"/>
                      <w:szCs w:val="24"/>
                    </w:rPr>
                    <w:t>60</w:t>
                  </w:r>
                </w:p>
              </w:tc>
              <w:tc>
                <w:tcPr>
                  <w:tcW w:w="1055" w:type="dxa"/>
                  <w:vAlign w:val="center"/>
                </w:tcPr>
                <w:p>
                  <w:pPr>
                    <w:adjustRightInd w:val="0"/>
                    <w:snapToGrid w:val="0"/>
                    <w:spacing w:line="360" w:lineRule="exact"/>
                    <w:contextualSpacing/>
                    <w:jc w:val="center"/>
                    <w:rPr>
                      <w:sz w:val="24"/>
                      <w:szCs w:val="24"/>
                    </w:rPr>
                  </w:pPr>
                  <w:r>
                    <w:rPr>
                      <w:rFonts w:hint="eastAsia"/>
                      <w:sz w:val="24"/>
                      <w:szCs w:val="24"/>
                    </w:rPr>
                    <w:t>50</w:t>
                  </w:r>
                </w:p>
              </w:tc>
              <w:tc>
                <w:tcPr>
                  <w:tcW w:w="939" w:type="dxa"/>
                  <w:vAlign w:val="center"/>
                </w:tcPr>
                <w:p>
                  <w:pPr>
                    <w:adjustRightInd w:val="0"/>
                    <w:snapToGrid w:val="0"/>
                    <w:spacing w:line="360" w:lineRule="exact"/>
                    <w:contextualSpacing/>
                    <w:jc w:val="center"/>
                    <w:rPr>
                      <w:sz w:val="24"/>
                      <w:szCs w:val="24"/>
                    </w:rPr>
                  </w:pPr>
                  <w:r>
                    <w:rPr>
                      <w:rFonts w:hint="eastAsia"/>
                      <w:sz w:val="24"/>
                      <w:szCs w:val="24"/>
                    </w:rPr>
                    <w:t>达标</w:t>
                  </w:r>
                </w:p>
              </w:tc>
              <w:tc>
                <w:tcPr>
                  <w:tcW w:w="773" w:type="dxa"/>
                  <w:vAlign w:val="center"/>
                </w:tcPr>
                <w:p>
                  <w:pPr>
                    <w:adjustRightInd w:val="0"/>
                    <w:snapToGrid w:val="0"/>
                    <w:spacing w:line="360" w:lineRule="exact"/>
                    <w:contextualSpacing/>
                    <w:jc w:val="center"/>
                    <w:rPr>
                      <w:sz w:val="24"/>
                      <w:szCs w:val="24"/>
                    </w:rPr>
                  </w:pPr>
                  <w:r>
                    <w:rPr>
                      <w:rFonts w:hint="eastAsia"/>
                      <w:sz w:val="24"/>
                      <w:szCs w:val="24"/>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224" w:type="dxa"/>
                  <w:vAlign w:val="center"/>
                </w:tcPr>
                <w:p>
                  <w:pPr>
                    <w:adjustRightInd w:val="0"/>
                    <w:snapToGrid w:val="0"/>
                    <w:spacing w:line="360" w:lineRule="exact"/>
                    <w:contextualSpacing/>
                    <w:jc w:val="center"/>
                    <w:rPr>
                      <w:sz w:val="24"/>
                      <w:szCs w:val="24"/>
                    </w:rPr>
                  </w:pPr>
                  <w:r>
                    <w:rPr>
                      <w:sz w:val="24"/>
                      <w:szCs w:val="24"/>
                    </w:rPr>
                    <w:t>2#</w:t>
                  </w:r>
                </w:p>
              </w:tc>
              <w:tc>
                <w:tcPr>
                  <w:tcW w:w="1466" w:type="dxa"/>
                  <w:vAlign w:val="center"/>
                </w:tcPr>
                <w:p>
                  <w:pPr>
                    <w:adjustRightInd w:val="0"/>
                    <w:snapToGrid w:val="0"/>
                    <w:spacing w:line="360" w:lineRule="exact"/>
                    <w:contextualSpacing/>
                    <w:jc w:val="center"/>
                    <w:rPr>
                      <w:sz w:val="24"/>
                      <w:szCs w:val="24"/>
                    </w:rPr>
                  </w:pPr>
                  <w:r>
                    <w:rPr>
                      <w:rFonts w:hint="eastAsia"/>
                      <w:sz w:val="24"/>
                      <w:szCs w:val="24"/>
                    </w:rPr>
                    <w:t>项目中间段</w:t>
                  </w:r>
                </w:p>
              </w:tc>
              <w:tc>
                <w:tcPr>
                  <w:tcW w:w="990" w:type="dxa"/>
                  <w:vAlign w:val="center"/>
                </w:tcPr>
                <w:p>
                  <w:pPr>
                    <w:adjustRightInd w:val="0"/>
                    <w:snapToGrid w:val="0"/>
                    <w:spacing w:line="360" w:lineRule="exact"/>
                    <w:contextualSpacing/>
                    <w:jc w:val="center"/>
                    <w:rPr>
                      <w:sz w:val="24"/>
                      <w:szCs w:val="24"/>
                    </w:rPr>
                  </w:pPr>
                  <w:r>
                    <w:rPr>
                      <w:rFonts w:hint="eastAsia"/>
                      <w:sz w:val="24"/>
                      <w:szCs w:val="24"/>
                      <w:lang w:val="en-US" w:eastAsia="zh-CN"/>
                    </w:rPr>
                    <w:t>48</w:t>
                  </w:r>
                  <w:r>
                    <w:rPr>
                      <w:sz w:val="24"/>
                      <w:szCs w:val="24"/>
                    </w:rPr>
                    <w:t>.</w:t>
                  </w:r>
                  <w:r>
                    <w:rPr>
                      <w:rFonts w:hint="eastAsia"/>
                      <w:sz w:val="24"/>
                      <w:szCs w:val="24"/>
                    </w:rPr>
                    <w:t>4</w:t>
                  </w:r>
                </w:p>
              </w:tc>
              <w:tc>
                <w:tcPr>
                  <w:tcW w:w="1058" w:type="dxa"/>
                  <w:vAlign w:val="center"/>
                </w:tcPr>
                <w:p>
                  <w:pPr>
                    <w:adjustRightInd w:val="0"/>
                    <w:snapToGrid w:val="0"/>
                    <w:spacing w:line="360" w:lineRule="exact"/>
                    <w:contextualSpacing/>
                    <w:jc w:val="center"/>
                    <w:rPr>
                      <w:sz w:val="24"/>
                      <w:szCs w:val="24"/>
                    </w:rPr>
                  </w:pPr>
                  <w:r>
                    <w:rPr>
                      <w:rFonts w:hint="eastAsia"/>
                      <w:sz w:val="24"/>
                      <w:szCs w:val="24"/>
                    </w:rPr>
                    <w:t>4</w:t>
                  </w:r>
                  <w:r>
                    <w:rPr>
                      <w:rFonts w:hint="eastAsia"/>
                      <w:sz w:val="24"/>
                      <w:szCs w:val="24"/>
                      <w:lang w:val="en-US" w:eastAsia="zh-CN"/>
                    </w:rPr>
                    <w:t>1</w:t>
                  </w:r>
                  <w:r>
                    <w:rPr>
                      <w:sz w:val="24"/>
                      <w:szCs w:val="24"/>
                    </w:rPr>
                    <w:t>.</w:t>
                  </w:r>
                  <w:r>
                    <w:rPr>
                      <w:rFonts w:hint="eastAsia"/>
                      <w:sz w:val="24"/>
                      <w:szCs w:val="24"/>
                    </w:rPr>
                    <w:t>9</w:t>
                  </w:r>
                </w:p>
              </w:tc>
              <w:tc>
                <w:tcPr>
                  <w:tcW w:w="1054" w:type="dxa"/>
                  <w:vAlign w:val="center"/>
                </w:tcPr>
                <w:p>
                  <w:pPr>
                    <w:adjustRightInd w:val="0"/>
                    <w:snapToGrid w:val="0"/>
                    <w:spacing w:line="360" w:lineRule="exact"/>
                    <w:contextualSpacing/>
                    <w:jc w:val="center"/>
                    <w:rPr>
                      <w:sz w:val="24"/>
                      <w:szCs w:val="24"/>
                    </w:rPr>
                  </w:pPr>
                  <w:r>
                    <w:rPr>
                      <w:sz w:val="24"/>
                      <w:szCs w:val="24"/>
                    </w:rPr>
                    <w:t>60</w:t>
                  </w:r>
                </w:p>
              </w:tc>
              <w:tc>
                <w:tcPr>
                  <w:tcW w:w="1055" w:type="dxa"/>
                  <w:vAlign w:val="center"/>
                </w:tcPr>
                <w:p>
                  <w:pPr>
                    <w:adjustRightInd w:val="0"/>
                    <w:snapToGrid w:val="0"/>
                    <w:spacing w:line="360" w:lineRule="exact"/>
                    <w:contextualSpacing/>
                    <w:jc w:val="center"/>
                    <w:rPr>
                      <w:sz w:val="24"/>
                      <w:szCs w:val="24"/>
                    </w:rPr>
                  </w:pPr>
                  <w:r>
                    <w:rPr>
                      <w:sz w:val="24"/>
                      <w:szCs w:val="24"/>
                    </w:rPr>
                    <w:t>50</w:t>
                  </w:r>
                </w:p>
              </w:tc>
              <w:tc>
                <w:tcPr>
                  <w:tcW w:w="939" w:type="dxa"/>
                  <w:vAlign w:val="center"/>
                </w:tcPr>
                <w:p>
                  <w:pPr>
                    <w:adjustRightInd w:val="0"/>
                    <w:snapToGrid w:val="0"/>
                    <w:spacing w:line="360" w:lineRule="exact"/>
                    <w:contextualSpacing/>
                    <w:jc w:val="center"/>
                    <w:rPr>
                      <w:sz w:val="24"/>
                      <w:szCs w:val="24"/>
                    </w:rPr>
                  </w:pPr>
                  <w:r>
                    <w:rPr>
                      <w:rFonts w:hint="eastAsia"/>
                      <w:sz w:val="24"/>
                      <w:szCs w:val="24"/>
                    </w:rPr>
                    <w:t>达标</w:t>
                  </w:r>
                </w:p>
              </w:tc>
              <w:tc>
                <w:tcPr>
                  <w:tcW w:w="773" w:type="dxa"/>
                  <w:vAlign w:val="center"/>
                </w:tcPr>
                <w:p>
                  <w:pPr>
                    <w:adjustRightInd w:val="0"/>
                    <w:snapToGrid w:val="0"/>
                    <w:spacing w:line="360" w:lineRule="exact"/>
                    <w:contextualSpacing/>
                    <w:jc w:val="center"/>
                    <w:rPr>
                      <w:sz w:val="24"/>
                      <w:szCs w:val="24"/>
                    </w:rPr>
                  </w:pPr>
                  <w:r>
                    <w:rPr>
                      <w:rFonts w:hint="eastAsia"/>
                      <w:sz w:val="24"/>
                      <w:szCs w:val="24"/>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224" w:type="dxa"/>
                  <w:vAlign w:val="center"/>
                </w:tcPr>
                <w:p>
                  <w:pPr>
                    <w:adjustRightInd w:val="0"/>
                    <w:snapToGrid w:val="0"/>
                    <w:spacing w:line="360" w:lineRule="exact"/>
                    <w:contextualSpacing/>
                    <w:jc w:val="center"/>
                    <w:rPr>
                      <w:sz w:val="24"/>
                      <w:szCs w:val="24"/>
                    </w:rPr>
                  </w:pPr>
                  <w:r>
                    <w:rPr>
                      <w:sz w:val="24"/>
                      <w:szCs w:val="24"/>
                    </w:rPr>
                    <w:t>3#</w:t>
                  </w:r>
                </w:p>
              </w:tc>
              <w:tc>
                <w:tcPr>
                  <w:tcW w:w="1466" w:type="dxa"/>
                  <w:vAlign w:val="center"/>
                </w:tcPr>
                <w:p>
                  <w:pPr>
                    <w:adjustRightInd w:val="0"/>
                    <w:snapToGrid w:val="0"/>
                    <w:spacing w:line="360" w:lineRule="exact"/>
                    <w:contextualSpacing/>
                    <w:jc w:val="center"/>
                    <w:rPr>
                      <w:sz w:val="24"/>
                      <w:szCs w:val="24"/>
                    </w:rPr>
                  </w:pPr>
                  <w:r>
                    <w:rPr>
                      <w:rFonts w:hint="eastAsia"/>
                      <w:sz w:val="24"/>
                      <w:szCs w:val="24"/>
                    </w:rPr>
                    <w:t>项目终点</w:t>
                  </w:r>
                </w:p>
              </w:tc>
              <w:tc>
                <w:tcPr>
                  <w:tcW w:w="990" w:type="dxa"/>
                  <w:vAlign w:val="center"/>
                </w:tcPr>
                <w:p>
                  <w:pPr>
                    <w:adjustRightInd w:val="0"/>
                    <w:snapToGrid w:val="0"/>
                    <w:spacing w:line="360" w:lineRule="exact"/>
                    <w:contextualSpacing/>
                    <w:jc w:val="center"/>
                    <w:rPr>
                      <w:sz w:val="24"/>
                      <w:szCs w:val="24"/>
                    </w:rPr>
                  </w:pPr>
                  <w:r>
                    <w:rPr>
                      <w:sz w:val="24"/>
                      <w:szCs w:val="24"/>
                    </w:rPr>
                    <w:t>5</w:t>
                  </w:r>
                  <w:r>
                    <w:rPr>
                      <w:rFonts w:hint="eastAsia"/>
                      <w:sz w:val="24"/>
                      <w:szCs w:val="24"/>
                      <w:lang w:val="en-US" w:eastAsia="zh-CN"/>
                    </w:rPr>
                    <w:t>0</w:t>
                  </w:r>
                  <w:r>
                    <w:rPr>
                      <w:sz w:val="24"/>
                      <w:szCs w:val="24"/>
                    </w:rPr>
                    <w:t>.</w:t>
                  </w:r>
                  <w:r>
                    <w:rPr>
                      <w:rFonts w:hint="eastAsia"/>
                      <w:sz w:val="24"/>
                      <w:szCs w:val="24"/>
                    </w:rPr>
                    <w:t>3</w:t>
                  </w:r>
                </w:p>
              </w:tc>
              <w:tc>
                <w:tcPr>
                  <w:tcW w:w="1058" w:type="dxa"/>
                  <w:vAlign w:val="center"/>
                </w:tcPr>
                <w:p>
                  <w:pPr>
                    <w:adjustRightInd w:val="0"/>
                    <w:snapToGrid w:val="0"/>
                    <w:spacing w:line="360" w:lineRule="exact"/>
                    <w:contextualSpacing/>
                    <w:jc w:val="center"/>
                    <w:rPr>
                      <w:sz w:val="24"/>
                      <w:szCs w:val="24"/>
                    </w:rPr>
                  </w:pPr>
                  <w:r>
                    <w:rPr>
                      <w:sz w:val="24"/>
                      <w:szCs w:val="24"/>
                    </w:rPr>
                    <w:t>4</w:t>
                  </w:r>
                  <w:r>
                    <w:rPr>
                      <w:rFonts w:hint="eastAsia"/>
                      <w:sz w:val="24"/>
                      <w:szCs w:val="24"/>
                      <w:lang w:val="en-US" w:eastAsia="zh-CN"/>
                    </w:rPr>
                    <w:t>2</w:t>
                  </w:r>
                  <w:r>
                    <w:rPr>
                      <w:sz w:val="24"/>
                      <w:szCs w:val="24"/>
                    </w:rPr>
                    <w:t>.</w:t>
                  </w:r>
                  <w:r>
                    <w:rPr>
                      <w:rFonts w:hint="eastAsia"/>
                      <w:sz w:val="24"/>
                      <w:szCs w:val="24"/>
                    </w:rPr>
                    <w:t>4</w:t>
                  </w:r>
                </w:p>
              </w:tc>
              <w:tc>
                <w:tcPr>
                  <w:tcW w:w="1054" w:type="dxa"/>
                  <w:vAlign w:val="center"/>
                </w:tcPr>
                <w:p>
                  <w:pPr>
                    <w:adjustRightInd w:val="0"/>
                    <w:snapToGrid w:val="0"/>
                    <w:spacing w:line="360" w:lineRule="exact"/>
                    <w:contextualSpacing/>
                    <w:jc w:val="center"/>
                    <w:rPr>
                      <w:sz w:val="24"/>
                      <w:szCs w:val="24"/>
                    </w:rPr>
                  </w:pPr>
                  <w:r>
                    <w:rPr>
                      <w:sz w:val="24"/>
                      <w:szCs w:val="24"/>
                    </w:rPr>
                    <w:t>60</w:t>
                  </w:r>
                </w:p>
              </w:tc>
              <w:tc>
                <w:tcPr>
                  <w:tcW w:w="1055" w:type="dxa"/>
                  <w:vAlign w:val="center"/>
                </w:tcPr>
                <w:p>
                  <w:pPr>
                    <w:adjustRightInd w:val="0"/>
                    <w:snapToGrid w:val="0"/>
                    <w:spacing w:line="360" w:lineRule="exact"/>
                    <w:contextualSpacing/>
                    <w:jc w:val="center"/>
                    <w:rPr>
                      <w:sz w:val="24"/>
                      <w:szCs w:val="24"/>
                    </w:rPr>
                  </w:pPr>
                  <w:r>
                    <w:rPr>
                      <w:sz w:val="24"/>
                      <w:szCs w:val="24"/>
                    </w:rPr>
                    <w:t>50</w:t>
                  </w:r>
                </w:p>
              </w:tc>
              <w:tc>
                <w:tcPr>
                  <w:tcW w:w="939" w:type="dxa"/>
                  <w:vAlign w:val="center"/>
                </w:tcPr>
                <w:p>
                  <w:pPr>
                    <w:adjustRightInd w:val="0"/>
                    <w:snapToGrid w:val="0"/>
                    <w:spacing w:line="360" w:lineRule="exact"/>
                    <w:contextualSpacing/>
                    <w:jc w:val="center"/>
                    <w:rPr>
                      <w:sz w:val="24"/>
                      <w:szCs w:val="24"/>
                    </w:rPr>
                  </w:pPr>
                  <w:r>
                    <w:rPr>
                      <w:sz w:val="24"/>
                      <w:szCs w:val="24"/>
                    </w:rPr>
                    <w:t>达标</w:t>
                  </w:r>
                </w:p>
              </w:tc>
              <w:tc>
                <w:tcPr>
                  <w:tcW w:w="773" w:type="dxa"/>
                  <w:vAlign w:val="center"/>
                </w:tcPr>
                <w:p>
                  <w:pPr>
                    <w:adjustRightInd w:val="0"/>
                    <w:snapToGrid w:val="0"/>
                    <w:spacing w:line="360" w:lineRule="exact"/>
                    <w:contextualSpacing/>
                    <w:jc w:val="center"/>
                    <w:rPr>
                      <w:sz w:val="24"/>
                      <w:szCs w:val="24"/>
                    </w:rPr>
                  </w:pPr>
                  <w:r>
                    <w:rPr>
                      <w:sz w:val="24"/>
                      <w:szCs w:val="24"/>
                    </w:rPr>
                    <w:t>达标</w:t>
                  </w:r>
                </w:p>
              </w:tc>
            </w:tr>
          </w:tbl>
          <w:p>
            <w:pPr>
              <w:pStyle w:val="114"/>
              <w:rPr>
                <w:rFonts w:cs="Times New Roman"/>
              </w:rPr>
            </w:pPr>
            <w:r>
              <w:rPr>
                <w:rFonts w:cs="Times New Roman"/>
              </w:rPr>
              <w:t>从监测结果分析可知，</w:t>
            </w:r>
            <w:r>
              <w:rPr>
                <w:rFonts w:hint="eastAsia" w:cs="Times New Roman"/>
              </w:rPr>
              <w:t>项目周围声环境质量</w:t>
            </w:r>
            <w:r>
              <w:rPr>
                <w:rFonts w:cs="Times New Roman"/>
              </w:rPr>
              <w:t>能达到《声环境质量标准》（GB3096-2008）2类标准，区域声环境质量较</w:t>
            </w:r>
            <w:r>
              <w:rPr>
                <w:rFonts w:hint="eastAsia" w:cs="Times New Roman"/>
              </w:rPr>
              <w:t>好。</w:t>
            </w:r>
          </w:p>
          <w:p>
            <w:pPr>
              <w:pStyle w:val="127"/>
              <w:spacing w:before="156" w:beforeLines="50"/>
              <w:ind w:firstLine="482"/>
              <w:rPr>
                <w:rFonts w:cs="Times New Roman"/>
                <w:b/>
                <w:bCs/>
                <w:color w:val="000000"/>
              </w:rPr>
            </w:pPr>
            <w:r>
              <w:rPr>
                <w:rFonts w:cs="Times New Roman"/>
                <w:b/>
                <w:bCs/>
                <w:color w:val="000000"/>
              </w:rPr>
              <w:t>4、生态环境现状</w:t>
            </w:r>
          </w:p>
          <w:p>
            <w:pPr>
              <w:pStyle w:val="72"/>
              <w:rPr>
                <w:rFonts w:hint="eastAsia" w:ascii="Times New Roman" w:hAnsi="Times New Roman" w:cs="Times New Roman"/>
                <w:bCs/>
                <w:color w:val="000000"/>
              </w:rPr>
            </w:pPr>
            <w:r>
              <w:rPr>
                <w:rFonts w:ascii="Times New Roman" w:hAnsi="Times New Roman" w:cs="Times New Roman"/>
                <w:bCs/>
                <w:color w:val="000000"/>
              </w:rPr>
              <w:t>项目</w:t>
            </w:r>
            <w:r>
              <w:rPr>
                <w:rFonts w:hint="eastAsia" w:ascii="Times New Roman" w:hAnsi="Times New Roman" w:cs="Times New Roman"/>
                <w:bCs/>
                <w:color w:val="000000"/>
              </w:rPr>
              <w:t>区域</w:t>
            </w:r>
            <w:r>
              <w:rPr>
                <w:rFonts w:ascii="Times New Roman" w:hAnsi="Times New Roman" w:cs="Times New Roman"/>
              </w:rPr>
              <w:t>地势平坦， 用地多为农地，局部分布有村庄，村中以低矮民宅为主。</w:t>
            </w:r>
            <w:r>
              <w:rPr>
                <w:rFonts w:hint="eastAsia" w:ascii="Times New Roman" w:hAnsi="Times New Roman" w:cs="Times New Roman"/>
              </w:rPr>
              <w:t>主要植被</w:t>
            </w:r>
            <w:r>
              <w:rPr>
                <w:rFonts w:hint="eastAsia" w:ascii="Times New Roman" w:hAnsi="Times New Roman" w:cs="Times New Roman"/>
                <w:bCs/>
                <w:color w:val="000000"/>
              </w:rPr>
              <w:t>为低矮道路绿化景观树、杂草、蔬菜等</w:t>
            </w:r>
            <w:r>
              <w:rPr>
                <w:rFonts w:ascii="Times New Roman" w:hAnsi="Times New Roman" w:cs="Times New Roman"/>
                <w:bCs/>
                <w:color w:val="000000"/>
              </w:rPr>
              <w:t>。根据现场调查，</w:t>
            </w:r>
            <w:r>
              <w:rPr>
                <w:rFonts w:hint="eastAsia" w:ascii="Times New Roman" w:hAnsi="Times New Roman" w:cs="Times New Roman"/>
                <w:bCs/>
                <w:color w:val="000000"/>
              </w:rPr>
              <w:t>区域内</w:t>
            </w:r>
            <w:r>
              <w:rPr>
                <w:rFonts w:ascii="Times New Roman" w:hAnsi="Times New Roman" w:cs="Times New Roman"/>
                <w:bCs/>
                <w:color w:val="000000"/>
              </w:rPr>
              <w:t>未发现珍稀植物物种，也没有需要特殊保护的名树古树</w:t>
            </w:r>
            <w:r>
              <w:rPr>
                <w:rFonts w:hint="eastAsia" w:ascii="Times New Roman" w:hAnsi="Times New Roman" w:cs="Times New Roman"/>
                <w:bCs/>
                <w:color w:val="000000"/>
              </w:rPr>
              <w:t>。</w:t>
            </w:r>
          </w:p>
          <w:p>
            <w:pPr>
              <w:pStyle w:val="72"/>
              <w:rPr>
                <w:rFonts w:hint="eastAsia" w:ascii="Times New Roman" w:hAnsi="Times New Roman" w:cs="Times New Roman"/>
                <w:bCs/>
                <w:color w:val="000000"/>
              </w:rPr>
            </w:pPr>
          </w:p>
          <w:p>
            <w:pPr>
              <w:pStyle w:val="72"/>
              <w:rPr>
                <w:rFonts w:hint="eastAsia" w:ascii="Times New Roman" w:hAnsi="Times New Roman" w:cs="Times New Roman"/>
                <w:bCs/>
                <w:color w:val="000000"/>
              </w:rPr>
            </w:pPr>
          </w:p>
          <w:p>
            <w:pPr>
              <w:pStyle w:val="72"/>
              <w:rPr>
                <w:rFonts w:hint="eastAsia" w:ascii="Times New Roman" w:hAnsi="Times New Roman" w:cs="Times New Roman"/>
                <w:bCs/>
                <w:color w:val="000000"/>
              </w:rPr>
            </w:pPr>
          </w:p>
          <w:p>
            <w:pPr>
              <w:pStyle w:val="72"/>
              <w:rPr>
                <w:rFonts w:hint="eastAsia" w:ascii="Times New Roman" w:hAnsi="Times New Roman" w:cs="Times New Roman"/>
                <w:bCs/>
                <w:color w:val="000000"/>
              </w:rPr>
            </w:pPr>
          </w:p>
          <w:p>
            <w:pPr>
              <w:pStyle w:val="72"/>
              <w:rPr>
                <w:rFonts w:hint="eastAsia" w:ascii="Times New Roman" w:hAnsi="Times New Roman" w:cs="Times New Roman"/>
                <w:bCs/>
                <w:color w:val="000000"/>
              </w:rPr>
            </w:pPr>
          </w:p>
          <w:p>
            <w:pPr>
              <w:pStyle w:val="72"/>
              <w:rPr>
                <w:rFonts w:hint="eastAsia" w:ascii="Times New Roman" w:hAnsi="Times New Roman" w:cs="Times New Roman"/>
                <w:bCs/>
                <w:color w:val="000000"/>
              </w:rPr>
            </w:pPr>
          </w:p>
          <w:p>
            <w:pPr>
              <w:pStyle w:val="72"/>
              <w:rPr>
                <w:rFonts w:hint="eastAsia" w:ascii="Times New Roman" w:hAnsi="Times New Roman" w:cs="Times New Roman"/>
                <w:bCs/>
                <w:color w:val="000000"/>
              </w:rPr>
            </w:pPr>
          </w:p>
          <w:p>
            <w:pPr>
              <w:pStyle w:val="72"/>
              <w:rPr>
                <w:rFonts w:hint="eastAsia" w:ascii="Times New Roman" w:hAnsi="Times New Roman" w:cs="Times New Roman"/>
                <w:bCs/>
                <w:color w:val="000000"/>
              </w:rPr>
            </w:pPr>
          </w:p>
          <w:p>
            <w:pPr>
              <w:pStyle w:val="72"/>
              <w:rPr>
                <w:rFonts w:hint="eastAsia" w:ascii="Times New Roman" w:hAnsi="Times New Roman" w:cs="Times New Roman"/>
                <w:bCs/>
                <w:color w:val="000000"/>
              </w:rPr>
            </w:pPr>
          </w:p>
          <w:p>
            <w:pPr>
              <w:pStyle w:val="72"/>
              <w:rPr>
                <w:rFonts w:hint="eastAsia" w:ascii="Times New Roman" w:hAnsi="Times New Roman" w:cs="Times New Roman"/>
                <w:bCs/>
                <w:color w:val="000000"/>
              </w:rPr>
            </w:pPr>
          </w:p>
          <w:p>
            <w:pPr>
              <w:pStyle w:val="72"/>
              <w:rPr>
                <w:rFonts w:hint="eastAsia" w:ascii="Times New Roman" w:hAnsi="Times New Roman" w:cs="Times New Roman"/>
                <w:bCs/>
                <w:color w:val="000000"/>
              </w:rPr>
            </w:pPr>
          </w:p>
          <w:p>
            <w:pPr>
              <w:pStyle w:val="72"/>
              <w:rPr>
                <w:rFonts w:hint="eastAsia" w:ascii="Times New Roman" w:hAnsi="Times New Roman" w:cs="Times New Roman"/>
                <w:bCs/>
                <w:color w:val="000000"/>
              </w:rPr>
            </w:pPr>
          </w:p>
          <w:p>
            <w:pPr>
              <w:pStyle w:val="72"/>
              <w:rPr>
                <w:rFonts w:hint="eastAsia" w:ascii="Times New Roman" w:hAnsi="Times New Roman" w:cs="Times New Roman"/>
                <w:bCs/>
                <w:color w:val="000000"/>
              </w:rPr>
            </w:pPr>
          </w:p>
          <w:p>
            <w:pPr>
              <w:pStyle w:val="72"/>
              <w:rPr>
                <w:rFonts w:hint="eastAsia" w:ascii="Times New Roman" w:hAnsi="Times New Roman" w:cs="Times New Roman"/>
                <w:bCs/>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87" w:hRule="atLeast"/>
        </w:trPr>
        <w:tc>
          <w:tcPr>
            <w:tcW w:w="9355" w:type="dxa"/>
          </w:tcPr>
          <w:p>
            <w:pPr>
              <w:spacing w:line="400" w:lineRule="exact"/>
              <w:rPr>
                <w:b/>
                <w:color w:val="000000"/>
                <w:sz w:val="24"/>
              </w:rPr>
            </w:pPr>
            <w:r>
              <w:rPr>
                <w:b/>
                <w:color w:val="000000"/>
                <w:sz w:val="24"/>
              </w:rPr>
              <w:t>主要环境保护目标（列出名单及保护级别）：</w:t>
            </w:r>
          </w:p>
          <w:p>
            <w:pPr>
              <w:pStyle w:val="54"/>
              <w:ind w:firstLine="480"/>
              <w:rPr>
                <w:rFonts w:ascii="Times New Roman" w:hAnsi="Times New Roman" w:cs="Times New Roman"/>
                <w:color w:val="000000"/>
              </w:rPr>
            </w:pPr>
            <w:r>
              <w:rPr>
                <w:rFonts w:ascii="Times New Roman" w:hAnsi="Times New Roman" w:cs="Times New Roman"/>
                <w:color w:val="000000"/>
                <w:szCs w:val="24"/>
              </w:rPr>
              <w:t>本项目</w:t>
            </w:r>
            <w:r>
              <w:rPr>
                <w:rFonts w:hint="eastAsia" w:ascii="Times New Roman" w:hAnsi="Times New Roman"/>
              </w:rPr>
              <w:t>位于</w:t>
            </w:r>
            <w:r>
              <w:rPr>
                <w:rFonts w:hint="eastAsia" w:ascii="Times New Roman" w:hAnsi="Times New Roman"/>
                <w:lang w:eastAsia="zh-CN"/>
              </w:rPr>
              <w:t>岳阳岳阳经济技术开发区</w:t>
            </w:r>
            <w:r>
              <w:rPr>
                <w:rFonts w:hint="eastAsia" w:ascii="Times New Roman" w:hAnsi="Times New Roman"/>
              </w:rPr>
              <w:t>内。目前项目所在区域主要为</w:t>
            </w:r>
            <w:r>
              <w:rPr>
                <w:rFonts w:hint="eastAsia"/>
                <w:color w:val="000000"/>
              </w:rPr>
              <w:t>村落、鱼塘、农田。道路沿线多分布现状灌溉沟渠。</w:t>
            </w:r>
            <w:r>
              <w:rPr>
                <w:rFonts w:ascii="Times New Roman" w:hAnsi="Times New Roman"/>
              </w:rPr>
              <w:t>村中以低矮民宅为主。规划道路基本未开始建设</w:t>
            </w:r>
            <w:r>
              <w:rPr>
                <w:rFonts w:hint="eastAsia" w:ascii="Times New Roman" w:hAnsi="Times New Roman"/>
              </w:rPr>
              <w:t>。</w:t>
            </w:r>
            <w:r>
              <w:rPr>
                <w:rFonts w:hint="eastAsia"/>
                <w:color w:val="000000"/>
                <w:lang w:eastAsia="zh-CN"/>
              </w:rPr>
              <w:t>置田庄路</w:t>
            </w:r>
            <w:r>
              <w:rPr>
                <w:rFonts w:hint="eastAsia"/>
                <w:color w:val="000000"/>
              </w:rPr>
              <w:t>位于</w:t>
            </w:r>
            <w:r>
              <w:rPr>
                <w:rFonts w:hint="eastAsia"/>
                <w:color w:val="000000"/>
                <w:lang w:eastAsia="zh-CN"/>
              </w:rPr>
              <w:t>岳阳市岳阳经济技术开发区</w:t>
            </w:r>
            <w:r>
              <w:rPr>
                <w:rFonts w:hint="eastAsia"/>
                <w:color w:val="000000"/>
              </w:rPr>
              <w:t>，</w:t>
            </w:r>
            <w:r>
              <w:rPr>
                <w:rFonts w:hint="eastAsia"/>
                <w:color w:val="000000"/>
                <w:lang w:eastAsia="zh-CN"/>
              </w:rPr>
              <w:t>置田庄路</w:t>
            </w:r>
            <w:r>
              <w:rPr>
                <w:rFonts w:hint="eastAsia"/>
                <w:color w:val="000000"/>
              </w:rPr>
              <w:t>正在施工</w:t>
            </w:r>
            <w:r>
              <w:rPr>
                <w:rFonts w:hint="eastAsia"/>
                <w:color w:val="000000"/>
                <w:lang w:val="en-US" w:eastAsia="zh-CN"/>
              </w:rPr>
              <w:t>前期准备中</w:t>
            </w:r>
            <w:r>
              <w:rPr>
                <w:rFonts w:hint="eastAsia"/>
                <w:color w:val="000000"/>
              </w:rPr>
              <w:t>。</w:t>
            </w:r>
            <w:r>
              <w:rPr>
                <w:rFonts w:hint="eastAsia" w:ascii="Times New Roman" w:hAnsi="Times New Roman"/>
              </w:rPr>
              <w:t>主要环境保护目标为沿线的约村民</w:t>
            </w:r>
            <w:r>
              <w:rPr>
                <w:rFonts w:hint="eastAsia" w:ascii="Times New Roman" w:hAnsi="Times New Roman" w:cs="Times New Roman"/>
                <w:color w:val="000000"/>
                <w:szCs w:val="24"/>
              </w:rPr>
              <w:t>。</w:t>
            </w:r>
            <w:r>
              <w:rPr>
                <w:rFonts w:ascii="Times New Roman" w:hAnsi="Times New Roman" w:cs="Times New Roman"/>
                <w:color w:val="000000"/>
                <w:szCs w:val="24"/>
              </w:rPr>
              <w:t>根据现场踏勘，本项目主要环境保护目标详见下表。</w:t>
            </w:r>
          </w:p>
          <w:p>
            <w:pPr>
              <w:pStyle w:val="54"/>
              <w:ind w:firstLine="422"/>
              <w:jc w:val="center"/>
              <w:rPr>
                <w:rFonts w:ascii="Times New Roman" w:hAnsi="Times New Roman" w:cs="Times New Roman"/>
                <w:b/>
                <w:color w:val="000000"/>
                <w:sz w:val="21"/>
                <w:szCs w:val="21"/>
              </w:rPr>
            </w:pPr>
            <w:r>
              <w:rPr>
                <w:rFonts w:ascii="Times New Roman" w:hAnsi="Times New Roman" w:cs="Times New Roman"/>
                <w:b/>
                <w:color w:val="000000"/>
                <w:sz w:val="21"/>
                <w:szCs w:val="21"/>
              </w:rPr>
              <w:t xml:space="preserve">表 </w:t>
            </w:r>
            <w:r>
              <w:rPr>
                <w:rFonts w:hint="eastAsia" w:ascii="Times New Roman" w:hAnsi="Times New Roman" w:cs="Times New Roman"/>
                <w:b/>
                <w:color w:val="000000"/>
                <w:sz w:val="21"/>
                <w:szCs w:val="21"/>
                <w:lang w:val="en-US" w:eastAsia="zh-CN"/>
              </w:rPr>
              <w:t>3-4</w:t>
            </w:r>
            <w:r>
              <w:rPr>
                <w:rFonts w:ascii="Times New Roman" w:hAnsi="Times New Roman" w:cs="Times New Roman"/>
                <w:b/>
                <w:color w:val="000000"/>
                <w:sz w:val="21"/>
                <w:szCs w:val="21"/>
              </w:rPr>
              <w:t xml:space="preserve"> 主要环境保护目标、目标功能及执行标准</w:t>
            </w:r>
          </w:p>
          <w:p>
            <w:pPr>
              <w:pStyle w:val="147"/>
              <w:rPr>
                <w:rFonts w:eastAsia="宋体"/>
                <w:b/>
              </w:rPr>
            </w:pPr>
            <w:r>
              <w:rPr>
                <w:rFonts w:hAnsi="宋体" w:eastAsia="宋体"/>
                <w:b/>
              </w:rPr>
              <w:t>主要环境保护目标</w:t>
            </w:r>
          </w:p>
          <w:tbl>
            <w:tblPr>
              <w:tblStyle w:val="42"/>
              <w:tblpPr w:leftFromText="180" w:rightFromText="180" w:vertAnchor="text" w:horzAnchor="margin" w:tblpXSpec="center" w:tblpY="31"/>
              <w:tblOverlap w:val="never"/>
              <w:tblW w:w="9216" w:type="dxa"/>
              <w:tblInd w:w="1"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099"/>
              <w:gridCol w:w="2204"/>
              <w:gridCol w:w="1403"/>
              <w:gridCol w:w="1828"/>
              <w:gridCol w:w="902"/>
              <w:gridCol w:w="178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24" w:hRule="atLeast"/>
              </w:trPr>
              <w:tc>
                <w:tcPr>
                  <w:tcW w:w="1099" w:type="dxa"/>
                  <w:vAlign w:val="center"/>
                </w:tcPr>
                <w:p>
                  <w:pPr>
                    <w:adjustRightInd w:val="0"/>
                    <w:spacing w:line="300" w:lineRule="exact"/>
                    <w:jc w:val="center"/>
                    <w:rPr>
                      <w:sz w:val="18"/>
                      <w:szCs w:val="18"/>
                    </w:rPr>
                  </w:pPr>
                  <w:r>
                    <w:rPr>
                      <w:sz w:val="18"/>
                      <w:szCs w:val="18"/>
                    </w:rPr>
                    <w:t>类别</w:t>
                  </w:r>
                </w:p>
              </w:tc>
              <w:tc>
                <w:tcPr>
                  <w:tcW w:w="2204" w:type="dxa"/>
                  <w:vAlign w:val="center"/>
                </w:tcPr>
                <w:p>
                  <w:pPr>
                    <w:adjustRightInd w:val="0"/>
                    <w:spacing w:line="300" w:lineRule="exact"/>
                    <w:jc w:val="center"/>
                    <w:rPr>
                      <w:sz w:val="18"/>
                      <w:szCs w:val="18"/>
                    </w:rPr>
                  </w:pPr>
                  <w:r>
                    <w:rPr>
                      <w:sz w:val="18"/>
                      <w:szCs w:val="18"/>
                    </w:rPr>
                    <w:t>保护</w:t>
                  </w:r>
                  <w:r>
                    <w:rPr>
                      <w:rFonts w:hint="eastAsia"/>
                      <w:sz w:val="18"/>
                      <w:szCs w:val="18"/>
                    </w:rPr>
                    <w:t>目标</w:t>
                  </w:r>
                </w:p>
              </w:tc>
              <w:tc>
                <w:tcPr>
                  <w:tcW w:w="1403" w:type="dxa"/>
                  <w:vAlign w:val="center"/>
                </w:tcPr>
                <w:p>
                  <w:pPr>
                    <w:adjustRightInd w:val="0"/>
                    <w:spacing w:line="300" w:lineRule="exact"/>
                    <w:jc w:val="center"/>
                    <w:rPr>
                      <w:sz w:val="18"/>
                      <w:szCs w:val="18"/>
                    </w:rPr>
                  </w:pPr>
                  <w:r>
                    <w:rPr>
                      <w:sz w:val="18"/>
                      <w:szCs w:val="18"/>
                    </w:rPr>
                    <w:t>保护目标功能</w:t>
                  </w:r>
                </w:p>
              </w:tc>
              <w:tc>
                <w:tcPr>
                  <w:tcW w:w="1828" w:type="dxa"/>
                  <w:vAlign w:val="center"/>
                </w:tcPr>
                <w:p>
                  <w:pPr>
                    <w:adjustRightInd w:val="0"/>
                    <w:spacing w:line="300" w:lineRule="exact"/>
                    <w:jc w:val="center"/>
                    <w:rPr>
                      <w:sz w:val="18"/>
                      <w:szCs w:val="18"/>
                    </w:rPr>
                  </w:pPr>
                  <w:r>
                    <w:rPr>
                      <w:sz w:val="18"/>
                      <w:szCs w:val="18"/>
                    </w:rPr>
                    <w:t>相对位置及距离</w:t>
                  </w:r>
                </w:p>
              </w:tc>
              <w:tc>
                <w:tcPr>
                  <w:tcW w:w="902" w:type="dxa"/>
                  <w:vAlign w:val="center"/>
                </w:tcPr>
                <w:p>
                  <w:pPr>
                    <w:adjustRightInd w:val="0"/>
                    <w:spacing w:line="300" w:lineRule="exact"/>
                    <w:jc w:val="center"/>
                    <w:rPr>
                      <w:sz w:val="18"/>
                      <w:szCs w:val="18"/>
                    </w:rPr>
                  </w:pPr>
                  <w:r>
                    <w:rPr>
                      <w:sz w:val="18"/>
                      <w:szCs w:val="18"/>
                    </w:rPr>
                    <w:t>规模</w:t>
                  </w:r>
                </w:p>
              </w:tc>
              <w:tc>
                <w:tcPr>
                  <w:tcW w:w="1780" w:type="dxa"/>
                  <w:vAlign w:val="center"/>
                </w:tcPr>
                <w:p>
                  <w:pPr>
                    <w:adjustRightInd w:val="0"/>
                    <w:spacing w:line="300" w:lineRule="exact"/>
                    <w:jc w:val="center"/>
                    <w:rPr>
                      <w:sz w:val="18"/>
                      <w:szCs w:val="18"/>
                    </w:rPr>
                  </w:pPr>
                  <w:r>
                    <w:rPr>
                      <w:sz w:val="18"/>
                      <w:szCs w:val="18"/>
                    </w:rPr>
                    <w:t>执行标准</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24" w:hRule="atLeast"/>
              </w:trPr>
              <w:tc>
                <w:tcPr>
                  <w:tcW w:w="1099" w:type="dxa"/>
                  <w:vMerge w:val="restart"/>
                  <w:vAlign w:val="center"/>
                </w:tcPr>
                <w:p>
                  <w:pPr>
                    <w:adjustRightInd w:val="0"/>
                    <w:spacing w:line="300" w:lineRule="exact"/>
                    <w:jc w:val="center"/>
                    <w:rPr>
                      <w:rFonts w:hint="eastAsia"/>
                      <w:sz w:val="18"/>
                      <w:szCs w:val="18"/>
                    </w:rPr>
                  </w:pPr>
                  <w:r>
                    <w:rPr>
                      <w:rFonts w:hint="eastAsia"/>
                      <w:sz w:val="18"/>
                      <w:szCs w:val="18"/>
                    </w:rPr>
                    <w:t>空气环境</w:t>
                  </w:r>
                </w:p>
              </w:tc>
              <w:tc>
                <w:tcPr>
                  <w:tcW w:w="2204" w:type="dxa"/>
                  <w:vAlign w:val="center"/>
                </w:tcPr>
                <w:p>
                  <w:pPr>
                    <w:adjustRightInd w:val="0"/>
                    <w:spacing w:line="300" w:lineRule="exact"/>
                    <w:jc w:val="center"/>
                    <w:rPr>
                      <w:rFonts w:hint="eastAsia"/>
                      <w:sz w:val="18"/>
                      <w:szCs w:val="18"/>
                    </w:rPr>
                  </w:pPr>
                  <w:r>
                    <w:rPr>
                      <w:rFonts w:hint="eastAsia"/>
                      <w:sz w:val="18"/>
                      <w:szCs w:val="18"/>
                    </w:rPr>
                    <w:t>梅子柿村何家组</w:t>
                  </w:r>
                </w:p>
              </w:tc>
              <w:tc>
                <w:tcPr>
                  <w:tcW w:w="1403" w:type="dxa"/>
                  <w:vAlign w:val="center"/>
                </w:tcPr>
                <w:p>
                  <w:pPr>
                    <w:adjustRightInd w:val="0"/>
                    <w:spacing w:line="300" w:lineRule="exact"/>
                    <w:jc w:val="center"/>
                    <w:rPr>
                      <w:rFonts w:hint="eastAsia"/>
                      <w:sz w:val="18"/>
                      <w:szCs w:val="18"/>
                    </w:rPr>
                  </w:pPr>
                  <w:r>
                    <w:rPr>
                      <w:rFonts w:hint="eastAsia"/>
                      <w:sz w:val="18"/>
                      <w:szCs w:val="18"/>
                    </w:rPr>
                    <w:t>居住点</w:t>
                  </w:r>
                </w:p>
              </w:tc>
              <w:tc>
                <w:tcPr>
                  <w:tcW w:w="1828" w:type="dxa"/>
                  <w:vAlign w:val="center"/>
                </w:tcPr>
                <w:p>
                  <w:pPr>
                    <w:adjustRightInd w:val="0"/>
                    <w:spacing w:line="300" w:lineRule="exact"/>
                    <w:jc w:val="center"/>
                    <w:rPr>
                      <w:rFonts w:hint="eastAsia"/>
                      <w:sz w:val="18"/>
                      <w:szCs w:val="18"/>
                    </w:rPr>
                  </w:pPr>
                  <w:r>
                    <w:rPr>
                      <w:rFonts w:hint="eastAsia"/>
                      <w:sz w:val="18"/>
                      <w:szCs w:val="18"/>
                    </w:rPr>
                    <w:t>南侧，20~200m</w:t>
                  </w:r>
                </w:p>
              </w:tc>
              <w:tc>
                <w:tcPr>
                  <w:tcW w:w="902" w:type="dxa"/>
                  <w:vAlign w:val="center"/>
                </w:tcPr>
                <w:p>
                  <w:pPr>
                    <w:adjustRightInd w:val="0"/>
                    <w:spacing w:line="300" w:lineRule="exact"/>
                    <w:jc w:val="center"/>
                    <w:rPr>
                      <w:rFonts w:hint="eastAsia"/>
                      <w:sz w:val="18"/>
                      <w:szCs w:val="18"/>
                    </w:rPr>
                  </w:pPr>
                  <w:r>
                    <w:rPr>
                      <w:rFonts w:hint="eastAsia"/>
                      <w:sz w:val="18"/>
                      <w:szCs w:val="18"/>
                    </w:rPr>
                    <w:t>26户</w:t>
                  </w:r>
                </w:p>
              </w:tc>
              <w:tc>
                <w:tcPr>
                  <w:tcW w:w="1780" w:type="dxa"/>
                  <w:vMerge w:val="restart"/>
                  <w:vAlign w:val="center"/>
                </w:tcPr>
                <w:p>
                  <w:pPr>
                    <w:adjustRightInd w:val="0"/>
                    <w:spacing w:line="300" w:lineRule="exact"/>
                    <w:jc w:val="center"/>
                    <w:rPr>
                      <w:sz w:val="18"/>
                      <w:szCs w:val="18"/>
                    </w:rPr>
                  </w:pPr>
                  <w:r>
                    <w:rPr>
                      <w:sz w:val="18"/>
                      <w:szCs w:val="18"/>
                    </w:rPr>
                    <w:t xml:space="preserve"> (GB3095-</w:t>
                  </w:r>
                  <w:r>
                    <w:rPr>
                      <w:rFonts w:hint="eastAsia"/>
                      <w:sz w:val="18"/>
                      <w:szCs w:val="18"/>
                    </w:rPr>
                    <w:t>2012</w:t>
                  </w:r>
                  <w:r>
                    <w:rPr>
                      <w:sz w:val="18"/>
                      <w:szCs w:val="18"/>
                    </w:rPr>
                    <w:t>)</w:t>
                  </w:r>
                </w:p>
                <w:p>
                  <w:pPr>
                    <w:adjustRightInd w:val="0"/>
                    <w:spacing w:line="300" w:lineRule="exact"/>
                    <w:jc w:val="center"/>
                    <w:rPr>
                      <w:sz w:val="18"/>
                      <w:szCs w:val="18"/>
                    </w:rPr>
                  </w:pPr>
                  <w:r>
                    <w:rPr>
                      <w:sz w:val="18"/>
                      <w:szCs w:val="18"/>
                    </w:rPr>
                    <w:t>中二级</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24" w:hRule="atLeast"/>
              </w:trPr>
              <w:tc>
                <w:tcPr>
                  <w:tcW w:w="1099" w:type="dxa"/>
                  <w:vMerge w:val="continue"/>
                  <w:vAlign w:val="center"/>
                </w:tcPr>
                <w:p>
                  <w:pPr>
                    <w:adjustRightInd w:val="0"/>
                    <w:spacing w:line="300" w:lineRule="exact"/>
                    <w:jc w:val="center"/>
                    <w:rPr>
                      <w:rFonts w:hint="eastAsia"/>
                      <w:sz w:val="18"/>
                      <w:szCs w:val="18"/>
                    </w:rPr>
                  </w:pPr>
                </w:p>
              </w:tc>
              <w:tc>
                <w:tcPr>
                  <w:tcW w:w="2204" w:type="dxa"/>
                  <w:vAlign w:val="center"/>
                </w:tcPr>
                <w:p>
                  <w:pPr>
                    <w:adjustRightInd w:val="0"/>
                    <w:spacing w:line="300" w:lineRule="exact"/>
                    <w:jc w:val="center"/>
                    <w:rPr>
                      <w:rFonts w:hint="eastAsia"/>
                      <w:sz w:val="18"/>
                      <w:szCs w:val="18"/>
                    </w:rPr>
                  </w:pPr>
                  <w:r>
                    <w:rPr>
                      <w:rFonts w:hint="eastAsia"/>
                      <w:sz w:val="18"/>
                      <w:szCs w:val="18"/>
                    </w:rPr>
                    <w:t>梅子柿村瓦子坡组</w:t>
                  </w:r>
                </w:p>
              </w:tc>
              <w:tc>
                <w:tcPr>
                  <w:tcW w:w="1403" w:type="dxa"/>
                  <w:vAlign w:val="center"/>
                </w:tcPr>
                <w:p>
                  <w:pPr>
                    <w:adjustRightInd w:val="0"/>
                    <w:spacing w:line="300" w:lineRule="exact"/>
                    <w:jc w:val="center"/>
                    <w:rPr>
                      <w:rFonts w:hint="eastAsia"/>
                      <w:sz w:val="18"/>
                      <w:szCs w:val="18"/>
                    </w:rPr>
                  </w:pPr>
                  <w:r>
                    <w:rPr>
                      <w:rFonts w:hint="eastAsia"/>
                      <w:sz w:val="18"/>
                      <w:szCs w:val="18"/>
                    </w:rPr>
                    <w:t>居住点</w:t>
                  </w:r>
                </w:p>
              </w:tc>
              <w:tc>
                <w:tcPr>
                  <w:tcW w:w="1828" w:type="dxa"/>
                  <w:vAlign w:val="center"/>
                </w:tcPr>
                <w:p>
                  <w:pPr>
                    <w:adjustRightInd w:val="0"/>
                    <w:spacing w:line="300" w:lineRule="exact"/>
                    <w:jc w:val="center"/>
                    <w:rPr>
                      <w:rFonts w:hint="eastAsia"/>
                      <w:sz w:val="18"/>
                      <w:szCs w:val="18"/>
                    </w:rPr>
                  </w:pPr>
                  <w:r>
                    <w:rPr>
                      <w:rFonts w:hint="eastAsia"/>
                      <w:sz w:val="18"/>
                      <w:szCs w:val="18"/>
                    </w:rPr>
                    <w:t>北侧，30~200m</w:t>
                  </w:r>
                </w:p>
              </w:tc>
              <w:tc>
                <w:tcPr>
                  <w:tcW w:w="902" w:type="dxa"/>
                  <w:vAlign w:val="center"/>
                </w:tcPr>
                <w:p>
                  <w:pPr>
                    <w:adjustRightInd w:val="0"/>
                    <w:spacing w:line="300" w:lineRule="exact"/>
                    <w:jc w:val="center"/>
                    <w:rPr>
                      <w:rFonts w:hint="eastAsia"/>
                      <w:sz w:val="18"/>
                      <w:szCs w:val="18"/>
                    </w:rPr>
                  </w:pPr>
                  <w:r>
                    <w:rPr>
                      <w:rFonts w:hint="eastAsia"/>
                      <w:sz w:val="18"/>
                      <w:szCs w:val="18"/>
                    </w:rPr>
                    <w:t>13户</w:t>
                  </w:r>
                </w:p>
              </w:tc>
              <w:tc>
                <w:tcPr>
                  <w:tcW w:w="1780" w:type="dxa"/>
                  <w:vMerge w:val="continue"/>
                  <w:vAlign w:val="center"/>
                </w:tcPr>
                <w:p>
                  <w:pPr>
                    <w:adjustRightInd w:val="0"/>
                    <w:spacing w:line="300" w:lineRule="exact"/>
                    <w:jc w:val="center"/>
                    <w:rPr>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24" w:hRule="atLeast"/>
              </w:trPr>
              <w:tc>
                <w:tcPr>
                  <w:tcW w:w="1099" w:type="dxa"/>
                  <w:vMerge w:val="continue"/>
                  <w:vAlign w:val="center"/>
                </w:tcPr>
                <w:p>
                  <w:pPr>
                    <w:adjustRightInd w:val="0"/>
                    <w:spacing w:line="300" w:lineRule="exact"/>
                    <w:jc w:val="center"/>
                    <w:rPr>
                      <w:rFonts w:hint="eastAsia"/>
                      <w:sz w:val="18"/>
                      <w:szCs w:val="18"/>
                    </w:rPr>
                  </w:pPr>
                </w:p>
              </w:tc>
              <w:tc>
                <w:tcPr>
                  <w:tcW w:w="2204" w:type="dxa"/>
                  <w:vAlign w:val="center"/>
                </w:tcPr>
                <w:p>
                  <w:pPr>
                    <w:adjustRightInd w:val="0"/>
                    <w:spacing w:line="300" w:lineRule="exact"/>
                    <w:jc w:val="center"/>
                    <w:rPr>
                      <w:rFonts w:hint="eastAsia"/>
                      <w:sz w:val="18"/>
                      <w:szCs w:val="18"/>
                    </w:rPr>
                  </w:pPr>
                  <w:r>
                    <w:rPr>
                      <w:rFonts w:hint="eastAsia"/>
                      <w:sz w:val="18"/>
                      <w:szCs w:val="18"/>
                    </w:rPr>
                    <w:t>分水垄村分水垄组</w:t>
                  </w:r>
                </w:p>
              </w:tc>
              <w:tc>
                <w:tcPr>
                  <w:tcW w:w="1403" w:type="dxa"/>
                  <w:vAlign w:val="center"/>
                </w:tcPr>
                <w:p>
                  <w:pPr>
                    <w:adjustRightInd w:val="0"/>
                    <w:spacing w:line="300" w:lineRule="exact"/>
                    <w:jc w:val="center"/>
                    <w:rPr>
                      <w:rFonts w:hint="eastAsia"/>
                      <w:sz w:val="18"/>
                      <w:szCs w:val="18"/>
                    </w:rPr>
                  </w:pPr>
                  <w:r>
                    <w:rPr>
                      <w:rFonts w:hint="eastAsia"/>
                      <w:sz w:val="18"/>
                      <w:szCs w:val="18"/>
                    </w:rPr>
                    <w:t>居住点</w:t>
                  </w:r>
                </w:p>
              </w:tc>
              <w:tc>
                <w:tcPr>
                  <w:tcW w:w="1828" w:type="dxa"/>
                  <w:vAlign w:val="center"/>
                </w:tcPr>
                <w:p>
                  <w:pPr>
                    <w:adjustRightInd w:val="0"/>
                    <w:spacing w:line="300" w:lineRule="exact"/>
                    <w:jc w:val="center"/>
                    <w:rPr>
                      <w:rFonts w:hint="eastAsia"/>
                      <w:sz w:val="18"/>
                      <w:szCs w:val="18"/>
                    </w:rPr>
                  </w:pPr>
                  <w:r>
                    <w:rPr>
                      <w:rFonts w:hint="eastAsia"/>
                      <w:sz w:val="18"/>
                      <w:szCs w:val="18"/>
                    </w:rPr>
                    <w:t>北侧，20-200m</w:t>
                  </w:r>
                </w:p>
              </w:tc>
              <w:tc>
                <w:tcPr>
                  <w:tcW w:w="902" w:type="dxa"/>
                  <w:vAlign w:val="center"/>
                </w:tcPr>
                <w:p>
                  <w:pPr>
                    <w:adjustRightInd w:val="0"/>
                    <w:spacing w:line="300" w:lineRule="exact"/>
                    <w:jc w:val="center"/>
                    <w:rPr>
                      <w:rFonts w:hint="eastAsia"/>
                      <w:sz w:val="18"/>
                      <w:szCs w:val="18"/>
                    </w:rPr>
                  </w:pPr>
                  <w:r>
                    <w:rPr>
                      <w:rFonts w:hint="eastAsia"/>
                      <w:sz w:val="18"/>
                      <w:szCs w:val="18"/>
                    </w:rPr>
                    <w:t>22户</w:t>
                  </w:r>
                </w:p>
              </w:tc>
              <w:tc>
                <w:tcPr>
                  <w:tcW w:w="1780" w:type="dxa"/>
                  <w:vMerge w:val="continue"/>
                  <w:vAlign w:val="center"/>
                </w:tcPr>
                <w:p>
                  <w:pPr>
                    <w:adjustRightInd w:val="0"/>
                    <w:spacing w:line="300" w:lineRule="exact"/>
                    <w:jc w:val="center"/>
                    <w:rPr>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24" w:hRule="atLeast"/>
              </w:trPr>
              <w:tc>
                <w:tcPr>
                  <w:tcW w:w="1099" w:type="dxa"/>
                  <w:vMerge w:val="continue"/>
                  <w:vAlign w:val="center"/>
                </w:tcPr>
                <w:p>
                  <w:pPr>
                    <w:adjustRightInd w:val="0"/>
                    <w:spacing w:line="300" w:lineRule="exact"/>
                    <w:jc w:val="center"/>
                    <w:rPr>
                      <w:rFonts w:hint="eastAsia"/>
                      <w:sz w:val="18"/>
                      <w:szCs w:val="18"/>
                    </w:rPr>
                  </w:pPr>
                </w:p>
              </w:tc>
              <w:tc>
                <w:tcPr>
                  <w:tcW w:w="2204" w:type="dxa"/>
                  <w:vAlign w:val="center"/>
                </w:tcPr>
                <w:p>
                  <w:pPr>
                    <w:adjustRightInd w:val="0"/>
                    <w:spacing w:line="300" w:lineRule="exact"/>
                    <w:jc w:val="center"/>
                    <w:rPr>
                      <w:rFonts w:hint="eastAsia"/>
                      <w:sz w:val="18"/>
                      <w:szCs w:val="18"/>
                    </w:rPr>
                  </w:pPr>
                  <w:r>
                    <w:rPr>
                      <w:rFonts w:hint="eastAsia"/>
                      <w:sz w:val="18"/>
                      <w:szCs w:val="18"/>
                    </w:rPr>
                    <w:t>分水垄村桐家组</w:t>
                  </w:r>
                </w:p>
              </w:tc>
              <w:tc>
                <w:tcPr>
                  <w:tcW w:w="1403" w:type="dxa"/>
                  <w:vAlign w:val="center"/>
                </w:tcPr>
                <w:p>
                  <w:pPr>
                    <w:adjustRightInd w:val="0"/>
                    <w:spacing w:line="300" w:lineRule="exact"/>
                    <w:jc w:val="center"/>
                    <w:rPr>
                      <w:rFonts w:hint="eastAsia"/>
                      <w:sz w:val="18"/>
                      <w:szCs w:val="18"/>
                    </w:rPr>
                  </w:pPr>
                  <w:r>
                    <w:rPr>
                      <w:rFonts w:hint="eastAsia"/>
                      <w:sz w:val="18"/>
                      <w:szCs w:val="18"/>
                    </w:rPr>
                    <w:t>居住点</w:t>
                  </w:r>
                </w:p>
              </w:tc>
              <w:tc>
                <w:tcPr>
                  <w:tcW w:w="1828" w:type="dxa"/>
                  <w:vAlign w:val="center"/>
                </w:tcPr>
                <w:p>
                  <w:pPr>
                    <w:adjustRightInd w:val="0"/>
                    <w:spacing w:line="300" w:lineRule="exact"/>
                    <w:jc w:val="center"/>
                    <w:rPr>
                      <w:rFonts w:hint="eastAsia"/>
                      <w:sz w:val="18"/>
                      <w:szCs w:val="18"/>
                    </w:rPr>
                  </w:pPr>
                  <w:r>
                    <w:rPr>
                      <w:rFonts w:hint="eastAsia"/>
                      <w:sz w:val="18"/>
                      <w:szCs w:val="18"/>
                    </w:rPr>
                    <w:t>北侧，50~200m</w:t>
                  </w:r>
                </w:p>
              </w:tc>
              <w:tc>
                <w:tcPr>
                  <w:tcW w:w="902" w:type="dxa"/>
                  <w:vAlign w:val="center"/>
                </w:tcPr>
                <w:p>
                  <w:pPr>
                    <w:adjustRightInd w:val="0"/>
                    <w:spacing w:line="300" w:lineRule="exact"/>
                    <w:jc w:val="center"/>
                    <w:rPr>
                      <w:rFonts w:hint="eastAsia"/>
                      <w:sz w:val="18"/>
                      <w:szCs w:val="18"/>
                    </w:rPr>
                  </w:pPr>
                  <w:r>
                    <w:rPr>
                      <w:rFonts w:hint="eastAsia"/>
                      <w:sz w:val="18"/>
                      <w:szCs w:val="18"/>
                    </w:rPr>
                    <w:t>6户</w:t>
                  </w:r>
                </w:p>
              </w:tc>
              <w:tc>
                <w:tcPr>
                  <w:tcW w:w="1780" w:type="dxa"/>
                  <w:vMerge w:val="continue"/>
                  <w:vAlign w:val="center"/>
                </w:tcPr>
                <w:p>
                  <w:pPr>
                    <w:adjustRightInd w:val="0"/>
                    <w:spacing w:line="300" w:lineRule="exact"/>
                    <w:jc w:val="center"/>
                    <w:rPr>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24" w:hRule="atLeast"/>
              </w:trPr>
              <w:tc>
                <w:tcPr>
                  <w:tcW w:w="1099" w:type="dxa"/>
                  <w:vMerge w:val="restart"/>
                  <w:vAlign w:val="center"/>
                </w:tcPr>
                <w:p>
                  <w:pPr>
                    <w:adjustRightInd w:val="0"/>
                    <w:spacing w:line="300" w:lineRule="exact"/>
                    <w:jc w:val="center"/>
                    <w:rPr>
                      <w:rFonts w:hint="eastAsia"/>
                      <w:sz w:val="18"/>
                      <w:szCs w:val="18"/>
                    </w:rPr>
                  </w:pPr>
                  <w:r>
                    <w:rPr>
                      <w:rFonts w:hint="eastAsia"/>
                      <w:sz w:val="18"/>
                      <w:szCs w:val="18"/>
                    </w:rPr>
                    <w:t>声环境</w:t>
                  </w:r>
                </w:p>
              </w:tc>
              <w:tc>
                <w:tcPr>
                  <w:tcW w:w="2204" w:type="dxa"/>
                  <w:vAlign w:val="center"/>
                </w:tcPr>
                <w:p>
                  <w:pPr>
                    <w:adjustRightInd w:val="0"/>
                    <w:spacing w:line="300" w:lineRule="exact"/>
                    <w:jc w:val="center"/>
                    <w:rPr>
                      <w:rFonts w:hint="eastAsia"/>
                      <w:sz w:val="18"/>
                      <w:szCs w:val="18"/>
                    </w:rPr>
                  </w:pPr>
                  <w:r>
                    <w:rPr>
                      <w:rFonts w:hint="eastAsia"/>
                      <w:sz w:val="18"/>
                      <w:szCs w:val="18"/>
                    </w:rPr>
                    <w:t>梅子柿村何家组</w:t>
                  </w:r>
                </w:p>
              </w:tc>
              <w:tc>
                <w:tcPr>
                  <w:tcW w:w="1403" w:type="dxa"/>
                  <w:vAlign w:val="center"/>
                </w:tcPr>
                <w:p>
                  <w:pPr>
                    <w:adjustRightInd w:val="0"/>
                    <w:spacing w:line="300" w:lineRule="exact"/>
                    <w:jc w:val="center"/>
                    <w:rPr>
                      <w:rFonts w:hint="eastAsia"/>
                      <w:sz w:val="18"/>
                      <w:szCs w:val="18"/>
                    </w:rPr>
                  </w:pPr>
                  <w:r>
                    <w:rPr>
                      <w:rFonts w:hint="eastAsia"/>
                      <w:sz w:val="18"/>
                      <w:szCs w:val="18"/>
                    </w:rPr>
                    <w:t>居住点</w:t>
                  </w:r>
                </w:p>
              </w:tc>
              <w:tc>
                <w:tcPr>
                  <w:tcW w:w="1828" w:type="dxa"/>
                  <w:vAlign w:val="center"/>
                </w:tcPr>
                <w:p>
                  <w:pPr>
                    <w:adjustRightInd w:val="0"/>
                    <w:spacing w:line="300" w:lineRule="exact"/>
                    <w:jc w:val="center"/>
                    <w:rPr>
                      <w:rFonts w:hint="eastAsia"/>
                      <w:sz w:val="18"/>
                      <w:szCs w:val="18"/>
                    </w:rPr>
                  </w:pPr>
                  <w:r>
                    <w:rPr>
                      <w:rFonts w:hint="eastAsia"/>
                      <w:sz w:val="18"/>
                      <w:szCs w:val="18"/>
                    </w:rPr>
                    <w:t>南侧，20~200m</w:t>
                  </w:r>
                </w:p>
              </w:tc>
              <w:tc>
                <w:tcPr>
                  <w:tcW w:w="902" w:type="dxa"/>
                  <w:vAlign w:val="center"/>
                </w:tcPr>
                <w:p>
                  <w:pPr>
                    <w:adjustRightInd w:val="0"/>
                    <w:spacing w:line="300" w:lineRule="exact"/>
                    <w:jc w:val="center"/>
                    <w:rPr>
                      <w:rFonts w:hint="eastAsia"/>
                      <w:sz w:val="18"/>
                      <w:szCs w:val="18"/>
                    </w:rPr>
                  </w:pPr>
                  <w:r>
                    <w:rPr>
                      <w:rFonts w:hint="eastAsia"/>
                      <w:sz w:val="18"/>
                      <w:szCs w:val="18"/>
                    </w:rPr>
                    <w:t>26户</w:t>
                  </w:r>
                </w:p>
              </w:tc>
              <w:tc>
                <w:tcPr>
                  <w:tcW w:w="1780" w:type="dxa"/>
                  <w:vMerge w:val="restart"/>
                  <w:vAlign w:val="center"/>
                </w:tcPr>
                <w:p>
                  <w:pPr>
                    <w:adjustRightInd w:val="0"/>
                    <w:spacing w:line="300" w:lineRule="exact"/>
                    <w:jc w:val="center"/>
                    <w:rPr>
                      <w:sz w:val="18"/>
                      <w:szCs w:val="18"/>
                    </w:rPr>
                  </w:pPr>
                  <w:r>
                    <w:rPr>
                      <w:sz w:val="18"/>
                      <w:szCs w:val="18"/>
                    </w:rPr>
                    <w:t>(GB3096-2008)</w:t>
                  </w:r>
                </w:p>
                <w:p>
                  <w:pPr>
                    <w:adjustRightInd w:val="0"/>
                    <w:spacing w:line="300" w:lineRule="exact"/>
                    <w:jc w:val="center"/>
                    <w:rPr>
                      <w:sz w:val="18"/>
                      <w:szCs w:val="18"/>
                    </w:rPr>
                  </w:pPr>
                  <w:r>
                    <w:rPr>
                      <w:sz w:val="18"/>
                      <w:szCs w:val="18"/>
                    </w:rPr>
                    <w:t>中2类</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24" w:hRule="atLeast"/>
              </w:trPr>
              <w:tc>
                <w:tcPr>
                  <w:tcW w:w="1099" w:type="dxa"/>
                  <w:vMerge w:val="continue"/>
                  <w:vAlign w:val="center"/>
                </w:tcPr>
                <w:p>
                  <w:pPr>
                    <w:adjustRightInd w:val="0"/>
                    <w:spacing w:line="300" w:lineRule="exact"/>
                    <w:jc w:val="center"/>
                    <w:rPr>
                      <w:rFonts w:hint="eastAsia"/>
                      <w:sz w:val="18"/>
                      <w:szCs w:val="18"/>
                    </w:rPr>
                  </w:pPr>
                </w:p>
              </w:tc>
              <w:tc>
                <w:tcPr>
                  <w:tcW w:w="2204" w:type="dxa"/>
                  <w:vAlign w:val="center"/>
                </w:tcPr>
                <w:p>
                  <w:pPr>
                    <w:adjustRightInd w:val="0"/>
                    <w:spacing w:line="300" w:lineRule="exact"/>
                    <w:jc w:val="center"/>
                    <w:rPr>
                      <w:rFonts w:hint="eastAsia"/>
                      <w:sz w:val="18"/>
                      <w:szCs w:val="18"/>
                    </w:rPr>
                  </w:pPr>
                  <w:r>
                    <w:rPr>
                      <w:rFonts w:hint="eastAsia"/>
                      <w:sz w:val="18"/>
                      <w:szCs w:val="18"/>
                    </w:rPr>
                    <w:t>梅子柿村瓦子坡组</w:t>
                  </w:r>
                </w:p>
              </w:tc>
              <w:tc>
                <w:tcPr>
                  <w:tcW w:w="1403" w:type="dxa"/>
                  <w:vAlign w:val="center"/>
                </w:tcPr>
                <w:p>
                  <w:pPr>
                    <w:adjustRightInd w:val="0"/>
                    <w:spacing w:line="300" w:lineRule="exact"/>
                    <w:jc w:val="center"/>
                    <w:rPr>
                      <w:rFonts w:hint="eastAsia"/>
                      <w:sz w:val="18"/>
                      <w:szCs w:val="18"/>
                    </w:rPr>
                  </w:pPr>
                  <w:r>
                    <w:rPr>
                      <w:rFonts w:hint="eastAsia"/>
                      <w:sz w:val="18"/>
                      <w:szCs w:val="18"/>
                    </w:rPr>
                    <w:t>居住点</w:t>
                  </w:r>
                </w:p>
              </w:tc>
              <w:tc>
                <w:tcPr>
                  <w:tcW w:w="1828" w:type="dxa"/>
                  <w:vAlign w:val="center"/>
                </w:tcPr>
                <w:p>
                  <w:pPr>
                    <w:adjustRightInd w:val="0"/>
                    <w:spacing w:line="300" w:lineRule="exact"/>
                    <w:jc w:val="center"/>
                    <w:rPr>
                      <w:rFonts w:hint="eastAsia"/>
                      <w:sz w:val="18"/>
                      <w:szCs w:val="18"/>
                    </w:rPr>
                  </w:pPr>
                  <w:r>
                    <w:rPr>
                      <w:rFonts w:hint="eastAsia"/>
                      <w:sz w:val="18"/>
                      <w:szCs w:val="18"/>
                    </w:rPr>
                    <w:t>北侧，30~200m</w:t>
                  </w:r>
                </w:p>
              </w:tc>
              <w:tc>
                <w:tcPr>
                  <w:tcW w:w="902" w:type="dxa"/>
                  <w:vAlign w:val="center"/>
                </w:tcPr>
                <w:p>
                  <w:pPr>
                    <w:adjustRightInd w:val="0"/>
                    <w:spacing w:line="300" w:lineRule="exact"/>
                    <w:jc w:val="center"/>
                    <w:rPr>
                      <w:rFonts w:hint="eastAsia"/>
                      <w:sz w:val="18"/>
                      <w:szCs w:val="18"/>
                    </w:rPr>
                  </w:pPr>
                  <w:r>
                    <w:rPr>
                      <w:rFonts w:hint="eastAsia"/>
                      <w:sz w:val="18"/>
                      <w:szCs w:val="18"/>
                    </w:rPr>
                    <w:t>13户</w:t>
                  </w:r>
                </w:p>
              </w:tc>
              <w:tc>
                <w:tcPr>
                  <w:tcW w:w="1780" w:type="dxa"/>
                  <w:vMerge w:val="continue"/>
                  <w:vAlign w:val="center"/>
                </w:tcPr>
                <w:p>
                  <w:pPr>
                    <w:adjustRightInd w:val="0"/>
                    <w:spacing w:line="300" w:lineRule="exact"/>
                    <w:jc w:val="center"/>
                    <w:rPr>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24" w:hRule="atLeast"/>
              </w:trPr>
              <w:tc>
                <w:tcPr>
                  <w:tcW w:w="1099" w:type="dxa"/>
                  <w:vMerge w:val="continue"/>
                  <w:vAlign w:val="center"/>
                </w:tcPr>
                <w:p>
                  <w:pPr>
                    <w:adjustRightInd w:val="0"/>
                    <w:spacing w:line="300" w:lineRule="exact"/>
                    <w:jc w:val="center"/>
                    <w:rPr>
                      <w:rFonts w:hint="eastAsia"/>
                      <w:sz w:val="18"/>
                      <w:szCs w:val="18"/>
                    </w:rPr>
                  </w:pPr>
                </w:p>
              </w:tc>
              <w:tc>
                <w:tcPr>
                  <w:tcW w:w="2204" w:type="dxa"/>
                  <w:vAlign w:val="center"/>
                </w:tcPr>
                <w:p>
                  <w:pPr>
                    <w:adjustRightInd w:val="0"/>
                    <w:spacing w:line="300" w:lineRule="exact"/>
                    <w:jc w:val="center"/>
                    <w:rPr>
                      <w:rFonts w:hint="eastAsia"/>
                      <w:sz w:val="18"/>
                      <w:szCs w:val="18"/>
                    </w:rPr>
                  </w:pPr>
                  <w:r>
                    <w:rPr>
                      <w:rFonts w:hint="eastAsia"/>
                      <w:sz w:val="18"/>
                      <w:szCs w:val="18"/>
                    </w:rPr>
                    <w:t>分水垄村分水垄组</w:t>
                  </w:r>
                </w:p>
              </w:tc>
              <w:tc>
                <w:tcPr>
                  <w:tcW w:w="1403" w:type="dxa"/>
                  <w:vAlign w:val="center"/>
                </w:tcPr>
                <w:p>
                  <w:pPr>
                    <w:adjustRightInd w:val="0"/>
                    <w:spacing w:line="300" w:lineRule="exact"/>
                    <w:jc w:val="center"/>
                    <w:rPr>
                      <w:rFonts w:hint="eastAsia"/>
                      <w:sz w:val="18"/>
                      <w:szCs w:val="18"/>
                    </w:rPr>
                  </w:pPr>
                  <w:r>
                    <w:rPr>
                      <w:rFonts w:hint="eastAsia"/>
                      <w:sz w:val="18"/>
                      <w:szCs w:val="18"/>
                    </w:rPr>
                    <w:t>居住点</w:t>
                  </w:r>
                </w:p>
              </w:tc>
              <w:tc>
                <w:tcPr>
                  <w:tcW w:w="1828" w:type="dxa"/>
                  <w:vAlign w:val="center"/>
                </w:tcPr>
                <w:p>
                  <w:pPr>
                    <w:adjustRightInd w:val="0"/>
                    <w:spacing w:line="300" w:lineRule="exact"/>
                    <w:jc w:val="center"/>
                    <w:rPr>
                      <w:rFonts w:hint="eastAsia"/>
                      <w:sz w:val="18"/>
                      <w:szCs w:val="18"/>
                    </w:rPr>
                  </w:pPr>
                  <w:r>
                    <w:rPr>
                      <w:rFonts w:hint="eastAsia"/>
                      <w:sz w:val="18"/>
                      <w:szCs w:val="18"/>
                    </w:rPr>
                    <w:t>北侧，20-200m</w:t>
                  </w:r>
                </w:p>
              </w:tc>
              <w:tc>
                <w:tcPr>
                  <w:tcW w:w="902" w:type="dxa"/>
                  <w:vAlign w:val="center"/>
                </w:tcPr>
                <w:p>
                  <w:pPr>
                    <w:adjustRightInd w:val="0"/>
                    <w:spacing w:line="300" w:lineRule="exact"/>
                    <w:jc w:val="center"/>
                    <w:rPr>
                      <w:rFonts w:hint="eastAsia"/>
                      <w:sz w:val="18"/>
                      <w:szCs w:val="18"/>
                    </w:rPr>
                  </w:pPr>
                  <w:r>
                    <w:rPr>
                      <w:rFonts w:hint="eastAsia"/>
                      <w:sz w:val="18"/>
                      <w:szCs w:val="18"/>
                    </w:rPr>
                    <w:t>22户</w:t>
                  </w:r>
                </w:p>
              </w:tc>
              <w:tc>
                <w:tcPr>
                  <w:tcW w:w="1780" w:type="dxa"/>
                  <w:vMerge w:val="continue"/>
                  <w:vAlign w:val="center"/>
                </w:tcPr>
                <w:p>
                  <w:pPr>
                    <w:adjustRightInd w:val="0"/>
                    <w:spacing w:line="300" w:lineRule="exact"/>
                    <w:jc w:val="center"/>
                    <w:rPr>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24" w:hRule="atLeast"/>
              </w:trPr>
              <w:tc>
                <w:tcPr>
                  <w:tcW w:w="1099" w:type="dxa"/>
                  <w:vMerge w:val="continue"/>
                  <w:vAlign w:val="center"/>
                </w:tcPr>
                <w:p>
                  <w:pPr>
                    <w:adjustRightInd w:val="0"/>
                    <w:spacing w:line="300" w:lineRule="exact"/>
                    <w:jc w:val="center"/>
                    <w:rPr>
                      <w:rFonts w:hint="eastAsia"/>
                      <w:sz w:val="18"/>
                      <w:szCs w:val="18"/>
                    </w:rPr>
                  </w:pPr>
                </w:p>
              </w:tc>
              <w:tc>
                <w:tcPr>
                  <w:tcW w:w="2204" w:type="dxa"/>
                  <w:vAlign w:val="center"/>
                </w:tcPr>
                <w:p>
                  <w:pPr>
                    <w:adjustRightInd w:val="0"/>
                    <w:spacing w:line="300" w:lineRule="exact"/>
                    <w:jc w:val="center"/>
                    <w:rPr>
                      <w:rFonts w:hint="eastAsia"/>
                      <w:sz w:val="18"/>
                      <w:szCs w:val="18"/>
                    </w:rPr>
                  </w:pPr>
                  <w:r>
                    <w:rPr>
                      <w:rFonts w:hint="eastAsia"/>
                      <w:sz w:val="18"/>
                      <w:szCs w:val="18"/>
                    </w:rPr>
                    <w:t>分水垄村桐家组</w:t>
                  </w:r>
                </w:p>
              </w:tc>
              <w:tc>
                <w:tcPr>
                  <w:tcW w:w="1403" w:type="dxa"/>
                  <w:vAlign w:val="center"/>
                </w:tcPr>
                <w:p>
                  <w:pPr>
                    <w:adjustRightInd w:val="0"/>
                    <w:spacing w:line="300" w:lineRule="exact"/>
                    <w:jc w:val="center"/>
                    <w:rPr>
                      <w:rFonts w:hint="eastAsia"/>
                      <w:sz w:val="18"/>
                      <w:szCs w:val="18"/>
                    </w:rPr>
                  </w:pPr>
                  <w:r>
                    <w:rPr>
                      <w:rFonts w:hint="eastAsia"/>
                      <w:sz w:val="18"/>
                      <w:szCs w:val="18"/>
                    </w:rPr>
                    <w:t>居住点</w:t>
                  </w:r>
                </w:p>
              </w:tc>
              <w:tc>
                <w:tcPr>
                  <w:tcW w:w="1828" w:type="dxa"/>
                  <w:vAlign w:val="center"/>
                </w:tcPr>
                <w:p>
                  <w:pPr>
                    <w:adjustRightInd w:val="0"/>
                    <w:spacing w:line="300" w:lineRule="exact"/>
                    <w:jc w:val="center"/>
                    <w:rPr>
                      <w:rFonts w:hint="eastAsia"/>
                      <w:sz w:val="18"/>
                      <w:szCs w:val="18"/>
                    </w:rPr>
                  </w:pPr>
                  <w:r>
                    <w:rPr>
                      <w:rFonts w:hint="eastAsia"/>
                      <w:sz w:val="18"/>
                      <w:szCs w:val="18"/>
                    </w:rPr>
                    <w:t>北侧，50~200m</w:t>
                  </w:r>
                </w:p>
              </w:tc>
              <w:tc>
                <w:tcPr>
                  <w:tcW w:w="902" w:type="dxa"/>
                  <w:vAlign w:val="center"/>
                </w:tcPr>
                <w:p>
                  <w:pPr>
                    <w:adjustRightInd w:val="0"/>
                    <w:spacing w:line="300" w:lineRule="exact"/>
                    <w:jc w:val="center"/>
                    <w:rPr>
                      <w:rFonts w:hint="eastAsia"/>
                      <w:sz w:val="18"/>
                      <w:szCs w:val="18"/>
                    </w:rPr>
                  </w:pPr>
                  <w:r>
                    <w:rPr>
                      <w:rFonts w:hint="eastAsia"/>
                      <w:sz w:val="18"/>
                      <w:szCs w:val="18"/>
                    </w:rPr>
                    <w:t>6户</w:t>
                  </w:r>
                </w:p>
              </w:tc>
              <w:tc>
                <w:tcPr>
                  <w:tcW w:w="1780" w:type="dxa"/>
                  <w:vMerge w:val="continue"/>
                  <w:vAlign w:val="center"/>
                </w:tcPr>
                <w:p>
                  <w:pPr>
                    <w:adjustRightInd w:val="0"/>
                    <w:spacing w:line="300" w:lineRule="exact"/>
                    <w:jc w:val="center"/>
                    <w:rPr>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24" w:hRule="atLeast"/>
              </w:trPr>
              <w:tc>
                <w:tcPr>
                  <w:tcW w:w="1099" w:type="dxa"/>
                  <w:vMerge w:val="restart"/>
                  <w:vAlign w:val="center"/>
                </w:tcPr>
                <w:p>
                  <w:pPr>
                    <w:adjustRightInd w:val="0"/>
                    <w:spacing w:line="300" w:lineRule="exact"/>
                    <w:jc w:val="center"/>
                    <w:rPr>
                      <w:rFonts w:hint="eastAsia"/>
                      <w:sz w:val="18"/>
                      <w:szCs w:val="18"/>
                    </w:rPr>
                  </w:pPr>
                  <w:r>
                    <w:rPr>
                      <w:rFonts w:hint="eastAsia"/>
                      <w:sz w:val="18"/>
                      <w:szCs w:val="18"/>
                    </w:rPr>
                    <w:t>水环境</w:t>
                  </w:r>
                </w:p>
              </w:tc>
              <w:tc>
                <w:tcPr>
                  <w:tcW w:w="2204" w:type="dxa"/>
                  <w:vAlign w:val="center"/>
                </w:tcPr>
                <w:p>
                  <w:pPr>
                    <w:adjustRightInd w:val="0"/>
                    <w:spacing w:line="300" w:lineRule="exact"/>
                    <w:jc w:val="center"/>
                    <w:rPr>
                      <w:rFonts w:hint="eastAsia"/>
                      <w:sz w:val="18"/>
                      <w:szCs w:val="18"/>
                    </w:rPr>
                  </w:pPr>
                  <w:r>
                    <w:rPr>
                      <w:rFonts w:hint="eastAsia"/>
                      <w:sz w:val="18"/>
                      <w:szCs w:val="18"/>
                      <w:lang w:val="en-US" w:eastAsia="zh-CN"/>
                    </w:rPr>
                    <w:t>北港河、</w:t>
                  </w:r>
                  <w:r>
                    <w:rPr>
                      <w:rFonts w:hint="eastAsia"/>
                      <w:sz w:val="18"/>
                      <w:szCs w:val="18"/>
                    </w:rPr>
                    <w:t>南湖</w:t>
                  </w:r>
                </w:p>
              </w:tc>
              <w:tc>
                <w:tcPr>
                  <w:tcW w:w="1403" w:type="dxa"/>
                  <w:vAlign w:val="center"/>
                </w:tcPr>
                <w:p>
                  <w:pPr>
                    <w:adjustRightInd w:val="0"/>
                    <w:spacing w:line="300" w:lineRule="exact"/>
                    <w:jc w:val="center"/>
                    <w:rPr>
                      <w:rFonts w:hint="eastAsia"/>
                      <w:sz w:val="18"/>
                      <w:szCs w:val="18"/>
                    </w:rPr>
                  </w:pPr>
                  <w:r>
                    <w:rPr>
                      <w:rFonts w:hint="eastAsia"/>
                      <w:sz w:val="18"/>
                      <w:szCs w:val="18"/>
                    </w:rPr>
                    <w:t>景观用水</w:t>
                  </w:r>
                </w:p>
              </w:tc>
              <w:tc>
                <w:tcPr>
                  <w:tcW w:w="1828" w:type="dxa"/>
                  <w:vAlign w:val="center"/>
                </w:tcPr>
                <w:p>
                  <w:pPr>
                    <w:adjustRightInd w:val="0"/>
                    <w:spacing w:line="300" w:lineRule="exact"/>
                    <w:jc w:val="center"/>
                    <w:rPr>
                      <w:rFonts w:hint="eastAsia"/>
                      <w:sz w:val="18"/>
                      <w:szCs w:val="18"/>
                    </w:rPr>
                  </w:pPr>
                  <w:r>
                    <w:rPr>
                      <w:rFonts w:hint="eastAsia"/>
                      <w:sz w:val="18"/>
                      <w:szCs w:val="18"/>
                    </w:rPr>
                    <w:t>西南侧，6000m</w:t>
                  </w:r>
                </w:p>
              </w:tc>
              <w:tc>
                <w:tcPr>
                  <w:tcW w:w="902" w:type="dxa"/>
                  <w:vAlign w:val="center"/>
                </w:tcPr>
                <w:p>
                  <w:pPr>
                    <w:adjustRightInd w:val="0"/>
                    <w:spacing w:line="300" w:lineRule="exact"/>
                    <w:jc w:val="center"/>
                    <w:rPr>
                      <w:rFonts w:hint="eastAsia"/>
                      <w:sz w:val="18"/>
                      <w:szCs w:val="18"/>
                    </w:rPr>
                  </w:pPr>
                  <w:r>
                    <w:rPr>
                      <w:rFonts w:hint="eastAsia"/>
                      <w:sz w:val="18"/>
                      <w:szCs w:val="18"/>
                    </w:rPr>
                    <w:t>中湖</w:t>
                  </w:r>
                </w:p>
              </w:tc>
              <w:tc>
                <w:tcPr>
                  <w:tcW w:w="1780" w:type="dxa"/>
                  <w:vMerge w:val="restart"/>
                  <w:vAlign w:val="center"/>
                </w:tcPr>
                <w:p>
                  <w:pPr>
                    <w:adjustRightInd w:val="0"/>
                    <w:spacing w:line="300" w:lineRule="exact"/>
                    <w:jc w:val="center"/>
                    <w:rPr>
                      <w:sz w:val="18"/>
                      <w:szCs w:val="18"/>
                    </w:rPr>
                  </w:pPr>
                  <w:r>
                    <w:rPr>
                      <w:sz w:val="18"/>
                      <w:szCs w:val="18"/>
                    </w:rPr>
                    <w:t>(GB3838-2002)</w:t>
                  </w:r>
                </w:p>
                <w:p>
                  <w:pPr>
                    <w:adjustRightInd w:val="0"/>
                    <w:spacing w:line="300" w:lineRule="exact"/>
                    <w:jc w:val="center"/>
                    <w:rPr>
                      <w:sz w:val="18"/>
                      <w:szCs w:val="18"/>
                    </w:rPr>
                  </w:pPr>
                  <w:r>
                    <w:rPr>
                      <w:sz w:val="18"/>
                      <w:szCs w:val="18"/>
                    </w:rPr>
                    <w:t>中的</w:t>
                  </w:r>
                  <w:r>
                    <w:rPr>
                      <w:rFonts w:ascii="宋体" w:hAnsi="宋体" w:cs="宋体"/>
                      <w:sz w:val="18"/>
                      <w:szCs w:val="18"/>
                    </w:rPr>
                    <w:fldChar w:fldCharType="begin"/>
                  </w:r>
                  <w:r>
                    <w:rPr>
                      <w:rFonts w:ascii="宋体" w:hAnsi="宋体" w:cs="宋体"/>
                      <w:sz w:val="18"/>
                      <w:szCs w:val="18"/>
                    </w:rPr>
                    <w:instrText xml:space="preserve"> </w:instrText>
                  </w:r>
                  <w:r>
                    <w:rPr>
                      <w:rFonts w:hint="eastAsia" w:ascii="宋体" w:hAnsi="宋体" w:cs="宋体"/>
                      <w:sz w:val="18"/>
                      <w:szCs w:val="18"/>
                    </w:rPr>
                    <w:instrText xml:space="preserve">= 3 \* ROMAN</w:instrText>
                  </w:r>
                  <w:r>
                    <w:rPr>
                      <w:rFonts w:ascii="宋体" w:hAnsi="宋体" w:cs="宋体"/>
                      <w:sz w:val="18"/>
                      <w:szCs w:val="18"/>
                    </w:rPr>
                    <w:instrText xml:space="preserve"> </w:instrText>
                  </w:r>
                  <w:r>
                    <w:rPr>
                      <w:rFonts w:ascii="宋体" w:hAnsi="宋体" w:cs="宋体"/>
                      <w:sz w:val="18"/>
                      <w:szCs w:val="18"/>
                    </w:rPr>
                    <w:fldChar w:fldCharType="separate"/>
                  </w:r>
                  <w:r>
                    <w:rPr>
                      <w:rFonts w:ascii="宋体" w:hAnsi="宋体" w:cs="宋体"/>
                      <w:sz w:val="18"/>
                      <w:szCs w:val="18"/>
                    </w:rPr>
                    <w:t>III</w:t>
                  </w:r>
                  <w:r>
                    <w:rPr>
                      <w:rFonts w:ascii="宋体" w:hAnsi="宋体" w:cs="宋体"/>
                      <w:sz w:val="18"/>
                      <w:szCs w:val="18"/>
                    </w:rPr>
                    <w:fldChar w:fldCharType="end"/>
                  </w:r>
                  <w:r>
                    <w:rPr>
                      <w:sz w:val="18"/>
                      <w:szCs w:val="18"/>
                    </w:rPr>
                    <w:t>类</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24" w:hRule="atLeast"/>
              </w:trPr>
              <w:tc>
                <w:tcPr>
                  <w:tcW w:w="1099" w:type="dxa"/>
                  <w:vMerge w:val="continue"/>
                  <w:vAlign w:val="center"/>
                </w:tcPr>
                <w:p>
                  <w:pPr>
                    <w:adjustRightInd w:val="0"/>
                    <w:spacing w:line="300" w:lineRule="exact"/>
                    <w:jc w:val="center"/>
                    <w:rPr>
                      <w:rFonts w:hint="eastAsia"/>
                      <w:sz w:val="18"/>
                      <w:szCs w:val="18"/>
                    </w:rPr>
                  </w:pPr>
                </w:p>
              </w:tc>
              <w:tc>
                <w:tcPr>
                  <w:tcW w:w="2204" w:type="dxa"/>
                  <w:vAlign w:val="center"/>
                </w:tcPr>
                <w:p>
                  <w:pPr>
                    <w:adjustRightInd w:val="0"/>
                    <w:spacing w:line="300" w:lineRule="exact"/>
                    <w:jc w:val="center"/>
                    <w:rPr>
                      <w:rFonts w:hint="eastAsia" w:eastAsia="宋体"/>
                      <w:sz w:val="18"/>
                      <w:szCs w:val="18"/>
                      <w:lang w:eastAsia="zh-CN"/>
                    </w:rPr>
                  </w:pPr>
                  <w:r>
                    <w:rPr>
                      <w:rFonts w:hint="eastAsia"/>
                      <w:sz w:val="18"/>
                      <w:szCs w:val="18"/>
                      <w:lang w:val="en-US" w:eastAsia="zh-CN"/>
                    </w:rPr>
                    <w:t>梅溪港</w:t>
                  </w:r>
                </w:p>
              </w:tc>
              <w:tc>
                <w:tcPr>
                  <w:tcW w:w="1403" w:type="dxa"/>
                  <w:vAlign w:val="center"/>
                </w:tcPr>
                <w:p>
                  <w:pPr>
                    <w:adjustRightInd w:val="0"/>
                    <w:spacing w:line="300" w:lineRule="exact"/>
                    <w:jc w:val="center"/>
                    <w:rPr>
                      <w:rFonts w:hint="eastAsia"/>
                      <w:sz w:val="18"/>
                      <w:szCs w:val="18"/>
                    </w:rPr>
                  </w:pPr>
                  <w:r>
                    <w:rPr>
                      <w:rFonts w:hint="eastAsia"/>
                      <w:sz w:val="18"/>
                      <w:szCs w:val="18"/>
                    </w:rPr>
                    <w:t>景观用水</w:t>
                  </w:r>
                </w:p>
              </w:tc>
              <w:tc>
                <w:tcPr>
                  <w:tcW w:w="1828" w:type="dxa"/>
                  <w:vAlign w:val="center"/>
                </w:tcPr>
                <w:p>
                  <w:pPr>
                    <w:adjustRightInd w:val="0"/>
                    <w:spacing w:line="300" w:lineRule="exact"/>
                    <w:jc w:val="center"/>
                    <w:rPr>
                      <w:rFonts w:hint="eastAsia" w:eastAsia="宋体"/>
                      <w:sz w:val="18"/>
                      <w:szCs w:val="18"/>
                      <w:lang w:eastAsia="zh-CN"/>
                    </w:rPr>
                  </w:pPr>
                  <w:r>
                    <w:rPr>
                      <w:rFonts w:hint="eastAsia"/>
                      <w:sz w:val="18"/>
                      <w:szCs w:val="18"/>
                      <w:lang w:val="en-US" w:eastAsia="zh-CN"/>
                    </w:rPr>
                    <w:t>东侧</w:t>
                  </w:r>
                </w:p>
              </w:tc>
              <w:tc>
                <w:tcPr>
                  <w:tcW w:w="902" w:type="dxa"/>
                  <w:vAlign w:val="center"/>
                </w:tcPr>
                <w:p>
                  <w:pPr>
                    <w:adjustRightInd w:val="0"/>
                    <w:spacing w:line="300" w:lineRule="exact"/>
                    <w:jc w:val="center"/>
                    <w:rPr>
                      <w:rFonts w:hint="eastAsia" w:eastAsia="宋体"/>
                      <w:sz w:val="18"/>
                      <w:szCs w:val="18"/>
                      <w:lang w:eastAsia="zh-CN"/>
                    </w:rPr>
                  </w:pPr>
                  <w:r>
                    <w:rPr>
                      <w:rFonts w:hint="eastAsia"/>
                      <w:sz w:val="18"/>
                      <w:szCs w:val="18"/>
                      <w:lang w:val="en-US" w:eastAsia="zh-CN"/>
                    </w:rPr>
                    <w:t>小河</w:t>
                  </w:r>
                </w:p>
              </w:tc>
              <w:tc>
                <w:tcPr>
                  <w:tcW w:w="1780" w:type="dxa"/>
                  <w:vMerge w:val="continue"/>
                  <w:vAlign w:val="center"/>
                </w:tcPr>
                <w:p>
                  <w:pPr>
                    <w:adjustRightInd w:val="0"/>
                    <w:spacing w:line="300" w:lineRule="exact"/>
                    <w:jc w:val="center"/>
                    <w:rPr>
                      <w:sz w:val="18"/>
                      <w:szCs w:val="18"/>
                    </w:rPr>
                  </w:pPr>
                </w:p>
              </w:tc>
            </w:tr>
          </w:tbl>
          <w:p>
            <w:pPr>
              <w:pStyle w:val="54"/>
              <w:ind w:firstLine="422"/>
              <w:jc w:val="center"/>
              <w:rPr>
                <w:rFonts w:ascii="Times New Roman" w:hAnsi="Times New Roman" w:cs="Times New Roman"/>
                <w:b/>
                <w:color w:val="000000"/>
                <w:sz w:val="21"/>
                <w:szCs w:val="21"/>
              </w:rPr>
            </w:pPr>
          </w:p>
          <w:p>
            <w:pPr>
              <w:autoSpaceDE w:val="0"/>
              <w:autoSpaceDN w:val="0"/>
              <w:adjustRightInd w:val="0"/>
              <w:snapToGrid w:val="0"/>
              <w:spacing w:line="360" w:lineRule="auto"/>
              <w:rPr>
                <w:b/>
                <w:color w:val="000000"/>
                <w:sz w:val="24"/>
                <w:szCs w:val="24"/>
              </w:rPr>
            </w:pPr>
          </w:p>
          <w:p>
            <w:pPr>
              <w:autoSpaceDE w:val="0"/>
              <w:autoSpaceDN w:val="0"/>
              <w:adjustRightInd w:val="0"/>
              <w:snapToGrid w:val="0"/>
              <w:spacing w:line="360" w:lineRule="auto"/>
              <w:rPr>
                <w:b/>
                <w:color w:val="000000"/>
                <w:sz w:val="24"/>
                <w:szCs w:val="24"/>
              </w:rPr>
            </w:pPr>
          </w:p>
          <w:p>
            <w:pPr>
              <w:autoSpaceDE w:val="0"/>
              <w:autoSpaceDN w:val="0"/>
              <w:adjustRightInd w:val="0"/>
              <w:snapToGrid w:val="0"/>
              <w:spacing w:line="360" w:lineRule="auto"/>
              <w:rPr>
                <w:b/>
                <w:color w:val="000000"/>
                <w:sz w:val="24"/>
                <w:szCs w:val="24"/>
              </w:rPr>
            </w:pPr>
          </w:p>
          <w:p>
            <w:pPr>
              <w:autoSpaceDE w:val="0"/>
              <w:autoSpaceDN w:val="0"/>
              <w:adjustRightInd w:val="0"/>
              <w:snapToGrid w:val="0"/>
              <w:spacing w:line="360" w:lineRule="auto"/>
              <w:rPr>
                <w:b/>
                <w:color w:val="000000"/>
                <w:sz w:val="24"/>
                <w:szCs w:val="24"/>
              </w:rPr>
            </w:pPr>
          </w:p>
          <w:p>
            <w:pPr>
              <w:autoSpaceDE w:val="0"/>
              <w:autoSpaceDN w:val="0"/>
              <w:adjustRightInd w:val="0"/>
              <w:snapToGrid w:val="0"/>
              <w:spacing w:line="360" w:lineRule="auto"/>
              <w:rPr>
                <w:b/>
                <w:color w:val="000000"/>
                <w:sz w:val="24"/>
                <w:szCs w:val="24"/>
              </w:rPr>
            </w:pPr>
          </w:p>
          <w:p>
            <w:pPr>
              <w:autoSpaceDE w:val="0"/>
              <w:autoSpaceDN w:val="0"/>
              <w:adjustRightInd w:val="0"/>
              <w:snapToGrid w:val="0"/>
              <w:spacing w:line="360" w:lineRule="auto"/>
              <w:rPr>
                <w:b/>
                <w:color w:val="000000"/>
                <w:sz w:val="24"/>
                <w:szCs w:val="24"/>
              </w:rPr>
            </w:pPr>
          </w:p>
          <w:p>
            <w:pPr>
              <w:autoSpaceDE w:val="0"/>
              <w:autoSpaceDN w:val="0"/>
              <w:adjustRightInd w:val="0"/>
              <w:snapToGrid w:val="0"/>
              <w:spacing w:line="360" w:lineRule="auto"/>
              <w:rPr>
                <w:b/>
                <w:color w:val="000000"/>
                <w:sz w:val="24"/>
                <w:szCs w:val="24"/>
              </w:rPr>
            </w:pPr>
          </w:p>
          <w:p>
            <w:pPr>
              <w:autoSpaceDE w:val="0"/>
              <w:autoSpaceDN w:val="0"/>
              <w:adjustRightInd w:val="0"/>
              <w:snapToGrid w:val="0"/>
              <w:spacing w:line="360" w:lineRule="auto"/>
              <w:rPr>
                <w:b/>
                <w:color w:val="000000"/>
                <w:sz w:val="24"/>
                <w:szCs w:val="24"/>
              </w:rPr>
            </w:pPr>
          </w:p>
          <w:p>
            <w:pPr>
              <w:autoSpaceDE w:val="0"/>
              <w:autoSpaceDN w:val="0"/>
              <w:adjustRightInd w:val="0"/>
              <w:snapToGrid w:val="0"/>
              <w:spacing w:line="360" w:lineRule="auto"/>
              <w:rPr>
                <w:b/>
                <w:color w:val="000000"/>
                <w:sz w:val="24"/>
                <w:szCs w:val="24"/>
              </w:rPr>
            </w:pPr>
          </w:p>
          <w:p>
            <w:pPr>
              <w:autoSpaceDE w:val="0"/>
              <w:autoSpaceDN w:val="0"/>
              <w:adjustRightInd w:val="0"/>
              <w:snapToGrid w:val="0"/>
              <w:spacing w:line="360" w:lineRule="auto"/>
              <w:rPr>
                <w:b/>
                <w:color w:val="000000"/>
                <w:sz w:val="24"/>
                <w:szCs w:val="24"/>
              </w:rPr>
            </w:pPr>
          </w:p>
          <w:p>
            <w:pPr>
              <w:autoSpaceDE w:val="0"/>
              <w:autoSpaceDN w:val="0"/>
              <w:adjustRightInd w:val="0"/>
              <w:snapToGrid w:val="0"/>
              <w:spacing w:line="360" w:lineRule="auto"/>
              <w:rPr>
                <w:b/>
                <w:color w:val="000000"/>
                <w:sz w:val="24"/>
                <w:szCs w:val="24"/>
              </w:rPr>
            </w:pPr>
          </w:p>
          <w:p>
            <w:pPr>
              <w:autoSpaceDE w:val="0"/>
              <w:autoSpaceDN w:val="0"/>
              <w:adjustRightInd w:val="0"/>
              <w:snapToGrid w:val="0"/>
              <w:spacing w:line="360" w:lineRule="auto"/>
              <w:rPr>
                <w:b/>
                <w:color w:val="000000"/>
                <w:sz w:val="24"/>
                <w:szCs w:val="24"/>
              </w:rPr>
            </w:pPr>
          </w:p>
          <w:p>
            <w:pPr>
              <w:autoSpaceDE w:val="0"/>
              <w:autoSpaceDN w:val="0"/>
              <w:adjustRightInd w:val="0"/>
              <w:snapToGrid w:val="0"/>
              <w:spacing w:line="360" w:lineRule="auto"/>
              <w:rPr>
                <w:b/>
                <w:color w:val="000000"/>
                <w:sz w:val="24"/>
                <w:szCs w:val="24"/>
              </w:rPr>
            </w:pPr>
          </w:p>
          <w:p>
            <w:pPr>
              <w:autoSpaceDE w:val="0"/>
              <w:autoSpaceDN w:val="0"/>
              <w:adjustRightInd w:val="0"/>
              <w:snapToGrid w:val="0"/>
              <w:spacing w:line="360" w:lineRule="auto"/>
              <w:rPr>
                <w:b/>
                <w:color w:val="000000"/>
                <w:sz w:val="24"/>
                <w:szCs w:val="24"/>
              </w:rPr>
            </w:pPr>
          </w:p>
          <w:p>
            <w:pPr>
              <w:autoSpaceDE w:val="0"/>
              <w:autoSpaceDN w:val="0"/>
              <w:adjustRightInd w:val="0"/>
              <w:snapToGrid w:val="0"/>
              <w:spacing w:line="360" w:lineRule="auto"/>
              <w:rPr>
                <w:b/>
                <w:color w:val="000000"/>
                <w:sz w:val="24"/>
                <w:szCs w:val="24"/>
              </w:rPr>
            </w:pPr>
          </w:p>
          <w:p>
            <w:pPr>
              <w:autoSpaceDE w:val="0"/>
              <w:autoSpaceDN w:val="0"/>
              <w:adjustRightInd w:val="0"/>
              <w:snapToGrid w:val="0"/>
              <w:spacing w:line="360" w:lineRule="auto"/>
              <w:rPr>
                <w:b/>
                <w:color w:val="000000"/>
                <w:sz w:val="24"/>
                <w:szCs w:val="24"/>
              </w:rPr>
            </w:pPr>
          </w:p>
        </w:tc>
      </w:tr>
    </w:tbl>
    <w:p>
      <w:pPr>
        <w:pStyle w:val="2"/>
        <w:numPr>
          <w:ilvl w:val="0"/>
          <w:numId w:val="0"/>
        </w:numPr>
        <w:rPr>
          <w:b/>
          <w:color w:val="000000"/>
        </w:rPr>
      </w:pPr>
      <w:bookmarkStart w:id="21" w:name="_Toc461580594"/>
      <w:r>
        <w:rPr>
          <w:rFonts w:hint="eastAsia"/>
          <w:b/>
          <w:color w:val="000000"/>
        </w:rPr>
        <w:t>四、</w:t>
      </w:r>
      <w:r>
        <w:rPr>
          <w:b/>
          <w:color w:val="000000"/>
        </w:rPr>
        <w:t>评价适用标准</w:t>
      </w:r>
      <w:bookmarkEnd w:id="21"/>
    </w:p>
    <w:tbl>
      <w:tblPr>
        <w:tblStyle w:val="42"/>
        <w:tblW w:w="9320" w:type="dxa"/>
        <w:tblInd w:w="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3"/>
        <w:gridCol w:w="8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19" w:hRule="atLeast"/>
        </w:trPr>
        <w:tc>
          <w:tcPr>
            <w:tcW w:w="553" w:type="dxa"/>
            <w:vAlign w:val="center"/>
          </w:tcPr>
          <w:p>
            <w:pPr>
              <w:spacing w:line="360" w:lineRule="exact"/>
              <w:jc w:val="center"/>
              <w:rPr>
                <w:color w:val="000000"/>
                <w:spacing w:val="6"/>
                <w:sz w:val="24"/>
              </w:rPr>
            </w:pPr>
            <w:r>
              <w:rPr>
                <w:color w:val="000000"/>
                <w:spacing w:val="6"/>
                <w:sz w:val="24"/>
              </w:rPr>
              <w:t>环境质量标准</w:t>
            </w:r>
          </w:p>
        </w:tc>
        <w:tc>
          <w:tcPr>
            <w:tcW w:w="8767" w:type="dxa"/>
            <w:vAlign w:val="center"/>
          </w:tcPr>
          <w:p>
            <w:pPr>
              <w:pStyle w:val="59"/>
              <w:ind w:left="720" w:hanging="720" w:hangingChars="300"/>
              <w:rPr>
                <w:rFonts w:ascii="Times New Roman" w:hAnsi="Times New Roman"/>
                <w:lang w:val="en-US" w:eastAsia="zh-CN"/>
              </w:rPr>
            </w:pPr>
            <w:r>
              <w:rPr>
                <w:rFonts w:ascii="Times New Roman" w:hAnsi="Times New Roman"/>
                <w:lang w:val="en-US" w:eastAsia="zh-CN"/>
              </w:rPr>
              <w:t>环境空气：执行《环境空气质量标准》（GB3095-</w:t>
            </w:r>
            <w:r>
              <w:rPr>
                <w:rFonts w:hint="eastAsia" w:ascii="Times New Roman" w:hAnsi="Times New Roman"/>
                <w:lang w:val="en-US" w:eastAsia="zh-CN"/>
              </w:rPr>
              <w:t>2012</w:t>
            </w:r>
            <w:r>
              <w:rPr>
                <w:rFonts w:ascii="Times New Roman" w:hAnsi="Times New Roman"/>
                <w:lang w:val="en-US" w:eastAsia="zh-CN"/>
              </w:rPr>
              <w:t>）中的二级标准；</w:t>
            </w:r>
          </w:p>
          <w:p>
            <w:pPr>
              <w:pStyle w:val="59"/>
              <w:ind w:left="720" w:hanging="720" w:hangingChars="300"/>
              <w:rPr>
                <w:rFonts w:hint="eastAsia" w:ascii="Times New Roman" w:hAnsi="Times New Roman"/>
                <w:lang w:val="en-US" w:eastAsia="zh-CN"/>
              </w:rPr>
            </w:pPr>
            <w:r>
              <w:rPr>
                <w:rFonts w:ascii="Times New Roman" w:hAnsi="Times New Roman"/>
                <w:lang w:val="en-US" w:eastAsia="zh-CN"/>
              </w:rPr>
              <w:t>水</w:t>
            </w:r>
            <w:r>
              <w:rPr>
                <w:rFonts w:hint="eastAsia" w:ascii="Times New Roman" w:hAnsi="Times New Roman"/>
                <w:lang w:val="en-US" w:eastAsia="zh-CN"/>
              </w:rPr>
              <w:t xml:space="preserve"> </w:t>
            </w:r>
            <w:r>
              <w:rPr>
                <w:rFonts w:ascii="Times New Roman" w:hAnsi="Times New Roman"/>
                <w:lang w:val="en-US" w:eastAsia="zh-CN"/>
              </w:rPr>
              <w:t>环</w:t>
            </w:r>
            <w:r>
              <w:rPr>
                <w:rFonts w:hint="eastAsia" w:ascii="Times New Roman" w:hAnsi="Times New Roman"/>
                <w:lang w:val="en-US" w:eastAsia="zh-CN"/>
              </w:rPr>
              <w:t xml:space="preserve"> </w:t>
            </w:r>
            <w:r>
              <w:rPr>
                <w:rFonts w:ascii="Times New Roman" w:hAnsi="Times New Roman"/>
                <w:lang w:val="en-US" w:eastAsia="zh-CN"/>
              </w:rPr>
              <w:t>境：</w:t>
            </w:r>
            <w:r>
              <w:rPr>
                <w:rFonts w:hint="eastAsia" w:ascii="Times New Roman" w:hAnsi="Times New Roman"/>
                <w:lang w:val="en-US" w:eastAsia="zh-CN"/>
              </w:rPr>
              <w:t>梅溪港《地表水环境质量标准》（GB3838-2002）中Ⅳ类水质标准；北港河、南湖执行《地表水环境质量标准》（GB3838-2002）中</w:t>
            </w:r>
            <w:r>
              <w:rPr>
                <w:rFonts w:ascii="Times New Roman" w:hAnsi="Times New Roman"/>
                <w:lang w:val="en-US" w:eastAsia="zh-CN"/>
              </w:rPr>
              <w:fldChar w:fldCharType="begin"/>
            </w:r>
            <w:r>
              <w:rPr>
                <w:rFonts w:ascii="Times New Roman" w:hAnsi="Times New Roman"/>
                <w:lang w:val="en-US" w:eastAsia="zh-CN"/>
              </w:rPr>
              <w:instrText xml:space="preserve"> </w:instrText>
            </w:r>
            <w:r>
              <w:rPr>
                <w:rFonts w:hint="eastAsia" w:ascii="Times New Roman" w:hAnsi="Times New Roman"/>
                <w:lang w:val="en-US" w:eastAsia="zh-CN"/>
              </w:rPr>
              <w:instrText xml:space="preserve">= 3 \* ROMAN</w:instrText>
            </w:r>
            <w:r>
              <w:rPr>
                <w:rFonts w:ascii="Times New Roman" w:hAnsi="Times New Roman"/>
                <w:lang w:val="en-US" w:eastAsia="zh-CN"/>
              </w:rPr>
              <w:instrText xml:space="preserve"> </w:instrText>
            </w:r>
            <w:r>
              <w:rPr>
                <w:rFonts w:ascii="Times New Roman" w:hAnsi="Times New Roman"/>
                <w:lang w:val="en-US" w:eastAsia="zh-CN"/>
              </w:rPr>
              <w:fldChar w:fldCharType="separate"/>
            </w:r>
            <w:r>
              <w:rPr>
                <w:rFonts w:ascii="Times New Roman" w:hAnsi="Times New Roman"/>
                <w:lang w:val="en-US" w:eastAsia="zh-CN"/>
              </w:rPr>
              <w:t>III</w:t>
            </w:r>
            <w:r>
              <w:rPr>
                <w:rFonts w:ascii="Times New Roman" w:hAnsi="Times New Roman"/>
                <w:lang w:val="en-US" w:eastAsia="zh-CN"/>
              </w:rPr>
              <w:fldChar w:fldCharType="end"/>
            </w:r>
            <w:r>
              <w:rPr>
                <w:rFonts w:hint="eastAsia" w:ascii="Times New Roman" w:hAnsi="Times New Roman"/>
                <w:lang w:val="en-US" w:eastAsia="zh-CN"/>
              </w:rPr>
              <w:t>类水质标准；</w:t>
            </w:r>
          </w:p>
          <w:p>
            <w:pPr>
              <w:pStyle w:val="59"/>
              <w:ind w:left="720" w:hanging="720" w:hangingChars="300"/>
              <w:rPr>
                <w:rFonts w:ascii="Times New Roman" w:hAnsi="Times New Roman"/>
                <w:spacing w:val="6"/>
              </w:rPr>
            </w:pPr>
            <w:r>
              <w:rPr>
                <w:rFonts w:ascii="Times New Roman" w:hAnsi="Times New Roman"/>
                <w:lang w:val="en-US" w:eastAsia="zh-CN"/>
              </w:rPr>
              <w:t>声</w:t>
            </w:r>
            <w:r>
              <w:rPr>
                <w:rFonts w:hint="eastAsia" w:ascii="Times New Roman" w:hAnsi="Times New Roman"/>
                <w:lang w:val="en-US" w:eastAsia="zh-CN"/>
              </w:rPr>
              <w:t xml:space="preserve"> </w:t>
            </w:r>
            <w:r>
              <w:rPr>
                <w:rFonts w:ascii="Times New Roman" w:hAnsi="Times New Roman"/>
                <w:lang w:val="en-US" w:eastAsia="zh-CN"/>
              </w:rPr>
              <w:t>环</w:t>
            </w:r>
            <w:r>
              <w:rPr>
                <w:rFonts w:hint="eastAsia" w:ascii="Times New Roman" w:hAnsi="Times New Roman"/>
                <w:lang w:val="en-US" w:eastAsia="zh-CN"/>
              </w:rPr>
              <w:t xml:space="preserve"> </w:t>
            </w:r>
            <w:bookmarkStart w:id="53" w:name="_GoBack"/>
            <w:bookmarkEnd w:id="53"/>
            <w:r>
              <w:rPr>
                <w:rFonts w:ascii="Times New Roman" w:hAnsi="Times New Roman"/>
                <w:lang w:val="en-US" w:eastAsia="zh-CN"/>
              </w:rPr>
              <w:t>境：</w:t>
            </w:r>
            <w:r>
              <w:rPr>
                <w:rFonts w:hint="eastAsia" w:ascii="Times New Roman" w:hAnsi="Times New Roman"/>
                <w:lang w:val="en-US" w:eastAsia="zh-CN"/>
              </w:rPr>
              <w:t>道路红线</w:t>
            </w:r>
            <w:r>
              <w:rPr>
                <w:rFonts w:ascii="Times New Roman" w:hAnsi="Times New Roman"/>
                <w:lang w:val="en-US" w:eastAsia="zh-CN"/>
              </w:rPr>
              <w:t>35米内执行《</w:t>
            </w:r>
            <w:r>
              <w:rPr>
                <w:rFonts w:ascii="Times New Roman" w:hAnsi="Times New Roman"/>
                <w:lang w:val="en-US" w:eastAsia="zh-CN"/>
              </w:rPr>
              <w:fldChar w:fldCharType="begin"/>
            </w:r>
            <w:r>
              <w:rPr>
                <w:rFonts w:ascii="Times New Roman" w:hAnsi="Times New Roman"/>
                <w:lang w:val="en-US" w:eastAsia="zh-CN"/>
              </w:rPr>
              <w:instrText xml:space="preserve"> HYPERLINK "http://www.mep.gov.cn/tech/hjbz/bzwb/wlhj/shjzlbz/200809/t20080917_128815.htm" \t "_self" </w:instrText>
            </w:r>
            <w:r>
              <w:rPr>
                <w:rFonts w:ascii="Times New Roman" w:hAnsi="Times New Roman"/>
                <w:lang w:val="en-US" w:eastAsia="zh-CN"/>
              </w:rPr>
              <w:fldChar w:fldCharType="separate"/>
            </w:r>
            <w:r>
              <w:rPr>
                <w:rFonts w:ascii="Times New Roman" w:hAnsi="Times New Roman"/>
                <w:lang w:val="en-US" w:eastAsia="zh-CN"/>
              </w:rPr>
              <w:t>声环境质量标准</w:t>
            </w:r>
            <w:r>
              <w:rPr>
                <w:rFonts w:ascii="Times New Roman" w:hAnsi="Times New Roman"/>
                <w:lang w:val="en-US" w:eastAsia="zh-CN"/>
              </w:rPr>
              <w:fldChar w:fldCharType="end"/>
            </w:r>
            <w:r>
              <w:rPr>
                <w:rFonts w:ascii="Times New Roman" w:hAnsi="Times New Roman"/>
                <w:lang w:val="en-US" w:eastAsia="zh-CN"/>
              </w:rPr>
              <w:t>》（GB 3096-2008）中的</w:t>
            </w:r>
            <w:r>
              <w:rPr>
                <w:rFonts w:hint="eastAsia" w:ascii="Times New Roman" w:hAnsi="Times New Roman"/>
              </w:rPr>
              <w:t>4a</w:t>
            </w:r>
            <w:r>
              <w:rPr>
                <w:rFonts w:ascii="Times New Roman" w:hAnsi="Times New Roman"/>
              </w:rPr>
              <w:t>类标准，</w:t>
            </w:r>
            <w:r>
              <w:rPr>
                <w:rFonts w:hint="eastAsia" w:ascii="Times New Roman" w:hAnsi="Times New Roman"/>
              </w:rPr>
              <w:t>红线</w:t>
            </w:r>
            <w:r>
              <w:rPr>
                <w:rFonts w:ascii="Times New Roman" w:hAnsi="Times New Roman"/>
              </w:rPr>
              <w:t>35米内规划建设的集中居民区、医院、学校等及35米外执行2类标准。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1" w:hRule="atLeast"/>
        </w:trPr>
        <w:tc>
          <w:tcPr>
            <w:tcW w:w="553" w:type="dxa"/>
            <w:vAlign w:val="center"/>
          </w:tcPr>
          <w:p>
            <w:pPr>
              <w:pStyle w:val="7"/>
              <w:rPr>
                <w:color w:val="000000"/>
                <w:sz w:val="24"/>
              </w:rPr>
            </w:pPr>
            <w:r>
              <w:rPr>
                <w:color w:val="000000"/>
                <w:sz w:val="24"/>
              </w:rPr>
              <w:t>污染物排放标准</w:t>
            </w:r>
          </w:p>
        </w:tc>
        <w:tc>
          <w:tcPr>
            <w:tcW w:w="8767" w:type="dxa"/>
            <w:vAlign w:val="center"/>
          </w:tcPr>
          <w:p>
            <w:pPr>
              <w:pStyle w:val="59"/>
              <w:ind w:left="720" w:hanging="720" w:hangingChars="300"/>
              <w:rPr>
                <w:rFonts w:ascii="Times New Roman" w:hAnsi="Times New Roman"/>
              </w:rPr>
            </w:pPr>
            <w:r>
              <w:rPr>
                <w:rFonts w:ascii="Times New Roman" w:hAnsi="Times New Roman"/>
              </w:rPr>
              <w:t>废气：执行《大气污染物综合排放标准》（GB16297-96）中的无组织标准。</w:t>
            </w:r>
          </w:p>
          <w:p>
            <w:pPr>
              <w:pStyle w:val="59"/>
              <w:ind w:left="720" w:hanging="720" w:hangingChars="300"/>
              <w:rPr>
                <w:rFonts w:ascii="Times New Roman" w:hAnsi="Times New Roman"/>
              </w:rPr>
            </w:pPr>
            <w:r>
              <w:rPr>
                <w:rFonts w:ascii="Times New Roman" w:hAnsi="Times New Roman"/>
              </w:rPr>
              <w:t>废水：</w:t>
            </w:r>
            <w:r>
              <w:rPr>
                <w:rFonts w:hint="eastAsia" w:ascii="Times New Roman" w:hAnsi="Times New Roman"/>
              </w:rPr>
              <w:t>施工期执行《污水综合排放标准》（GB8978-1996</w:t>
            </w:r>
            <w:r>
              <w:rPr>
                <w:rFonts w:ascii="Times New Roman" w:hAnsi="Times New Roman"/>
              </w:rPr>
              <w:t>）</w:t>
            </w:r>
            <w:r>
              <w:rPr>
                <w:rFonts w:hint="eastAsia" w:ascii="Times New Roman" w:hAnsi="Times New Roman"/>
              </w:rPr>
              <w:t>一级标准</w:t>
            </w:r>
            <w:r>
              <w:rPr>
                <w:rFonts w:ascii="Times New Roman" w:hAnsi="Times New Roman"/>
              </w:rPr>
              <w:t>。</w:t>
            </w:r>
          </w:p>
          <w:p>
            <w:pPr>
              <w:pStyle w:val="59"/>
              <w:ind w:left="720" w:hanging="720" w:hangingChars="300"/>
              <w:rPr>
                <w:rFonts w:ascii="Times New Roman" w:hAnsi="Times New Roman"/>
              </w:rPr>
            </w:pPr>
            <w:r>
              <w:rPr>
                <w:rFonts w:ascii="Times New Roman" w:hAnsi="Times New Roman"/>
              </w:rPr>
              <w:t>噪声：施工期执行《建筑施工场界环境噪声排放标准》（GB12523-2011）标准 （昼间</w:t>
            </w:r>
            <w:r>
              <w:rPr>
                <w:rFonts w:hint="eastAsia" w:ascii="Times New Roman" w:hAnsi="Times New Roman"/>
              </w:rPr>
              <w:t>≦</w:t>
            </w:r>
            <w:r>
              <w:rPr>
                <w:rFonts w:ascii="Times New Roman" w:hAnsi="Times New Roman"/>
              </w:rPr>
              <w:t>70dB（A）、夜间</w:t>
            </w:r>
            <w:r>
              <w:rPr>
                <w:rFonts w:hint="eastAsia" w:ascii="Times New Roman" w:hAnsi="Times New Roman"/>
              </w:rPr>
              <w:t>≦</w:t>
            </w:r>
            <w:r>
              <w:rPr>
                <w:rFonts w:ascii="Times New Roman" w:hAnsi="Times New Roman"/>
              </w:rPr>
              <w:t>55dB（A））</w:t>
            </w:r>
            <w:r>
              <w:rPr>
                <w:rFonts w:hint="eastAsia" w:ascii="Times New Roman" w:hAnsi="Times New Roman"/>
              </w:rPr>
              <w:t>。</w:t>
            </w:r>
          </w:p>
          <w:p>
            <w:pPr>
              <w:pStyle w:val="59"/>
              <w:ind w:left="720" w:hanging="720" w:hangingChars="300"/>
              <w:rPr>
                <w:rFonts w:ascii="Times New Roman" w:hAnsi="Times New Roman"/>
                <w:spacing w:val="6"/>
              </w:rPr>
            </w:pPr>
            <w:r>
              <w:rPr>
                <w:rFonts w:ascii="Times New Roman" w:hAnsi="Times New Roman"/>
              </w:rPr>
              <w:t>固体废物：</w:t>
            </w:r>
            <w:r>
              <w:rPr>
                <w:rFonts w:hint="eastAsia" w:ascii="Times New Roman" w:hAnsi="Times New Roman"/>
              </w:rPr>
              <w:t>施工垃圾</w:t>
            </w:r>
            <w:r>
              <w:rPr>
                <w:rFonts w:ascii="Times New Roman" w:hAnsi="Times New Roman"/>
              </w:rPr>
              <w:t>执行《一般工业固体废物贮存、处置场污染控制标准》（GB18599-2001） 及修改单</w:t>
            </w:r>
            <w:r>
              <w:rPr>
                <w:rFonts w:hint="eastAsia" w:ascii="Times New Roman" w:hAnsi="Times New Roman"/>
              </w:rPr>
              <w:t>，施工期</w:t>
            </w:r>
            <w:r>
              <w:rPr>
                <w:rFonts w:ascii="Times New Roman" w:hAnsi="Times New Roman"/>
              </w:rPr>
              <w:t>生活垃圾执行《生活垃圾填埋场污染控制标准》（GB16889-2008）。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22" w:hRule="atLeast"/>
        </w:trPr>
        <w:tc>
          <w:tcPr>
            <w:tcW w:w="553" w:type="dxa"/>
            <w:tcBorders>
              <w:bottom w:val="single" w:color="auto" w:sz="4" w:space="0"/>
            </w:tcBorders>
            <w:vAlign w:val="center"/>
          </w:tcPr>
          <w:p>
            <w:pPr>
              <w:jc w:val="center"/>
              <w:rPr>
                <w:color w:val="000000"/>
                <w:spacing w:val="6"/>
                <w:sz w:val="24"/>
              </w:rPr>
            </w:pPr>
            <w:r>
              <w:rPr>
                <w:color w:val="000000"/>
                <w:spacing w:val="6"/>
                <w:sz w:val="24"/>
              </w:rPr>
              <w:t>总量控制指标</w:t>
            </w:r>
          </w:p>
        </w:tc>
        <w:tc>
          <w:tcPr>
            <w:tcW w:w="8767" w:type="dxa"/>
            <w:tcBorders>
              <w:bottom w:val="single" w:color="auto" w:sz="4" w:space="0"/>
            </w:tcBorders>
          </w:tcPr>
          <w:p>
            <w:pPr>
              <w:pStyle w:val="59"/>
              <w:rPr>
                <w:rFonts w:ascii="Times New Roman" w:hAnsi="Times New Roman"/>
                <w:spacing w:val="6"/>
              </w:rPr>
            </w:pPr>
            <w:r>
              <w:rPr>
                <w:rFonts w:ascii="Times New Roman" w:hAnsi="Times New Roman"/>
              </w:rPr>
              <w:t>本项目属于非生产性建设项目，不设总量控制指标。</w:t>
            </w:r>
          </w:p>
        </w:tc>
      </w:tr>
    </w:tbl>
    <w:p>
      <w:pPr>
        <w:pStyle w:val="2"/>
        <w:numPr>
          <w:ilvl w:val="0"/>
          <w:numId w:val="0"/>
        </w:numPr>
        <w:rPr>
          <w:b/>
          <w:color w:val="000000"/>
        </w:rPr>
      </w:pPr>
      <w:bookmarkStart w:id="22" w:name="_Toc461580595"/>
      <w:r>
        <w:rPr>
          <w:rFonts w:hint="eastAsia"/>
          <w:b/>
          <w:color w:val="000000"/>
        </w:rPr>
        <w:t>五、</w:t>
      </w:r>
      <w:r>
        <w:rPr>
          <w:b/>
          <w:color w:val="000000"/>
        </w:rPr>
        <w:t>建设项目工程分析</w:t>
      </w:r>
      <w:bookmarkEnd w:id="22"/>
    </w:p>
    <w:tbl>
      <w:tblPr>
        <w:tblStyle w:val="43"/>
        <w:tblW w:w="94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63" w:type="dxa"/>
          </w:tcPr>
          <w:p>
            <w:pPr>
              <w:spacing w:line="400" w:lineRule="exact"/>
              <w:rPr>
                <w:b/>
                <w:color w:val="000000"/>
                <w:sz w:val="24"/>
              </w:rPr>
            </w:pPr>
            <w:r>
              <w:rPr>
                <w:b/>
              </w:rPr>
              <mc:AlternateContent>
                <mc:Choice Requires="wps">
                  <w:drawing>
                    <wp:anchor distT="0" distB="0" distL="114300" distR="114300" simplePos="0" relativeHeight="251665408" behindDoc="0" locked="0" layoutInCell="1" allowOverlap="1">
                      <wp:simplePos x="0" y="0"/>
                      <wp:positionH relativeFrom="column">
                        <wp:posOffset>4128770</wp:posOffset>
                      </wp:positionH>
                      <wp:positionV relativeFrom="paragraph">
                        <wp:posOffset>69215</wp:posOffset>
                      </wp:positionV>
                      <wp:extent cx="325755" cy="1917700"/>
                      <wp:effectExtent l="4445" t="4445" r="12700" b="20955"/>
                      <wp:wrapNone/>
                      <wp:docPr id="30" name="文本框 30"/>
                      <wp:cNvGraphicFramePr/>
                      <a:graphic xmlns:a="http://schemas.openxmlformats.org/drawingml/2006/main">
                        <a:graphicData uri="http://schemas.microsoft.com/office/word/2010/wordprocessingShape">
                          <wps:wsp>
                            <wps:cNvSpPr txBox="1">
                              <a:spLocks noChangeArrowheads="1"/>
                            </wps:cNvSpPr>
                            <wps:spPr bwMode="auto">
                              <a:xfrm>
                                <a:off x="0" y="0"/>
                                <a:ext cx="325755" cy="1917700"/>
                              </a:xfrm>
                              <a:prstGeom prst="rect">
                                <a:avLst/>
                              </a:prstGeom>
                              <a:solidFill>
                                <a:srgbClr val="FFFFFF"/>
                              </a:solidFill>
                              <a:ln w="9525">
                                <a:solidFill>
                                  <a:srgbClr val="000000"/>
                                </a:solidFill>
                                <a:miter lim="800000"/>
                              </a:ln>
                              <a:effectLst/>
                            </wps:spPr>
                            <wps:txbx>
                              <w:txbxContent>
                                <w:p>
                                  <w:r>
                                    <w:rPr>
                                      <w:rFonts w:hint="eastAsia"/>
                                    </w:rPr>
                                    <w:t>管廊</w:t>
                                  </w:r>
                                  <w:r>
                                    <w:rPr>
                                      <w:rFonts w:hint="eastAsia"/>
                                      <w:lang w:eastAsia="zh-CN"/>
                                    </w:rPr>
                                    <w:t>、</w:t>
                                  </w:r>
                                  <w:r>
                                    <w:rPr>
                                      <w:rFonts w:hint="eastAsia"/>
                                      <w:lang w:val="en-US" w:eastAsia="zh-CN"/>
                                    </w:rPr>
                                    <w:t>地下通道</w:t>
                                  </w:r>
                                  <w:r>
                                    <w:rPr>
                                      <w:rFonts w:hint="eastAsia"/>
                                    </w:rPr>
                                    <w:t>浇筑</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25.1pt;margin-top:5.45pt;height:151pt;width:25.65pt;z-index:251665408;mso-width-relative:page;mso-height-relative:page;" fillcolor="#FFFFFF" filled="t" stroked="t" coordsize="21600,21600" o:gfxdata="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CcUIi3ZAAAACgEAAA8AAAAAAAAAAQAgAAAAIgAAAGRycy9kb3ducmV2LnhtbFBL&#10;AQIUABQAAAAIAIdO4kBN+p2HLgIAAEkEAAAOAAAAAAAAAAEAIAAAACgBAABkcnMvZTJvRG9jLnht&#10;bFBLBQYAAAAABgAGAFkBAADIBQAAAAA=&#10;">
                      <v:fill on="t" focussize="0,0"/>
                      <v:stroke color="#000000" miterlimit="8" joinstyle="miter"/>
                      <v:imagedata o:title=""/>
                      <o:lock v:ext="edit" aspectratio="f"/>
                      <v:textbox>
                        <w:txbxContent>
                          <w:p>
                            <w:r>
                              <w:rPr>
                                <w:rFonts w:hint="eastAsia"/>
                              </w:rPr>
                              <w:t>管廊</w:t>
                            </w:r>
                            <w:r>
                              <w:rPr>
                                <w:rFonts w:hint="eastAsia"/>
                                <w:lang w:eastAsia="zh-CN"/>
                              </w:rPr>
                              <w:t>、</w:t>
                            </w:r>
                            <w:r>
                              <w:rPr>
                                <w:rFonts w:hint="eastAsia"/>
                                <w:lang w:val="en-US" w:eastAsia="zh-CN"/>
                              </w:rPr>
                              <w:t>地下通道</w:t>
                            </w:r>
                            <w:r>
                              <w:rPr>
                                <w:rFonts w:hint="eastAsia"/>
                              </w:rPr>
                              <w:t>浇筑</w:t>
                            </w:r>
                          </w:p>
                        </w:txbxContent>
                      </v:textbox>
                    </v:shape>
                  </w:pict>
                </mc:Fallback>
              </mc:AlternateContent>
            </w:r>
            <w:r>
              <w:rPr>
                <w:rFonts w:hint="eastAsia"/>
                <w:b/>
                <w:color w:val="000000"/>
                <w:sz w:val="24"/>
              </w:rPr>
              <w:t>施工期</w:t>
            </w:r>
            <w:r>
              <w:rPr>
                <w:b/>
                <w:color w:val="000000"/>
                <w:sz w:val="24"/>
              </w:rPr>
              <w:t>工艺流程简述（图示）：</w:t>
            </w:r>
          </w:p>
          <w:p>
            <w:pPr>
              <w:spacing w:line="360" w:lineRule="auto"/>
              <w:rPr>
                <w:bCs/>
              </w:rPr>
            </w:pPr>
            <w:r>
              <mc:AlternateContent>
                <mc:Choice Requires="wps">
                  <w:drawing>
                    <wp:anchor distT="0" distB="0" distL="114300" distR="114300" simplePos="0" relativeHeight="251662336" behindDoc="0" locked="0" layoutInCell="1" allowOverlap="1">
                      <wp:simplePos x="0" y="0"/>
                      <wp:positionH relativeFrom="column">
                        <wp:posOffset>1585595</wp:posOffset>
                      </wp:positionH>
                      <wp:positionV relativeFrom="paragraph">
                        <wp:posOffset>281305</wp:posOffset>
                      </wp:positionV>
                      <wp:extent cx="325755" cy="811530"/>
                      <wp:effectExtent l="4445" t="4445" r="12700" b="22225"/>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325755" cy="811530"/>
                              </a:xfrm>
                              <a:prstGeom prst="rect">
                                <a:avLst/>
                              </a:prstGeom>
                              <a:solidFill>
                                <a:srgbClr val="FFFFFF"/>
                              </a:solidFill>
                              <a:ln w="9525">
                                <a:solidFill>
                                  <a:srgbClr val="000000"/>
                                </a:solidFill>
                                <a:miter lim="800000"/>
                              </a:ln>
                              <a:effectLst/>
                            </wps:spPr>
                            <wps:txbx>
                              <w:txbxContent>
                                <w:p>
                                  <w:r>
                                    <w:rPr>
                                      <w:rFonts w:hint="eastAsia"/>
                                    </w:rPr>
                                    <w:t>围</w:t>
                                  </w:r>
                                </w:p>
                                <w:p/>
                                <w:p>
                                  <w:r>
                                    <w:rPr>
                                      <w:rFonts w:hint="eastAsia"/>
                                    </w:rPr>
                                    <w:t>挡</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24.85pt;margin-top:22.15pt;height:63.9pt;width:25.65pt;z-index:251662336;mso-width-relative:page;mso-height-relative:page;" fillcolor="#FFFFFF" filled="t" stroked="t" coordsize="21600,21600" o:gfxdata="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sRMza2QAAAAoBAAAPAAAAAAAAAAEAIAAAACIAAABkcnMvZG93bnJldi54bWxQ&#10;SwECFAAUAAAACACHTuJAXUiN3S8CAABIBAAADgAAAAAAAAABACAAAAAoAQAAZHJzL2Uyb0RvYy54&#10;bWxQSwUGAAAAAAYABgBZAQAAyQUAAAAA&#10;">
                      <v:fill on="t" focussize="0,0"/>
                      <v:stroke color="#000000" miterlimit="8" joinstyle="miter"/>
                      <v:imagedata o:title=""/>
                      <o:lock v:ext="edit" aspectratio="f"/>
                      <v:textbox>
                        <w:txbxContent>
                          <w:p>
                            <w:r>
                              <w:rPr>
                                <w:rFonts w:hint="eastAsia"/>
                              </w:rPr>
                              <w:t>围</w:t>
                            </w:r>
                          </w:p>
                          <w:p/>
                          <w:p>
                            <w:r>
                              <w:rPr>
                                <w:rFonts w:hint="eastAsia"/>
                              </w:rPr>
                              <w:t>挡</w:t>
                            </w:r>
                          </w:p>
                        </w:txbxContent>
                      </v:textbox>
                    </v:shape>
                  </w:pict>
                </mc:Fallback>
              </mc:AlternateContent>
            </w:r>
            <w:r>
              <w:rPr>
                <w:b/>
              </w:rPr>
              <mc:AlternateContent>
                <mc:Choice Requires="wps">
                  <w:drawing>
                    <wp:anchor distT="0" distB="0" distL="114300" distR="114300" simplePos="0" relativeHeight="251664384" behindDoc="0" locked="0" layoutInCell="1" allowOverlap="1">
                      <wp:simplePos x="0" y="0"/>
                      <wp:positionH relativeFrom="column">
                        <wp:posOffset>3263900</wp:posOffset>
                      </wp:positionH>
                      <wp:positionV relativeFrom="paragraph">
                        <wp:posOffset>281305</wp:posOffset>
                      </wp:positionV>
                      <wp:extent cx="325755" cy="908685"/>
                      <wp:effectExtent l="4445" t="4445" r="12700" b="20320"/>
                      <wp:wrapNone/>
                      <wp:docPr id="29" name="文本框 29"/>
                      <wp:cNvGraphicFramePr/>
                      <a:graphic xmlns:a="http://schemas.openxmlformats.org/drawingml/2006/main">
                        <a:graphicData uri="http://schemas.microsoft.com/office/word/2010/wordprocessingShape">
                          <wps:wsp>
                            <wps:cNvSpPr txBox="1">
                              <a:spLocks noChangeArrowheads="1"/>
                            </wps:cNvSpPr>
                            <wps:spPr bwMode="auto">
                              <a:xfrm>
                                <a:off x="0" y="0"/>
                                <a:ext cx="325755" cy="908685"/>
                              </a:xfrm>
                              <a:prstGeom prst="rect">
                                <a:avLst/>
                              </a:prstGeom>
                              <a:solidFill>
                                <a:srgbClr val="FFFFFF"/>
                              </a:solidFill>
                              <a:ln w="9525">
                                <a:solidFill>
                                  <a:srgbClr val="000000"/>
                                </a:solidFill>
                                <a:miter lim="800000"/>
                              </a:ln>
                              <a:effectLst/>
                            </wps:spPr>
                            <wps:txbx>
                              <w:txbxContent>
                                <w:p>
                                  <w:r>
                                    <w:rPr>
                                      <w:rFonts w:hint="eastAsia"/>
                                    </w:rPr>
                                    <w:t>开挖护坡</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57pt;margin-top:22.15pt;height:71.55pt;width:25.65pt;z-index:251664384;mso-width-relative:page;mso-height-relative:page;" fillcolor="#FFFFFF" filled="t" stroked="t" coordsize="21600,21600" o:gfxdata="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AZuyEdkAAAAKAQAADwAAAAAAAAABACAAAAAiAAAAZHJzL2Rvd25yZXYueG1sUEsB&#10;AhQAFAAAAAgAh07iQEEkmVYtAgAASAQAAA4AAAAAAAAAAQAgAAAAKAEAAGRycy9lMm9Eb2MueG1s&#10;UEsFBgAAAAAGAAYAWQEAAMcFAAAAAA==&#10;">
                      <v:fill on="t" focussize="0,0"/>
                      <v:stroke color="#000000" miterlimit="8" joinstyle="miter"/>
                      <v:imagedata o:title=""/>
                      <o:lock v:ext="edit" aspectratio="f"/>
                      <v:textbox>
                        <w:txbxContent>
                          <w:p>
                            <w:r>
                              <w:rPr>
                                <w:rFonts w:hint="eastAsia"/>
                              </w:rPr>
                              <w:t>开挖护坡</w:t>
                            </w:r>
                          </w:p>
                        </w:txbxContent>
                      </v:textbox>
                    </v:shape>
                  </w:pict>
                </mc:Fallback>
              </mc:AlternateContent>
            </w:r>
            <w:r>
              <w:rPr>
                <w:b/>
              </w:rPr>
              <mc:AlternateContent>
                <mc:Choice Requires="wps">
                  <w:drawing>
                    <wp:anchor distT="0" distB="0" distL="114300" distR="114300" simplePos="0" relativeHeight="251663360" behindDoc="0" locked="0" layoutInCell="1" allowOverlap="1">
                      <wp:simplePos x="0" y="0"/>
                      <wp:positionH relativeFrom="column">
                        <wp:posOffset>2402840</wp:posOffset>
                      </wp:positionH>
                      <wp:positionV relativeFrom="paragraph">
                        <wp:posOffset>281305</wp:posOffset>
                      </wp:positionV>
                      <wp:extent cx="325755" cy="908685"/>
                      <wp:effectExtent l="4445" t="4445" r="12700" b="20320"/>
                      <wp:wrapNone/>
                      <wp:docPr id="28" name="文本框 28"/>
                      <wp:cNvGraphicFramePr/>
                      <a:graphic xmlns:a="http://schemas.openxmlformats.org/drawingml/2006/main">
                        <a:graphicData uri="http://schemas.microsoft.com/office/word/2010/wordprocessingShape">
                          <wps:wsp>
                            <wps:cNvSpPr txBox="1">
                              <a:spLocks noChangeArrowheads="1"/>
                            </wps:cNvSpPr>
                            <wps:spPr bwMode="auto">
                              <a:xfrm>
                                <a:off x="0" y="0"/>
                                <a:ext cx="325755" cy="908685"/>
                              </a:xfrm>
                              <a:prstGeom prst="rect">
                                <a:avLst/>
                              </a:prstGeom>
                              <a:solidFill>
                                <a:srgbClr val="FFFFFF"/>
                              </a:solidFill>
                              <a:ln w="9525">
                                <a:solidFill>
                                  <a:srgbClr val="000000"/>
                                </a:solidFill>
                                <a:miter lim="800000"/>
                              </a:ln>
                              <a:effectLst/>
                            </wps:spPr>
                            <wps:txbx>
                              <w:txbxContent>
                                <w:p>
                                  <w:r>
                                    <w:rPr>
                                      <w:rFonts w:hint="eastAsia"/>
                                    </w:rPr>
                                    <w:t>清理表土</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89.2pt;margin-top:22.15pt;height:71.55pt;width:25.65pt;z-index:251663360;mso-width-relative:page;mso-height-relative:page;" fillcolor="#FFFFFF" filled="t" stroked="t" coordsize="21600,21600" o:gfxdata="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E6EK/2QAAAAoBAAAPAAAAAAAAAAEAIAAAACIAAABkcnMvZG93bnJldi54bWxQSwEC&#10;FAAUAAAACACHTuJA1WI/NiwCAABIBAAADgAAAAAAAAABACAAAAAoAQAAZHJzL2Uyb0RvYy54bWxQ&#10;SwUGAAAAAAYABgBZAQAAxgUAAAAA&#10;">
                      <v:fill on="t" focussize="0,0"/>
                      <v:stroke color="#000000" miterlimit="8" joinstyle="miter"/>
                      <v:imagedata o:title=""/>
                      <o:lock v:ext="edit" aspectratio="f"/>
                      <v:textbox>
                        <w:txbxContent>
                          <w:p>
                            <w:r>
                              <w:rPr>
                                <w:rFonts w:hint="eastAsia"/>
                              </w:rPr>
                              <w:t>清理表土</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687070</wp:posOffset>
                      </wp:positionH>
                      <wp:positionV relativeFrom="paragraph">
                        <wp:posOffset>187960</wp:posOffset>
                      </wp:positionV>
                      <wp:extent cx="301625" cy="893445"/>
                      <wp:effectExtent l="4445" t="4445" r="17780" b="16510"/>
                      <wp:wrapNone/>
                      <wp:docPr id="27" name="文本框 27"/>
                      <wp:cNvGraphicFramePr/>
                      <a:graphic xmlns:a="http://schemas.openxmlformats.org/drawingml/2006/main">
                        <a:graphicData uri="http://schemas.microsoft.com/office/word/2010/wordprocessingShape">
                          <wps:wsp>
                            <wps:cNvSpPr txBox="1">
                              <a:spLocks noChangeArrowheads="1"/>
                            </wps:cNvSpPr>
                            <wps:spPr bwMode="auto">
                              <a:xfrm>
                                <a:off x="0" y="0"/>
                                <a:ext cx="301625" cy="893445"/>
                              </a:xfrm>
                              <a:prstGeom prst="rect">
                                <a:avLst/>
                              </a:prstGeom>
                              <a:solidFill>
                                <a:srgbClr val="FFFFFF"/>
                              </a:solidFill>
                              <a:ln w="9525">
                                <a:solidFill>
                                  <a:srgbClr val="000000"/>
                                </a:solidFill>
                                <a:miter lim="800000"/>
                              </a:ln>
                              <a:effectLst/>
                            </wps:spPr>
                            <wps:txbx>
                              <w:txbxContent>
                                <w:p>
                                  <w:r>
                                    <w:rPr>
                                      <w:rFonts w:hint="eastAsia"/>
                                    </w:rPr>
                                    <w:t>建筑拆除</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_x0000_s1026" o:spid="_x0000_s1026" o:spt="202" type="#_x0000_t202" style="position:absolute;left:0pt;margin-left:54.1pt;margin-top:14.8pt;height:70.35pt;width:23.75pt;z-index:251661312;mso-width-relative:page;mso-height-relative:margin;mso-height-percent:200;" fillcolor="#FFFFFF" filled="t" stroked="t" coordsize="21600,21600" o:gfxdata="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G88xsLXAAAACgEAAA8AAAAAAAAAAQAgAAAAIgAAAGRycy9kb3ducmV2LnhtbFBLAQIUABQA&#10;AAAIAIdO4kC2KYkPKgIAAEgEAAAOAAAAAAAAAAEAIAAAACYBAABkcnMvZTJvRG9jLnhtbFBLBQYA&#10;AAAABgAGAFkBAADCBQAAAAA=&#10;">
                      <v:fill on="t" focussize="0,0"/>
                      <v:stroke color="#000000" miterlimit="8" joinstyle="miter"/>
                      <v:imagedata o:title=""/>
                      <o:lock v:ext="edit" aspectratio="f"/>
                      <v:textbox style="mso-fit-shape-to-text:t;">
                        <w:txbxContent>
                          <w:p>
                            <w:r>
                              <w:rPr>
                                <w:rFonts w:hint="eastAsia"/>
                              </w:rPr>
                              <w:t>建筑拆除</w:t>
                            </w:r>
                          </w:p>
                        </w:txbxContent>
                      </v:textbox>
                    </v:shape>
                  </w:pict>
                </mc:Fallback>
              </mc:AlternateContent>
            </w:r>
            <w:r>
              <w:rPr>
                <w:bCs/>
              </w:rPr>
              <w:t xml:space="preserve">  </w:t>
            </w:r>
          </w:p>
          <w:p>
            <w:pPr>
              <w:spacing w:line="360" w:lineRule="auto"/>
              <w:rPr>
                <w:bCs/>
              </w:rPr>
            </w:pPr>
            <w:r>
              <w:rPr>
                <w:b/>
              </w:rPr>
              <mc:AlternateContent>
                <mc:Choice Requires="wps">
                  <w:drawing>
                    <wp:anchor distT="0" distB="0" distL="114300" distR="114300" simplePos="0" relativeHeight="251679744" behindDoc="0" locked="0" layoutInCell="1" allowOverlap="1">
                      <wp:simplePos x="0" y="0"/>
                      <wp:positionH relativeFrom="column">
                        <wp:posOffset>4965700</wp:posOffset>
                      </wp:positionH>
                      <wp:positionV relativeFrom="paragraph">
                        <wp:posOffset>253365</wp:posOffset>
                      </wp:positionV>
                      <wp:extent cx="0" cy="1680210"/>
                      <wp:effectExtent l="7620" t="0" r="11430" b="15240"/>
                      <wp:wrapNone/>
                      <wp:docPr id="26" name="直接箭头连接符 26"/>
                      <wp:cNvGraphicFramePr/>
                      <a:graphic xmlns:a="http://schemas.openxmlformats.org/drawingml/2006/main">
                        <a:graphicData uri="http://schemas.microsoft.com/office/word/2010/wordprocessingShape">
                          <wps:wsp>
                            <wps:cNvCnPr>
                              <a:cxnSpLocks noChangeShapeType="1"/>
                            </wps:cNvCnPr>
                            <wps:spPr bwMode="auto">
                              <a:xfrm>
                                <a:off x="0" y="0"/>
                                <a:ext cx="0" cy="1680210"/>
                              </a:xfrm>
                              <a:prstGeom prst="straightConnector1">
                                <a:avLst/>
                              </a:prstGeom>
                              <a:noFill/>
                              <a:ln w="15875">
                                <a:solidFill>
                                  <a:srgbClr val="000000"/>
                                </a:solidFill>
                                <a:round/>
                              </a:ln>
                              <a:effectLst/>
                            </wps:spPr>
                            <wps:bodyPr/>
                          </wps:wsp>
                        </a:graphicData>
                      </a:graphic>
                    </wp:anchor>
                  </w:drawing>
                </mc:Choice>
                <mc:Fallback>
                  <w:pict>
                    <v:shape id="_x0000_s1026" o:spid="_x0000_s1026" o:spt="32" type="#_x0000_t32" style="position:absolute;left:0pt;margin-left:391pt;margin-top:19.95pt;height:132.3pt;width:0pt;z-index:251679744;mso-width-relative:page;mso-height-relative:page;" filled="f" stroked="t" coordsize="21600,21600" o:gfxdata="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ruu+atgAAAAKAQAA&#10;DwAAAAAAAAABACAAAAAiAAAAZHJzL2Rvd25yZXYueG1sUEsBAhQAFAAAAAgAh07iQGak38PgAQAA&#10;gQMAAA4AAAAAAAAAAQAgAAAAJwEAAGRycy9lMm9Eb2MueG1sUEsFBgAAAAAGAAYAWQEAAHkFAAAA&#10;AA==&#10;">
                      <v:fill on="f" focussize="0,0"/>
                      <v:stroke weight="1.25pt" color="#000000" joinstyle="round"/>
                      <v:imagedata o:title=""/>
                      <o:lock v:ext="edit" aspectratio="f"/>
                    </v:shape>
                  </w:pict>
                </mc:Fallback>
              </mc:AlternateContent>
            </w:r>
            <w:r>
              <w:rPr>
                <w:b/>
              </w:rPr>
              <mc:AlternateContent>
                <mc:Choice Requires="wps">
                  <w:drawing>
                    <wp:anchor distT="0" distB="0" distL="114300" distR="114300" simplePos="0" relativeHeight="251674624" behindDoc="0" locked="0" layoutInCell="1" allowOverlap="1">
                      <wp:simplePos x="0" y="0"/>
                      <wp:positionH relativeFrom="column">
                        <wp:posOffset>4454525</wp:posOffset>
                      </wp:positionH>
                      <wp:positionV relativeFrom="paragraph">
                        <wp:posOffset>253365</wp:posOffset>
                      </wp:positionV>
                      <wp:extent cx="511175" cy="0"/>
                      <wp:effectExtent l="0" t="38100" r="3175" b="38100"/>
                      <wp:wrapNone/>
                      <wp:docPr id="25" name="直接箭头连接符 25"/>
                      <wp:cNvGraphicFramePr/>
                      <a:graphic xmlns:a="http://schemas.openxmlformats.org/drawingml/2006/main">
                        <a:graphicData uri="http://schemas.microsoft.com/office/word/2010/wordprocessingShape">
                          <wps:wsp>
                            <wps:cNvCnPr>
                              <a:cxnSpLocks noChangeShapeType="1"/>
                            </wps:cNvCnPr>
                            <wps:spPr bwMode="auto">
                              <a:xfrm>
                                <a:off x="0" y="0"/>
                                <a:ext cx="511175" cy="0"/>
                              </a:xfrm>
                              <a:prstGeom prst="straightConnector1">
                                <a:avLst/>
                              </a:prstGeom>
                              <a:noFill/>
                              <a:ln w="15875">
                                <a:solidFill>
                                  <a:srgbClr val="000000"/>
                                </a:solidFill>
                                <a:round/>
                                <a:tailEnd type="triangle" w="med" len="med"/>
                              </a:ln>
                              <a:effectLst/>
                            </wps:spPr>
                            <wps:bodyPr/>
                          </wps:wsp>
                        </a:graphicData>
                      </a:graphic>
                    </wp:anchor>
                  </w:drawing>
                </mc:Choice>
                <mc:Fallback>
                  <w:pict>
                    <v:shape id="_x0000_s1026" o:spid="_x0000_s1026" o:spt="32" type="#_x0000_t32" style="position:absolute;left:0pt;margin-left:350.75pt;margin-top:19.95pt;height:0pt;width:40.25pt;z-index:251674624;mso-width-relative:page;mso-height-relative:page;" filled="f" stroked="t" coordsize="21600,21600" o:gfxdata="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M819THZAAAACQEAAA8AAAAAAAAAAQAgAAAAIgAAAGRycy9kb3ducmV2LnhtbFBL&#10;AQIUABQAAAAIAIdO4kA5ES3+9QEAAK4DAAAOAAAAAAAAAAEAIAAAACgBAABkcnMvZTJvRG9jLnht&#10;bFBLBQYAAAAABgAGAFkBAACPBQAAAAA=&#10;">
                      <v:fill on="f" focussize="0,0"/>
                      <v:stroke weight="1.25pt" color="#000000" joinstyle="round" endarrow="block"/>
                      <v:imagedata o:title=""/>
                      <o:lock v:ext="edit" aspectratio="f"/>
                    </v:shape>
                  </w:pict>
                </mc:Fallback>
              </mc:AlternateContent>
            </w:r>
            <w:r>
              <w:rPr>
                <w:b/>
              </w:rPr>
              <mc:AlternateContent>
                <mc:Choice Requires="wps">
                  <w:drawing>
                    <wp:anchor distT="0" distB="0" distL="114300" distR="114300" simplePos="0" relativeHeight="251673600" behindDoc="0" locked="0" layoutInCell="1" allowOverlap="1">
                      <wp:simplePos x="0" y="0"/>
                      <wp:positionH relativeFrom="column">
                        <wp:posOffset>3589655</wp:posOffset>
                      </wp:positionH>
                      <wp:positionV relativeFrom="paragraph">
                        <wp:posOffset>253365</wp:posOffset>
                      </wp:positionV>
                      <wp:extent cx="511175" cy="0"/>
                      <wp:effectExtent l="0" t="38100" r="3175" b="38100"/>
                      <wp:wrapNone/>
                      <wp:docPr id="24" name="直接箭头连接符 24"/>
                      <wp:cNvGraphicFramePr/>
                      <a:graphic xmlns:a="http://schemas.openxmlformats.org/drawingml/2006/main">
                        <a:graphicData uri="http://schemas.microsoft.com/office/word/2010/wordprocessingShape">
                          <wps:wsp>
                            <wps:cNvCnPr>
                              <a:cxnSpLocks noChangeShapeType="1"/>
                            </wps:cNvCnPr>
                            <wps:spPr bwMode="auto">
                              <a:xfrm>
                                <a:off x="0" y="0"/>
                                <a:ext cx="511175" cy="0"/>
                              </a:xfrm>
                              <a:prstGeom prst="straightConnector1">
                                <a:avLst/>
                              </a:prstGeom>
                              <a:noFill/>
                              <a:ln w="15875">
                                <a:solidFill>
                                  <a:srgbClr val="000000"/>
                                </a:solidFill>
                                <a:round/>
                                <a:tailEnd type="triangle" w="med" len="med"/>
                              </a:ln>
                              <a:effectLst/>
                            </wps:spPr>
                            <wps:bodyPr/>
                          </wps:wsp>
                        </a:graphicData>
                      </a:graphic>
                    </wp:anchor>
                  </w:drawing>
                </mc:Choice>
                <mc:Fallback>
                  <w:pict>
                    <v:shape id="_x0000_s1026" o:spid="_x0000_s1026" o:spt="32" type="#_x0000_t32" style="position:absolute;left:0pt;margin-left:282.65pt;margin-top:19.95pt;height:0pt;width:40.25pt;z-index:251673600;mso-width-relative:page;mso-height-relative:page;" filled="f" stroked="t" coordsize="21600,21600" o:gfxdata="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DMnoSTYAAAACQEAAA8AAAAAAAAAAQAgAAAAIgAAAGRycy9kb3ducmV2LnhtbFBL&#10;AQIUABQAAAAIAIdO4kBbsNcy9gEAAK4DAAAOAAAAAAAAAAEAIAAAACcBAABkcnMvZTJvRG9jLnht&#10;bFBLBQYAAAAABgAGAFkBAACPBQAAAAA=&#10;">
                      <v:fill on="f" focussize="0,0"/>
                      <v:stroke weight="1.25pt" color="#000000" joinstyle="round" endarrow="block"/>
                      <v:imagedata o:title=""/>
                      <o:lock v:ext="edit" aspectratio="f"/>
                    </v:shape>
                  </w:pict>
                </mc:Fallback>
              </mc:AlternateContent>
            </w:r>
            <w:r>
              <w:rPr>
                <w:b/>
              </w:rPr>
              <mc:AlternateContent>
                <mc:Choice Requires="wps">
                  <w:drawing>
                    <wp:anchor distT="0" distB="0" distL="114300" distR="114300" simplePos="0" relativeHeight="251672576" behindDoc="0" locked="0" layoutInCell="1" allowOverlap="1">
                      <wp:simplePos x="0" y="0"/>
                      <wp:positionH relativeFrom="column">
                        <wp:posOffset>2752725</wp:posOffset>
                      </wp:positionH>
                      <wp:positionV relativeFrom="paragraph">
                        <wp:posOffset>253365</wp:posOffset>
                      </wp:positionV>
                      <wp:extent cx="511175" cy="0"/>
                      <wp:effectExtent l="0" t="38100" r="3175" b="38100"/>
                      <wp:wrapNone/>
                      <wp:docPr id="23" name="直接箭头连接符 23"/>
                      <wp:cNvGraphicFramePr/>
                      <a:graphic xmlns:a="http://schemas.openxmlformats.org/drawingml/2006/main">
                        <a:graphicData uri="http://schemas.microsoft.com/office/word/2010/wordprocessingShape">
                          <wps:wsp>
                            <wps:cNvCnPr>
                              <a:cxnSpLocks noChangeShapeType="1"/>
                            </wps:cNvCnPr>
                            <wps:spPr bwMode="auto">
                              <a:xfrm>
                                <a:off x="0" y="0"/>
                                <a:ext cx="511175" cy="0"/>
                              </a:xfrm>
                              <a:prstGeom prst="straightConnector1">
                                <a:avLst/>
                              </a:prstGeom>
                              <a:noFill/>
                              <a:ln w="15875">
                                <a:solidFill>
                                  <a:srgbClr val="000000"/>
                                </a:solidFill>
                                <a:round/>
                                <a:tailEnd type="triangle" w="med" len="med"/>
                              </a:ln>
                              <a:effectLst/>
                            </wps:spPr>
                            <wps:bodyPr/>
                          </wps:wsp>
                        </a:graphicData>
                      </a:graphic>
                    </wp:anchor>
                  </w:drawing>
                </mc:Choice>
                <mc:Fallback>
                  <w:pict>
                    <v:shape id="_x0000_s1026" o:spid="_x0000_s1026" o:spt="32" type="#_x0000_t32" style="position:absolute;left:0pt;margin-left:216.75pt;margin-top:19.95pt;height:0pt;width:40.25pt;z-index:251672576;mso-width-relative:page;mso-height-relative:page;" filled="f" stroked="t" coordsize="21600,21600" o:gfxdata="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QG3ybYAAAACQEAAA8AAAAAAAAAAQAgAAAAIgAAAGRycy9kb3ducmV2LnhtbFBL&#10;AQIUABQAAAAIAIdO4kC23KE59gEAAK4DAAAOAAAAAAAAAAEAIAAAACcBAABkcnMvZTJvRG9jLnht&#10;bFBLBQYAAAAABgAGAFkBAACPBQAAAAA=&#10;">
                      <v:fill on="f" focussize="0,0"/>
                      <v:stroke weight="1.25pt" color="#000000" joinstyle="round" endarrow="block"/>
                      <v:imagedata o:title=""/>
                      <o:lock v:ext="edit" aspectratio="f"/>
                    </v:shape>
                  </w:pict>
                </mc:Fallback>
              </mc:AlternateContent>
            </w:r>
            <w:r>
              <w:rPr>
                <w:b/>
              </w:rPr>
              <mc:AlternateContent>
                <mc:Choice Requires="wps">
                  <w:drawing>
                    <wp:anchor distT="0" distB="0" distL="114300" distR="114300" simplePos="0" relativeHeight="251671552" behindDoc="0" locked="0" layoutInCell="1" allowOverlap="1">
                      <wp:simplePos x="0" y="0"/>
                      <wp:positionH relativeFrom="column">
                        <wp:posOffset>1911350</wp:posOffset>
                      </wp:positionH>
                      <wp:positionV relativeFrom="paragraph">
                        <wp:posOffset>253365</wp:posOffset>
                      </wp:positionV>
                      <wp:extent cx="511175" cy="0"/>
                      <wp:effectExtent l="0" t="38100" r="3175" b="38100"/>
                      <wp:wrapNone/>
                      <wp:docPr id="22" name="直接箭头连接符 22"/>
                      <wp:cNvGraphicFramePr/>
                      <a:graphic xmlns:a="http://schemas.openxmlformats.org/drawingml/2006/main">
                        <a:graphicData uri="http://schemas.microsoft.com/office/word/2010/wordprocessingShape">
                          <wps:wsp>
                            <wps:cNvCnPr>
                              <a:cxnSpLocks noChangeShapeType="1"/>
                            </wps:cNvCnPr>
                            <wps:spPr bwMode="auto">
                              <a:xfrm>
                                <a:off x="0" y="0"/>
                                <a:ext cx="511175" cy="0"/>
                              </a:xfrm>
                              <a:prstGeom prst="straightConnector1">
                                <a:avLst/>
                              </a:prstGeom>
                              <a:noFill/>
                              <a:ln w="15875">
                                <a:solidFill>
                                  <a:srgbClr val="000000"/>
                                </a:solidFill>
                                <a:round/>
                                <a:tailEnd type="triangle" w="med" len="med"/>
                              </a:ln>
                              <a:effectLst/>
                            </wps:spPr>
                            <wps:bodyPr/>
                          </wps:wsp>
                        </a:graphicData>
                      </a:graphic>
                    </wp:anchor>
                  </w:drawing>
                </mc:Choice>
                <mc:Fallback>
                  <w:pict>
                    <v:shape id="_x0000_s1026" o:spid="_x0000_s1026" o:spt="32" type="#_x0000_t32" style="position:absolute;left:0pt;margin-left:150.5pt;margin-top:19.95pt;height:0pt;width:40.25pt;z-index:251671552;mso-width-relative:page;mso-height-relative:page;" filled="f" stroked="t" coordsize="21600,21600" o:gfxdata="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M8eDHYAAAACQEAAA8AAAAAAAAAAQAgAAAAIgAAAGRycy9kb3ducmV2LnhtbFBL&#10;AQIUABQAAAAIAIdO4kDUfVv19gEAAK4DAAAOAAAAAAAAAAEAIAAAACcBAABkcnMvZTJvRG9jLnht&#10;bFBLBQYAAAAABgAGAFkBAACPBQAAAAA=&#10;">
                      <v:fill on="f" focussize="0,0"/>
                      <v:stroke weight="1.25pt" color="#000000" joinstyle="round" endarrow="block"/>
                      <v:imagedata o:title=""/>
                      <o:lock v:ext="edit" aspectratio="f"/>
                    </v:shape>
                  </w:pict>
                </mc:Fallback>
              </mc:AlternateContent>
            </w:r>
            <w:r>
              <w:rPr>
                <w:bCs/>
              </w:rPr>
              <mc:AlternateContent>
                <mc:Choice Requires="wps">
                  <w:drawing>
                    <wp:anchor distT="0" distB="0" distL="114300" distR="114300" simplePos="0" relativeHeight="251670528" behindDoc="0" locked="0" layoutInCell="1" allowOverlap="1">
                      <wp:simplePos x="0" y="0"/>
                      <wp:positionH relativeFrom="column">
                        <wp:posOffset>1019175</wp:posOffset>
                      </wp:positionH>
                      <wp:positionV relativeFrom="paragraph">
                        <wp:posOffset>253365</wp:posOffset>
                      </wp:positionV>
                      <wp:extent cx="511175" cy="0"/>
                      <wp:effectExtent l="0" t="38100" r="3175" b="38100"/>
                      <wp:wrapNone/>
                      <wp:docPr id="21" name="直接箭头连接符 21"/>
                      <wp:cNvGraphicFramePr/>
                      <a:graphic xmlns:a="http://schemas.openxmlformats.org/drawingml/2006/main">
                        <a:graphicData uri="http://schemas.microsoft.com/office/word/2010/wordprocessingShape">
                          <wps:wsp>
                            <wps:cNvCnPr>
                              <a:cxnSpLocks noChangeShapeType="1"/>
                            </wps:cNvCnPr>
                            <wps:spPr bwMode="auto">
                              <a:xfrm>
                                <a:off x="0" y="0"/>
                                <a:ext cx="511175" cy="0"/>
                              </a:xfrm>
                              <a:prstGeom prst="straightConnector1">
                                <a:avLst/>
                              </a:prstGeom>
                              <a:noFill/>
                              <a:ln w="15875">
                                <a:solidFill>
                                  <a:srgbClr val="000000"/>
                                </a:solidFill>
                                <a:round/>
                                <a:tailEnd type="triangle" w="med" len="med"/>
                              </a:ln>
                              <a:effectLst/>
                            </wps:spPr>
                            <wps:bodyPr/>
                          </wps:wsp>
                        </a:graphicData>
                      </a:graphic>
                    </wp:anchor>
                  </w:drawing>
                </mc:Choice>
                <mc:Fallback>
                  <w:pict>
                    <v:shape id="_x0000_s1026" o:spid="_x0000_s1026" o:spt="32" type="#_x0000_t32" style="position:absolute;left:0pt;margin-left:80.25pt;margin-top:19.95pt;height:0pt;width:40.25pt;z-index:251670528;mso-width-relative:page;mso-height-relative:page;" filled="f" stroked="t" coordsize="21600,21600" o:gfxdata="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y7BP09cAAAAJAQAADwAAAAAAAAABACAAAAAiAAAAZHJzL2Rvd25yZXYueG1sUEsB&#10;AhQAFAAAAAgAh07iQDOYJXv2AQAArgMAAA4AAAAAAAAAAQAgAAAAJgEAAGRycy9lMm9Eb2MueG1s&#10;UEsFBgAAAAAGAAYAWQEAAI4FAAAAAA==&#10;">
                      <v:fill on="f" focussize="0,0"/>
                      <v:stroke weight="1.25pt" color="#000000" joinstyle="round" endarrow="block"/>
                      <v:imagedata o:title=""/>
                      <o:lock v:ext="edit" aspectratio="f"/>
                    </v:shape>
                  </w:pict>
                </mc:Fallback>
              </mc:AlternateContent>
            </w:r>
          </w:p>
          <w:p>
            <w:pPr>
              <w:spacing w:line="360" w:lineRule="auto"/>
              <w:rPr>
                <w:bCs/>
              </w:rPr>
            </w:pPr>
          </w:p>
          <w:p>
            <w:pPr>
              <w:spacing w:line="360" w:lineRule="auto"/>
              <w:rPr>
                <w:bCs/>
              </w:rPr>
            </w:pPr>
            <w:r>
              <w:rPr>
                <w:b/>
              </w:rPr>
              <mc:AlternateContent>
                <mc:Choice Requires="wps">
                  <w:drawing>
                    <wp:anchor distT="0" distB="0" distL="114300" distR="114300" simplePos="0" relativeHeight="251676672" behindDoc="0" locked="0" layoutInCell="1" allowOverlap="1">
                      <wp:simplePos x="0" y="0"/>
                      <wp:positionH relativeFrom="column">
                        <wp:posOffset>3393440</wp:posOffset>
                      </wp:positionH>
                      <wp:positionV relativeFrom="paragraph">
                        <wp:posOffset>199390</wp:posOffset>
                      </wp:positionV>
                      <wp:extent cx="0" cy="258445"/>
                      <wp:effectExtent l="7620" t="0" r="11430" b="8255"/>
                      <wp:wrapNone/>
                      <wp:docPr id="20" name="直接箭头连接符 20"/>
                      <wp:cNvGraphicFramePr/>
                      <a:graphic xmlns:a="http://schemas.openxmlformats.org/drawingml/2006/main">
                        <a:graphicData uri="http://schemas.microsoft.com/office/word/2010/wordprocessingShape">
                          <wps:wsp>
                            <wps:cNvCnPr>
                              <a:cxnSpLocks noChangeShapeType="1"/>
                            </wps:cNvCnPr>
                            <wps:spPr bwMode="auto">
                              <a:xfrm>
                                <a:off x="0" y="0"/>
                                <a:ext cx="0" cy="258445"/>
                              </a:xfrm>
                              <a:prstGeom prst="straightConnector1">
                                <a:avLst/>
                              </a:prstGeom>
                              <a:noFill/>
                              <a:ln w="15875">
                                <a:solidFill>
                                  <a:srgbClr val="000000"/>
                                </a:solidFill>
                                <a:round/>
                              </a:ln>
                              <a:effectLst/>
                            </wps:spPr>
                            <wps:bodyPr/>
                          </wps:wsp>
                        </a:graphicData>
                      </a:graphic>
                    </wp:anchor>
                  </w:drawing>
                </mc:Choice>
                <mc:Fallback>
                  <w:pict>
                    <v:shape id="_x0000_s1026" o:spid="_x0000_s1026" o:spt="32" type="#_x0000_t32" style="position:absolute;left:0pt;margin-left:267.2pt;margin-top:15.7pt;height:20.35pt;width:0pt;z-index:251676672;mso-width-relative:page;mso-height-relative:page;" filled="f" stroked="t" coordsize="21600,21600" o:gfxdata="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s3Mc/1wAAAAkBAAAPAAAA&#10;AAAAAAEAIAAAACIAAABkcnMvZG93bnJldi54bWxQSwECFAAUAAAACACHTuJAsT2d8d0BAACAAwAA&#10;DgAAAAAAAAABACAAAAAmAQAAZHJzL2Uyb0RvYy54bWxQSwUGAAAAAAYABgBZAQAAdQUAAAAA&#10;">
                      <v:fill on="f" focussize="0,0"/>
                      <v:stroke weight="1.25pt" color="#000000" joinstyle="round"/>
                      <v:imagedata o:title=""/>
                      <o:lock v:ext="edit" aspectratio="f"/>
                    </v:shape>
                  </w:pict>
                </mc:Fallback>
              </mc:AlternateContent>
            </w:r>
            <w:r>
              <w:rPr>
                <w:bCs/>
              </w:rPr>
              <mc:AlternateContent>
                <mc:Choice Requires="wps">
                  <w:drawing>
                    <wp:anchor distT="0" distB="0" distL="114300" distR="114300" simplePos="0" relativeHeight="251675648" behindDoc="0" locked="0" layoutInCell="1" allowOverlap="1">
                      <wp:simplePos x="0" y="0"/>
                      <wp:positionH relativeFrom="column">
                        <wp:posOffset>2600960</wp:posOffset>
                      </wp:positionH>
                      <wp:positionV relativeFrom="paragraph">
                        <wp:posOffset>199390</wp:posOffset>
                      </wp:positionV>
                      <wp:extent cx="0" cy="258445"/>
                      <wp:effectExtent l="7620" t="0" r="11430" b="8255"/>
                      <wp:wrapNone/>
                      <wp:docPr id="19" name="直接箭头连接符 19"/>
                      <wp:cNvGraphicFramePr/>
                      <a:graphic xmlns:a="http://schemas.openxmlformats.org/drawingml/2006/main">
                        <a:graphicData uri="http://schemas.microsoft.com/office/word/2010/wordprocessingShape">
                          <wps:wsp>
                            <wps:cNvCnPr>
                              <a:cxnSpLocks noChangeShapeType="1"/>
                            </wps:cNvCnPr>
                            <wps:spPr bwMode="auto">
                              <a:xfrm>
                                <a:off x="0" y="0"/>
                                <a:ext cx="0" cy="258445"/>
                              </a:xfrm>
                              <a:prstGeom prst="straightConnector1">
                                <a:avLst/>
                              </a:prstGeom>
                              <a:noFill/>
                              <a:ln w="15875">
                                <a:solidFill>
                                  <a:srgbClr val="000000"/>
                                </a:solidFill>
                                <a:round/>
                              </a:ln>
                              <a:effectLst/>
                            </wps:spPr>
                            <wps:bodyPr/>
                          </wps:wsp>
                        </a:graphicData>
                      </a:graphic>
                    </wp:anchor>
                  </w:drawing>
                </mc:Choice>
                <mc:Fallback>
                  <w:pict>
                    <v:shape id="_x0000_s1026" o:spid="_x0000_s1026" o:spt="32" type="#_x0000_t32" style="position:absolute;left:0pt;margin-left:204.8pt;margin-top:15.7pt;height:20.35pt;width:0pt;z-index:251675648;mso-width-relative:page;mso-height-relative:page;" filled="f" stroked="t" coordsize="21600,21600" o:gfxdata="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HhrKQ1wAAAAkBAAAPAAAA&#10;AAAAAAEAIAAAACIAAABkcnMvZG93bnJldi54bWxQSwECFAAUAAAACACHTuJADuP5z90BAACAAwAA&#10;DgAAAAAAAAABACAAAAAmAQAAZHJzL2Uyb0RvYy54bWxQSwUGAAAAAAYABgBZAQAAdQUAAAAA&#10;">
                      <v:fill on="f" focussize="0,0"/>
                      <v:stroke weight="1.25pt" color="#000000" joinstyle="round"/>
                      <v:imagedata o:title=""/>
                      <o:lock v:ext="edit" aspectratio="f"/>
                    </v:shape>
                  </w:pict>
                </mc:Fallback>
              </mc:AlternateContent>
            </w:r>
          </w:p>
          <w:p>
            <w:pPr>
              <w:spacing w:line="360" w:lineRule="auto"/>
              <w:rPr>
                <w:bCs/>
              </w:rPr>
            </w:pPr>
            <w:r>
              <w:rPr>
                <w:b/>
              </w:rPr>
              <mc:AlternateContent>
                <mc:Choice Requires="wps">
                  <w:drawing>
                    <wp:anchor distT="0" distB="0" distL="114300" distR="114300" simplePos="0" relativeHeight="251678720" behindDoc="0" locked="0" layoutInCell="1" allowOverlap="1">
                      <wp:simplePos x="0" y="0"/>
                      <wp:positionH relativeFrom="column">
                        <wp:posOffset>2752725</wp:posOffset>
                      </wp:positionH>
                      <wp:positionV relativeFrom="paragraph">
                        <wp:posOffset>127635</wp:posOffset>
                      </wp:positionV>
                      <wp:extent cx="0" cy="267970"/>
                      <wp:effectExtent l="38100" t="0" r="38100" b="17780"/>
                      <wp:wrapNone/>
                      <wp:docPr id="18" name="直接箭头连接符 18"/>
                      <wp:cNvGraphicFramePr/>
                      <a:graphic xmlns:a="http://schemas.openxmlformats.org/drawingml/2006/main">
                        <a:graphicData uri="http://schemas.microsoft.com/office/word/2010/wordprocessingShape">
                          <wps:wsp>
                            <wps:cNvCnPr>
                              <a:cxnSpLocks noChangeShapeType="1"/>
                            </wps:cNvCnPr>
                            <wps:spPr bwMode="auto">
                              <a:xfrm>
                                <a:off x="0" y="0"/>
                                <a:ext cx="0" cy="267970"/>
                              </a:xfrm>
                              <a:prstGeom prst="straightConnector1">
                                <a:avLst/>
                              </a:prstGeom>
                              <a:noFill/>
                              <a:ln w="15875">
                                <a:solidFill>
                                  <a:srgbClr val="000000"/>
                                </a:solidFill>
                                <a:round/>
                                <a:tailEnd type="triangle" w="med" len="med"/>
                              </a:ln>
                              <a:effectLst/>
                            </wps:spPr>
                            <wps:bodyPr/>
                          </wps:wsp>
                        </a:graphicData>
                      </a:graphic>
                    </wp:anchor>
                  </w:drawing>
                </mc:Choice>
                <mc:Fallback>
                  <w:pict>
                    <v:shape id="_x0000_s1026" o:spid="_x0000_s1026" o:spt="32" type="#_x0000_t32" style="position:absolute;left:0pt;margin-left:216.75pt;margin-top:10.05pt;height:21.1pt;width:0pt;z-index:251678720;mso-width-relative:page;mso-height-relative:page;" filled="f" stroked="t" coordsize="21600,21600" o:gfxdata="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HJU601wAAAAkBAAAPAAAAAAAAAAEAIAAAACIAAABkcnMvZG93bnJldi54bWxQ&#10;SwECFAAUAAAACACHTuJAx8AGu/gBAACuAwAADgAAAAAAAAABACAAAAAmAQAAZHJzL2Uyb0RvYy54&#10;bWxQSwUGAAAAAAYABgBZAQAAkAUAAAAA&#10;">
                      <v:fill on="f" focussize="0,0"/>
                      <v:stroke weight="1.25pt" color="#000000" joinstyle="round" endarrow="block"/>
                      <v:imagedata o:title=""/>
                      <o:lock v:ext="edit" aspectratio="f"/>
                    </v:shape>
                  </w:pict>
                </mc:Fallback>
              </mc:AlternateContent>
            </w:r>
            <w:r>
              <w:rPr>
                <w:b/>
              </w:rPr>
              <mc:AlternateContent>
                <mc:Choice Requires="wps">
                  <w:drawing>
                    <wp:anchor distT="0" distB="0" distL="114300" distR="114300" simplePos="0" relativeHeight="251666432" behindDoc="0" locked="0" layoutInCell="1" allowOverlap="1">
                      <wp:simplePos x="0" y="0"/>
                      <wp:positionH relativeFrom="column">
                        <wp:posOffset>935355</wp:posOffset>
                      </wp:positionH>
                      <wp:positionV relativeFrom="paragraph">
                        <wp:posOffset>67945</wp:posOffset>
                      </wp:positionV>
                      <wp:extent cx="1097280" cy="327660"/>
                      <wp:effectExtent l="4445" t="4445" r="22225" b="10795"/>
                      <wp:wrapNone/>
                      <wp:docPr id="17" name="文本框 17"/>
                      <wp:cNvGraphicFramePr/>
                      <a:graphic xmlns:a="http://schemas.openxmlformats.org/drawingml/2006/main">
                        <a:graphicData uri="http://schemas.microsoft.com/office/word/2010/wordprocessingShape">
                          <wps:wsp>
                            <wps:cNvSpPr txBox="1">
                              <a:spLocks noChangeArrowheads="1"/>
                            </wps:cNvSpPr>
                            <wps:spPr bwMode="auto">
                              <a:xfrm>
                                <a:off x="0" y="0"/>
                                <a:ext cx="1097280" cy="327660"/>
                              </a:xfrm>
                              <a:prstGeom prst="rect">
                                <a:avLst/>
                              </a:prstGeom>
                              <a:solidFill>
                                <a:srgbClr val="FFFFFF"/>
                              </a:solidFill>
                              <a:ln w="9525">
                                <a:solidFill>
                                  <a:srgbClr val="000000"/>
                                </a:solidFill>
                                <a:miter lim="800000"/>
                              </a:ln>
                              <a:effectLst/>
                            </wps:spPr>
                            <wps:txbx>
                              <w:txbxContent>
                                <w:p>
                                  <w:r>
                                    <w:rPr>
                                      <w:rFonts w:hint="eastAsia"/>
                                    </w:rPr>
                                    <w:t>渣土运输</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73.65pt;margin-top:5.35pt;height:25.8pt;width:86.4pt;z-index:251666432;mso-width-relative:page;mso-height-relative:page;" fillcolor="#FFFFFF" filled="t" stroked="t" coordsize="21600,21600" o:gfxdata="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faPCZ9gAAAAJAQAADwAAAAAAAAABACAAAAAiAAAAZHJzL2Rvd25yZXYueG1sUEsBAhQA&#10;FAAAAAgAh07iQMz/EDcrAgAASQQAAA4AAAAAAAAAAQAgAAAAJwEAAGRycy9lMm9Eb2MueG1sUEsF&#10;BgAAAAAGAAYAWQEAAMQFAAAAAA==&#10;">
                      <v:fill on="t" focussize="0,0"/>
                      <v:stroke color="#000000" miterlimit="8" joinstyle="miter"/>
                      <v:imagedata o:title=""/>
                      <o:lock v:ext="edit" aspectratio="f"/>
                      <v:textbox>
                        <w:txbxContent>
                          <w:p>
                            <w:r>
                              <w:rPr>
                                <w:rFonts w:hint="eastAsia"/>
                              </w:rPr>
                              <w:t>渣土运输</w:t>
                            </w:r>
                          </w:p>
                        </w:txbxContent>
                      </v:textbox>
                    </v:shape>
                  </w:pict>
                </mc:Fallback>
              </mc:AlternateContent>
            </w:r>
            <w:r>
              <w:rPr>
                <w:b/>
              </w:rPr>
              <mc:AlternateContent>
                <mc:Choice Requires="wps">
                  <w:drawing>
                    <wp:anchor distT="0" distB="0" distL="114300" distR="114300" simplePos="0" relativeHeight="251677696" behindDoc="0" locked="0" layoutInCell="1" allowOverlap="1">
                      <wp:simplePos x="0" y="0"/>
                      <wp:positionH relativeFrom="column">
                        <wp:posOffset>2032635</wp:posOffset>
                      </wp:positionH>
                      <wp:positionV relativeFrom="paragraph">
                        <wp:posOffset>127635</wp:posOffset>
                      </wp:positionV>
                      <wp:extent cx="1360805" cy="0"/>
                      <wp:effectExtent l="0" t="38100" r="10795" b="38100"/>
                      <wp:wrapNone/>
                      <wp:docPr id="16" name="直接箭头连接符 16"/>
                      <wp:cNvGraphicFramePr/>
                      <a:graphic xmlns:a="http://schemas.openxmlformats.org/drawingml/2006/main">
                        <a:graphicData uri="http://schemas.microsoft.com/office/word/2010/wordprocessingShape">
                          <wps:wsp>
                            <wps:cNvCnPr>
                              <a:cxnSpLocks noChangeShapeType="1"/>
                            </wps:cNvCnPr>
                            <wps:spPr bwMode="auto">
                              <a:xfrm flipH="1">
                                <a:off x="0" y="0"/>
                                <a:ext cx="1360805" cy="0"/>
                              </a:xfrm>
                              <a:prstGeom prst="straightConnector1">
                                <a:avLst/>
                              </a:prstGeom>
                              <a:noFill/>
                              <a:ln w="15875">
                                <a:solidFill>
                                  <a:srgbClr val="000000"/>
                                </a:solidFill>
                                <a:round/>
                                <a:tailEnd type="triangle" w="med" len="med"/>
                              </a:ln>
                              <a:effectLst/>
                            </wps:spPr>
                            <wps:bodyPr/>
                          </wps:wsp>
                        </a:graphicData>
                      </a:graphic>
                    </wp:anchor>
                  </w:drawing>
                </mc:Choice>
                <mc:Fallback>
                  <w:pict>
                    <v:shape id="_x0000_s1026" o:spid="_x0000_s1026" o:spt="32" type="#_x0000_t32" style="position:absolute;left:0pt;flip:x;margin-left:160.05pt;margin-top:10.05pt;height:0pt;width:107.15pt;z-index:251677696;mso-width-relative:page;mso-height-relative:page;" filled="f" stroked="t" coordsize="21600,21600" o:gfxdata="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CSI28/YAAAACQEAAA8AAAAAAAAAAQAgAAAAIgAAAGRycy9kb3du&#10;cmV2LnhtbFBLAQIUABQAAAAIAIdO4kCIKmny/wEAALkDAAAOAAAAAAAAAAEAIAAAACcBAABkcnMv&#10;ZTJvRG9jLnhtbFBLBQYAAAAABgAGAFkBAACYBQAAAAA=&#10;">
                      <v:fill on="f" focussize="0,0"/>
                      <v:stroke weight="1.25pt" color="#000000" joinstyle="round" endarrow="block"/>
                      <v:imagedata o:title=""/>
                      <o:lock v:ext="edit" aspectratio="f"/>
                    </v:shape>
                  </w:pict>
                </mc:Fallback>
              </mc:AlternateContent>
            </w:r>
          </w:p>
          <w:p>
            <w:pPr>
              <w:spacing w:line="360" w:lineRule="auto"/>
            </w:pPr>
            <w:r>
              <mc:AlternateContent>
                <mc:Choice Requires="wps">
                  <w:drawing>
                    <wp:anchor distT="0" distB="0" distL="114300" distR="114300" simplePos="0" relativeHeight="251684864" behindDoc="0" locked="0" layoutInCell="1" allowOverlap="1">
                      <wp:simplePos x="0" y="0"/>
                      <wp:positionH relativeFrom="column">
                        <wp:posOffset>2110105</wp:posOffset>
                      </wp:positionH>
                      <wp:positionV relativeFrom="paragraph">
                        <wp:posOffset>115570</wp:posOffset>
                      </wp:positionV>
                      <wp:extent cx="1363345" cy="299085"/>
                      <wp:effectExtent l="4445" t="5080" r="22860" b="19685"/>
                      <wp:wrapNone/>
                      <wp:docPr id="15" name="文本框 15"/>
                      <wp:cNvGraphicFramePr/>
                      <a:graphic xmlns:a="http://schemas.openxmlformats.org/drawingml/2006/main">
                        <a:graphicData uri="http://schemas.microsoft.com/office/word/2010/wordprocessingShape">
                          <wps:wsp>
                            <wps:cNvSpPr txBox="1">
                              <a:spLocks noChangeArrowheads="1"/>
                            </wps:cNvSpPr>
                            <wps:spPr bwMode="auto">
                              <a:xfrm>
                                <a:off x="0" y="0"/>
                                <a:ext cx="1363345" cy="299085"/>
                              </a:xfrm>
                              <a:prstGeom prst="rect">
                                <a:avLst/>
                              </a:prstGeom>
                              <a:solidFill>
                                <a:srgbClr val="FFFFFF"/>
                              </a:solidFill>
                              <a:ln w="9525">
                                <a:solidFill>
                                  <a:srgbClr val="FFFFFF"/>
                                </a:solidFill>
                                <a:miter lim="800000"/>
                              </a:ln>
                              <a:effectLst/>
                            </wps:spPr>
                            <wps:txbx>
                              <w:txbxContent>
                                <w:p>
                                  <w:r>
                                    <w:rPr>
                                      <w:rFonts w:hint="eastAsia"/>
                                    </w:rPr>
                                    <w:t>表土堆存用于绿化</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_x0000_s1026" o:spid="_x0000_s1026" o:spt="202" type="#_x0000_t202" style="position:absolute;left:0pt;margin-left:166.15pt;margin-top:9.1pt;height:23.55pt;width:107.35pt;z-index:251684864;mso-width-relative:page;mso-height-relative:margin;mso-height-percent:200;" fillcolor="#FFFFFF" filled="t" stroked="t" coordsize="21600,21600" o:gfxdata="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TQFZ02gAAAAkBAAAPAAAAAAAAAAEAIAAAACIAAABkcnMvZG93bnJldi54bWxQSwECFAAU&#10;AAAACACHTuJAQsBhLigCAABJBAAADgAAAAAAAAABACAAAAApAQAAZHJzL2Uyb0RvYy54bWxQSwUG&#10;AAAAAAYABgBZAQAAwwUAAAAA&#10;">
                      <v:fill on="t" focussize="0,0"/>
                      <v:stroke color="#FFFFFF" miterlimit="8" joinstyle="miter"/>
                      <v:imagedata o:title=""/>
                      <o:lock v:ext="edit" aspectratio="f"/>
                      <v:textbox style="mso-fit-shape-to-text:t;">
                        <w:txbxContent>
                          <w:p>
                            <w:r>
                              <w:rPr>
                                <w:rFonts w:hint="eastAsia"/>
                              </w:rPr>
                              <w:t>表土堆存用于绿化</w:t>
                            </w:r>
                          </w:p>
                        </w:txbxContent>
                      </v:textbox>
                    </v:shape>
                  </w:pict>
                </mc:Fallback>
              </mc:AlternateContent>
            </w:r>
          </w:p>
          <w:p>
            <w:pPr>
              <w:spacing w:line="360" w:lineRule="auto"/>
            </w:pPr>
            <w:r>
              <w:rPr>
                <w:b/>
              </w:rPr>
              <mc:AlternateContent>
                <mc:Choice Requires="wps">
                  <w:drawing>
                    <wp:anchor distT="0" distB="0" distL="114300" distR="114300" simplePos="0" relativeHeight="251681792" behindDoc="0" locked="0" layoutInCell="1" allowOverlap="1">
                      <wp:simplePos x="0" y="0"/>
                      <wp:positionH relativeFrom="column">
                        <wp:posOffset>1188085</wp:posOffset>
                      </wp:positionH>
                      <wp:positionV relativeFrom="paragraph">
                        <wp:posOffset>282575</wp:posOffset>
                      </wp:positionV>
                      <wp:extent cx="635" cy="297815"/>
                      <wp:effectExtent l="37465" t="0" r="38100" b="6985"/>
                      <wp:wrapNone/>
                      <wp:docPr id="14" name="直接箭头连接符 14"/>
                      <wp:cNvGraphicFramePr/>
                      <a:graphic xmlns:a="http://schemas.openxmlformats.org/drawingml/2006/main">
                        <a:graphicData uri="http://schemas.microsoft.com/office/word/2010/wordprocessingShape">
                          <wps:wsp>
                            <wps:cNvCnPr>
                              <a:cxnSpLocks noChangeShapeType="1"/>
                            </wps:cNvCnPr>
                            <wps:spPr bwMode="auto">
                              <a:xfrm>
                                <a:off x="0" y="0"/>
                                <a:ext cx="635" cy="297815"/>
                              </a:xfrm>
                              <a:prstGeom prst="straightConnector1">
                                <a:avLst/>
                              </a:prstGeom>
                              <a:noFill/>
                              <a:ln w="15875">
                                <a:solidFill>
                                  <a:srgbClr val="000000"/>
                                </a:solidFill>
                                <a:round/>
                                <a:tailEnd type="triangle" w="med" len="med"/>
                              </a:ln>
                              <a:effectLst/>
                            </wps:spPr>
                            <wps:bodyPr/>
                          </wps:wsp>
                        </a:graphicData>
                      </a:graphic>
                    </wp:anchor>
                  </w:drawing>
                </mc:Choice>
                <mc:Fallback>
                  <w:pict>
                    <v:shape id="_x0000_s1026" o:spid="_x0000_s1026" o:spt="32" type="#_x0000_t32" style="position:absolute;left:0pt;margin-left:93.55pt;margin-top:22.25pt;height:23.45pt;width:0.05pt;z-index:251681792;mso-width-relative:page;mso-height-relative:page;" filled="f" stroked="t" coordsize="21600,21600" o:gfxdata="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H4HWVbZAAAACQEAAA8AAAAAAAAAAQAgAAAAIgAAAGRycy9kb3ducmV2&#10;LnhtbFBLAQIUABQAAAAIAIdO4kBO1O1Q+wEAALADAAAOAAAAAAAAAAEAIAAAACgBAABkcnMvZTJv&#10;RG9jLnhtbFBLBQYAAAAABgAGAFkBAACVBQAAAAA=&#10;">
                      <v:fill on="f" focussize="0,0"/>
                      <v:stroke weight="1.25pt" color="#000000" joinstyle="round" endarrow="block"/>
                      <v:imagedata o:title=""/>
                      <o:lock v:ext="edit" aspectratio="f"/>
                    </v:shape>
                  </w:pict>
                </mc:Fallback>
              </mc:AlternateContent>
            </w:r>
            <w:r>
              <mc:AlternateContent>
                <mc:Choice Requires="wps">
                  <w:drawing>
                    <wp:anchor distT="0" distB="0" distL="114300" distR="114300" simplePos="0" relativeHeight="251680768" behindDoc="0" locked="0" layoutInCell="1" allowOverlap="1">
                      <wp:simplePos x="0" y="0"/>
                      <wp:positionH relativeFrom="column">
                        <wp:posOffset>1188085</wp:posOffset>
                      </wp:positionH>
                      <wp:positionV relativeFrom="paragraph">
                        <wp:posOffset>282575</wp:posOffset>
                      </wp:positionV>
                      <wp:extent cx="3777615" cy="0"/>
                      <wp:effectExtent l="0" t="0" r="0" b="0"/>
                      <wp:wrapNone/>
                      <wp:docPr id="13" name="直接箭头连接符 13"/>
                      <wp:cNvGraphicFramePr/>
                      <a:graphic xmlns:a="http://schemas.openxmlformats.org/drawingml/2006/main">
                        <a:graphicData uri="http://schemas.microsoft.com/office/word/2010/wordprocessingShape">
                          <wps:wsp>
                            <wps:cNvCnPr>
                              <a:cxnSpLocks noChangeShapeType="1"/>
                            </wps:cNvCnPr>
                            <wps:spPr bwMode="auto">
                              <a:xfrm flipH="1">
                                <a:off x="0" y="0"/>
                                <a:ext cx="3777615" cy="0"/>
                              </a:xfrm>
                              <a:prstGeom prst="straightConnector1">
                                <a:avLst/>
                              </a:prstGeom>
                              <a:noFill/>
                              <a:ln w="15875">
                                <a:solidFill>
                                  <a:srgbClr val="000000"/>
                                </a:solidFill>
                                <a:round/>
                              </a:ln>
                              <a:effectLst/>
                            </wps:spPr>
                            <wps:bodyPr/>
                          </wps:wsp>
                        </a:graphicData>
                      </a:graphic>
                    </wp:anchor>
                  </w:drawing>
                </mc:Choice>
                <mc:Fallback>
                  <w:pict>
                    <v:shape id="_x0000_s1026" o:spid="_x0000_s1026" o:spt="32" type="#_x0000_t32" style="position:absolute;left:0pt;flip:x;margin-left:93.55pt;margin-top:22.25pt;height:0pt;width:297.45pt;z-index:251680768;mso-width-relative:page;mso-height-relative:page;" filled="f" stroked="t" coordsize="21600,21600" o:gfxdata="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lHsbL1wAA&#10;AAkBAAAPAAAAAAAAAAEAIAAAACIAAABkcnMvZG93bnJldi54bWxQSwECFAAUAAAACACHTuJAOWLo&#10;CuYBAACLAwAADgAAAAAAAAABACAAAAAmAQAAZHJzL2Uyb0RvYy54bWxQSwUGAAAAAAYABgBZAQAA&#10;fgUAAAAA&#10;">
                      <v:fill on="f" focussize="0,0"/>
                      <v:stroke weight="1.25pt" color="#000000" joinstyle="round"/>
                      <v:imagedata o:title=""/>
                      <o:lock v:ext="edit" aspectratio="f"/>
                    </v:shape>
                  </w:pict>
                </mc:Fallback>
              </mc:AlternateContent>
            </w:r>
          </w:p>
          <w:p>
            <w:pPr>
              <w:spacing w:line="360" w:lineRule="auto"/>
            </w:pPr>
          </w:p>
          <w:p>
            <w:pPr>
              <w:spacing w:line="360" w:lineRule="auto"/>
            </w:pPr>
            <w:r>
              <w:rPr>
                <w:b/>
              </w:rPr>
              <mc:AlternateContent>
                <mc:Choice Requires="wps">
                  <w:drawing>
                    <wp:anchor distT="0" distB="0" distL="114300" distR="114300" simplePos="0" relativeHeight="251669504" behindDoc="0" locked="0" layoutInCell="1" allowOverlap="1">
                      <wp:simplePos x="0" y="0"/>
                      <wp:positionH relativeFrom="column">
                        <wp:posOffset>2807335</wp:posOffset>
                      </wp:positionH>
                      <wp:positionV relativeFrom="paragraph">
                        <wp:posOffset>-10160</wp:posOffset>
                      </wp:positionV>
                      <wp:extent cx="325755" cy="908685"/>
                      <wp:effectExtent l="4445" t="4445" r="12700" b="20320"/>
                      <wp:wrapNone/>
                      <wp:docPr id="12" name="文本框 12"/>
                      <wp:cNvGraphicFramePr/>
                      <a:graphic xmlns:a="http://schemas.openxmlformats.org/drawingml/2006/main">
                        <a:graphicData uri="http://schemas.microsoft.com/office/word/2010/wordprocessingShape">
                          <wps:wsp>
                            <wps:cNvSpPr txBox="1">
                              <a:spLocks noChangeArrowheads="1"/>
                            </wps:cNvSpPr>
                            <wps:spPr bwMode="auto">
                              <a:xfrm>
                                <a:off x="0" y="0"/>
                                <a:ext cx="325755" cy="908685"/>
                              </a:xfrm>
                              <a:prstGeom prst="rect">
                                <a:avLst/>
                              </a:prstGeom>
                              <a:solidFill>
                                <a:srgbClr val="FFFFFF"/>
                              </a:solidFill>
                              <a:ln w="9525">
                                <a:solidFill>
                                  <a:srgbClr val="000000"/>
                                </a:solidFill>
                                <a:miter lim="800000"/>
                              </a:ln>
                              <a:effectLst/>
                            </wps:spPr>
                            <wps:txbx>
                              <w:txbxContent>
                                <w:p>
                                  <w:r>
                                    <w:rPr>
                                      <w:rFonts w:hint="eastAsia"/>
                                    </w:rPr>
                                    <w:t>竣工交付</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21.05pt;margin-top:-0.8pt;height:71.55pt;width:25.65pt;z-index:251669504;mso-width-relative:page;mso-height-relative:page;" fillcolor="#FFFFFF" filled="t" stroked="t" coordsize="21600,21600" o:gfxdata="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V/tNt2QAAAAoBAAAPAAAAAAAAAAEAIAAAACIAAABkcnMvZG93bnJldi54bWxQSwEC&#10;FAAUAAAACACHTuJAs8LVhiwCAABIBAAADgAAAAAAAAABACAAAAAoAQAAZHJzL2Uyb0RvYy54bWxQ&#10;SwUGAAAAAAYABgBZAQAAxgUAAAAA&#10;">
                      <v:fill on="t" focussize="0,0"/>
                      <v:stroke color="#000000" miterlimit="8" joinstyle="miter"/>
                      <v:imagedata o:title=""/>
                      <o:lock v:ext="edit" aspectratio="f"/>
                      <v:textbox>
                        <w:txbxContent>
                          <w:p>
                            <w:r>
                              <w:rPr>
                                <w:rFonts w:hint="eastAsia"/>
                              </w:rPr>
                              <w:t>竣工交付</w:t>
                            </w:r>
                          </w:p>
                        </w:txbxContent>
                      </v:textbox>
                    </v:shape>
                  </w:pict>
                </mc:Fallback>
              </mc:AlternateContent>
            </w:r>
            <w:r>
              <w:rPr>
                <w:b/>
              </w:rPr>
              <mc:AlternateContent>
                <mc:Choice Requires="wps">
                  <w:drawing>
                    <wp:anchor distT="0" distB="0" distL="114300" distR="114300" simplePos="0" relativeHeight="251668480" behindDoc="0" locked="0" layoutInCell="1" allowOverlap="1">
                      <wp:simplePos x="0" y="0"/>
                      <wp:positionH relativeFrom="column">
                        <wp:posOffset>1911350</wp:posOffset>
                      </wp:positionH>
                      <wp:positionV relativeFrom="paragraph">
                        <wp:posOffset>-10160</wp:posOffset>
                      </wp:positionV>
                      <wp:extent cx="325755" cy="908685"/>
                      <wp:effectExtent l="4445" t="4445" r="12700" b="20320"/>
                      <wp:wrapNone/>
                      <wp:docPr id="11" name="文本框 11"/>
                      <wp:cNvGraphicFramePr/>
                      <a:graphic xmlns:a="http://schemas.openxmlformats.org/drawingml/2006/main">
                        <a:graphicData uri="http://schemas.microsoft.com/office/word/2010/wordprocessingShape">
                          <wps:wsp>
                            <wps:cNvSpPr txBox="1">
                              <a:spLocks noChangeArrowheads="1"/>
                            </wps:cNvSpPr>
                            <wps:spPr bwMode="auto">
                              <a:xfrm>
                                <a:off x="0" y="0"/>
                                <a:ext cx="325755" cy="908685"/>
                              </a:xfrm>
                              <a:prstGeom prst="rect">
                                <a:avLst/>
                              </a:prstGeom>
                              <a:solidFill>
                                <a:srgbClr val="FFFFFF"/>
                              </a:solidFill>
                              <a:ln w="9525">
                                <a:solidFill>
                                  <a:srgbClr val="000000"/>
                                </a:solidFill>
                                <a:miter lim="800000"/>
                              </a:ln>
                              <a:effectLst/>
                            </wps:spPr>
                            <wps:txbx>
                              <w:txbxContent>
                                <w:p>
                                  <w:r>
                                    <w:rPr>
                                      <w:rFonts w:hint="eastAsia"/>
                                    </w:rPr>
                                    <w:t>美化绿化</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50.5pt;margin-top:-0.8pt;height:71.55pt;width:25.65pt;z-index:251668480;mso-width-relative:page;mso-height-relative:page;" fillcolor="#FFFFFF" filled="t" stroked="t" coordsize="21600,21600" o:gfxdata="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Az10wbZAAAACgEAAA8AAAAAAAAAAQAgAAAAIgAAAGRycy9kb3ducmV2LnhtbFBLAQIU&#10;ABQAAAAIAIdO4kAPCT8nKwIAAEgEAAAOAAAAAAAAAAEAIAAAACgBAABkcnMvZTJvRG9jLnhtbFBL&#10;BQYAAAAABgAGAFkBAADFBQAAAAA=&#10;">
                      <v:fill on="t" focussize="0,0"/>
                      <v:stroke color="#000000" miterlimit="8" joinstyle="miter"/>
                      <v:imagedata o:title=""/>
                      <o:lock v:ext="edit" aspectratio="f"/>
                      <v:textbox>
                        <w:txbxContent>
                          <w:p>
                            <w:r>
                              <w:rPr>
                                <w:rFonts w:hint="eastAsia"/>
                              </w:rPr>
                              <w:t>美化绿化</w:t>
                            </w:r>
                          </w:p>
                        </w:txbxContent>
                      </v:textbox>
                    </v:shape>
                  </w:pict>
                </mc:Fallback>
              </mc:AlternateContent>
            </w:r>
            <w:r>
              <w:rPr>
                <w:b/>
              </w:rPr>
              <mc:AlternateContent>
                <mc:Choice Requires="wps">
                  <w:drawing>
                    <wp:anchor distT="0" distB="0" distL="114300" distR="114300" simplePos="0" relativeHeight="251667456" behindDoc="0" locked="0" layoutInCell="1" allowOverlap="1">
                      <wp:simplePos x="0" y="0"/>
                      <wp:positionH relativeFrom="column">
                        <wp:posOffset>1019175</wp:posOffset>
                      </wp:positionH>
                      <wp:positionV relativeFrom="paragraph">
                        <wp:posOffset>-10160</wp:posOffset>
                      </wp:positionV>
                      <wp:extent cx="325755" cy="908685"/>
                      <wp:effectExtent l="4445" t="4445" r="12700" b="20320"/>
                      <wp:wrapNone/>
                      <wp:docPr id="10" name="文本框 10"/>
                      <wp:cNvGraphicFramePr/>
                      <a:graphic xmlns:a="http://schemas.openxmlformats.org/drawingml/2006/main">
                        <a:graphicData uri="http://schemas.microsoft.com/office/word/2010/wordprocessingShape">
                          <wps:wsp>
                            <wps:cNvSpPr txBox="1">
                              <a:spLocks noChangeArrowheads="1"/>
                            </wps:cNvSpPr>
                            <wps:spPr bwMode="auto">
                              <a:xfrm>
                                <a:off x="0" y="0"/>
                                <a:ext cx="325755" cy="908685"/>
                              </a:xfrm>
                              <a:prstGeom prst="rect">
                                <a:avLst/>
                              </a:prstGeom>
                              <a:solidFill>
                                <a:srgbClr val="FFFFFF"/>
                              </a:solidFill>
                              <a:ln w="9525">
                                <a:solidFill>
                                  <a:srgbClr val="000000"/>
                                </a:solidFill>
                                <a:miter lim="800000"/>
                              </a:ln>
                              <a:effectLst/>
                            </wps:spPr>
                            <wps:txbx>
                              <w:txbxContent>
                                <w:p>
                                  <w:r>
                                    <w:rPr>
                                      <w:rFonts w:hint="eastAsia"/>
                                    </w:rPr>
                                    <w:t>覆</w:t>
                                  </w:r>
                                </w:p>
                                <w:p/>
                                <w:p>
                                  <w:r>
                                    <w:rPr>
                                      <w:rFonts w:hint="eastAsia"/>
                                    </w:rPr>
                                    <w:t>土</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80.25pt;margin-top:-0.8pt;height:71.55pt;width:25.65pt;z-index:251667456;mso-width-relative:page;mso-height-relative:page;" fillcolor="#FFFFFF" filled="t" stroked="t" coordsize="21600,21600" o:gfxdata="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1eleu9gAAAAKAQAADwAAAAAAAAABACAAAAAiAAAAZHJzL2Rvd25yZXYueG1sUEsBAhQA&#10;FAAAAAgAh07iQJtPmUcrAgAASAQAAA4AAAAAAAAAAQAgAAAAJwEAAGRycy9lMm9Eb2MueG1sUEsF&#10;BgAAAAAGAAYAWQEAAMQFAAAAAA==&#10;">
                      <v:fill on="t" focussize="0,0"/>
                      <v:stroke color="#000000" miterlimit="8" joinstyle="miter"/>
                      <v:imagedata o:title=""/>
                      <o:lock v:ext="edit" aspectratio="f"/>
                      <v:textbox>
                        <w:txbxContent>
                          <w:p>
                            <w:r>
                              <w:rPr>
                                <w:rFonts w:hint="eastAsia"/>
                              </w:rPr>
                              <w:t>覆</w:t>
                            </w:r>
                          </w:p>
                          <w:p/>
                          <w:p>
                            <w:r>
                              <w:rPr>
                                <w:rFonts w:hint="eastAsia"/>
                              </w:rPr>
                              <w:t>土</w:t>
                            </w:r>
                          </w:p>
                        </w:txbxContent>
                      </v:textbox>
                    </v:shape>
                  </w:pict>
                </mc:Fallback>
              </mc:AlternateContent>
            </w:r>
          </w:p>
          <w:p>
            <w:pPr>
              <w:spacing w:line="360" w:lineRule="auto"/>
            </w:pPr>
            <w:r>
              <w:rPr>
                <w:b/>
              </w:rPr>
              <mc:AlternateContent>
                <mc:Choice Requires="wps">
                  <w:drawing>
                    <wp:anchor distT="0" distB="0" distL="114300" distR="114300" simplePos="0" relativeHeight="251683840" behindDoc="0" locked="0" layoutInCell="1" allowOverlap="1">
                      <wp:simplePos x="0" y="0"/>
                      <wp:positionH relativeFrom="column">
                        <wp:posOffset>2241550</wp:posOffset>
                      </wp:positionH>
                      <wp:positionV relativeFrom="paragraph">
                        <wp:posOffset>7620</wp:posOffset>
                      </wp:positionV>
                      <wp:extent cx="511175" cy="0"/>
                      <wp:effectExtent l="0" t="38100" r="3175" b="38100"/>
                      <wp:wrapNone/>
                      <wp:docPr id="9" name="直接箭头连接符 9"/>
                      <wp:cNvGraphicFramePr/>
                      <a:graphic xmlns:a="http://schemas.openxmlformats.org/drawingml/2006/main">
                        <a:graphicData uri="http://schemas.microsoft.com/office/word/2010/wordprocessingShape">
                          <wps:wsp>
                            <wps:cNvCnPr>
                              <a:cxnSpLocks noChangeShapeType="1"/>
                            </wps:cNvCnPr>
                            <wps:spPr bwMode="auto">
                              <a:xfrm>
                                <a:off x="0" y="0"/>
                                <a:ext cx="511175" cy="0"/>
                              </a:xfrm>
                              <a:prstGeom prst="straightConnector1">
                                <a:avLst/>
                              </a:prstGeom>
                              <a:noFill/>
                              <a:ln w="15875">
                                <a:solidFill>
                                  <a:srgbClr val="000000"/>
                                </a:solidFill>
                                <a:round/>
                                <a:tailEnd type="triangle" w="med" len="med"/>
                              </a:ln>
                              <a:effectLst/>
                            </wps:spPr>
                            <wps:bodyPr/>
                          </wps:wsp>
                        </a:graphicData>
                      </a:graphic>
                    </wp:anchor>
                  </w:drawing>
                </mc:Choice>
                <mc:Fallback>
                  <w:pict>
                    <v:shape id="_x0000_s1026" o:spid="_x0000_s1026" o:spt="32" type="#_x0000_t32" style="position:absolute;left:0pt;margin-left:176.5pt;margin-top:0.6pt;height:0pt;width:40.25pt;z-index:251683840;mso-width-relative:page;mso-height-relative:page;" filled="f" stroked="t" coordsize="21600,21600" o:gfxdata="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TPZo8tUAAAAHAQAADwAAAAAAAAABACAAAAAiAAAAZHJzL2Rvd25yZXYueG1sUEsBAhQA&#10;FAAAAAgAh07iQB6ZXPD1AQAArAMAAA4AAAAAAAAAAQAgAAAAJAEAAGRycy9lMm9Eb2MueG1sUEsF&#10;BgAAAAAGAAYAWQEAAIsFAAAAAA==&#10;">
                      <v:fill on="f" focussize="0,0"/>
                      <v:stroke weight="1.25pt" color="#000000" joinstyle="round" endarrow="block"/>
                      <v:imagedata o:title=""/>
                      <o:lock v:ext="edit" aspectratio="f"/>
                    </v:shape>
                  </w:pict>
                </mc:Fallback>
              </mc:AlternateContent>
            </w:r>
            <w:r>
              <w:rPr>
                <w:b/>
              </w:rPr>
              <mc:AlternateContent>
                <mc:Choice Requires="wps">
                  <w:drawing>
                    <wp:anchor distT="0" distB="0" distL="114300" distR="114300" simplePos="0" relativeHeight="251682816" behindDoc="0" locked="0" layoutInCell="1" allowOverlap="1">
                      <wp:simplePos x="0" y="0"/>
                      <wp:positionH relativeFrom="column">
                        <wp:posOffset>1344930</wp:posOffset>
                      </wp:positionH>
                      <wp:positionV relativeFrom="paragraph">
                        <wp:posOffset>7620</wp:posOffset>
                      </wp:positionV>
                      <wp:extent cx="511175" cy="0"/>
                      <wp:effectExtent l="0" t="38100" r="3175" b="38100"/>
                      <wp:wrapNone/>
                      <wp:docPr id="8" name="直接箭头连接符 8"/>
                      <wp:cNvGraphicFramePr/>
                      <a:graphic xmlns:a="http://schemas.openxmlformats.org/drawingml/2006/main">
                        <a:graphicData uri="http://schemas.microsoft.com/office/word/2010/wordprocessingShape">
                          <wps:wsp>
                            <wps:cNvCnPr>
                              <a:cxnSpLocks noChangeShapeType="1"/>
                            </wps:cNvCnPr>
                            <wps:spPr bwMode="auto">
                              <a:xfrm>
                                <a:off x="0" y="0"/>
                                <a:ext cx="511175" cy="0"/>
                              </a:xfrm>
                              <a:prstGeom prst="straightConnector1">
                                <a:avLst/>
                              </a:prstGeom>
                              <a:noFill/>
                              <a:ln w="15875">
                                <a:solidFill>
                                  <a:srgbClr val="000000"/>
                                </a:solidFill>
                                <a:round/>
                                <a:tailEnd type="triangle" w="med" len="med"/>
                              </a:ln>
                              <a:effectLst/>
                            </wps:spPr>
                            <wps:bodyPr/>
                          </wps:wsp>
                        </a:graphicData>
                      </a:graphic>
                    </wp:anchor>
                  </w:drawing>
                </mc:Choice>
                <mc:Fallback>
                  <w:pict>
                    <v:shape id="_x0000_s1026" o:spid="_x0000_s1026" o:spt="32" type="#_x0000_t32" style="position:absolute;left:0pt;margin-left:105.9pt;margin-top:0.6pt;height:0pt;width:40.25pt;z-index:251682816;mso-width-relative:page;mso-height-relative:page;" filled="f" stroked="t" coordsize="21600,21600" o:gfxdata="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LiFbDUAAAABwEAAA8AAAAAAAAAAQAgAAAAIgAAAGRycy9kb3ducmV2LnhtbFBLAQIUABQA&#10;AAAIAIdO4kBWKQdZ9AEAAKwDAAAOAAAAAAAAAAEAIAAAACMBAABkcnMvZTJvRG9jLnhtbFBLBQYA&#10;AAAABgAGAFkBAACJBQAAAAA=&#10;">
                      <v:fill on="f" focussize="0,0"/>
                      <v:stroke weight="1.25pt" color="#000000" joinstyle="round" endarrow="block"/>
                      <v:imagedata o:title=""/>
                      <o:lock v:ext="edit" aspectratio="f"/>
                    </v:shape>
                  </w:pict>
                </mc:Fallback>
              </mc:AlternateContent>
            </w:r>
          </w:p>
          <w:p>
            <w:pPr>
              <w:spacing w:line="360" w:lineRule="auto"/>
            </w:pPr>
          </w:p>
          <w:p>
            <w:pPr>
              <w:spacing w:line="360" w:lineRule="auto"/>
              <w:jc w:val="center"/>
              <w:rPr>
                <w:b/>
              </w:rPr>
            </w:pPr>
            <w:r>
              <w:rPr>
                <w:rFonts w:hint="eastAsia"/>
                <w:b/>
              </w:rPr>
              <w:t>图2 管廊项目建设工艺流程</w:t>
            </w:r>
          </w:p>
          <w:p>
            <w:pPr>
              <w:spacing w:line="360" w:lineRule="auto"/>
              <w:rPr>
                <w:sz w:val="24"/>
                <w:szCs w:val="24"/>
              </w:rPr>
            </w:pPr>
            <w:r>
              <w:rPr>
                <w:rFonts w:hint="eastAsia"/>
                <w:sz w:val="24"/>
                <w:szCs w:val="24"/>
              </w:rPr>
              <w:t>主要污染工序：</w:t>
            </w:r>
          </w:p>
          <w:p>
            <w:pPr>
              <w:spacing w:line="360" w:lineRule="auto"/>
              <w:ind w:firstLine="360" w:firstLineChars="150"/>
              <w:rPr>
                <w:sz w:val="24"/>
                <w:szCs w:val="24"/>
              </w:rPr>
            </w:pPr>
            <w:r>
              <w:rPr>
                <w:rFonts w:hint="eastAsia"/>
                <w:sz w:val="24"/>
                <w:szCs w:val="24"/>
              </w:rPr>
              <w:t>1.施工期</w:t>
            </w:r>
          </w:p>
          <w:p>
            <w:pPr>
              <w:spacing w:line="360" w:lineRule="auto"/>
              <w:ind w:firstLine="360" w:firstLineChars="150"/>
              <w:rPr>
                <w:sz w:val="24"/>
                <w:szCs w:val="24"/>
              </w:rPr>
            </w:pPr>
            <w:r>
              <w:rPr>
                <w:rFonts w:hint="eastAsia"/>
                <w:sz w:val="24"/>
                <w:szCs w:val="24"/>
              </w:rPr>
              <w:t>（1）废水</w:t>
            </w:r>
          </w:p>
          <w:p>
            <w:pPr>
              <w:spacing w:line="360" w:lineRule="auto"/>
              <w:ind w:firstLine="480" w:firstLineChars="200"/>
              <w:rPr>
                <w:sz w:val="24"/>
                <w:szCs w:val="24"/>
              </w:rPr>
            </w:pPr>
            <w:r>
              <w:rPr>
                <w:rFonts w:hint="eastAsia"/>
                <w:sz w:val="24"/>
                <w:szCs w:val="24"/>
              </w:rPr>
              <w:t>项目产生的废水主要来自施工生产废水、施工人员生活污水等两个方面，施工生产废水主要来自于基坑排水及施工机具检修冲洗水。</w:t>
            </w:r>
          </w:p>
          <w:p>
            <w:pPr>
              <w:spacing w:line="360" w:lineRule="auto"/>
              <w:ind w:firstLine="480" w:firstLineChars="200"/>
              <w:jc w:val="left"/>
              <w:rPr>
                <w:color w:val="000000" w:themeColor="text1"/>
                <w:sz w:val="24"/>
                <w14:textFill>
                  <w14:solidFill>
                    <w14:schemeClr w14:val="tx1"/>
                  </w14:solidFill>
                </w14:textFill>
              </w:rPr>
            </w:pPr>
            <w:r>
              <w:rPr>
                <w:color w:val="000000" w:themeColor="text1"/>
                <w:sz w:val="24"/>
                <w14:textFill>
                  <w14:solidFill>
                    <w14:schemeClr w14:val="tx1"/>
                  </w14:solidFill>
                </w14:textFill>
              </w:rPr>
              <w:t>施工</w:t>
            </w:r>
            <w:r>
              <w:rPr>
                <w:rFonts w:hint="eastAsia"/>
                <w:color w:val="000000" w:themeColor="text1"/>
                <w:sz w:val="24"/>
                <w14:textFill>
                  <w14:solidFill>
                    <w14:schemeClr w14:val="tx1"/>
                  </w14:solidFill>
                </w14:textFill>
              </w:rPr>
              <w:t>废水</w:t>
            </w:r>
            <w:r>
              <w:rPr>
                <w:color w:val="000000" w:themeColor="text1"/>
                <w:sz w:val="24"/>
                <w14:textFill>
                  <w14:solidFill>
                    <w14:schemeClr w14:val="tx1"/>
                  </w14:solidFill>
                </w14:textFill>
              </w:rPr>
              <w:t>水中污染因子主要为COD和SS，浓度分别为25～200mg/L、500～1000mg/L。施工机械在作业和维修中可能发生油料外溢、渗漏，废水中除了含有较高的悬浮物外，还含有有机杂质和施工机械的废油等，主要污染因子为COD、NH</w:t>
            </w:r>
            <w:r>
              <w:rPr>
                <w:color w:val="000000" w:themeColor="text1"/>
                <w:sz w:val="24"/>
                <w:vertAlign w:val="subscript"/>
                <w14:textFill>
                  <w14:solidFill>
                    <w14:schemeClr w14:val="tx1"/>
                  </w14:solidFill>
                </w14:textFill>
              </w:rPr>
              <w:t>3</w:t>
            </w:r>
            <w:r>
              <w:rPr>
                <w:color w:val="000000" w:themeColor="text1"/>
                <w:sz w:val="24"/>
                <w14:textFill>
                  <w14:solidFill>
                    <w14:schemeClr w14:val="tx1"/>
                  </w14:solidFill>
                </w14:textFill>
              </w:rPr>
              <w:t>-N</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石油类等。</w:t>
            </w:r>
          </w:p>
          <w:p>
            <w:pPr>
              <w:spacing w:line="360" w:lineRule="auto"/>
              <w:ind w:firstLine="480" w:firstLineChars="200"/>
              <w:jc w:val="left"/>
              <w:rPr>
                <w:rFonts w:hint="eastAsia"/>
                <w:color w:val="000000" w:themeColor="text1"/>
                <w:sz w:val="24"/>
                <w:szCs w:val="24"/>
                <w14:textFill>
                  <w14:solidFill>
                    <w14:schemeClr w14:val="tx1"/>
                  </w14:solidFill>
                </w14:textFill>
              </w:rPr>
            </w:pPr>
            <w:r>
              <w:rPr>
                <w:color w:val="000000" w:themeColor="text1"/>
                <w:sz w:val="24"/>
                <w14:textFill>
                  <w14:solidFill>
                    <w14:schemeClr w14:val="tx1"/>
                  </w14:solidFill>
                </w14:textFill>
              </w:rPr>
              <w:t>生活污水</w:t>
            </w:r>
            <w:r>
              <w:rPr>
                <w:rFonts w:hint="eastAsia"/>
                <w:color w:val="000000" w:themeColor="text1"/>
                <w:sz w:val="24"/>
                <w14:textFill>
                  <w14:solidFill>
                    <w14:schemeClr w14:val="tx1"/>
                  </w14:solidFill>
                </w14:textFill>
              </w:rPr>
              <w:t>来自</w:t>
            </w:r>
            <w:r>
              <w:rPr>
                <w:color w:val="000000" w:themeColor="text1"/>
                <w:sz w:val="24"/>
                <w:szCs w:val="24"/>
                <w14:textFill>
                  <w14:solidFill>
                    <w14:schemeClr w14:val="tx1"/>
                  </w14:solidFill>
                </w14:textFill>
              </w:rPr>
              <w:t>项目施工人员产生的生活</w:t>
            </w:r>
            <w:r>
              <w:rPr>
                <w:rFonts w:hint="eastAsia"/>
                <w:color w:val="000000" w:themeColor="text1"/>
                <w:sz w:val="24"/>
                <w:szCs w:val="24"/>
                <w14:textFill>
                  <w14:solidFill>
                    <w14:schemeClr w14:val="tx1"/>
                  </w14:solidFill>
                </w14:textFill>
              </w:rPr>
              <w:t>产生</w:t>
            </w:r>
            <w:r>
              <w:rPr>
                <w:color w:val="000000" w:themeColor="text1"/>
                <w:sz w:val="24"/>
                <w:szCs w:val="24"/>
                <w14:textFill>
                  <w14:solidFill>
                    <w14:schemeClr w14:val="tx1"/>
                  </w14:solidFill>
                </w14:textFill>
              </w:rPr>
              <w:t>，主要污染物浓度</w:t>
            </w:r>
            <w:r>
              <w:rPr>
                <w:rFonts w:hint="eastAsia"/>
                <w:color w:val="000000" w:themeColor="text1"/>
                <w:sz w:val="24"/>
                <w:szCs w:val="24"/>
                <w14:textFill>
                  <w14:solidFill>
                    <w14:schemeClr w14:val="tx1"/>
                  </w14:solidFill>
                </w14:textFill>
              </w:rPr>
              <w:t>约为</w:t>
            </w:r>
            <w:r>
              <w:rPr>
                <w:color w:val="000000" w:themeColor="text1"/>
                <w:sz w:val="24"/>
                <w:szCs w:val="24"/>
                <w14:textFill>
                  <w14:solidFill>
                    <w14:schemeClr w14:val="tx1"/>
                  </w14:solidFill>
                </w14:textFill>
              </w:rPr>
              <w:t>COD</w:t>
            </w:r>
            <w:r>
              <w:rPr>
                <w:rFonts w:hint="eastAsia"/>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300mg/L、BOD</w:t>
            </w:r>
            <w:r>
              <w:rPr>
                <w:color w:val="000000" w:themeColor="text1"/>
                <w:sz w:val="24"/>
                <w:szCs w:val="24"/>
                <w:vertAlign w:val="subscript"/>
                <w14:textFill>
                  <w14:solidFill>
                    <w14:schemeClr w14:val="tx1"/>
                  </w14:solidFill>
                </w14:textFill>
              </w:rPr>
              <w:t>5</w:t>
            </w:r>
            <w:r>
              <w:rPr>
                <w:rFonts w:hint="eastAsia"/>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160mg/L、SS</w:t>
            </w:r>
            <w:r>
              <w:rPr>
                <w:rFonts w:hint="eastAsia"/>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200mg/L、NH</w:t>
            </w:r>
            <w:r>
              <w:rPr>
                <w:color w:val="000000" w:themeColor="text1"/>
                <w:sz w:val="24"/>
                <w:szCs w:val="24"/>
                <w:vertAlign w:val="subscript"/>
                <w14:textFill>
                  <w14:solidFill>
                    <w14:schemeClr w14:val="tx1"/>
                  </w14:solidFill>
                </w14:textFill>
              </w:rPr>
              <w:t>3</w:t>
            </w:r>
            <w:r>
              <w:rPr>
                <w:color w:val="000000" w:themeColor="text1"/>
                <w:sz w:val="24"/>
                <w:szCs w:val="24"/>
                <w14:textFill>
                  <w14:solidFill>
                    <w14:schemeClr w14:val="tx1"/>
                  </w14:solidFill>
                </w14:textFill>
              </w:rPr>
              <w:t>-N</w:t>
            </w:r>
            <w:r>
              <w:rPr>
                <w:rFonts w:hint="eastAsia"/>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 xml:space="preserve"> 35mg/L、动植物油</w:t>
            </w:r>
            <w:r>
              <w:rPr>
                <w:rFonts w:hint="eastAsia"/>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40m</w:t>
            </w:r>
            <w:r>
              <w:rPr>
                <w:rFonts w:hint="eastAsia"/>
                <w:color w:val="000000" w:themeColor="text1"/>
                <w:sz w:val="24"/>
                <w:szCs w:val="24"/>
                <w14:textFill>
                  <w14:solidFill>
                    <w14:schemeClr w14:val="tx1"/>
                  </w14:solidFill>
                </w14:textFill>
              </w:rPr>
              <w:t>g/L</w:t>
            </w:r>
            <w:r>
              <w:rPr>
                <w:rFonts w:hint="eastAsia"/>
                <w:color w:val="000000" w:themeColor="text1"/>
                <w:sz w:val="24"/>
                <w:szCs w:val="24"/>
                <w:lang w:val="en-GB"/>
                <w14:textFill>
                  <w14:solidFill>
                    <w14:schemeClr w14:val="tx1"/>
                  </w14:solidFill>
                </w14:textFill>
              </w:rPr>
              <w:t>。项目施工人员</w:t>
            </w:r>
            <w:r>
              <w:rPr>
                <w:rFonts w:hint="eastAsia"/>
                <w:color w:val="000000" w:themeColor="text1"/>
                <w:sz w:val="24"/>
                <w:szCs w:val="24"/>
                <w14:textFill>
                  <w14:solidFill>
                    <w14:schemeClr w14:val="tx1"/>
                  </w14:solidFill>
                </w14:textFill>
              </w:rPr>
              <w:t>租用当地民房住宿和如厕，不设施工营地，因此利用民房已有污水处理设施（如旱厕、化粪池等）进行处理。</w:t>
            </w:r>
          </w:p>
          <w:p>
            <w:pPr>
              <w:spacing w:line="360" w:lineRule="auto"/>
              <w:ind w:firstLine="480" w:firstLineChars="200"/>
              <w:rPr>
                <w:sz w:val="24"/>
                <w:szCs w:val="24"/>
              </w:rPr>
            </w:pPr>
            <w:r>
              <w:rPr>
                <w:rFonts w:hint="eastAsia"/>
                <w:sz w:val="24"/>
                <w:szCs w:val="24"/>
              </w:rPr>
              <w:t>（2）废气</w:t>
            </w:r>
          </w:p>
          <w:p>
            <w:pPr>
              <w:spacing w:line="480" w:lineRule="exact"/>
              <w:ind w:firstLine="480" w:firstLineChars="200"/>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施工期主要大气污染物是扬尘，项目挖土方及运输过程中易产生粉土、扬尘。在项目施工中，由于水泥，建筑灰渣等的搬运也易产生扬尘。这些扬尘均为无组织散发形式排放，为间歇式排放的低矮面源。尤其在场地平整、材料运输和装卸过程中瞬时扬尘量最大，施工车辆进出也将带来一定的尾气影响。</w:t>
            </w:r>
          </w:p>
          <w:p>
            <w:pPr>
              <w:spacing w:line="360" w:lineRule="auto"/>
              <w:ind w:firstLine="480" w:firstLineChars="200"/>
              <w:rPr>
                <w:sz w:val="24"/>
                <w:szCs w:val="24"/>
              </w:rPr>
            </w:pPr>
            <w:r>
              <w:rPr>
                <w:rFonts w:hint="eastAsia"/>
                <w:sz w:val="24"/>
                <w:szCs w:val="24"/>
              </w:rPr>
              <w:t>（3）噪声</w:t>
            </w:r>
          </w:p>
          <w:p>
            <w:pPr>
              <w:spacing w:line="360" w:lineRule="auto"/>
              <w:ind w:firstLine="600" w:firstLineChars="250"/>
              <w:rPr>
                <w:sz w:val="24"/>
                <w:szCs w:val="24"/>
              </w:rPr>
            </w:pPr>
            <w:r>
              <w:rPr>
                <w:rFonts w:hint="eastAsia"/>
                <w:sz w:val="24"/>
                <w:szCs w:val="24"/>
              </w:rPr>
              <w:t>噪声</w:t>
            </w:r>
            <w:r>
              <w:rPr>
                <w:sz w:val="24"/>
                <w:szCs w:val="24"/>
              </w:rPr>
              <w:t>主要来源于</w:t>
            </w:r>
            <w:r>
              <w:rPr>
                <w:rFonts w:hint="eastAsia"/>
                <w:sz w:val="24"/>
                <w:szCs w:val="24"/>
              </w:rPr>
              <w:t>推土机、装载机、卷扬机、切割机和汽车等施工机械设备噪声，</w:t>
            </w:r>
            <w:r>
              <w:rPr>
                <w:color w:val="000000" w:themeColor="text1"/>
                <w:sz w:val="24"/>
                <w14:textFill>
                  <w14:solidFill>
                    <w14:schemeClr w14:val="tx1"/>
                  </w14:solidFill>
                </w14:textFill>
              </w:rPr>
              <w:t>噪声值在75~</w:t>
            </w:r>
            <w:r>
              <w:rPr>
                <w:rFonts w:hint="eastAsia"/>
                <w:color w:val="000000" w:themeColor="text1"/>
                <w:sz w:val="24"/>
                <w14:textFill>
                  <w14:solidFill>
                    <w14:schemeClr w14:val="tx1"/>
                  </w14:solidFill>
                </w14:textFill>
              </w:rPr>
              <w:t>95</w:t>
            </w:r>
            <w:r>
              <w:rPr>
                <w:color w:val="000000" w:themeColor="text1"/>
                <w:sz w:val="24"/>
                <w14:textFill>
                  <w14:solidFill>
                    <w14:schemeClr w14:val="tx1"/>
                  </w14:solidFill>
                </w14:textFill>
              </w:rPr>
              <w:t>dB(A)之间</w:t>
            </w:r>
            <w:r>
              <w:rPr>
                <w:rFonts w:hint="eastAsia"/>
                <w:sz w:val="24"/>
                <w:szCs w:val="24"/>
              </w:rPr>
              <w:t>。</w:t>
            </w:r>
          </w:p>
          <w:p>
            <w:pPr>
              <w:spacing w:line="360" w:lineRule="auto"/>
              <w:ind w:firstLine="480" w:firstLineChars="200"/>
              <w:rPr>
                <w:sz w:val="24"/>
                <w:szCs w:val="24"/>
              </w:rPr>
            </w:pPr>
            <w:r>
              <w:rPr>
                <w:rFonts w:hint="eastAsia"/>
                <w:sz w:val="24"/>
                <w:szCs w:val="24"/>
              </w:rPr>
              <w:t>（4）</w:t>
            </w:r>
            <w:r>
              <w:rPr>
                <w:sz w:val="24"/>
                <w:szCs w:val="24"/>
              </w:rPr>
              <w:t>固体废物</w:t>
            </w:r>
          </w:p>
          <w:p>
            <w:pPr>
              <w:spacing w:line="360" w:lineRule="auto"/>
              <w:ind w:firstLine="600" w:firstLineChars="250"/>
              <w:rPr>
                <w:sz w:val="24"/>
                <w:szCs w:val="24"/>
              </w:rPr>
            </w:pPr>
            <w:r>
              <w:rPr>
                <w:rFonts w:hint="eastAsia"/>
                <w:sz w:val="24"/>
                <w:szCs w:val="24"/>
              </w:rPr>
              <w:t>固体废物主要来源于施工过程产生的渣土、建筑垃圾和施工人员产生的生活垃圾等。</w:t>
            </w:r>
            <w:r>
              <w:rPr>
                <w:rFonts w:hint="eastAsia"/>
                <w:sz w:val="24"/>
              </w:rPr>
              <w:t>建筑垃圾主要是指剩余的筑路材料（包括石料、砂、石灰、商品混凝土、钢材、木料、预制构件等）以及拆迁过程中产生的建筑垃圾。</w:t>
            </w:r>
            <w:r>
              <w:rPr>
                <w:rFonts w:hint="eastAsia"/>
                <w:kern w:val="0"/>
                <w:sz w:val="24"/>
              </w:rPr>
              <w:t>根据类似拆迁工程类比调查，在回收大部分有用的建筑材料（如砖、钢筋、木材等）后，</w:t>
            </w:r>
            <w:r>
              <w:rPr>
                <w:color w:val="000000" w:themeColor="text1"/>
                <w:sz w:val="24"/>
                <w14:textFill>
                  <w14:solidFill>
                    <w14:schemeClr w14:val="tx1"/>
                  </w14:solidFill>
                </w14:textFill>
              </w:rPr>
              <w:t>整个施工期建筑垃圾产生量约</w:t>
            </w:r>
            <w:r>
              <w:rPr>
                <w:rFonts w:hint="eastAsia"/>
                <w:color w:val="000000" w:themeColor="text1"/>
                <w:sz w:val="24"/>
                <w14:textFill>
                  <w14:solidFill>
                    <w14:schemeClr w14:val="tx1"/>
                  </w14:solidFill>
                </w14:textFill>
              </w:rPr>
              <w:t>50</w:t>
            </w:r>
            <w:r>
              <w:rPr>
                <w:color w:val="000000" w:themeColor="text1"/>
                <w:sz w:val="24"/>
                <w14:textFill>
                  <w14:solidFill>
                    <w14:schemeClr w14:val="tx1"/>
                  </w14:solidFill>
                </w14:textFill>
              </w:rPr>
              <w:t>t</w:t>
            </w:r>
            <w:r>
              <w:rPr>
                <w:rFonts w:hint="eastAsia"/>
                <w:color w:val="000000" w:themeColor="text1"/>
                <w:sz w:val="24"/>
                <w14:textFill>
                  <w14:solidFill>
                    <w14:schemeClr w14:val="tx1"/>
                  </w14:solidFill>
                </w14:textFill>
              </w:rPr>
              <w:t>；本项目</w:t>
            </w:r>
            <w:r>
              <w:rPr>
                <w:color w:val="000000" w:themeColor="text1"/>
                <w:sz w:val="24"/>
                <w14:textFill>
                  <w14:solidFill>
                    <w14:schemeClr w14:val="tx1"/>
                  </w14:solidFill>
                </w14:textFill>
              </w:rPr>
              <w:t>土石方</w:t>
            </w:r>
            <w:r>
              <w:rPr>
                <w:rFonts w:hint="eastAsia"/>
                <w:color w:val="000000" w:themeColor="text1"/>
                <w:sz w:val="24"/>
                <w14:textFill>
                  <w14:solidFill>
                    <w14:schemeClr w14:val="tx1"/>
                  </w14:solidFill>
                </w14:textFill>
              </w:rPr>
              <w:t>开挖</w:t>
            </w:r>
            <w:r>
              <w:rPr>
                <w:color w:val="000000" w:themeColor="text1"/>
                <w:sz w:val="24"/>
                <w14:textFill>
                  <w14:solidFill>
                    <w14:schemeClr w14:val="tx1"/>
                  </w14:solidFill>
                </w14:textFill>
              </w:rPr>
              <w:t>总量为</w:t>
            </w:r>
            <w:r>
              <w:rPr>
                <w:rFonts w:hint="eastAsia"/>
                <w:color w:val="000000" w:themeColor="text1"/>
                <w:sz w:val="24"/>
                <w:lang w:val="en-US" w:eastAsia="zh-CN"/>
                <w14:textFill>
                  <w14:solidFill>
                    <w14:schemeClr w14:val="tx1"/>
                  </w14:solidFill>
                </w14:textFill>
              </w:rPr>
              <w:t>7.11</w:t>
            </w:r>
            <w:r>
              <w:rPr>
                <w:rFonts w:hint="eastAsia"/>
                <w:color w:val="000000" w:themeColor="text1"/>
                <w:sz w:val="24"/>
                <w14:textFill>
                  <w14:solidFill>
                    <w14:schemeClr w14:val="tx1"/>
                  </w14:solidFill>
                </w14:textFill>
              </w:rPr>
              <w:t>万</w:t>
            </w:r>
            <w:r>
              <w:rPr>
                <w:color w:val="000000" w:themeColor="text1"/>
                <w:sz w:val="24"/>
                <w14:textFill>
                  <w14:solidFill>
                    <w14:schemeClr w14:val="tx1"/>
                  </w14:solidFill>
                </w14:textFill>
              </w:rPr>
              <w:t>m</w:t>
            </w:r>
            <w:r>
              <w:rPr>
                <w:color w:val="000000" w:themeColor="text1"/>
                <w:sz w:val="24"/>
                <w:vertAlign w:val="superscript"/>
                <w14:textFill>
                  <w14:solidFill>
                    <w14:schemeClr w14:val="tx1"/>
                  </w14:solidFill>
                </w14:textFill>
              </w:rPr>
              <w:t>3</w:t>
            </w:r>
            <w:r>
              <w:rPr>
                <w:color w:val="000000" w:themeColor="text1"/>
                <w:sz w:val="24"/>
                <w14:textFill>
                  <w14:solidFill>
                    <w14:schemeClr w14:val="tx1"/>
                  </w14:solidFill>
                </w14:textFill>
              </w:rPr>
              <w:t>，</w:t>
            </w:r>
            <w:r>
              <w:rPr>
                <w:rFonts w:hint="eastAsia"/>
                <w:color w:val="000000" w:themeColor="text1"/>
                <w:sz w:val="24"/>
                <w14:textFill>
                  <w14:solidFill>
                    <w14:schemeClr w14:val="tx1"/>
                  </w14:solidFill>
                </w14:textFill>
              </w:rPr>
              <w:t>回填量为</w:t>
            </w:r>
            <w:r>
              <w:rPr>
                <w:rFonts w:hint="eastAsia"/>
                <w:color w:val="000000" w:themeColor="text1"/>
                <w:sz w:val="24"/>
                <w:lang w:val="en-US" w:eastAsia="zh-CN"/>
                <w14:textFill>
                  <w14:solidFill>
                    <w14:schemeClr w14:val="tx1"/>
                  </w14:solidFill>
                </w14:textFill>
              </w:rPr>
              <w:t>2.41</w:t>
            </w:r>
            <w:r>
              <w:rPr>
                <w:rFonts w:hint="eastAsia"/>
                <w:color w:val="000000" w:themeColor="text1"/>
                <w:sz w:val="24"/>
                <w14:textFill>
                  <w14:solidFill>
                    <w14:schemeClr w14:val="tx1"/>
                  </w14:solidFill>
                </w14:textFill>
              </w:rPr>
              <w:t>万m</w:t>
            </w:r>
            <w:r>
              <w:rPr>
                <w:rFonts w:hint="eastAsia"/>
                <w:color w:val="000000" w:themeColor="text1"/>
                <w:sz w:val="24"/>
                <w:vertAlign w:val="superscript"/>
                <w14:textFill>
                  <w14:solidFill>
                    <w14:schemeClr w14:val="tx1"/>
                  </w14:solidFill>
                </w14:textFill>
              </w:rPr>
              <w:t>3</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弃方总量为</w:t>
            </w:r>
            <w:r>
              <w:rPr>
                <w:rFonts w:hint="eastAsia"/>
                <w:color w:val="000000" w:themeColor="text1"/>
                <w:sz w:val="24"/>
                <w:lang w:val="en-US" w:eastAsia="zh-CN"/>
                <w14:textFill>
                  <w14:solidFill>
                    <w14:schemeClr w14:val="tx1"/>
                  </w14:solidFill>
                </w14:textFill>
              </w:rPr>
              <w:t>4.</w:t>
            </w:r>
            <w:r>
              <w:rPr>
                <w:rFonts w:hint="eastAsia"/>
                <w:color w:val="000000" w:themeColor="text1"/>
                <w:sz w:val="24"/>
                <w14:textFill>
                  <w14:solidFill>
                    <w14:schemeClr w14:val="tx1"/>
                  </w14:solidFill>
                </w14:textFill>
              </w:rPr>
              <w:t>7万</w:t>
            </w:r>
            <w:r>
              <w:rPr>
                <w:color w:val="000000" w:themeColor="text1"/>
                <w:sz w:val="24"/>
                <w14:textFill>
                  <w14:solidFill>
                    <w14:schemeClr w14:val="tx1"/>
                  </w14:solidFill>
                </w14:textFill>
              </w:rPr>
              <w:t>m</w:t>
            </w:r>
            <w:r>
              <w:rPr>
                <w:color w:val="000000" w:themeColor="text1"/>
                <w:sz w:val="24"/>
                <w:vertAlign w:val="superscript"/>
                <w14:textFill>
                  <w14:solidFill>
                    <w14:schemeClr w14:val="tx1"/>
                  </w14:solidFill>
                </w14:textFill>
              </w:rPr>
              <w:t>3</w:t>
            </w:r>
            <w:r>
              <w:rPr>
                <w:rFonts w:hint="eastAsia"/>
                <w:color w:val="000000" w:themeColor="text1"/>
                <w:sz w:val="24"/>
                <w14:textFill>
                  <w14:solidFill>
                    <w14:schemeClr w14:val="tx1"/>
                  </w14:solidFill>
                </w14:textFill>
              </w:rPr>
              <w:t>。</w:t>
            </w:r>
            <w:r>
              <w:rPr>
                <w:color w:val="000000" w:themeColor="text1"/>
                <w:kern w:val="24"/>
                <w:sz w:val="24"/>
                <w14:textFill>
                  <w14:solidFill>
                    <w14:schemeClr w14:val="tx1"/>
                  </w14:solidFill>
                </w14:textFill>
              </w:rPr>
              <w:t>本项目施工高峰期有施工人员</w:t>
            </w:r>
            <w:r>
              <w:rPr>
                <w:rFonts w:hint="eastAsia"/>
                <w:color w:val="000000" w:themeColor="text1"/>
                <w:kern w:val="24"/>
                <w:sz w:val="24"/>
                <w14:textFill>
                  <w14:solidFill>
                    <w14:schemeClr w14:val="tx1"/>
                  </w14:solidFill>
                </w14:textFill>
              </w:rPr>
              <w:t>2</w:t>
            </w:r>
            <w:r>
              <w:rPr>
                <w:color w:val="000000" w:themeColor="text1"/>
                <w:kern w:val="24"/>
                <w:sz w:val="24"/>
                <w14:textFill>
                  <w14:solidFill>
                    <w14:schemeClr w14:val="tx1"/>
                  </w14:solidFill>
                </w14:textFill>
              </w:rPr>
              <w:t>0人，生活垃圾按</w:t>
            </w:r>
            <w:r>
              <w:rPr>
                <w:rFonts w:hint="eastAsia"/>
                <w:color w:val="000000" w:themeColor="text1"/>
                <w:kern w:val="24"/>
                <w:sz w:val="24"/>
                <w14:textFill>
                  <w14:solidFill>
                    <w14:schemeClr w14:val="tx1"/>
                  </w14:solidFill>
                </w14:textFill>
              </w:rPr>
              <w:t>0.5</w:t>
            </w:r>
            <w:r>
              <w:rPr>
                <w:color w:val="000000" w:themeColor="text1"/>
                <w:kern w:val="24"/>
                <w:sz w:val="24"/>
                <w14:textFill>
                  <w14:solidFill>
                    <w14:schemeClr w14:val="tx1"/>
                  </w14:solidFill>
                </w14:textFill>
              </w:rPr>
              <w:t>kg/人·d计算，则排放量约为0.0</w:t>
            </w:r>
            <w:r>
              <w:rPr>
                <w:rFonts w:hint="eastAsia"/>
                <w:color w:val="000000" w:themeColor="text1"/>
                <w:kern w:val="24"/>
                <w:sz w:val="24"/>
                <w14:textFill>
                  <w14:solidFill>
                    <w14:schemeClr w14:val="tx1"/>
                  </w14:solidFill>
                </w14:textFill>
              </w:rPr>
              <w:t>1</w:t>
            </w:r>
            <w:r>
              <w:rPr>
                <w:color w:val="000000" w:themeColor="text1"/>
                <w:kern w:val="24"/>
                <w:sz w:val="24"/>
                <w14:textFill>
                  <w14:solidFill>
                    <w14:schemeClr w14:val="tx1"/>
                  </w14:solidFill>
                </w14:textFill>
              </w:rPr>
              <w:t>t/d</w:t>
            </w:r>
            <w:r>
              <w:rPr>
                <w:rFonts w:hint="eastAsia"/>
                <w:color w:val="000000" w:themeColor="text1"/>
                <w:kern w:val="24"/>
                <w:sz w:val="24"/>
                <w14:textFill>
                  <w14:solidFill>
                    <w14:schemeClr w14:val="tx1"/>
                  </w14:solidFill>
                </w14:textFill>
              </w:rPr>
              <w:t>，</w:t>
            </w:r>
            <w:r>
              <w:rPr>
                <w:rFonts w:hint="eastAsia"/>
                <w:color w:val="000000" w:themeColor="text1"/>
                <w:sz w:val="24"/>
                <w14:textFill>
                  <w14:solidFill>
                    <w14:schemeClr w14:val="tx1"/>
                  </w14:solidFill>
                </w14:textFill>
              </w:rPr>
              <w:t>施工建设期：</w:t>
            </w:r>
            <w:r>
              <w:rPr>
                <w:color w:val="000000" w:themeColor="text1"/>
                <w:sz w:val="24"/>
                <w14:textFill>
                  <w14:solidFill>
                    <w14:schemeClr w14:val="tx1"/>
                  </w14:solidFill>
                </w14:textFill>
              </w:rPr>
              <w:t>201</w:t>
            </w:r>
            <w:r>
              <w:rPr>
                <w:rFonts w:hint="eastAsia"/>
                <w:color w:val="000000" w:themeColor="text1"/>
                <w:sz w:val="24"/>
                <w:lang w:val="en-US" w:eastAsia="zh-CN"/>
                <w14:textFill>
                  <w14:solidFill>
                    <w14:schemeClr w14:val="tx1"/>
                  </w14:solidFill>
                </w14:textFill>
              </w:rPr>
              <w:t>7</w:t>
            </w:r>
            <w:r>
              <w:rPr>
                <w:rFonts w:hint="eastAsia"/>
                <w:color w:val="000000" w:themeColor="text1"/>
                <w:sz w:val="24"/>
                <w14:textFill>
                  <w14:solidFill>
                    <w14:schemeClr w14:val="tx1"/>
                  </w14:solidFill>
                </w14:textFill>
              </w:rPr>
              <w:t>年</w:t>
            </w:r>
            <w:r>
              <w:rPr>
                <w:rFonts w:hint="eastAsia"/>
                <w:color w:val="000000" w:themeColor="text1"/>
                <w:sz w:val="24"/>
                <w:lang w:val="en-US" w:eastAsia="zh-CN"/>
                <w14:textFill>
                  <w14:solidFill>
                    <w14:schemeClr w14:val="tx1"/>
                  </w14:solidFill>
                </w14:textFill>
              </w:rPr>
              <w:t>5</w:t>
            </w:r>
            <w:r>
              <w:rPr>
                <w:rFonts w:hint="eastAsia"/>
                <w:color w:val="000000" w:themeColor="text1"/>
                <w:sz w:val="24"/>
                <w14:textFill>
                  <w14:solidFill>
                    <w14:schemeClr w14:val="tx1"/>
                  </w14:solidFill>
                </w14:textFill>
              </w:rPr>
              <w:t>月至</w:t>
            </w:r>
            <w:r>
              <w:rPr>
                <w:color w:val="000000" w:themeColor="text1"/>
                <w:sz w:val="24"/>
                <w14:textFill>
                  <w14:solidFill>
                    <w14:schemeClr w14:val="tx1"/>
                  </w14:solidFill>
                </w14:textFill>
              </w:rPr>
              <w:t>201</w:t>
            </w:r>
            <w:r>
              <w:rPr>
                <w:rFonts w:hint="eastAsia"/>
                <w:color w:val="000000" w:themeColor="text1"/>
                <w:sz w:val="24"/>
                <w14:textFill>
                  <w14:solidFill>
                    <w14:schemeClr w14:val="tx1"/>
                  </w14:solidFill>
                </w14:textFill>
              </w:rPr>
              <w:t>9年</w:t>
            </w:r>
            <w:r>
              <w:rPr>
                <w:rFonts w:hint="eastAsia"/>
                <w:color w:val="000000" w:themeColor="text1"/>
                <w:sz w:val="24"/>
                <w:lang w:val="en-US" w:eastAsia="zh-CN"/>
                <w14:textFill>
                  <w14:solidFill>
                    <w14:schemeClr w14:val="tx1"/>
                  </w14:solidFill>
                </w14:textFill>
              </w:rPr>
              <w:t>4</w:t>
            </w:r>
            <w:r>
              <w:rPr>
                <w:rFonts w:hint="eastAsia"/>
                <w:color w:val="000000" w:themeColor="text1"/>
                <w:sz w:val="24"/>
                <w14:textFill>
                  <w14:solidFill>
                    <w14:schemeClr w14:val="tx1"/>
                  </w14:solidFill>
                </w14:textFill>
              </w:rPr>
              <w:t>月，施工期间产生的生活垃圾约为9t</w:t>
            </w:r>
            <w:r>
              <w:rPr>
                <w:rFonts w:hint="eastAsia"/>
                <w:color w:val="000000" w:themeColor="text1"/>
                <w:kern w:val="24"/>
                <w:sz w:val="24"/>
                <w14:textFill>
                  <w14:solidFill>
                    <w14:schemeClr w14:val="tx1"/>
                  </w14:solidFill>
                </w14:textFill>
              </w:rPr>
              <w:t>。</w:t>
            </w:r>
          </w:p>
          <w:p>
            <w:pPr>
              <w:spacing w:line="360" w:lineRule="auto"/>
              <w:ind w:firstLine="480" w:firstLineChars="200"/>
              <w:rPr>
                <w:sz w:val="24"/>
                <w:szCs w:val="24"/>
              </w:rPr>
            </w:pPr>
            <w:r>
              <w:rPr>
                <w:rFonts w:hint="eastAsia"/>
                <w:sz w:val="24"/>
                <w:szCs w:val="24"/>
              </w:rPr>
              <w:t>（5）生态环境的影响</w:t>
            </w:r>
          </w:p>
          <w:p>
            <w:pPr>
              <w:spacing w:line="360" w:lineRule="auto"/>
              <w:ind w:firstLine="600" w:firstLineChars="250"/>
              <w:rPr>
                <w:sz w:val="24"/>
                <w:szCs w:val="24"/>
              </w:rPr>
            </w:pPr>
            <w:r>
              <w:rPr>
                <w:rFonts w:hint="eastAsia"/>
                <w:sz w:val="24"/>
                <w:szCs w:val="24"/>
              </w:rPr>
              <w:t>正式施工后，土方开挖裸露的地表、施工材料、建筑垃圾在大雨时可能产生水土流失。</w:t>
            </w:r>
          </w:p>
          <w:p>
            <w:pPr>
              <w:spacing w:line="360" w:lineRule="auto"/>
              <w:ind w:firstLine="360" w:firstLineChars="150"/>
              <w:rPr>
                <w:sz w:val="24"/>
                <w:szCs w:val="24"/>
              </w:rPr>
            </w:pPr>
            <w:r>
              <w:rPr>
                <w:sz w:val="24"/>
                <w:szCs w:val="24"/>
              </w:rPr>
              <w:t>2</w:t>
            </w:r>
            <w:r>
              <w:rPr>
                <w:b/>
                <w:sz w:val="24"/>
                <w:szCs w:val="24"/>
              </w:rPr>
              <w:t>.</w:t>
            </w:r>
            <w:r>
              <w:rPr>
                <w:sz w:val="24"/>
                <w:szCs w:val="24"/>
              </w:rPr>
              <w:t>营运期</w:t>
            </w:r>
          </w:p>
          <w:p>
            <w:pPr>
              <w:spacing w:line="360" w:lineRule="auto"/>
              <w:ind w:firstLine="480" w:firstLineChars="200"/>
              <w:rPr>
                <w:sz w:val="24"/>
                <w:szCs w:val="24"/>
              </w:rPr>
            </w:pPr>
            <w:r>
              <w:rPr>
                <w:sz w:val="24"/>
                <w:szCs w:val="24"/>
              </w:rPr>
              <w:t>本项目属于非生产性建设项目，营运期对环境产生影响主要来自于管廊内部通风换气产生的废气</w:t>
            </w:r>
            <w:r>
              <w:rPr>
                <w:rFonts w:hint="eastAsia"/>
                <w:sz w:val="24"/>
                <w:szCs w:val="24"/>
              </w:rPr>
              <w:t>，</w:t>
            </w:r>
            <w:r>
              <w:rPr>
                <w:sz w:val="24"/>
                <w:szCs w:val="24"/>
              </w:rPr>
              <w:t>检修车噪声、换气风机噪声</w:t>
            </w:r>
            <w:r>
              <w:rPr>
                <w:rFonts w:hint="eastAsia"/>
                <w:sz w:val="24"/>
                <w:szCs w:val="24"/>
              </w:rPr>
              <w:t>以及综合管沟开口处进水或者综合管沟内冲洗等产生的排水。</w:t>
            </w:r>
          </w:p>
          <w:p>
            <w:pPr>
              <w:pStyle w:val="2"/>
              <w:numPr>
                <w:ilvl w:val="0"/>
                <w:numId w:val="0"/>
              </w:numPr>
              <w:rPr>
                <w:b/>
                <w:color w:val="000000"/>
              </w:rPr>
            </w:pPr>
          </w:p>
          <w:p/>
          <w:p/>
          <w:p/>
          <w:p/>
          <w:p/>
          <w:p/>
          <w:p/>
          <w:p/>
          <w:p/>
          <w:p/>
        </w:tc>
      </w:tr>
    </w:tbl>
    <w:p>
      <w:pPr>
        <w:pStyle w:val="2"/>
        <w:numPr>
          <w:ilvl w:val="0"/>
          <w:numId w:val="0"/>
        </w:numPr>
        <w:rPr>
          <w:b/>
          <w:color w:val="000000"/>
        </w:rPr>
      </w:pPr>
      <w:bookmarkStart w:id="23" w:name="_Toc461580596"/>
      <w:r>
        <w:rPr>
          <w:rFonts w:hint="eastAsia"/>
          <w:b/>
          <w:color w:val="000000"/>
        </w:rPr>
        <w:t>六、</w:t>
      </w:r>
      <w:r>
        <w:rPr>
          <w:b/>
          <w:color w:val="000000"/>
        </w:rPr>
        <w:t>项目主要污染物产生及预计排放情况</w:t>
      </w:r>
      <w:bookmarkEnd w:id="23"/>
    </w:p>
    <w:tbl>
      <w:tblPr>
        <w:tblStyle w:val="42"/>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6"/>
        <w:gridCol w:w="1392"/>
        <w:gridCol w:w="1990"/>
        <w:gridCol w:w="2840"/>
        <w:gridCol w:w="2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046" w:type="dxa"/>
            <w:tcBorders>
              <w:tl2br w:val="single" w:color="auto" w:sz="4" w:space="0"/>
            </w:tcBorders>
            <w:vAlign w:val="center"/>
          </w:tcPr>
          <w:p>
            <w:pPr>
              <w:jc w:val="center"/>
              <w:rPr>
                <w:color w:val="000000"/>
                <w:sz w:val="24"/>
                <w:szCs w:val="24"/>
              </w:rPr>
            </w:pPr>
            <w:r>
              <w:rPr>
                <w:color w:val="000000"/>
                <w:sz w:val="24"/>
                <w:szCs w:val="24"/>
              </w:rPr>
              <w:t xml:space="preserve">   内容</w:t>
            </w:r>
          </w:p>
          <w:p>
            <w:pPr>
              <w:rPr>
                <w:color w:val="000000"/>
                <w:sz w:val="24"/>
                <w:szCs w:val="24"/>
              </w:rPr>
            </w:pPr>
            <w:r>
              <w:rPr>
                <w:color w:val="000000"/>
                <w:sz w:val="24"/>
                <w:szCs w:val="24"/>
              </w:rPr>
              <w:t>类型</w:t>
            </w:r>
          </w:p>
        </w:tc>
        <w:tc>
          <w:tcPr>
            <w:tcW w:w="1392" w:type="dxa"/>
            <w:vAlign w:val="center"/>
          </w:tcPr>
          <w:p>
            <w:pPr>
              <w:jc w:val="center"/>
              <w:rPr>
                <w:color w:val="000000"/>
                <w:sz w:val="24"/>
                <w:szCs w:val="24"/>
              </w:rPr>
            </w:pPr>
            <w:r>
              <w:rPr>
                <w:color w:val="000000"/>
                <w:sz w:val="24"/>
                <w:szCs w:val="24"/>
              </w:rPr>
              <w:t>排放源</w:t>
            </w:r>
          </w:p>
          <w:p>
            <w:pPr>
              <w:jc w:val="center"/>
              <w:rPr>
                <w:color w:val="000000"/>
                <w:sz w:val="24"/>
                <w:szCs w:val="24"/>
              </w:rPr>
            </w:pPr>
            <w:r>
              <w:rPr>
                <w:color w:val="000000"/>
                <w:sz w:val="24"/>
                <w:szCs w:val="24"/>
              </w:rPr>
              <w:t>（编号）</w:t>
            </w:r>
          </w:p>
        </w:tc>
        <w:tc>
          <w:tcPr>
            <w:tcW w:w="1990" w:type="dxa"/>
            <w:vAlign w:val="center"/>
          </w:tcPr>
          <w:p>
            <w:pPr>
              <w:jc w:val="center"/>
              <w:rPr>
                <w:color w:val="000000"/>
                <w:sz w:val="24"/>
                <w:szCs w:val="24"/>
              </w:rPr>
            </w:pPr>
            <w:r>
              <w:rPr>
                <w:color w:val="000000"/>
                <w:sz w:val="24"/>
                <w:szCs w:val="24"/>
              </w:rPr>
              <w:t>污染物</w:t>
            </w:r>
          </w:p>
          <w:p>
            <w:pPr>
              <w:jc w:val="center"/>
              <w:rPr>
                <w:color w:val="000000"/>
                <w:sz w:val="24"/>
                <w:szCs w:val="24"/>
              </w:rPr>
            </w:pPr>
            <w:r>
              <w:rPr>
                <w:color w:val="000000"/>
                <w:sz w:val="24"/>
                <w:szCs w:val="24"/>
              </w:rPr>
              <w:t>名  称</w:t>
            </w:r>
          </w:p>
        </w:tc>
        <w:tc>
          <w:tcPr>
            <w:tcW w:w="2840" w:type="dxa"/>
            <w:vAlign w:val="center"/>
          </w:tcPr>
          <w:p>
            <w:pPr>
              <w:jc w:val="center"/>
              <w:rPr>
                <w:color w:val="000000"/>
                <w:sz w:val="24"/>
                <w:szCs w:val="24"/>
              </w:rPr>
            </w:pPr>
            <w:r>
              <w:rPr>
                <w:color w:val="000000"/>
                <w:sz w:val="24"/>
                <w:szCs w:val="24"/>
              </w:rPr>
              <w:t>处理前产生浓度及产生量（单位）</w:t>
            </w:r>
          </w:p>
        </w:tc>
        <w:tc>
          <w:tcPr>
            <w:tcW w:w="2308" w:type="dxa"/>
            <w:vAlign w:val="center"/>
          </w:tcPr>
          <w:p>
            <w:pPr>
              <w:jc w:val="center"/>
              <w:rPr>
                <w:color w:val="000000"/>
                <w:sz w:val="24"/>
                <w:szCs w:val="24"/>
              </w:rPr>
            </w:pPr>
            <w:r>
              <w:rPr>
                <w:color w:val="000000"/>
                <w:sz w:val="24"/>
                <w:szCs w:val="24"/>
              </w:rPr>
              <w:t>排放浓度及排放量（单位）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046" w:type="dxa"/>
            <w:vAlign w:val="center"/>
          </w:tcPr>
          <w:p>
            <w:pPr>
              <w:jc w:val="center"/>
              <w:rPr>
                <w:color w:val="000000"/>
                <w:sz w:val="24"/>
                <w:szCs w:val="24"/>
              </w:rPr>
            </w:pPr>
            <w:r>
              <w:rPr>
                <w:color w:val="000000"/>
                <w:sz w:val="24"/>
                <w:szCs w:val="24"/>
              </w:rPr>
              <w:t>大气污染物</w:t>
            </w:r>
          </w:p>
        </w:tc>
        <w:tc>
          <w:tcPr>
            <w:tcW w:w="1392" w:type="dxa"/>
            <w:vAlign w:val="center"/>
          </w:tcPr>
          <w:p>
            <w:pPr>
              <w:jc w:val="center"/>
              <w:rPr>
                <w:color w:val="000000"/>
                <w:sz w:val="24"/>
                <w:szCs w:val="24"/>
              </w:rPr>
            </w:pPr>
            <w:r>
              <w:rPr>
                <w:rFonts w:hint="eastAsia"/>
                <w:color w:val="000000"/>
                <w:sz w:val="24"/>
                <w:szCs w:val="24"/>
              </w:rPr>
              <w:t>施工场地</w:t>
            </w:r>
          </w:p>
        </w:tc>
        <w:tc>
          <w:tcPr>
            <w:tcW w:w="1990" w:type="dxa"/>
            <w:tcBorders>
              <w:bottom w:val="single" w:color="auto" w:sz="4" w:space="0"/>
            </w:tcBorders>
            <w:vAlign w:val="center"/>
          </w:tcPr>
          <w:p>
            <w:pPr>
              <w:jc w:val="center"/>
              <w:rPr>
                <w:color w:val="000000"/>
                <w:sz w:val="24"/>
                <w:szCs w:val="24"/>
              </w:rPr>
            </w:pPr>
            <w:r>
              <w:rPr>
                <w:rFonts w:hint="eastAsia"/>
                <w:color w:val="000000"/>
                <w:sz w:val="24"/>
                <w:szCs w:val="24"/>
              </w:rPr>
              <w:t>扬尘</w:t>
            </w:r>
          </w:p>
        </w:tc>
        <w:tc>
          <w:tcPr>
            <w:tcW w:w="2840" w:type="dxa"/>
            <w:tcBorders>
              <w:bottom w:val="single" w:color="auto" w:sz="4" w:space="0"/>
            </w:tcBorders>
            <w:vAlign w:val="center"/>
          </w:tcPr>
          <w:p>
            <w:pPr>
              <w:jc w:val="center"/>
              <w:rPr>
                <w:color w:val="000000"/>
                <w:sz w:val="24"/>
                <w:szCs w:val="24"/>
              </w:rPr>
            </w:pPr>
            <w:r>
              <w:rPr>
                <w:color w:val="000000"/>
                <w:sz w:val="24"/>
                <w:szCs w:val="24"/>
              </w:rPr>
              <w:t>少量</w:t>
            </w:r>
          </w:p>
        </w:tc>
        <w:tc>
          <w:tcPr>
            <w:tcW w:w="2308" w:type="dxa"/>
            <w:tcBorders>
              <w:bottom w:val="single" w:color="auto" w:sz="4" w:space="0"/>
            </w:tcBorders>
            <w:vAlign w:val="center"/>
          </w:tcPr>
          <w:p>
            <w:pPr>
              <w:jc w:val="center"/>
              <w:rPr>
                <w:color w:val="000000"/>
                <w:sz w:val="24"/>
                <w:szCs w:val="24"/>
              </w:rPr>
            </w:pPr>
            <w:r>
              <w:rPr>
                <w:color w:val="000000"/>
                <w:sz w:val="24"/>
                <w:szCs w:val="24"/>
              </w:rPr>
              <w:t>少量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0" w:hRule="atLeast"/>
        </w:trPr>
        <w:tc>
          <w:tcPr>
            <w:tcW w:w="1046" w:type="dxa"/>
            <w:vMerge w:val="restart"/>
            <w:vAlign w:val="center"/>
          </w:tcPr>
          <w:p>
            <w:pPr>
              <w:jc w:val="center"/>
              <w:rPr>
                <w:color w:val="000000"/>
                <w:spacing w:val="6"/>
                <w:sz w:val="24"/>
                <w:szCs w:val="24"/>
              </w:rPr>
            </w:pPr>
            <w:r>
              <w:rPr>
                <w:color w:val="000000"/>
                <w:spacing w:val="6"/>
                <w:sz w:val="24"/>
                <w:szCs w:val="24"/>
              </w:rPr>
              <w:t>水污</w:t>
            </w:r>
          </w:p>
          <w:p>
            <w:pPr>
              <w:jc w:val="center"/>
              <w:rPr>
                <w:color w:val="000000"/>
                <w:spacing w:val="6"/>
                <w:sz w:val="24"/>
                <w:szCs w:val="24"/>
              </w:rPr>
            </w:pPr>
            <w:r>
              <w:rPr>
                <w:color w:val="000000"/>
                <w:spacing w:val="6"/>
                <w:sz w:val="24"/>
                <w:szCs w:val="24"/>
              </w:rPr>
              <w:t>染物</w:t>
            </w:r>
          </w:p>
        </w:tc>
        <w:tc>
          <w:tcPr>
            <w:tcW w:w="1392" w:type="dxa"/>
            <w:vAlign w:val="center"/>
          </w:tcPr>
          <w:p>
            <w:pPr>
              <w:jc w:val="center"/>
              <w:rPr>
                <w:color w:val="000000"/>
                <w:sz w:val="24"/>
                <w:szCs w:val="24"/>
              </w:rPr>
            </w:pPr>
            <w:r>
              <w:rPr>
                <w:rFonts w:hint="eastAsia"/>
                <w:color w:val="000000"/>
                <w:sz w:val="24"/>
                <w:szCs w:val="24"/>
              </w:rPr>
              <w:t>施工人员生活污水</w:t>
            </w:r>
          </w:p>
        </w:tc>
        <w:tc>
          <w:tcPr>
            <w:tcW w:w="1990" w:type="dxa"/>
            <w:vAlign w:val="center"/>
          </w:tcPr>
          <w:p>
            <w:pPr>
              <w:jc w:val="center"/>
              <w:rPr>
                <w:color w:val="000000"/>
                <w:sz w:val="24"/>
                <w:szCs w:val="24"/>
              </w:rPr>
            </w:pPr>
            <w:r>
              <w:rPr>
                <w:color w:val="000000"/>
                <w:sz w:val="24"/>
                <w:szCs w:val="24"/>
              </w:rPr>
              <w:t>COD</w:t>
            </w:r>
            <w:r>
              <w:rPr>
                <w:color w:val="000000"/>
                <w:sz w:val="24"/>
                <w:szCs w:val="24"/>
                <w:vertAlign w:val="subscript"/>
              </w:rPr>
              <w:t>cr</w:t>
            </w:r>
          </w:p>
          <w:p>
            <w:pPr>
              <w:jc w:val="center"/>
              <w:rPr>
                <w:color w:val="000000"/>
                <w:sz w:val="24"/>
                <w:szCs w:val="24"/>
              </w:rPr>
            </w:pPr>
            <w:r>
              <w:rPr>
                <w:color w:val="000000"/>
                <w:sz w:val="24"/>
                <w:szCs w:val="24"/>
              </w:rPr>
              <w:t>BOD</w:t>
            </w:r>
            <w:r>
              <w:rPr>
                <w:color w:val="000000"/>
                <w:sz w:val="24"/>
                <w:szCs w:val="24"/>
                <w:vertAlign w:val="subscript"/>
              </w:rPr>
              <w:t>5</w:t>
            </w:r>
          </w:p>
          <w:p>
            <w:pPr>
              <w:jc w:val="center"/>
              <w:rPr>
                <w:color w:val="000000"/>
                <w:sz w:val="24"/>
                <w:szCs w:val="24"/>
              </w:rPr>
            </w:pPr>
            <w:r>
              <w:rPr>
                <w:color w:val="000000"/>
                <w:sz w:val="24"/>
                <w:szCs w:val="24"/>
              </w:rPr>
              <w:t>SS</w:t>
            </w:r>
          </w:p>
          <w:p>
            <w:pPr>
              <w:jc w:val="center"/>
              <w:rPr>
                <w:color w:val="000000"/>
                <w:sz w:val="24"/>
                <w:szCs w:val="24"/>
              </w:rPr>
            </w:pPr>
            <w:r>
              <w:rPr>
                <w:bCs/>
                <w:color w:val="000000"/>
                <w:sz w:val="24"/>
                <w:szCs w:val="24"/>
              </w:rPr>
              <w:t>NH</w:t>
            </w:r>
            <w:r>
              <w:rPr>
                <w:bCs/>
                <w:color w:val="000000"/>
                <w:sz w:val="24"/>
                <w:szCs w:val="24"/>
                <w:vertAlign w:val="subscript"/>
              </w:rPr>
              <w:t>3</w:t>
            </w:r>
            <w:r>
              <w:rPr>
                <w:bCs/>
                <w:color w:val="000000"/>
                <w:sz w:val="24"/>
                <w:szCs w:val="24"/>
              </w:rPr>
              <w:t>-N</w:t>
            </w:r>
          </w:p>
        </w:tc>
        <w:tc>
          <w:tcPr>
            <w:tcW w:w="2840" w:type="dxa"/>
            <w:vAlign w:val="center"/>
          </w:tcPr>
          <w:p>
            <w:pPr>
              <w:jc w:val="center"/>
              <w:rPr>
                <w:color w:val="000000" w:themeColor="text1"/>
                <w:sz w:val="24"/>
                <w:szCs w:val="24"/>
                <w:lang w:val="fr-FR"/>
                <w14:textFill>
                  <w14:solidFill>
                    <w14:schemeClr w14:val="tx1"/>
                  </w14:solidFill>
                </w14:textFill>
              </w:rPr>
            </w:pPr>
            <w:r>
              <w:rPr>
                <w:color w:val="000000" w:themeColor="text1"/>
                <w:sz w:val="24"/>
                <w:szCs w:val="24"/>
                <w:lang w:val="fr-FR"/>
                <w14:textFill>
                  <w14:solidFill>
                    <w14:schemeClr w14:val="tx1"/>
                  </w14:solidFill>
                </w14:textFill>
              </w:rPr>
              <w:t>3</w:t>
            </w:r>
            <w:r>
              <w:rPr>
                <w:rFonts w:hint="eastAsia"/>
                <w:color w:val="000000" w:themeColor="text1"/>
                <w:sz w:val="24"/>
                <w:szCs w:val="24"/>
                <w:lang w:val="fr-FR"/>
                <w14:textFill>
                  <w14:solidFill>
                    <w14:schemeClr w14:val="tx1"/>
                  </w14:solidFill>
                </w14:textFill>
              </w:rPr>
              <w:t>5</w:t>
            </w:r>
            <w:r>
              <w:rPr>
                <w:color w:val="000000" w:themeColor="text1"/>
                <w:sz w:val="24"/>
                <w:szCs w:val="24"/>
                <w:lang w:val="fr-FR"/>
                <w14:textFill>
                  <w14:solidFill>
                    <w14:schemeClr w14:val="tx1"/>
                  </w14:solidFill>
                </w14:textFill>
              </w:rPr>
              <w:t>0mg/L</w:t>
            </w:r>
          </w:p>
          <w:p>
            <w:pPr>
              <w:jc w:val="center"/>
              <w:rPr>
                <w:color w:val="000000" w:themeColor="text1"/>
                <w:sz w:val="24"/>
                <w:szCs w:val="24"/>
                <w:lang w:val="fr-FR"/>
                <w14:textFill>
                  <w14:solidFill>
                    <w14:schemeClr w14:val="tx1"/>
                  </w14:solidFill>
                </w14:textFill>
              </w:rPr>
            </w:pPr>
            <w:r>
              <w:rPr>
                <w:color w:val="000000" w:themeColor="text1"/>
                <w:sz w:val="24"/>
                <w:szCs w:val="24"/>
                <w:lang w:val="fr-FR"/>
                <w14:textFill>
                  <w14:solidFill>
                    <w14:schemeClr w14:val="tx1"/>
                  </w14:solidFill>
                </w14:textFill>
              </w:rPr>
              <w:t>2</w:t>
            </w:r>
            <w:r>
              <w:rPr>
                <w:rFonts w:hint="eastAsia"/>
                <w:color w:val="000000" w:themeColor="text1"/>
                <w:sz w:val="24"/>
                <w:szCs w:val="24"/>
                <w:lang w:val="fr-FR"/>
                <w14:textFill>
                  <w14:solidFill>
                    <w14:schemeClr w14:val="tx1"/>
                  </w14:solidFill>
                </w14:textFill>
              </w:rPr>
              <w:t>0</w:t>
            </w:r>
            <w:r>
              <w:rPr>
                <w:color w:val="000000" w:themeColor="text1"/>
                <w:sz w:val="24"/>
                <w:szCs w:val="24"/>
                <w:lang w:val="fr-FR"/>
                <w14:textFill>
                  <w14:solidFill>
                    <w14:schemeClr w14:val="tx1"/>
                  </w14:solidFill>
                </w14:textFill>
              </w:rPr>
              <w:t>0 mg/L</w:t>
            </w:r>
          </w:p>
          <w:p>
            <w:pPr>
              <w:jc w:val="center"/>
              <w:rPr>
                <w:color w:val="000000" w:themeColor="text1"/>
                <w:sz w:val="24"/>
                <w:szCs w:val="24"/>
                <w:lang w:val="fr-FR"/>
                <w14:textFill>
                  <w14:solidFill>
                    <w14:schemeClr w14:val="tx1"/>
                  </w14:solidFill>
                </w14:textFill>
              </w:rPr>
            </w:pPr>
            <w:r>
              <w:rPr>
                <w:rFonts w:hint="eastAsia"/>
                <w:color w:val="000000" w:themeColor="text1"/>
                <w:sz w:val="24"/>
                <w:szCs w:val="24"/>
                <w:lang w:val="fr-FR"/>
                <w14:textFill>
                  <w14:solidFill>
                    <w14:schemeClr w14:val="tx1"/>
                  </w14:solidFill>
                </w14:textFill>
              </w:rPr>
              <w:t>20</w:t>
            </w:r>
            <w:r>
              <w:rPr>
                <w:color w:val="000000" w:themeColor="text1"/>
                <w:sz w:val="24"/>
                <w:szCs w:val="24"/>
                <w:lang w:val="fr-FR"/>
                <w14:textFill>
                  <w14:solidFill>
                    <w14:schemeClr w14:val="tx1"/>
                  </w14:solidFill>
                </w14:textFill>
              </w:rPr>
              <w:t>0 mg/L</w:t>
            </w:r>
          </w:p>
          <w:p>
            <w:pPr>
              <w:jc w:val="center"/>
              <w:rPr>
                <w:color w:val="FF0000"/>
                <w:sz w:val="24"/>
                <w:szCs w:val="24"/>
                <w:lang w:val="fr-FR"/>
              </w:rPr>
            </w:pPr>
            <w:r>
              <w:rPr>
                <w:color w:val="000000" w:themeColor="text1"/>
                <w:sz w:val="24"/>
                <w:szCs w:val="24"/>
                <w:lang w:val="fr-FR"/>
                <w14:textFill>
                  <w14:solidFill>
                    <w14:schemeClr w14:val="tx1"/>
                  </w14:solidFill>
                </w14:textFill>
              </w:rPr>
              <w:t>30 mg/L</w:t>
            </w:r>
          </w:p>
        </w:tc>
        <w:tc>
          <w:tcPr>
            <w:tcW w:w="2308" w:type="dxa"/>
            <w:vAlign w:val="center"/>
          </w:tcPr>
          <w:p>
            <w:pPr>
              <w:jc w:val="left"/>
              <w:rPr>
                <w:color w:val="FF0000"/>
                <w:sz w:val="24"/>
                <w:szCs w:val="24"/>
                <w:lang w:val="fr-FR"/>
              </w:rPr>
            </w:pPr>
            <w:r>
              <w:rPr>
                <w:sz w:val="24"/>
                <w:szCs w:val="24"/>
              </w:rPr>
              <w:t>租用当地民房</w:t>
            </w:r>
            <w:r>
              <w:rPr>
                <w:rFonts w:hint="eastAsia"/>
                <w:sz w:val="24"/>
                <w:szCs w:val="24"/>
              </w:rPr>
              <w:t>，利用</w:t>
            </w:r>
            <w:r>
              <w:rPr>
                <w:sz w:val="24"/>
                <w:szCs w:val="24"/>
              </w:rPr>
              <w:t>已有污水处理设施（如旱厕、化粪池等）进行处理，处理后用于农业、林业灌溉，不排放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0" w:hRule="atLeast"/>
        </w:trPr>
        <w:tc>
          <w:tcPr>
            <w:tcW w:w="1046" w:type="dxa"/>
            <w:vMerge w:val="continue"/>
            <w:vAlign w:val="center"/>
          </w:tcPr>
          <w:p>
            <w:pPr>
              <w:jc w:val="center"/>
              <w:rPr>
                <w:color w:val="000000"/>
                <w:spacing w:val="6"/>
                <w:sz w:val="24"/>
                <w:szCs w:val="24"/>
              </w:rPr>
            </w:pPr>
          </w:p>
        </w:tc>
        <w:tc>
          <w:tcPr>
            <w:tcW w:w="1392" w:type="dxa"/>
            <w:vAlign w:val="center"/>
          </w:tcPr>
          <w:p>
            <w:pPr>
              <w:jc w:val="center"/>
              <w:rPr>
                <w:color w:val="000000"/>
                <w:sz w:val="24"/>
                <w:szCs w:val="24"/>
              </w:rPr>
            </w:pPr>
            <w:r>
              <w:rPr>
                <w:rFonts w:hint="eastAsia"/>
                <w:color w:val="000000"/>
                <w:sz w:val="24"/>
                <w:szCs w:val="24"/>
              </w:rPr>
              <w:t>施工期施工废水</w:t>
            </w:r>
          </w:p>
        </w:tc>
        <w:tc>
          <w:tcPr>
            <w:tcW w:w="1990" w:type="dxa"/>
            <w:vAlign w:val="center"/>
          </w:tcPr>
          <w:p>
            <w:pPr>
              <w:jc w:val="center"/>
              <w:rPr>
                <w:color w:val="000000"/>
                <w:sz w:val="24"/>
                <w:szCs w:val="24"/>
              </w:rPr>
            </w:pPr>
            <w:r>
              <w:rPr>
                <w:rFonts w:hint="eastAsia"/>
                <w:color w:val="000000"/>
                <w:sz w:val="24"/>
                <w:szCs w:val="24"/>
              </w:rPr>
              <w:t>SS</w:t>
            </w:r>
          </w:p>
          <w:p>
            <w:pPr>
              <w:jc w:val="center"/>
              <w:rPr>
                <w:color w:val="000000"/>
                <w:sz w:val="24"/>
                <w:szCs w:val="24"/>
              </w:rPr>
            </w:pPr>
            <w:r>
              <w:rPr>
                <w:rFonts w:hint="eastAsia"/>
                <w:color w:val="000000"/>
                <w:sz w:val="24"/>
                <w:szCs w:val="24"/>
              </w:rPr>
              <w:t>石油类</w:t>
            </w:r>
          </w:p>
        </w:tc>
        <w:tc>
          <w:tcPr>
            <w:tcW w:w="2840" w:type="dxa"/>
            <w:vAlign w:val="center"/>
          </w:tcPr>
          <w:p>
            <w:pPr>
              <w:jc w:val="center"/>
              <w:rPr>
                <w:color w:val="000000" w:themeColor="text1"/>
                <w:sz w:val="24"/>
                <w:szCs w:val="24"/>
                <w:lang w:val="fr-FR"/>
                <w14:textFill>
                  <w14:solidFill>
                    <w14:schemeClr w14:val="tx1"/>
                  </w14:solidFill>
                </w14:textFill>
              </w:rPr>
            </w:pPr>
            <w:r>
              <w:rPr>
                <w:rFonts w:hint="eastAsia"/>
                <w:color w:val="000000" w:themeColor="text1"/>
                <w:sz w:val="24"/>
                <w:szCs w:val="24"/>
                <w:lang w:val="fr-FR"/>
                <w14:textFill>
                  <w14:solidFill>
                    <w14:schemeClr w14:val="tx1"/>
                  </w14:solidFill>
                </w14:textFill>
              </w:rPr>
              <w:t>300</w:t>
            </w:r>
            <w:r>
              <w:rPr>
                <w:color w:val="000000" w:themeColor="text1"/>
                <w:sz w:val="24"/>
                <w:szCs w:val="24"/>
                <w:lang w:val="fr-FR"/>
                <w14:textFill>
                  <w14:solidFill>
                    <w14:schemeClr w14:val="tx1"/>
                  </w14:solidFill>
                </w14:textFill>
              </w:rPr>
              <w:t xml:space="preserve"> mg/L</w:t>
            </w:r>
          </w:p>
          <w:p>
            <w:pPr>
              <w:jc w:val="center"/>
              <w:rPr>
                <w:color w:val="000000" w:themeColor="text1"/>
                <w:sz w:val="24"/>
                <w:szCs w:val="24"/>
                <w:lang w:val="fr-FR"/>
                <w14:textFill>
                  <w14:solidFill>
                    <w14:schemeClr w14:val="tx1"/>
                  </w14:solidFill>
                </w14:textFill>
              </w:rPr>
            </w:pPr>
            <w:r>
              <w:rPr>
                <w:rFonts w:hint="eastAsia"/>
                <w:color w:val="000000" w:themeColor="text1"/>
                <w:sz w:val="24"/>
                <w:szCs w:val="24"/>
                <w:lang w:val="fr-FR"/>
                <w14:textFill>
                  <w14:solidFill>
                    <w14:schemeClr w14:val="tx1"/>
                  </w14:solidFill>
                </w14:textFill>
              </w:rPr>
              <w:t>10-15</w:t>
            </w:r>
            <w:r>
              <w:rPr>
                <w:color w:val="000000" w:themeColor="text1"/>
                <w:sz w:val="24"/>
                <w:szCs w:val="24"/>
                <w:lang w:val="fr-FR"/>
                <w14:textFill>
                  <w14:solidFill>
                    <w14:schemeClr w14:val="tx1"/>
                  </w14:solidFill>
                </w14:textFill>
              </w:rPr>
              <w:t xml:space="preserve"> mg/L</w:t>
            </w:r>
          </w:p>
        </w:tc>
        <w:tc>
          <w:tcPr>
            <w:tcW w:w="2308" w:type="dxa"/>
            <w:vAlign w:val="center"/>
          </w:tcPr>
          <w:p>
            <w:pPr>
              <w:jc w:val="left"/>
              <w:rPr>
                <w:color w:val="000000" w:themeColor="text1"/>
                <w:sz w:val="24"/>
                <w:szCs w:val="24"/>
                <w:lang w:val="fr-FR"/>
                <w14:textFill>
                  <w14:solidFill>
                    <w14:schemeClr w14:val="tx1"/>
                  </w14:solidFill>
                </w14:textFill>
              </w:rPr>
            </w:pPr>
            <w:r>
              <w:rPr>
                <w:rFonts w:hint="eastAsia"/>
                <w:color w:val="000000" w:themeColor="text1"/>
                <w:sz w:val="24"/>
                <w:szCs w:val="24"/>
                <w:lang w:val="fr-FR"/>
                <w14:textFill>
                  <w14:solidFill>
                    <w14:schemeClr w14:val="tx1"/>
                  </w14:solidFill>
                </w14:textFill>
              </w:rPr>
              <w:t>隔油沉淀后回用</w:t>
            </w:r>
            <w:r>
              <w:rPr>
                <w:rFonts w:hint="eastAsia"/>
                <w:color w:val="000000" w:themeColor="text1"/>
                <w:sz w:val="24"/>
                <w:szCs w:val="24"/>
                <w:lang w:val="fr-FR"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不外排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0" w:hRule="atLeast"/>
        </w:trPr>
        <w:tc>
          <w:tcPr>
            <w:tcW w:w="1046" w:type="dxa"/>
            <w:vMerge w:val="restart"/>
            <w:vAlign w:val="center"/>
          </w:tcPr>
          <w:p>
            <w:pPr>
              <w:jc w:val="center"/>
              <w:rPr>
                <w:color w:val="000000"/>
                <w:spacing w:val="6"/>
                <w:sz w:val="24"/>
                <w:szCs w:val="24"/>
              </w:rPr>
            </w:pPr>
            <w:r>
              <w:rPr>
                <w:color w:val="000000"/>
                <w:spacing w:val="6"/>
                <w:sz w:val="24"/>
                <w:szCs w:val="24"/>
              </w:rPr>
              <w:t>固体</w:t>
            </w:r>
          </w:p>
          <w:p>
            <w:pPr>
              <w:jc w:val="center"/>
              <w:rPr>
                <w:color w:val="000000"/>
                <w:spacing w:val="6"/>
                <w:sz w:val="24"/>
                <w:szCs w:val="24"/>
              </w:rPr>
            </w:pPr>
            <w:r>
              <w:rPr>
                <w:color w:val="000000"/>
                <w:spacing w:val="6"/>
                <w:sz w:val="24"/>
                <w:szCs w:val="24"/>
              </w:rPr>
              <w:t>废物</w:t>
            </w:r>
          </w:p>
        </w:tc>
        <w:tc>
          <w:tcPr>
            <w:tcW w:w="3382" w:type="dxa"/>
            <w:gridSpan w:val="2"/>
            <w:tcBorders>
              <w:bottom w:val="single" w:color="auto" w:sz="4" w:space="0"/>
            </w:tcBorders>
            <w:vAlign w:val="center"/>
          </w:tcPr>
          <w:p>
            <w:pPr>
              <w:jc w:val="center"/>
              <w:rPr>
                <w:color w:val="000000"/>
                <w:sz w:val="24"/>
                <w:szCs w:val="24"/>
              </w:rPr>
            </w:pPr>
            <w:r>
              <w:rPr>
                <w:rFonts w:hint="eastAsia"/>
                <w:color w:val="000000"/>
                <w:sz w:val="24"/>
                <w:szCs w:val="24"/>
              </w:rPr>
              <w:t>施工人员</w:t>
            </w:r>
            <w:r>
              <w:rPr>
                <w:color w:val="000000"/>
                <w:sz w:val="24"/>
                <w:szCs w:val="24"/>
              </w:rPr>
              <w:t>生活垃圾</w:t>
            </w:r>
          </w:p>
        </w:tc>
        <w:tc>
          <w:tcPr>
            <w:tcW w:w="2840" w:type="dxa"/>
            <w:tcBorders>
              <w:bottom w:val="single" w:color="auto" w:sz="4" w:space="0"/>
            </w:tcBorders>
            <w:vAlign w:val="center"/>
          </w:tcPr>
          <w:p>
            <w:pPr>
              <w:jc w:val="center"/>
              <w:rPr>
                <w:color w:val="000000"/>
                <w:sz w:val="24"/>
                <w:szCs w:val="24"/>
              </w:rPr>
            </w:pPr>
            <w:r>
              <w:rPr>
                <w:rFonts w:hint="eastAsia"/>
                <w:color w:val="000000"/>
                <w:sz w:val="24"/>
                <w:szCs w:val="24"/>
              </w:rPr>
              <w:t>9</w:t>
            </w:r>
            <w:r>
              <w:rPr>
                <w:color w:val="000000"/>
                <w:sz w:val="24"/>
                <w:szCs w:val="24"/>
              </w:rPr>
              <w:t xml:space="preserve"> t</w:t>
            </w:r>
          </w:p>
        </w:tc>
        <w:tc>
          <w:tcPr>
            <w:tcW w:w="2308" w:type="dxa"/>
            <w:tcBorders>
              <w:bottom w:val="single" w:color="auto" w:sz="4" w:space="0"/>
            </w:tcBorders>
            <w:vAlign w:val="center"/>
          </w:tcPr>
          <w:p>
            <w:pPr>
              <w:jc w:val="left"/>
              <w:rPr>
                <w:color w:val="000000"/>
                <w:sz w:val="24"/>
                <w:szCs w:val="24"/>
              </w:rPr>
            </w:pPr>
            <w:r>
              <w:rPr>
                <w:rFonts w:hint="eastAsia"/>
                <w:color w:val="000000"/>
                <w:sz w:val="24"/>
                <w:szCs w:val="24"/>
              </w:rPr>
              <w:t>环卫部门统一清运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0" w:hRule="atLeast"/>
        </w:trPr>
        <w:tc>
          <w:tcPr>
            <w:tcW w:w="1046" w:type="dxa"/>
            <w:vMerge w:val="continue"/>
            <w:vAlign w:val="center"/>
          </w:tcPr>
          <w:p>
            <w:pPr>
              <w:jc w:val="center"/>
              <w:rPr>
                <w:color w:val="000000"/>
                <w:spacing w:val="6"/>
                <w:sz w:val="24"/>
                <w:szCs w:val="24"/>
              </w:rPr>
            </w:pPr>
          </w:p>
        </w:tc>
        <w:tc>
          <w:tcPr>
            <w:tcW w:w="3382" w:type="dxa"/>
            <w:gridSpan w:val="2"/>
            <w:tcBorders>
              <w:bottom w:val="single" w:color="auto" w:sz="4" w:space="0"/>
            </w:tcBorders>
            <w:vAlign w:val="center"/>
          </w:tcPr>
          <w:p>
            <w:pPr>
              <w:jc w:val="center"/>
              <w:rPr>
                <w:color w:val="000000"/>
                <w:sz w:val="24"/>
                <w:szCs w:val="24"/>
              </w:rPr>
            </w:pPr>
            <w:r>
              <w:rPr>
                <w:rFonts w:hint="eastAsia"/>
                <w:color w:val="000000"/>
                <w:sz w:val="24"/>
                <w:szCs w:val="24"/>
              </w:rPr>
              <w:t>施工期施工垃圾</w:t>
            </w:r>
          </w:p>
        </w:tc>
        <w:tc>
          <w:tcPr>
            <w:tcW w:w="2840" w:type="dxa"/>
            <w:tcBorders>
              <w:bottom w:val="single" w:color="auto" w:sz="4" w:space="0"/>
            </w:tcBorders>
            <w:vAlign w:val="center"/>
          </w:tcPr>
          <w:p>
            <w:pPr>
              <w:jc w:val="center"/>
              <w:rPr>
                <w:color w:val="000000"/>
                <w:sz w:val="24"/>
                <w:szCs w:val="24"/>
              </w:rPr>
            </w:pPr>
            <w:r>
              <w:rPr>
                <w:rFonts w:hint="eastAsia"/>
                <w:color w:val="000000"/>
                <w:sz w:val="24"/>
                <w:szCs w:val="24"/>
              </w:rPr>
              <w:t>50t</w:t>
            </w:r>
          </w:p>
        </w:tc>
        <w:tc>
          <w:tcPr>
            <w:tcW w:w="2308" w:type="dxa"/>
            <w:tcBorders>
              <w:bottom w:val="single" w:color="auto" w:sz="4" w:space="0"/>
            </w:tcBorders>
            <w:vAlign w:val="center"/>
          </w:tcPr>
          <w:p>
            <w:pPr>
              <w:jc w:val="left"/>
              <w:rPr>
                <w:color w:val="000000"/>
                <w:sz w:val="24"/>
                <w:szCs w:val="24"/>
              </w:rPr>
            </w:pPr>
            <w:r>
              <w:rPr>
                <w:rFonts w:hint="eastAsia"/>
                <w:sz w:val="24"/>
                <w:szCs w:val="24"/>
              </w:rPr>
              <w:t>回收可利用部分后，由有资质单位外运到</w:t>
            </w:r>
            <w:r>
              <w:rPr>
                <w:sz w:val="24"/>
                <w:szCs w:val="24"/>
              </w:rPr>
              <w:t>城市渣土办指定地方堆放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0" w:hRule="atLeast"/>
        </w:trPr>
        <w:tc>
          <w:tcPr>
            <w:tcW w:w="1046" w:type="dxa"/>
            <w:vMerge w:val="continue"/>
            <w:vAlign w:val="center"/>
          </w:tcPr>
          <w:p>
            <w:pPr>
              <w:jc w:val="center"/>
              <w:rPr>
                <w:color w:val="000000"/>
                <w:spacing w:val="6"/>
                <w:sz w:val="24"/>
                <w:szCs w:val="24"/>
              </w:rPr>
            </w:pPr>
          </w:p>
        </w:tc>
        <w:tc>
          <w:tcPr>
            <w:tcW w:w="3382" w:type="dxa"/>
            <w:gridSpan w:val="2"/>
            <w:tcBorders>
              <w:bottom w:val="single" w:color="auto" w:sz="4" w:space="0"/>
            </w:tcBorders>
            <w:vAlign w:val="center"/>
          </w:tcPr>
          <w:p>
            <w:pPr>
              <w:jc w:val="center"/>
              <w:rPr>
                <w:color w:val="000000"/>
                <w:sz w:val="24"/>
                <w:szCs w:val="24"/>
              </w:rPr>
            </w:pPr>
            <w:r>
              <w:rPr>
                <w:rFonts w:hint="eastAsia"/>
                <w:color w:val="000000"/>
                <w:sz w:val="24"/>
                <w:szCs w:val="24"/>
              </w:rPr>
              <w:t>土石方</w:t>
            </w:r>
          </w:p>
        </w:tc>
        <w:tc>
          <w:tcPr>
            <w:tcW w:w="2840" w:type="dxa"/>
            <w:tcBorders>
              <w:bottom w:val="single" w:color="auto" w:sz="4" w:space="0"/>
            </w:tcBorders>
            <w:vAlign w:val="center"/>
          </w:tcPr>
          <w:p>
            <w:pPr>
              <w:jc w:val="center"/>
              <w:rPr>
                <w:color w:val="000000"/>
                <w:sz w:val="24"/>
                <w:szCs w:val="24"/>
              </w:rPr>
            </w:pPr>
            <w:r>
              <w:rPr>
                <w:rFonts w:hint="eastAsia"/>
                <w:color w:val="000000"/>
                <w:sz w:val="24"/>
                <w:szCs w:val="24"/>
                <w:lang w:val="en-US" w:eastAsia="zh-CN"/>
              </w:rPr>
              <w:t>4</w:t>
            </w:r>
            <w:r>
              <w:rPr>
                <w:rFonts w:hint="eastAsia"/>
                <w:color w:val="000000"/>
                <w:sz w:val="24"/>
                <w:szCs w:val="24"/>
              </w:rPr>
              <w:t>.7万m³</w:t>
            </w:r>
          </w:p>
        </w:tc>
        <w:tc>
          <w:tcPr>
            <w:tcW w:w="2308" w:type="dxa"/>
            <w:tcBorders>
              <w:bottom w:val="single" w:color="auto" w:sz="4" w:space="0"/>
            </w:tcBorders>
            <w:vAlign w:val="center"/>
          </w:tcPr>
          <w:p>
            <w:pPr>
              <w:jc w:val="left"/>
              <w:rPr>
                <w:color w:val="000000"/>
                <w:sz w:val="24"/>
                <w:szCs w:val="24"/>
              </w:rPr>
            </w:pPr>
            <w:r>
              <w:rPr>
                <w:rFonts w:hint="eastAsia"/>
                <w:sz w:val="24"/>
                <w:szCs w:val="24"/>
              </w:rPr>
              <w:t>有资质单位外运到</w:t>
            </w:r>
            <w:r>
              <w:rPr>
                <w:sz w:val="24"/>
                <w:szCs w:val="24"/>
              </w:rPr>
              <w:t>城市渣土办指定地方堆放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046" w:type="dxa"/>
            <w:vAlign w:val="center"/>
          </w:tcPr>
          <w:p>
            <w:pPr>
              <w:jc w:val="center"/>
              <w:rPr>
                <w:color w:val="000000"/>
                <w:spacing w:val="6"/>
                <w:sz w:val="24"/>
                <w:szCs w:val="24"/>
              </w:rPr>
            </w:pPr>
            <w:r>
              <w:rPr>
                <w:color w:val="000000"/>
                <w:spacing w:val="6"/>
                <w:sz w:val="24"/>
                <w:szCs w:val="24"/>
              </w:rPr>
              <w:t>噪声</w:t>
            </w:r>
          </w:p>
        </w:tc>
        <w:tc>
          <w:tcPr>
            <w:tcW w:w="8530" w:type="dxa"/>
            <w:gridSpan w:val="4"/>
            <w:vAlign w:val="center"/>
          </w:tcPr>
          <w:p>
            <w:pPr>
              <w:rPr>
                <w:color w:val="000000"/>
                <w:sz w:val="24"/>
                <w:szCs w:val="24"/>
              </w:rPr>
            </w:pPr>
            <w:r>
              <w:rPr>
                <w:rFonts w:hint="eastAsia"/>
                <w:sz w:val="24"/>
                <w:szCs w:val="24"/>
              </w:rPr>
              <w:t>在施工过程中，噪声源较多，如卷扬机、铲土机、切割机、运输车辆等，噪声源强为</w:t>
            </w:r>
            <w:r>
              <w:rPr>
                <w:sz w:val="24"/>
                <w:szCs w:val="24"/>
              </w:rPr>
              <w:t>75</w:t>
            </w:r>
            <w:r>
              <w:rPr>
                <w:rFonts w:hint="eastAsia"/>
                <w:sz w:val="24"/>
                <w:szCs w:val="24"/>
              </w:rPr>
              <w:t>~</w:t>
            </w:r>
            <w:r>
              <w:rPr>
                <w:sz w:val="24"/>
                <w:szCs w:val="24"/>
              </w:rPr>
              <w:t>95dB(A)</w:t>
            </w:r>
            <w:r>
              <w:rPr>
                <w:rFonts w:hint="eastAsia"/>
                <w:sz w:val="24"/>
                <w:szCs w:val="24"/>
              </w:rPr>
              <w:t>，在施工过程中应严格规定强噪声设备的作业时间，夜间</w:t>
            </w:r>
            <w:r>
              <w:rPr>
                <w:sz w:val="24"/>
                <w:szCs w:val="24"/>
              </w:rPr>
              <w:t>10</w:t>
            </w:r>
            <w:r>
              <w:rPr>
                <w:rFonts w:hint="eastAsia"/>
                <w:sz w:val="24"/>
                <w:szCs w:val="24"/>
              </w:rPr>
              <w:t>时至凌晨</w:t>
            </w:r>
            <w:r>
              <w:rPr>
                <w:sz w:val="24"/>
                <w:szCs w:val="24"/>
              </w:rPr>
              <w:t>6</w:t>
            </w:r>
            <w:r>
              <w:rPr>
                <w:rFonts w:hint="eastAsia"/>
                <w:sz w:val="24"/>
                <w:szCs w:val="24"/>
              </w:rPr>
              <w:t>时，应停止强噪声设备作业，减轻施工噪声对周边居民的影响。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046" w:type="dxa"/>
            <w:vAlign w:val="center"/>
          </w:tcPr>
          <w:p>
            <w:pPr>
              <w:jc w:val="center"/>
              <w:rPr>
                <w:color w:val="000000"/>
                <w:spacing w:val="6"/>
                <w:sz w:val="24"/>
                <w:szCs w:val="24"/>
              </w:rPr>
            </w:pPr>
            <w:r>
              <w:rPr>
                <w:color w:val="000000"/>
                <w:spacing w:val="6"/>
                <w:sz w:val="24"/>
                <w:szCs w:val="24"/>
              </w:rPr>
              <w:t>其他</w:t>
            </w:r>
          </w:p>
        </w:tc>
        <w:tc>
          <w:tcPr>
            <w:tcW w:w="8530" w:type="dxa"/>
            <w:gridSpan w:val="4"/>
            <w:vAlign w:val="center"/>
          </w:tcPr>
          <w:p>
            <w:pPr>
              <w:pStyle w:val="96"/>
              <w:spacing w:line="240" w:lineRule="auto"/>
              <w:ind w:firstLine="0"/>
              <w:rPr>
                <w:color w:val="000000"/>
                <w:sz w:val="24"/>
                <w:szCs w:val="24"/>
              </w:rPr>
            </w:pPr>
            <w:r>
              <w:rPr>
                <w:rFonts w:hint="eastAsia" w:eastAsia="宋体"/>
                <w:color w:val="00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9576" w:type="dxa"/>
            <w:gridSpan w:val="5"/>
            <w:vAlign w:val="center"/>
          </w:tcPr>
          <w:p>
            <w:pPr>
              <w:rPr>
                <w:b/>
                <w:color w:val="000000"/>
                <w:sz w:val="24"/>
                <w:szCs w:val="24"/>
              </w:rPr>
            </w:pPr>
            <w:r>
              <w:rPr>
                <w:b/>
                <w:color w:val="000000"/>
                <w:sz w:val="24"/>
                <w:szCs w:val="24"/>
              </w:rPr>
              <w:t>主要生态影响（不够时可附另页）。</w:t>
            </w:r>
          </w:p>
          <w:p>
            <w:pPr>
              <w:pStyle w:val="72"/>
              <w:rPr>
                <w:rFonts w:ascii="Times New Roman" w:hAnsi="Times New Roman"/>
                <w:color w:val="000000"/>
              </w:rPr>
            </w:pPr>
            <w:r>
              <w:rPr>
                <w:rFonts w:hint="eastAsia" w:ascii="Times New Roman" w:hAnsi="Times New Roman"/>
                <w:color w:val="000000"/>
              </w:rPr>
              <w:t>本项目位于</w:t>
            </w:r>
            <w:r>
              <w:rPr>
                <w:rFonts w:hint="eastAsia" w:ascii="Times New Roman" w:hAnsi="Times New Roman"/>
                <w:color w:val="000000"/>
                <w:lang w:eastAsia="zh-CN"/>
              </w:rPr>
              <w:t>岳阳岳阳经济技术开发区</w:t>
            </w:r>
            <w:r>
              <w:rPr>
                <w:rFonts w:hint="eastAsia" w:ascii="Times New Roman" w:hAnsi="Times New Roman"/>
                <w:color w:val="000000"/>
              </w:rPr>
              <w:t>，总体生物多样性程度一般。项目所建地地势平缓，施工过程中，多余的土石方由有资质单位外运。在施工过程中会破坏原有生态环境，使地表裸露。正式施工后，土方开挖裸露的地表、施工材料、建筑垃圾在大雨时可能产生水土流失。因此，施工期要做好防护措施，避免雨季施工，统一安排堆料弃渣，尽量减少生态影响。 </w:t>
            </w:r>
          </w:p>
          <w:p>
            <w:pPr>
              <w:pStyle w:val="72"/>
              <w:rPr>
                <w:rFonts w:ascii="Times New Roman" w:hAnsi="Times New Roman"/>
                <w:color w:val="000000"/>
              </w:rPr>
            </w:pPr>
            <w:r>
              <w:rPr>
                <w:rFonts w:hint="eastAsia" w:ascii="Times New Roman" w:hAnsi="Times New Roman"/>
                <w:color w:val="000000"/>
              </w:rPr>
              <w:t>项目为</w:t>
            </w:r>
            <w:r>
              <w:rPr>
                <w:rFonts w:hint="eastAsia"/>
                <w:lang w:eastAsia="zh-CN"/>
              </w:rPr>
              <w:t>置田庄路</w:t>
            </w:r>
            <w:r>
              <w:rPr>
                <w:rFonts w:hint="eastAsia"/>
                <w:lang w:val="en-US" w:eastAsia="zh-CN"/>
              </w:rPr>
              <w:t>地下</w:t>
            </w:r>
            <w:r>
              <w:rPr>
                <w:rFonts w:hint="eastAsia"/>
              </w:rPr>
              <w:t>综合管廊工程施工结束后及时回填</w:t>
            </w:r>
            <w:r>
              <w:rPr>
                <w:rFonts w:hint="eastAsia" w:ascii="Times New Roman" w:hAnsi="Times New Roman"/>
                <w:color w:val="000000"/>
              </w:rPr>
              <w:t>，且</w:t>
            </w:r>
            <w:r>
              <w:rPr>
                <w:rFonts w:hint="eastAsia" w:ascii="Times New Roman" w:hAnsi="Times New Roman"/>
                <w:color w:val="000000"/>
                <w:lang w:eastAsia="zh-CN"/>
              </w:rPr>
              <w:t>置田庄路</w:t>
            </w:r>
            <w:r>
              <w:rPr>
                <w:rFonts w:hint="eastAsia" w:ascii="Times New Roman" w:hAnsi="Times New Roman"/>
                <w:color w:val="000000"/>
              </w:rPr>
              <w:t>地面道路工程施工结束后进行地面硬化和绿化，将使该区域具有较好的城市生态系统和功能。</w:t>
            </w:r>
          </w:p>
          <w:p>
            <w:pPr>
              <w:pStyle w:val="72"/>
              <w:spacing w:line="240" w:lineRule="auto"/>
              <w:ind w:firstLine="0" w:firstLineChars="0"/>
              <w:rPr>
                <w:rFonts w:ascii="Times New Roman" w:hAnsi="Times New Roman"/>
                <w:color w:val="000000"/>
              </w:rPr>
            </w:pPr>
          </w:p>
          <w:p>
            <w:pPr>
              <w:pStyle w:val="72"/>
              <w:spacing w:line="240" w:lineRule="auto"/>
              <w:ind w:firstLine="0" w:firstLineChars="0"/>
              <w:rPr>
                <w:rFonts w:ascii="Times New Roman" w:hAnsi="Times New Roman"/>
                <w:color w:val="000000"/>
              </w:rPr>
            </w:pPr>
          </w:p>
        </w:tc>
      </w:tr>
    </w:tbl>
    <w:p>
      <w:pPr>
        <w:pStyle w:val="2"/>
        <w:numPr>
          <w:ilvl w:val="0"/>
          <w:numId w:val="0"/>
        </w:numPr>
        <w:rPr>
          <w:b/>
          <w:color w:val="000000"/>
        </w:rPr>
      </w:pPr>
      <w:bookmarkStart w:id="24" w:name="_Toc461580597"/>
      <w:r>
        <w:rPr>
          <w:rFonts w:hint="eastAsia"/>
          <w:b/>
          <w:color w:val="000000"/>
        </w:rPr>
        <w:t>七、</w:t>
      </w:r>
      <w:r>
        <w:rPr>
          <w:b/>
          <w:color w:val="000000"/>
        </w:rPr>
        <w:t>环境影响分析</w:t>
      </w:r>
      <w:bookmarkEnd w:id="24"/>
    </w:p>
    <w:tbl>
      <w:tblPr>
        <w:tblStyle w:val="43"/>
        <w:tblW w:w="94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63" w:type="dxa"/>
          </w:tcPr>
          <w:p>
            <w:pPr>
              <w:spacing w:line="360" w:lineRule="auto"/>
              <w:rPr>
                <w:b/>
                <w:color w:val="000000"/>
                <w:sz w:val="24"/>
              </w:rPr>
            </w:pPr>
            <w:r>
              <w:rPr>
                <w:b/>
                <w:color w:val="000000"/>
                <w:sz w:val="24"/>
              </w:rPr>
              <w:t>1、施工期环境影响分析</w:t>
            </w:r>
          </w:p>
          <w:p>
            <w:pPr>
              <w:spacing w:line="500" w:lineRule="exact"/>
              <w:ind w:firstLine="456" w:firstLineChars="190"/>
              <w:rPr>
                <w:color w:val="000000" w:themeColor="text1"/>
                <w:sz w:val="24"/>
                <w14:textFill>
                  <w14:solidFill>
                    <w14:schemeClr w14:val="tx1"/>
                  </w14:solidFill>
                </w14:textFill>
              </w:rPr>
            </w:pPr>
            <w:r>
              <w:rPr>
                <w:sz w:val="24"/>
              </w:rPr>
              <w:t>本项目施工期的主要污染因素有施工扬尘、施工废水、施工人员生活污水、施工机械噪声及生态破坏</w:t>
            </w:r>
            <w:r>
              <w:rPr>
                <w:color w:val="000000" w:themeColor="text1"/>
                <w:sz w:val="24"/>
                <w14:textFill>
                  <w14:solidFill>
                    <w14:schemeClr w14:val="tx1"/>
                  </w14:solidFill>
                </w14:textFill>
              </w:rPr>
              <w:t>等。</w:t>
            </w:r>
            <w:r>
              <w:rPr>
                <w:rFonts w:hint="eastAsia"/>
                <w:color w:val="000000" w:themeColor="text1"/>
                <w:sz w:val="24"/>
                <w14:textFill>
                  <w14:solidFill>
                    <w14:schemeClr w14:val="tx1"/>
                  </w14:solidFill>
                </w14:textFill>
              </w:rPr>
              <w:t>施工期施工人员借用附近民房进行住宿，不设置施工人员生活营地，利用</w:t>
            </w:r>
            <w:r>
              <w:rPr>
                <w:color w:val="000000" w:themeColor="text1"/>
                <w:sz w:val="24"/>
                <w14:textFill>
                  <w14:solidFill>
                    <w14:schemeClr w14:val="tx1"/>
                  </w14:solidFill>
                </w14:textFill>
              </w:rPr>
              <w:t>已有污水处理设施（如旱厕、化粪池等）进行处理</w:t>
            </w:r>
            <w:r>
              <w:rPr>
                <w:rFonts w:hint="eastAsia"/>
                <w:color w:val="000000" w:themeColor="text1"/>
                <w:sz w:val="24"/>
                <w14:textFill>
                  <w14:solidFill>
                    <w14:schemeClr w14:val="tx1"/>
                  </w14:solidFill>
                </w14:textFill>
              </w:rPr>
              <w:t>。</w:t>
            </w:r>
          </w:p>
          <w:p>
            <w:pPr>
              <w:spacing w:line="500" w:lineRule="exact"/>
              <w:ind w:firstLine="456" w:firstLineChars="190"/>
              <w:rPr>
                <w:sz w:val="24"/>
              </w:rPr>
            </w:pPr>
            <w:r>
              <w:rPr>
                <w:rFonts w:hint="eastAsia"/>
                <w:sz w:val="24"/>
              </w:rPr>
              <w:t>1</w:t>
            </w:r>
            <w:r>
              <w:rPr>
                <w:rFonts w:hint="eastAsia"/>
                <w:b/>
                <w:sz w:val="24"/>
              </w:rPr>
              <w:t>.</w:t>
            </w:r>
            <w:r>
              <w:rPr>
                <w:sz w:val="24"/>
              </w:rPr>
              <w:t>施工期环境空气影响及防治措施</w:t>
            </w:r>
          </w:p>
          <w:p>
            <w:pPr>
              <w:spacing w:line="500" w:lineRule="exact"/>
              <w:ind w:firstLine="456" w:firstLineChars="190"/>
              <w:rPr>
                <w:sz w:val="24"/>
              </w:rPr>
            </w:pPr>
            <w:r>
              <w:rPr>
                <w:sz w:val="24"/>
              </w:rPr>
              <w:t>施工废气主要来源于施工过程中机械作业和运输时产生的废气以及施工扬尘。</w:t>
            </w:r>
          </w:p>
          <w:p>
            <w:pPr>
              <w:tabs>
                <w:tab w:val="left" w:pos="1900"/>
              </w:tabs>
              <w:adjustRightInd w:val="0"/>
              <w:snapToGrid w:val="0"/>
              <w:spacing w:line="480" w:lineRule="exact"/>
              <w:ind w:firstLine="480" w:firstLineChars="200"/>
              <w:rPr>
                <w:sz w:val="24"/>
              </w:rPr>
            </w:pPr>
            <w:r>
              <w:rPr>
                <w:sz w:val="24"/>
              </w:rPr>
              <w:t>项目施工时施工车辆、挖土机、装载机等燃油时产生的CO、THC、NOX等污染物会对大气环境产生影响，但这种污染源较分散且为流动性，污染物排放量不大，表现为间歇性特征，影响是短期和局部的，该项污染源将随着施工工程的结束而不再存在。</w:t>
            </w:r>
          </w:p>
          <w:p>
            <w:pPr>
              <w:spacing w:line="500" w:lineRule="exact"/>
              <w:ind w:firstLine="456" w:firstLineChars="190"/>
              <w:rPr>
                <w:sz w:val="24"/>
              </w:rPr>
            </w:pPr>
            <w:r>
              <w:rPr>
                <w:rFonts w:hint="eastAsia"/>
                <w:sz w:val="24"/>
              </w:rPr>
              <w:t>项目在施工期对空气环境的影响主要来自土方的挖掘扬尘、建筑材料搬运和堆放扬尘、施工垃圾清理及堆放扬尘、运输车辆道路扬尘。施工期间，施工扬尘将对周边的空气环境质量产生一定的影响。尤其是项目沿线村落的空气环境将受到较大的影响。故施工方在施工时应严格执行《防治城市扬尘污染技术规范》（HJ/T393-2007）， 及时洒水以减少扬尘对工程所在地空气环境的影响，在施工时应当符合下列扬尘污染防治要求：</w:t>
            </w:r>
          </w:p>
          <w:p>
            <w:pPr>
              <w:spacing w:line="500" w:lineRule="exact"/>
              <w:ind w:firstLine="456" w:firstLineChars="190"/>
              <w:rPr>
                <w:sz w:val="24"/>
              </w:rPr>
            </w:pPr>
            <w:r>
              <w:rPr>
                <w:rFonts w:hint="eastAsia"/>
                <w:sz w:val="24"/>
              </w:rPr>
              <w:t>（</w:t>
            </w:r>
            <w:r>
              <w:rPr>
                <w:sz w:val="24"/>
              </w:rPr>
              <w:t>1</w:t>
            </w:r>
            <w:r>
              <w:rPr>
                <w:rFonts w:hint="eastAsia"/>
                <w:sz w:val="24"/>
              </w:rPr>
              <w:t>）施工标志牌的规格和内容。施工期间，施工单位应根据《建设工程施工现场管理规定》的规定设置现场平面布置图、工程概况牌、安全生产牌、消防保卫牌、文明施工牌、环境保护牌、管理人员名单及监督电话牌等；</w:t>
            </w:r>
            <w:r>
              <w:rPr>
                <w:sz w:val="24"/>
              </w:rPr>
              <w:t> </w:t>
            </w:r>
          </w:p>
          <w:p>
            <w:pPr>
              <w:spacing w:line="500" w:lineRule="exact"/>
              <w:ind w:firstLine="456" w:firstLineChars="190"/>
              <w:rPr>
                <w:sz w:val="24"/>
              </w:rPr>
            </w:pPr>
            <w:r>
              <w:rPr>
                <w:rFonts w:hint="eastAsia"/>
                <w:sz w:val="24"/>
              </w:rPr>
              <w:t>（</w:t>
            </w:r>
            <w:r>
              <w:rPr>
                <w:sz w:val="24"/>
              </w:rPr>
              <w:t>2</w:t>
            </w:r>
            <w:r>
              <w:rPr>
                <w:rFonts w:hint="eastAsia"/>
                <w:sz w:val="24"/>
              </w:rPr>
              <w:t>）围挡、围栏及防溢座的设置。施工期间，本工程设置</w:t>
            </w:r>
            <w:r>
              <w:rPr>
                <w:sz w:val="24"/>
              </w:rPr>
              <w:t>2.5</w:t>
            </w:r>
            <w:r>
              <w:rPr>
                <w:rFonts w:hint="eastAsia"/>
                <w:sz w:val="24"/>
              </w:rPr>
              <w:t>米以上围挡。围挡底端应设置防溢座，围挡之间以及围挡与防溢座之间无缝隙。对于特殊地点无法设置围挡、围栏及防溢座的，设置警示牌；</w:t>
            </w:r>
          </w:p>
          <w:p>
            <w:pPr>
              <w:spacing w:line="500" w:lineRule="exact"/>
              <w:ind w:firstLine="456" w:firstLineChars="190"/>
              <w:rPr>
                <w:sz w:val="24"/>
              </w:rPr>
            </w:pPr>
            <w:r>
              <w:rPr>
                <w:rFonts w:hint="eastAsia"/>
                <w:sz w:val="24"/>
              </w:rPr>
              <w:t>（</w:t>
            </w:r>
            <w:r>
              <w:rPr>
                <w:sz w:val="24"/>
              </w:rPr>
              <w:t>3</w:t>
            </w:r>
            <w:r>
              <w:rPr>
                <w:rFonts w:hint="eastAsia"/>
                <w:sz w:val="24"/>
              </w:rPr>
              <w:t>）土方工程防尘措施。土方工程包括土的开挖、运输和填筑等施工过程，有时还需进行排水、降水、土壁支撑等准备工作。遇到干燥、易起尘的土方工程作业时，辅以洒水压尘，尽量缩短起尘操作时间。遇到四级或四级以上大风天气，停止土方作业，同时作业处覆以防尘网；</w:t>
            </w:r>
          </w:p>
          <w:p>
            <w:pPr>
              <w:spacing w:line="500" w:lineRule="exact"/>
              <w:ind w:firstLine="456" w:firstLineChars="190"/>
              <w:rPr>
                <w:sz w:val="24"/>
              </w:rPr>
            </w:pPr>
            <w:r>
              <w:rPr>
                <w:rFonts w:hint="eastAsia"/>
                <w:sz w:val="24"/>
              </w:rPr>
              <w:t>（</w:t>
            </w:r>
            <w:r>
              <w:rPr>
                <w:sz w:val="24"/>
              </w:rPr>
              <w:t>4</w:t>
            </w:r>
            <w:r>
              <w:rPr>
                <w:rFonts w:hint="eastAsia"/>
                <w:sz w:val="24"/>
              </w:rPr>
              <w:t>）建筑材料的防尘管理措施。施工过程中使用水泥、石灰、砂石、铺装材料等易产生扬尘的建筑材料，设置围挡或堆砌围墙；</w:t>
            </w:r>
          </w:p>
          <w:p>
            <w:pPr>
              <w:spacing w:line="500" w:lineRule="exact"/>
              <w:ind w:firstLine="456" w:firstLineChars="190"/>
              <w:rPr>
                <w:sz w:val="24"/>
              </w:rPr>
            </w:pPr>
            <w:r>
              <w:rPr>
                <w:rFonts w:hint="eastAsia"/>
                <w:sz w:val="24"/>
              </w:rPr>
              <w:t>（</w:t>
            </w:r>
            <w:r>
              <w:rPr>
                <w:sz w:val="24"/>
              </w:rPr>
              <w:t>5</w:t>
            </w:r>
            <w:r>
              <w:rPr>
                <w:rFonts w:hint="eastAsia"/>
                <w:sz w:val="24"/>
              </w:rPr>
              <w:t>）建筑垃圾的防尘管理措施。施工工程中产生的弃土、弃料及其他建筑垃圾，应及时清运。若在工地内堆置超过一周的，则采取覆盖防尘布、防尘网等措施，防止风蚀起尘及水蚀迁移；</w:t>
            </w:r>
          </w:p>
          <w:p>
            <w:pPr>
              <w:spacing w:line="500" w:lineRule="exact"/>
              <w:ind w:firstLine="456" w:firstLineChars="190"/>
              <w:rPr>
                <w:sz w:val="24"/>
              </w:rPr>
            </w:pPr>
            <w:r>
              <w:rPr>
                <w:rFonts w:hint="eastAsia"/>
                <w:sz w:val="24"/>
              </w:rPr>
              <w:t>（</w:t>
            </w:r>
            <w:r>
              <w:rPr>
                <w:sz w:val="24"/>
              </w:rPr>
              <w:t>6</w:t>
            </w:r>
            <w:r>
              <w:rPr>
                <w:rFonts w:hint="eastAsia"/>
                <w:sz w:val="24"/>
              </w:rPr>
              <w:t>）设置洗车平台，完善排水设施，防止泥土粘带。施工期间，应在物料、渣土、垃圾运输车辆的出口内侧设置洗车平台，车辆驶离工地前，应在洗车平台清洗轮胎及车身，不得带泥上路。洗车平台四周应设置防溢座、废水导流渠、废水收集池、沉砂池及其它防治设施，收集洗车、施工以及降水过程中产生的废水和泥浆。工地出口处铺装道路上可见粘带泥土不得超过</w:t>
            </w:r>
            <w:r>
              <w:rPr>
                <w:sz w:val="24"/>
              </w:rPr>
              <w:t>10</w:t>
            </w:r>
            <w:r>
              <w:rPr>
                <w:rFonts w:hint="eastAsia"/>
                <w:sz w:val="24"/>
              </w:rPr>
              <w:t>米，并及时清扫冲洗；</w:t>
            </w:r>
            <w:r>
              <w:rPr>
                <w:sz w:val="24"/>
              </w:rPr>
              <w:t> </w:t>
            </w:r>
          </w:p>
          <w:p>
            <w:pPr>
              <w:spacing w:line="500" w:lineRule="exact"/>
              <w:ind w:firstLine="456" w:firstLineChars="190"/>
              <w:rPr>
                <w:sz w:val="24"/>
              </w:rPr>
            </w:pPr>
            <w:r>
              <w:rPr>
                <w:rFonts w:hint="eastAsia"/>
                <w:sz w:val="24"/>
              </w:rPr>
              <w:t>（</w:t>
            </w:r>
            <w:r>
              <w:rPr>
                <w:sz w:val="24"/>
              </w:rPr>
              <w:t>7</w:t>
            </w:r>
            <w:r>
              <w:rPr>
                <w:rFonts w:hint="eastAsia"/>
                <w:sz w:val="24"/>
              </w:rPr>
              <w:t>）进出工地的物料、渣土、垃圾运输车辆的防尘措施、运输路线和时间。进出工地的物料、渣土、垃圾运输车辆，应尽可能采用密闭车斗，并保证物料不遗撒外漏。若无密闭车斗，物料、垃圾、渣土的装载高度不得超过车辆槽帮上沿，车斗应用苫布遮盖严实。苫布边缘至少要遮住槽帮上沿以下</w:t>
            </w:r>
            <w:r>
              <w:rPr>
                <w:sz w:val="24"/>
              </w:rPr>
              <w:t>15</w:t>
            </w:r>
            <w:r>
              <w:rPr>
                <w:rFonts w:hint="eastAsia"/>
                <w:sz w:val="24"/>
              </w:rPr>
              <w:t>厘米，保证物料、渣土、垃圾等不露出。车辆应按照批准的路线和时间进行物料、渣土、垃圾的运输；</w:t>
            </w:r>
          </w:p>
          <w:p>
            <w:pPr>
              <w:spacing w:line="500" w:lineRule="exact"/>
              <w:ind w:firstLine="456" w:firstLineChars="190"/>
              <w:rPr>
                <w:sz w:val="24"/>
              </w:rPr>
            </w:pPr>
            <w:r>
              <w:rPr>
                <w:rFonts w:hint="eastAsia"/>
                <w:sz w:val="24"/>
              </w:rPr>
              <w:t>（</w:t>
            </w:r>
            <w:r>
              <w:rPr>
                <w:sz w:val="24"/>
              </w:rPr>
              <w:t>8</w:t>
            </w:r>
            <w:r>
              <w:rPr>
                <w:rFonts w:hint="eastAsia"/>
                <w:sz w:val="24"/>
              </w:rPr>
              <w:t>）施工工地道路防尘措施。施工期间，施工工地内及工地出口至铺装道路间的车行道路，采取下列措施，并保持路面清洁，防止机动车扬尘，铺设水泥混凝土；</w:t>
            </w:r>
          </w:p>
          <w:p>
            <w:pPr>
              <w:spacing w:line="500" w:lineRule="exact"/>
              <w:ind w:firstLine="456" w:firstLineChars="190"/>
              <w:rPr>
                <w:sz w:val="24"/>
              </w:rPr>
            </w:pPr>
            <w:r>
              <w:rPr>
                <w:rFonts w:hint="eastAsia"/>
                <w:sz w:val="24"/>
              </w:rPr>
              <w:t>（</w:t>
            </w:r>
            <w:r>
              <w:rPr>
                <w:sz w:val="24"/>
              </w:rPr>
              <w:t>9</w:t>
            </w:r>
            <w:r>
              <w:rPr>
                <w:rFonts w:hint="eastAsia"/>
                <w:sz w:val="24"/>
              </w:rPr>
              <w:t>）施工工地道路积尘清洁措施。可采用吸尘或水冲洗的方法清洁施工工地道路积尘，不得在未实施洒水等抑尘措施情况下进行直接清扫；</w:t>
            </w:r>
            <w:r>
              <w:rPr>
                <w:sz w:val="24"/>
              </w:rPr>
              <w:t> </w:t>
            </w:r>
          </w:p>
          <w:p>
            <w:pPr>
              <w:spacing w:line="500" w:lineRule="exact"/>
              <w:ind w:firstLine="456" w:firstLineChars="190"/>
              <w:rPr>
                <w:sz w:val="24"/>
              </w:rPr>
            </w:pPr>
            <w:r>
              <w:rPr>
                <w:rFonts w:hint="eastAsia"/>
                <w:sz w:val="24"/>
              </w:rPr>
              <w:t>（</w:t>
            </w:r>
            <w:r>
              <w:rPr>
                <w:sz w:val="24"/>
              </w:rPr>
              <w:t>10</w:t>
            </w:r>
            <w:r>
              <w:rPr>
                <w:rFonts w:hint="eastAsia"/>
                <w:sz w:val="24"/>
              </w:rPr>
              <w:t>）施工工地内部裸地防尘措施。施工期间，对于工地内裸露地面，采取覆盖防尘布或防尘网等防尘措施；</w:t>
            </w:r>
            <w:r>
              <w:rPr>
                <w:sz w:val="24"/>
              </w:rPr>
              <w:t> </w:t>
            </w:r>
          </w:p>
          <w:p>
            <w:pPr>
              <w:spacing w:line="500" w:lineRule="exact"/>
              <w:ind w:firstLine="456" w:firstLineChars="190"/>
              <w:rPr>
                <w:sz w:val="24"/>
              </w:rPr>
            </w:pPr>
            <w:r>
              <w:rPr>
                <w:rFonts w:hint="eastAsia"/>
                <w:sz w:val="24"/>
              </w:rPr>
              <w:t>（11）混凝土的防尘措施。施工期间需使用混凝土时，使用预拌商品混凝土不得现场露天搅拌混凝土、消化石灰及拌石灰土等。应尽量采用石材、木制等成品或半成品，实施装配式施工，减少因石材、木制品切割所造成的扬尘污染；</w:t>
            </w:r>
          </w:p>
          <w:p>
            <w:pPr>
              <w:spacing w:line="500" w:lineRule="exact"/>
              <w:ind w:firstLine="456" w:firstLineChars="190"/>
              <w:rPr>
                <w:sz w:val="24"/>
              </w:rPr>
            </w:pPr>
            <w:r>
              <w:rPr>
                <w:rFonts w:hint="eastAsia"/>
                <w:sz w:val="24"/>
              </w:rPr>
              <w:t>（</w:t>
            </w:r>
            <w:r>
              <w:rPr>
                <w:sz w:val="24"/>
              </w:rPr>
              <w:t>12</w:t>
            </w:r>
            <w:r>
              <w:rPr>
                <w:rFonts w:hint="eastAsia"/>
                <w:sz w:val="24"/>
              </w:rPr>
              <w:t>）工地应有专人负责逸散性材料、垃圾、渣土、裸地等密闭、覆盖、洒水作业以及车辆清洗作业等，并记录扬尘控制措施的实施情况；</w:t>
            </w:r>
          </w:p>
          <w:p>
            <w:pPr>
              <w:spacing w:line="500" w:lineRule="exact"/>
              <w:ind w:firstLine="456" w:firstLineChars="190"/>
              <w:rPr>
                <w:sz w:val="24"/>
              </w:rPr>
            </w:pPr>
            <w:r>
              <w:rPr>
                <w:rFonts w:hint="eastAsia"/>
                <w:sz w:val="24"/>
              </w:rPr>
              <w:t>（</w:t>
            </w:r>
            <w:r>
              <w:rPr>
                <w:sz w:val="24"/>
              </w:rPr>
              <w:t>13</w:t>
            </w:r>
            <w:r>
              <w:rPr>
                <w:rFonts w:hint="eastAsia"/>
                <w:sz w:val="24"/>
              </w:rPr>
              <w:t>）工地周围环境的保洁。施工单位保洁责任区的范围应根据施工扬尘影响情况确定，一般设在施工工地周围</w:t>
            </w:r>
            <w:r>
              <w:rPr>
                <w:sz w:val="24"/>
              </w:rPr>
              <w:t>20</w:t>
            </w:r>
            <w:r>
              <w:rPr>
                <w:rFonts w:hint="eastAsia"/>
                <w:sz w:val="24"/>
              </w:rPr>
              <w:t>米范围内；</w:t>
            </w:r>
            <w:r>
              <w:rPr>
                <w:sz w:val="24"/>
              </w:rPr>
              <w:t> </w:t>
            </w:r>
          </w:p>
          <w:p>
            <w:pPr>
              <w:spacing w:line="500" w:lineRule="exact"/>
              <w:ind w:firstLine="456" w:firstLineChars="190"/>
              <w:rPr>
                <w:sz w:val="24"/>
              </w:rPr>
            </w:pPr>
            <w:r>
              <w:rPr>
                <w:rFonts w:hint="eastAsia"/>
                <w:sz w:val="24"/>
              </w:rPr>
              <w:t>采取以上措施后，施工期对评价区空气环境影响较小，且施工期产生的扬尘是短暂的，会随着施工期的结束而消失。</w:t>
            </w:r>
          </w:p>
          <w:p>
            <w:pPr>
              <w:spacing w:line="500" w:lineRule="exact"/>
              <w:ind w:firstLine="470" w:firstLineChars="196"/>
              <w:rPr>
                <w:sz w:val="24"/>
              </w:rPr>
            </w:pPr>
            <w:r>
              <w:rPr>
                <w:sz w:val="24"/>
              </w:rPr>
              <w:t>2</w:t>
            </w:r>
            <w:r>
              <w:rPr>
                <w:b/>
                <w:sz w:val="24"/>
              </w:rPr>
              <w:t>.</w:t>
            </w:r>
            <w:r>
              <w:rPr>
                <w:sz w:val="24"/>
              </w:rPr>
              <w:t>施工期对水环境的影响及防治措施</w:t>
            </w:r>
          </w:p>
          <w:p>
            <w:pPr>
              <w:spacing w:line="480" w:lineRule="exact"/>
              <w:ind w:firstLine="456" w:firstLineChars="190"/>
              <w:rPr>
                <w:sz w:val="24"/>
              </w:rPr>
            </w:pPr>
            <w:r>
              <w:rPr>
                <w:sz w:val="24"/>
              </w:rPr>
              <w:t>施工过程中施工机械冲洗会产生一定量的废水，含悬浮物浓度较高；施工机械、车辆在运行和维修中可能存在油污滴漏，并进入水体，从而对局部水环境造成石油类污染。为减少石油类污染，必须加强施工期的管理，车辆及机械设备维修的废油必须收集集中处置，以减少油污对水环境的影响。</w:t>
            </w:r>
            <w:r>
              <w:rPr>
                <w:rFonts w:hint="eastAsia"/>
                <w:sz w:val="24"/>
              </w:rPr>
              <w:t>施工生产废水经收集除油、沉淀处理回用</w:t>
            </w:r>
            <w:r>
              <w:rPr>
                <w:rFonts w:hint="eastAsia"/>
                <w:sz w:val="24"/>
                <w:lang w:eastAsia="zh-CN"/>
              </w:rPr>
              <w:t>，</w:t>
            </w:r>
            <w:r>
              <w:rPr>
                <w:rFonts w:hint="eastAsia"/>
                <w:sz w:val="24"/>
                <w:lang w:val="en-US" w:eastAsia="zh-CN"/>
              </w:rPr>
              <w:t>不外排</w:t>
            </w:r>
            <w:r>
              <w:rPr>
                <w:rFonts w:hint="eastAsia"/>
                <w:sz w:val="24"/>
              </w:rPr>
              <w:t>。</w:t>
            </w:r>
          </w:p>
          <w:p>
            <w:pPr>
              <w:tabs>
                <w:tab w:val="left" w:pos="1900"/>
              </w:tabs>
              <w:adjustRightInd w:val="0"/>
              <w:snapToGrid w:val="0"/>
              <w:spacing w:line="48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施工期施工人员借用附近民房进行住宿，利用</w:t>
            </w:r>
            <w:r>
              <w:rPr>
                <w:color w:val="000000" w:themeColor="text1"/>
                <w:sz w:val="24"/>
                <w14:textFill>
                  <w14:solidFill>
                    <w14:schemeClr w14:val="tx1"/>
                  </w14:solidFill>
                </w14:textFill>
              </w:rPr>
              <w:t>已有污水处理设施（如旱厕、化粪池等）进行处理，处理后用于农业、林业灌溉，不排放</w:t>
            </w:r>
            <w:r>
              <w:rPr>
                <w:rFonts w:hint="eastAsia"/>
                <w:color w:val="000000" w:themeColor="text1"/>
                <w:sz w:val="24"/>
                <w14:textFill>
                  <w14:solidFill>
                    <w14:schemeClr w14:val="tx1"/>
                  </w14:solidFill>
                </w14:textFill>
              </w:rPr>
              <w:t>。</w:t>
            </w:r>
          </w:p>
          <w:p>
            <w:pPr>
              <w:tabs>
                <w:tab w:val="left" w:pos="1900"/>
              </w:tabs>
              <w:adjustRightInd w:val="0"/>
              <w:snapToGrid w:val="0"/>
              <w:spacing w:line="480" w:lineRule="exact"/>
              <w:ind w:firstLine="480" w:firstLineChars="200"/>
              <w:rPr>
                <w:sz w:val="24"/>
              </w:rPr>
            </w:pPr>
            <w:r>
              <w:rPr>
                <w:sz w:val="24"/>
              </w:rPr>
              <w:t>采取以上措施后，施工期产生的废水对周围环境影响较小。</w:t>
            </w:r>
          </w:p>
          <w:p>
            <w:pPr>
              <w:spacing w:line="500" w:lineRule="exact"/>
              <w:ind w:firstLine="456" w:firstLineChars="190"/>
              <w:rPr>
                <w:sz w:val="24"/>
              </w:rPr>
            </w:pPr>
            <w:r>
              <w:rPr>
                <w:sz w:val="24"/>
              </w:rPr>
              <w:t>3</w:t>
            </w:r>
            <w:r>
              <w:rPr>
                <w:b/>
                <w:sz w:val="24"/>
              </w:rPr>
              <w:t>.</w:t>
            </w:r>
            <w:r>
              <w:rPr>
                <w:sz w:val="24"/>
              </w:rPr>
              <w:t>施工期噪声对环境的影响及防治措施</w:t>
            </w:r>
          </w:p>
          <w:p>
            <w:pPr>
              <w:pStyle w:val="24"/>
              <w:spacing w:line="440" w:lineRule="atLeast"/>
              <w:ind w:firstLine="480"/>
              <w:jc w:val="left"/>
              <w:rPr>
                <w:color w:val="000000" w:themeColor="text1"/>
                <w:spacing w:val="4"/>
                <w:sz w:val="24"/>
                <w14:textFill>
                  <w14:solidFill>
                    <w14:schemeClr w14:val="tx1"/>
                  </w14:solidFill>
                </w14:textFill>
              </w:rPr>
            </w:pPr>
            <w:r>
              <w:rPr>
                <w:rFonts w:hint="eastAsia"/>
                <w:sz w:val="24"/>
              </w:rPr>
              <w:t>在施工过程中</w:t>
            </w:r>
            <w:r>
              <w:rPr>
                <w:rFonts w:hint="eastAsia"/>
                <w:bCs/>
                <w:color w:val="000000" w:themeColor="text1"/>
                <w:sz w:val="24"/>
                <w14:textFill>
                  <w14:solidFill>
                    <w14:schemeClr w14:val="tx1"/>
                  </w14:solidFill>
                </w14:textFill>
              </w:rPr>
              <w:t>噪声主要来自施工机械和运输车辆的噪声，施工期噪声具有阶段性、临时</w:t>
            </w:r>
            <w:r>
              <w:rPr>
                <w:rFonts w:hint="eastAsia"/>
                <w:color w:val="000000" w:themeColor="text1"/>
                <w:spacing w:val="4"/>
                <w:sz w:val="24"/>
                <w14:textFill>
                  <w14:solidFill>
                    <w14:schemeClr w14:val="tx1"/>
                  </w14:solidFill>
                </w14:textFill>
              </w:rPr>
              <w:t>施工场地噪声主要是施工机械设备噪声、运输车辆噪声、物料装卸碰撞噪声和施工人员的人为噪声。施工场地高噪声施工机械较多，各施工阶段均有大量的机械设备于现场运行，单体设备声源声级一般均高于84</w:t>
            </w:r>
            <w:r>
              <w:rPr>
                <w:color w:val="000000" w:themeColor="text1"/>
                <w:spacing w:val="4"/>
                <w:sz w:val="24"/>
                <w14:textFill>
                  <w14:solidFill>
                    <w14:schemeClr w14:val="tx1"/>
                  </w14:solidFill>
                </w14:textFill>
              </w:rPr>
              <w:t>d</w:t>
            </w:r>
            <w:r>
              <w:rPr>
                <w:rFonts w:hint="eastAsia"/>
                <w:color w:val="000000" w:themeColor="text1"/>
                <w:spacing w:val="4"/>
                <w:sz w:val="24"/>
                <w14:textFill>
                  <w14:solidFill>
                    <w14:schemeClr w14:val="tx1"/>
                  </w14:solidFill>
                </w14:textFill>
              </w:rPr>
              <w:t>B</w:t>
            </w:r>
            <w:r>
              <w:rPr>
                <w:color w:val="000000" w:themeColor="text1"/>
                <w:spacing w:val="4"/>
                <w:sz w:val="24"/>
                <w14:textFill>
                  <w14:solidFill>
                    <w14:schemeClr w14:val="tx1"/>
                  </w14:solidFill>
                </w14:textFill>
              </w:rPr>
              <w:t>(</w:t>
            </w:r>
            <w:r>
              <w:rPr>
                <w:rFonts w:hint="eastAsia"/>
                <w:color w:val="000000" w:themeColor="text1"/>
                <w:spacing w:val="4"/>
                <w:sz w:val="24"/>
                <w14:textFill>
                  <w14:solidFill>
                    <w14:schemeClr w14:val="tx1"/>
                  </w14:solidFill>
                </w14:textFill>
              </w:rPr>
              <w:t>A</w:t>
            </w:r>
            <w:r>
              <w:rPr>
                <w:color w:val="000000" w:themeColor="text1"/>
                <w:spacing w:val="4"/>
                <w:sz w:val="24"/>
                <w14:textFill>
                  <w14:solidFill>
                    <w14:schemeClr w14:val="tx1"/>
                  </w14:solidFill>
                </w14:textFill>
              </w:rPr>
              <w:t>)</w:t>
            </w:r>
            <w:r>
              <w:rPr>
                <w:rFonts w:hint="eastAsia"/>
                <w:color w:val="000000" w:themeColor="text1"/>
                <w:spacing w:val="4"/>
                <w:sz w:val="24"/>
                <w14:textFill>
                  <w14:solidFill>
                    <w14:schemeClr w14:val="tx1"/>
                  </w14:solidFill>
                </w14:textFill>
              </w:rPr>
              <w:t>，部分设备声源甚至高达96</w:t>
            </w:r>
            <w:r>
              <w:rPr>
                <w:color w:val="000000" w:themeColor="text1"/>
                <w:spacing w:val="4"/>
                <w:sz w:val="24"/>
                <w14:textFill>
                  <w14:solidFill>
                    <w14:schemeClr w14:val="tx1"/>
                  </w14:solidFill>
                </w14:textFill>
              </w:rPr>
              <w:t>d</w:t>
            </w:r>
            <w:r>
              <w:rPr>
                <w:rFonts w:hint="eastAsia"/>
                <w:color w:val="000000" w:themeColor="text1"/>
                <w:spacing w:val="4"/>
                <w:sz w:val="24"/>
                <w14:textFill>
                  <w14:solidFill>
                    <w14:schemeClr w14:val="tx1"/>
                  </w14:solidFill>
                </w14:textFill>
              </w:rPr>
              <w:t>B</w:t>
            </w:r>
            <w:r>
              <w:rPr>
                <w:color w:val="000000" w:themeColor="text1"/>
                <w:spacing w:val="4"/>
                <w:sz w:val="24"/>
                <w14:textFill>
                  <w14:solidFill>
                    <w14:schemeClr w14:val="tx1"/>
                  </w14:solidFill>
                </w14:textFill>
              </w:rPr>
              <w:t>(</w:t>
            </w:r>
            <w:r>
              <w:rPr>
                <w:rFonts w:hint="eastAsia"/>
                <w:color w:val="000000" w:themeColor="text1"/>
                <w:spacing w:val="4"/>
                <w:sz w:val="24"/>
                <w14:textFill>
                  <w14:solidFill>
                    <w14:schemeClr w14:val="tx1"/>
                  </w14:solidFill>
                </w14:textFill>
              </w:rPr>
              <w:t>A</w:t>
            </w:r>
            <w:r>
              <w:rPr>
                <w:color w:val="000000" w:themeColor="text1"/>
                <w:spacing w:val="4"/>
                <w:sz w:val="24"/>
                <w14:textFill>
                  <w14:solidFill>
                    <w14:schemeClr w14:val="tx1"/>
                  </w14:solidFill>
                </w14:textFill>
              </w:rPr>
              <w:t>)</w:t>
            </w:r>
            <w:r>
              <w:rPr>
                <w:rFonts w:hint="eastAsia"/>
                <w:color w:val="000000" w:themeColor="text1"/>
                <w:spacing w:val="4"/>
                <w:sz w:val="24"/>
                <w14:textFill>
                  <w14:solidFill>
                    <w14:schemeClr w14:val="tx1"/>
                  </w14:solidFill>
                </w14:textFill>
              </w:rPr>
              <w:t>。由于同一施工阶段的不同时间设备运行数量亦有波动，因此很难确切预测施工场各场界噪声值。经类比调查，各类施工机械噪声源及其影响情况见表</w:t>
            </w:r>
            <w:r>
              <w:rPr>
                <w:rFonts w:hint="eastAsia"/>
                <w:color w:val="000000" w:themeColor="text1"/>
                <w:spacing w:val="4"/>
                <w:sz w:val="24"/>
                <w:lang w:val="en-US" w:eastAsia="zh-CN"/>
                <w14:textFill>
                  <w14:solidFill>
                    <w14:schemeClr w14:val="tx1"/>
                  </w14:solidFill>
                </w14:textFill>
              </w:rPr>
              <w:t>7-1</w:t>
            </w:r>
            <w:r>
              <w:rPr>
                <w:rFonts w:hint="eastAsia"/>
                <w:color w:val="000000" w:themeColor="text1"/>
                <w:spacing w:val="4"/>
                <w:sz w:val="24"/>
                <w14:textFill>
                  <w14:solidFill>
                    <w14:schemeClr w14:val="tx1"/>
                  </w14:solidFill>
                </w14:textFill>
              </w:rPr>
              <w:t>。项目建设期不同阶段机械设备噪声对环境的影响参照《建筑施工场界噪声限值》（GB12523-2011）执行，其标限值见表7</w:t>
            </w:r>
            <w:r>
              <w:rPr>
                <w:rFonts w:hint="eastAsia"/>
                <w:color w:val="000000" w:themeColor="text1"/>
                <w:spacing w:val="4"/>
                <w:sz w:val="24"/>
                <w:lang w:val="en-US" w:eastAsia="zh-CN"/>
                <w14:textFill>
                  <w14:solidFill>
                    <w14:schemeClr w14:val="tx1"/>
                  </w14:solidFill>
                </w14:textFill>
              </w:rPr>
              <w:t>-2</w:t>
            </w:r>
            <w:r>
              <w:rPr>
                <w:rFonts w:hint="eastAsia"/>
                <w:color w:val="000000" w:themeColor="text1"/>
                <w:spacing w:val="4"/>
                <w:sz w:val="24"/>
                <w14:textFill>
                  <w14:solidFill>
                    <w14:schemeClr w14:val="tx1"/>
                  </w14:solidFill>
                </w14:textFill>
              </w:rPr>
              <w:t>。</w:t>
            </w:r>
          </w:p>
          <w:p>
            <w:pPr>
              <w:spacing w:line="440" w:lineRule="atLeast"/>
              <w:ind w:firstLine="747" w:firstLineChars="300"/>
              <w:jc w:val="left"/>
              <w:rPr>
                <w:b/>
                <w:bCs/>
                <w:color w:val="000000" w:themeColor="text1"/>
                <w:spacing w:val="4"/>
                <w:sz w:val="24"/>
                <w14:textFill>
                  <w14:solidFill>
                    <w14:schemeClr w14:val="tx1"/>
                  </w14:solidFill>
                </w14:textFill>
              </w:rPr>
            </w:pPr>
            <w:r>
              <w:rPr>
                <w:rFonts w:hint="eastAsia"/>
                <w:b/>
                <w:bCs/>
                <w:color w:val="000000" w:themeColor="text1"/>
                <w:spacing w:val="4"/>
                <w:sz w:val="24"/>
                <w14:textFill>
                  <w14:solidFill>
                    <w14:schemeClr w14:val="tx1"/>
                  </w14:solidFill>
                </w14:textFill>
              </w:rPr>
              <w:t>表</w:t>
            </w:r>
            <w:r>
              <w:rPr>
                <w:rFonts w:hint="eastAsia"/>
                <w:b/>
                <w:bCs/>
                <w:color w:val="000000" w:themeColor="text1"/>
                <w:spacing w:val="4"/>
                <w:sz w:val="24"/>
                <w:lang w:val="en-US" w:eastAsia="zh-CN"/>
                <w14:textFill>
                  <w14:solidFill>
                    <w14:schemeClr w14:val="tx1"/>
                  </w14:solidFill>
                </w14:textFill>
              </w:rPr>
              <w:t>7-1</w:t>
            </w:r>
            <w:r>
              <w:rPr>
                <w:rFonts w:hint="eastAsia"/>
                <w:b/>
                <w:bCs/>
                <w:color w:val="000000" w:themeColor="text1"/>
                <w:spacing w:val="4"/>
                <w:sz w:val="24"/>
                <w14:textFill>
                  <w14:solidFill>
                    <w14:schemeClr w14:val="tx1"/>
                  </w14:solidFill>
                </w14:textFill>
              </w:rPr>
              <w:t xml:space="preserve"> 几种主要施工机械的噪声源强及在不同距离处的噪声值单位：</w:t>
            </w:r>
            <w:r>
              <w:rPr>
                <w:b/>
                <w:bCs/>
                <w:color w:val="000000" w:themeColor="text1"/>
                <w:spacing w:val="4"/>
                <w:sz w:val="24"/>
                <w14:textFill>
                  <w14:solidFill>
                    <w14:schemeClr w14:val="tx1"/>
                  </w14:solidFill>
                </w14:textFill>
              </w:rPr>
              <w:t>d</w:t>
            </w:r>
            <w:r>
              <w:rPr>
                <w:rFonts w:hint="eastAsia"/>
                <w:b/>
                <w:bCs/>
                <w:color w:val="000000" w:themeColor="text1"/>
                <w:spacing w:val="4"/>
                <w:sz w:val="24"/>
                <w14:textFill>
                  <w14:solidFill>
                    <w14:schemeClr w14:val="tx1"/>
                  </w14:solidFill>
                </w14:textFill>
              </w:rPr>
              <w:t>B</w:t>
            </w:r>
            <w:r>
              <w:rPr>
                <w:b/>
                <w:bCs/>
                <w:color w:val="000000" w:themeColor="text1"/>
                <w:spacing w:val="4"/>
                <w:sz w:val="24"/>
                <w14:textFill>
                  <w14:solidFill>
                    <w14:schemeClr w14:val="tx1"/>
                  </w14:solidFill>
                </w14:textFill>
              </w:rPr>
              <w:t>(</w:t>
            </w:r>
            <w:r>
              <w:rPr>
                <w:rFonts w:hint="eastAsia"/>
                <w:b/>
                <w:bCs/>
                <w:color w:val="000000" w:themeColor="text1"/>
                <w:spacing w:val="4"/>
                <w:sz w:val="24"/>
                <w14:textFill>
                  <w14:solidFill>
                    <w14:schemeClr w14:val="tx1"/>
                  </w14:solidFill>
                </w14:textFill>
              </w:rPr>
              <w:t>A</w:t>
            </w:r>
            <w:r>
              <w:rPr>
                <w:b/>
                <w:bCs/>
                <w:color w:val="000000" w:themeColor="text1"/>
                <w:spacing w:val="4"/>
                <w:sz w:val="24"/>
                <w14:textFill>
                  <w14:solidFill>
                    <w14:schemeClr w14:val="tx1"/>
                  </w14:solidFill>
                </w14:textFill>
              </w:rPr>
              <w:t>)</w:t>
            </w:r>
          </w:p>
          <w:tbl>
            <w:tblPr>
              <w:tblStyle w:val="42"/>
              <w:tblW w:w="87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6"/>
              <w:gridCol w:w="875"/>
              <w:gridCol w:w="877"/>
              <w:gridCol w:w="874"/>
              <w:gridCol w:w="876"/>
              <w:gridCol w:w="874"/>
              <w:gridCol w:w="876"/>
              <w:gridCol w:w="874"/>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776" w:type="dxa"/>
                  <w:tcBorders>
                    <w:top w:val="single" w:color="auto" w:sz="4" w:space="0"/>
                    <w:left w:val="single" w:color="auto" w:sz="4" w:space="0"/>
                    <w:tl2br w:val="single" w:color="auto" w:sz="4" w:space="0"/>
                  </w:tcBorders>
                </w:tcPr>
                <w:p>
                  <w:pPr>
                    <w:adjustRightInd w:val="0"/>
                    <w:spacing w:line="0" w:lineRule="atLeast"/>
                    <w:ind w:firstLine="744" w:firstLineChars="300"/>
                    <w:jc w:val="left"/>
                    <w:rPr>
                      <w:color w:val="000000" w:themeColor="text1"/>
                      <w:spacing w:val="4"/>
                      <w:sz w:val="24"/>
                      <w:szCs w:val="24"/>
                      <w14:textFill>
                        <w14:solidFill>
                          <w14:schemeClr w14:val="tx1"/>
                        </w14:solidFill>
                      </w14:textFill>
                    </w:rPr>
                  </w:pPr>
                  <w:r>
                    <w:rPr>
                      <w:rFonts w:hint="eastAsia"/>
                      <w:color w:val="000000" w:themeColor="text1"/>
                      <w:spacing w:val="4"/>
                      <w:sz w:val="24"/>
                      <w:szCs w:val="24"/>
                      <w14:textFill>
                        <w14:solidFill>
                          <w14:schemeClr w14:val="tx1"/>
                        </w14:solidFill>
                      </w14:textFill>
                    </w:rPr>
                    <w:t>距离</w:t>
                  </w:r>
                </w:p>
                <w:p>
                  <w:pPr>
                    <w:adjustRightInd w:val="0"/>
                    <w:spacing w:line="0" w:lineRule="atLeast"/>
                    <w:jc w:val="left"/>
                    <w:rPr>
                      <w:color w:val="000000" w:themeColor="text1"/>
                      <w:spacing w:val="4"/>
                      <w:sz w:val="24"/>
                      <w:szCs w:val="24"/>
                      <w14:textFill>
                        <w14:solidFill>
                          <w14:schemeClr w14:val="tx1"/>
                        </w14:solidFill>
                      </w14:textFill>
                    </w:rPr>
                  </w:pPr>
                  <w:r>
                    <w:rPr>
                      <w:rFonts w:hint="eastAsia"/>
                      <w:color w:val="000000" w:themeColor="text1"/>
                      <w:spacing w:val="4"/>
                      <w:sz w:val="24"/>
                      <w:szCs w:val="24"/>
                      <w14:textFill>
                        <w14:solidFill>
                          <w14:schemeClr w14:val="tx1"/>
                        </w14:solidFill>
                      </w14:textFill>
                    </w:rPr>
                    <w:t>机械类型</w:t>
                  </w:r>
                </w:p>
              </w:tc>
              <w:tc>
                <w:tcPr>
                  <w:tcW w:w="875" w:type="dxa"/>
                  <w:tcBorders>
                    <w:top w:val="single" w:color="auto" w:sz="4" w:space="0"/>
                  </w:tcBorders>
                  <w:vAlign w:val="center"/>
                </w:tcPr>
                <w:p>
                  <w:pPr>
                    <w:adjustRightInd w:val="0"/>
                    <w:spacing w:line="0" w:lineRule="atLeast"/>
                    <w:jc w:val="left"/>
                    <w:rPr>
                      <w:color w:val="000000" w:themeColor="text1"/>
                      <w:spacing w:val="4"/>
                      <w:sz w:val="24"/>
                      <w:szCs w:val="24"/>
                      <w14:textFill>
                        <w14:solidFill>
                          <w14:schemeClr w14:val="tx1"/>
                        </w14:solidFill>
                      </w14:textFill>
                    </w:rPr>
                  </w:pPr>
                  <w:r>
                    <w:rPr>
                      <w:rFonts w:hint="eastAsia"/>
                      <w:color w:val="000000" w:themeColor="text1"/>
                      <w:spacing w:val="4"/>
                      <w:sz w:val="24"/>
                      <w:szCs w:val="24"/>
                      <w14:textFill>
                        <w14:solidFill>
                          <w14:schemeClr w14:val="tx1"/>
                        </w14:solidFill>
                      </w14:textFill>
                    </w:rPr>
                    <w:t>5</w:t>
                  </w:r>
                  <w:r>
                    <w:rPr>
                      <w:color w:val="000000" w:themeColor="text1"/>
                      <w:spacing w:val="4"/>
                      <w:sz w:val="24"/>
                      <w:szCs w:val="24"/>
                      <w14:textFill>
                        <w14:solidFill>
                          <w14:schemeClr w14:val="tx1"/>
                        </w14:solidFill>
                      </w14:textFill>
                    </w:rPr>
                    <w:t>m</w:t>
                  </w:r>
                </w:p>
              </w:tc>
              <w:tc>
                <w:tcPr>
                  <w:tcW w:w="877" w:type="dxa"/>
                  <w:tcBorders>
                    <w:top w:val="single" w:color="auto" w:sz="4" w:space="0"/>
                  </w:tcBorders>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10m</w:t>
                  </w:r>
                </w:p>
              </w:tc>
              <w:tc>
                <w:tcPr>
                  <w:tcW w:w="874" w:type="dxa"/>
                  <w:tcBorders>
                    <w:top w:val="single" w:color="auto" w:sz="4" w:space="0"/>
                  </w:tcBorders>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20m</w:t>
                  </w:r>
                </w:p>
              </w:tc>
              <w:tc>
                <w:tcPr>
                  <w:tcW w:w="876" w:type="dxa"/>
                  <w:tcBorders>
                    <w:top w:val="single" w:color="auto" w:sz="4" w:space="0"/>
                  </w:tcBorders>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40m</w:t>
                  </w:r>
                </w:p>
              </w:tc>
              <w:tc>
                <w:tcPr>
                  <w:tcW w:w="874" w:type="dxa"/>
                  <w:tcBorders>
                    <w:top w:val="single" w:color="auto" w:sz="4" w:space="0"/>
                  </w:tcBorders>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50m</w:t>
                  </w:r>
                </w:p>
              </w:tc>
              <w:tc>
                <w:tcPr>
                  <w:tcW w:w="876" w:type="dxa"/>
                  <w:tcBorders>
                    <w:top w:val="single" w:color="auto" w:sz="4" w:space="0"/>
                    <w:right w:val="single" w:color="auto" w:sz="4" w:space="0"/>
                  </w:tcBorders>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100m</w:t>
                  </w:r>
                </w:p>
              </w:tc>
              <w:tc>
                <w:tcPr>
                  <w:tcW w:w="874" w:type="dxa"/>
                  <w:tcBorders>
                    <w:top w:val="single" w:color="auto" w:sz="4" w:space="0"/>
                    <w:right w:val="single" w:color="auto" w:sz="4" w:space="0"/>
                  </w:tcBorders>
                  <w:vAlign w:val="center"/>
                </w:tcPr>
                <w:p>
                  <w:pPr>
                    <w:adjustRightInd w:val="0"/>
                    <w:spacing w:line="0" w:lineRule="atLeast"/>
                    <w:jc w:val="left"/>
                    <w:rPr>
                      <w:color w:val="000000" w:themeColor="text1"/>
                      <w:spacing w:val="4"/>
                      <w:sz w:val="24"/>
                      <w:szCs w:val="24"/>
                      <w14:textFill>
                        <w14:solidFill>
                          <w14:schemeClr w14:val="tx1"/>
                        </w14:solidFill>
                      </w14:textFill>
                    </w:rPr>
                  </w:pPr>
                  <w:r>
                    <w:rPr>
                      <w:rFonts w:hint="eastAsia"/>
                      <w:color w:val="000000" w:themeColor="text1"/>
                      <w:spacing w:val="4"/>
                      <w:sz w:val="24"/>
                      <w:szCs w:val="24"/>
                      <w14:textFill>
                        <w14:solidFill>
                          <w14:schemeClr w14:val="tx1"/>
                        </w14:solidFill>
                      </w14:textFill>
                    </w:rPr>
                    <w:t>120m</w:t>
                  </w:r>
                </w:p>
              </w:tc>
              <w:tc>
                <w:tcPr>
                  <w:tcW w:w="876" w:type="dxa"/>
                  <w:tcBorders>
                    <w:top w:val="single" w:color="auto" w:sz="4" w:space="0"/>
                    <w:right w:val="single" w:color="auto" w:sz="4" w:space="0"/>
                  </w:tcBorders>
                  <w:vAlign w:val="center"/>
                </w:tcPr>
                <w:p>
                  <w:pPr>
                    <w:adjustRightInd w:val="0"/>
                    <w:spacing w:line="0" w:lineRule="atLeast"/>
                    <w:jc w:val="left"/>
                    <w:rPr>
                      <w:color w:val="000000" w:themeColor="text1"/>
                      <w:spacing w:val="4"/>
                      <w:sz w:val="24"/>
                      <w:szCs w:val="24"/>
                      <w14:textFill>
                        <w14:solidFill>
                          <w14:schemeClr w14:val="tx1"/>
                        </w14:solidFill>
                      </w14:textFill>
                    </w:rPr>
                  </w:pPr>
                  <w:r>
                    <w:rPr>
                      <w:rFonts w:hint="eastAsia"/>
                      <w:color w:val="000000" w:themeColor="text1"/>
                      <w:spacing w:val="4"/>
                      <w:sz w:val="24"/>
                      <w:szCs w:val="24"/>
                      <w14:textFill>
                        <w14:solidFill>
                          <w14:schemeClr w14:val="tx1"/>
                        </w14:solidFill>
                      </w14:textFill>
                    </w:rPr>
                    <w:t>150m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776" w:type="dxa"/>
                  <w:tcBorders>
                    <w:left w:val="single" w:color="auto" w:sz="4" w:space="0"/>
                  </w:tcBorders>
                  <w:vAlign w:val="center"/>
                </w:tcPr>
                <w:p>
                  <w:pPr>
                    <w:adjustRightInd w:val="0"/>
                    <w:spacing w:line="0" w:lineRule="atLeast"/>
                    <w:jc w:val="left"/>
                    <w:rPr>
                      <w:color w:val="000000" w:themeColor="text1"/>
                      <w:spacing w:val="4"/>
                      <w:sz w:val="24"/>
                      <w:szCs w:val="24"/>
                      <w14:textFill>
                        <w14:solidFill>
                          <w14:schemeClr w14:val="tx1"/>
                        </w14:solidFill>
                      </w14:textFill>
                    </w:rPr>
                  </w:pPr>
                  <w:r>
                    <w:rPr>
                      <w:rFonts w:hint="eastAsia"/>
                      <w:color w:val="000000" w:themeColor="text1"/>
                      <w:spacing w:val="4"/>
                      <w:sz w:val="24"/>
                      <w:szCs w:val="24"/>
                      <w14:textFill>
                        <w14:solidFill>
                          <w14:schemeClr w14:val="tx1"/>
                        </w14:solidFill>
                      </w14:textFill>
                    </w:rPr>
                    <w:t>振捣机</w:t>
                  </w:r>
                </w:p>
              </w:tc>
              <w:tc>
                <w:tcPr>
                  <w:tcW w:w="875" w:type="dxa"/>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84</w:t>
                  </w:r>
                </w:p>
              </w:tc>
              <w:tc>
                <w:tcPr>
                  <w:tcW w:w="877" w:type="dxa"/>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78</w:t>
                  </w:r>
                </w:p>
              </w:tc>
              <w:tc>
                <w:tcPr>
                  <w:tcW w:w="874" w:type="dxa"/>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72</w:t>
                  </w:r>
                </w:p>
              </w:tc>
              <w:tc>
                <w:tcPr>
                  <w:tcW w:w="876" w:type="dxa"/>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66</w:t>
                  </w:r>
                </w:p>
              </w:tc>
              <w:tc>
                <w:tcPr>
                  <w:tcW w:w="874" w:type="dxa"/>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64</w:t>
                  </w:r>
                </w:p>
              </w:tc>
              <w:tc>
                <w:tcPr>
                  <w:tcW w:w="876" w:type="dxa"/>
                  <w:tcBorders>
                    <w:right w:val="single" w:color="auto" w:sz="4" w:space="0"/>
                  </w:tcBorders>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58</w:t>
                  </w:r>
                </w:p>
              </w:tc>
              <w:tc>
                <w:tcPr>
                  <w:tcW w:w="874" w:type="dxa"/>
                  <w:tcBorders>
                    <w:right w:val="single" w:color="auto" w:sz="4" w:space="0"/>
                  </w:tcBorders>
                  <w:vAlign w:val="center"/>
                </w:tcPr>
                <w:p>
                  <w:pPr>
                    <w:adjustRightInd w:val="0"/>
                    <w:spacing w:line="0" w:lineRule="atLeast"/>
                    <w:jc w:val="left"/>
                    <w:rPr>
                      <w:color w:val="000000" w:themeColor="text1"/>
                      <w:spacing w:val="4"/>
                      <w:sz w:val="24"/>
                      <w:szCs w:val="24"/>
                      <w14:textFill>
                        <w14:solidFill>
                          <w14:schemeClr w14:val="tx1"/>
                        </w14:solidFill>
                      </w14:textFill>
                    </w:rPr>
                  </w:pPr>
                  <w:r>
                    <w:rPr>
                      <w:rFonts w:hint="eastAsia"/>
                      <w:color w:val="000000" w:themeColor="text1"/>
                      <w:spacing w:val="4"/>
                      <w:sz w:val="24"/>
                      <w:szCs w:val="24"/>
                      <w14:textFill>
                        <w14:solidFill>
                          <w14:schemeClr w14:val="tx1"/>
                        </w14:solidFill>
                      </w14:textFill>
                    </w:rPr>
                    <w:t>56</w:t>
                  </w:r>
                </w:p>
              </w:tc>
              <w:tc>
                <w:tcPr>
                  <w:tcW w:w="876" w:type="dxa"/>
                  <w:tcBorders>
                    <w:right w:val="single" w:color="auto" w:sz="4" w:space="0"/>
                  </w:tcBorders>
                  <w:vAlign w:val="center"/>
                </w:tcPr>
                <w:p>
                  <w:pPr>
                    <w:adjustRightInd w:val="0"/>
                    <w:spacing w:line="0" w:lineRule="atLeast"/>
                    <w:jc w:val="left"/>
                    <w:rPr>
                      <w:color w:val="000000" w:themeColor="text1"/>
                      <w:spacing w:val="4"/>
                      <w:sz w:val="24"/>
                      <w:szCs w:val="24"/>
                      <w14:textFill>
                        <w14:solidFill>
                          <w14:schemeClr w14:val="tx1"/>
                        </w14:solidFill>
                      </w14:textFill>
                    </w:rPr>
                  </w:pPr>
                  <w:r>
                    <w:rPr>
                      <w:rFonts w:hint="eastAsia"/>
                      <w:color w:val="000000" w:themeColor="text1"/>
                      <w:spacing w:val="4"/>
                      <w:sz w:val="24"/>
                      <w:szCs w:val="24"/>
                      <w14:textFill>
                        <w14:solidFill>
                          <w14:schemeClr w14:val="tx1"/>
                        </w14:solidFill>
                      </w14:textFill>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776" w:type="dxa"/>
                  <w:tcBorders>
                    <w:left w:val="single" w:color="auto" w:sz="4" w:space="0"/>
                  </w:tcBorders>
                  <w:vAlign w:val="center"/>
                </w:tcPr>
                <w:p>
                  <w:pPr>
                    <w:adjustRightInd w:val="0"/>
                    <w:spacing w:line="0" w:lineRule="atLeast"/>
                    <w:jc w:val="left"/>
                    <w:rPr>
                      <w:color w:val="000000" w:themeColor="text1"/>
                      <w:spacing w:val="4"/>
                      <w:sz w:val="24"/>
                      <w:szCs w:val="24"/>
                      <w14:textFill>
                        <w14:solidFill>
                          <w14:schemeClr w14:val="tx1"/>
                        </w14:solidFill>
                      </w14:textFill>
                    </w:rPr>
                  </w:pPr>
                  <w:r>
                    <w:rPr>
                      <w:rFonts w:hint="eastAsia"/>
                      <w:color w:val="000000" w:themeColor="text1"/>
                      <w:spacing w:val="4"/>
                      <w:sz w:val="24"/>
                      <w:szCs w:val="24"/>
                      <w14:textFill>
                        <w14:solidFill>
                          <w14:schemeClr w14:val="tx1"/>
                        </w14:solidFill>
                      </w14:textFill>
                    </w:rPr>
                    <w:t>轮式装载机</w:t>
                  </w:r>
                </w:p>
              </w:tc>
              <w:tc>
                <w:tcPr>
                  <w:tcW w:w="875" w:type="dxa"/>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94</w:t>
                  </w:r>
                </w:p>
              </w:tc>
              <w:tc>
                <w:tcPr>
                  <w:tcW w:w="877" w:type="dxa"/>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88</w:t>
                  </w:r>
                </w:p>
              </w:tc>
              <w:tc>
                <w:tcPr>
                  <w:tcW w:w="874" w:type="dxa"/>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82</w:t>
                  </w:r>
                </w:p>
              </w:tc>
              <w:tc>
                <w:tcPr>
                  <w:tcW w:w="876" w:type="dxa"/>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76</w:t>
                  </w:r>
                </w:p>
              </w:tc>
              <w:tc>
                <w:tcPr>
                  <w:tcW w:w="874" w:type="dxa"/>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74</w:t>
                  </w:r>
                </w:p>
              </w:tc>
              <w:tc>
                <w:tcPr>
                  <w:tcW w:w="876" w:type="dxa"/>
                  <w:tcBorders>
                    <w:right w:val="single" w:color="auto" w:sz="4" w:space="0"/>
                  </w:tcBorders>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68</w:t>
                  </w:r>
                </w:p>
              </w:tc>
              <w:tc>
                <w:tcPr>
                  <w:tcW w:w="874" w:type="dxa"/>
                  <w:tcBorders>
                    <w:right w:val="single" w:color="auto" w:sz="4" w:space="0"/>
                  </w:tcBorders>
                  <w:vAlign w:val="center"/>
                </w:tcPr>
                <w:p>
                  <w:pPr>
                    <w:adjustRightInd w:val="0"/>
                    <w:spacing w:line="0" w:lineRule="atLeast"/>
                    <w:jc w:val="left"/>
                    <w:rPr>
                      <w:color w:val="000000" w:themeColor="text1"/>
                      <w:spacing w:val="4"/>
                      <w:sz w:val="24"/>
                      <w:szCs w:val="24"/>
                      <w14:textFill>
                        <w14:solidFill>
                          <w14:schemeClr w14:val="tx1"/>
                        </w14:solidFill>
                      </w14:textFill>
                    </w:rPr>
                  </w:pPr>
                  <w:r>
                    <w:rPr>
                      <w:rFonts w:hint="eastAsia"/>
                      <w:color w:val="000000" w:themeColor="text1"/>
                      <w:spacing w:val="4"/>
                      <w:sz w:val="24"/>
                      <w:szCs w:val="24"/>
                      <w14:textFill>
                        <w14:solidFill>
                          <w14:schemeClr w14:val="tx1"/>
                        </w14:solidFill>
                      </w14:textFill>
                    </w:rPr>
                    <w:t>66</w:t>
                  </w:r>
                </w:p>
              </w:tc>
              <w:tc>
                <w:tcPr>
                  <w:tcW w:w="876" w:type="dxa"/>
                  <w:tcBorders>
                    <w:right w:val="single" w:color="auto" w:sz="4" w:space="0"/>
                  </w:tcBorders>
                  <w:vAlign w:val="center"/>
                </w:tcPr>
                <w:p>
                  <w:pPr>
                    <w:adjustRightInd w:val="0"/>
                    <w:spacing w:line="0" w:lineRule="atLeast"/>
                    <w:jc w:val="left"/>
                    <w:rPr>
                      <w:color w:val="000000" w:themeColor="text1"/>
                      <w:spacing w:val="4"/>
                      <w:sz w:val="24"/>
                      <w:szCs w:val="24"/>
                      <w14:textFill>
                        <w14:solidFill>
                          <w14:schemeClr w14:val="tx1"/>
                        </w14:solidFill>
                      </w14:textFill>
                    </w:rPr>
                  </w:pPr>
                  <w:r>
                    <w:rPr>
                      <w:rFonts w:hint="eastAsia"/>
                      <w:color w:val="000000" w:themeColor="text1"/>
                      <w:spacing w:val="4"/>
                      <w:sz w:val="24"/>
                      <w:szCs w:val="24"/>
                      <w14:textFill>
                        <w14:solidFill>
                          <w14:schemeClr w14:val="tx1"/>
                        </w14:solidFill>
                      </w14:textFill>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776" w:type="dxa"/>
                  <w:tcBorders>
                    <w:left w:val="single" w:color="auto" w:sz="4" w:space="0"/>
                  </w:tcBorders>
                  <w:vAlign w:val="center"/>
                </w:tcPr>
                <w:p>
                  <w:pPr>
                    <w:adjustRightInd w:val="0"/>
                    <w:spacing w:line="0" w:lineRule="atLeast"/>
                    <w:jc w:val="left"/>
                    <w:rPr>
                      <w:color w:val="000000" w:themeColor="text1"/>
                      <w:spacing w:val="4"/>
                      <w:sz w:val="24"/>
                      <w:szCs w:val="24"/>
                      <w14:textFill>
                        <w14:solidFill>
                          <w14:schemeClr w14:val="tx1"/>
                        </w14:solidFill>
                      </w14:textFill>
                    </w:rPr>
                  </w:pPr>
                  <w:r>
                    <w:rPr>
                      <w:rFonts w:hint="eastAsia"/>
                      <w:color w:val="000000" w:themeColor="text1"/>
                      <w:spacing w:val="4"/>
                      <w:sz w:val="24"/>
                      <w:szCs w:val="24"/>
                      <w14:textFill>
                        <w14:solidFill>
                          <w14:schemeClr w14:val="tx1"/>
                        </w14:solidFill>
                      </w14:textFill>
                    </w:rPr>
                    <w:t>卡车</w:t>
                  </w:r>
                </w:p>
              </w:tc>
              <w:tc>
                <w:tcPr>
                  <w:tcW w:w="875" w:type="dxa"/>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92</w:t>
                  </w:r>
                </w:p>
              </w:tc>
              <w:tc>
                <w:tcPr>
                  <w:tcW w:w="877" w:type="dxa"/>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86</w:t>
                  </w:r>
                </w:p>
              </w:tc>
              <w:tc>
                <w:tcPr>
                  <w:tcW w:w="874" w:type="dxa"/>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80</w:t>
                  </w:r>
                </w:p>
              </w:tc>
              <w:tc>
                <w:tcPr>
                  <w:tcW w:w="876" w:type="dxa"/>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74</w:t>
                  </w:r>
                </w:p>
              </w:tc>
              <w:tc>
                <w:tcPr>
                  <w:tcW w:w="874" w:type="dxa"/>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72</w:t>
                  </w:r>
                </w:p>
              </w:tc>
              <w:tc>
                <w:tcPr>
                  <w:tcW w:w="876" w:type="dxa"/>
                  <w:tcBorders>
                    <w:right w:val="single" w:color="auto" w:sz="4" w:space="0"/>
                  </w:tcBorders>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66</w:t>
                  </w:r>
                </w:p>
              </w:tc>
              <w:tc>
                <w:tcPr>
                  <w:tcW w:w="874" w:type="dxa"/>
                  <w:tcBorders>
                    <w:right w:val="single" w:color="auto" w:sz="4" w:space="0"/>
                  </w:tcBorders>
                  <w:vAlign w:val="center"/>
                </w:tcPr>
                <w:p>
                  <w:pPr>
                    <w:adjustRightInd w:val="0"/>
                    <w:spacing w:line="0" w:lineRule="atLeast"/>
                    <w:jc w:val="left"/>
                    <w:rPr>
                      <w:color w:val="000000" w:themeColor="text1"/>
                      <w:spacing w:val="4"/>
                      <w:sz w:val="24"/>
                      <w:szCs w:val="24"/>
                      <w14:textFill>
                        <w14:solidFill>
                          <w14:schemeClr w14:val="tx1"/>
                        </w14:solidFill>
                      </w14:textFill>
                    </w:rPr>
                  </w:pPr>
                  <w:r>
                    <w:rPr>
                      <w:rFonts w:hint="eastAsia"/>
                      <w:color w:val="000000" w:themeColor="text1"/>
                      <w:spacing w:val="4"/>
                      <w:sz w:val="24"/>
                      <w:szCs w:val="24"/>
                      <w14:textFill>
                        <w14:solidFill>
                          <w14:schemeClr w14:val="tx1"/>
                        </w14:solidFill>
                      </w14:textFill>
                    </w:rPr>
                    <w:t>64</w:t>
                  </w:r>
                </w:p>
              </w:tc>
              <w:tc>
                <w:tcPr>
                  <w:tcW w:w="876" w:type="dxa"/>
                  <w:tcBorders>
                    <w:right w:val="single" w:color="auto" w:sz="4" w:space="0"/>
                  </w:tcBorders>
                  <w:vAlign w:val="center"/>
                </w:tcPr>
                <w:p>
                  <w:pPr>
                    <w:adjustRightInd w:val="0"/>
                    <w:spacing w:line="0" w:lineRule="atLeast"/>
                    <w:jc w:val="left"/>
                    <w:rPr>
                      <w:color w:val="000000" w:themeColor="text1"/>
                      <w:spacing w:val="4"/>
                      <w:sz w:val="24"/>
                      <w:szCs w:val="24"/>
                      <w14:textFill>
                        <w14:solidFill>
                          <w14:schemeClr w14:val="tx1"/>
                        </w14:solidFill>
                      </w14:textFill>
                    </w:rPr>
                  </w:pPr>
                  <w:r>
                    <w:rPr>
                      <w:rFonts w:hint="eastAsia"/>
                      <w:color w:val="000000" w:themeColor="text1"/>
                      <w:spacing w:val="4"/>
                      <w:sz w:val="24"/>
                      <w:szCs w:val="24"/>
                      <w14:textFill>
                        <w14:solidFill>
                          <w14:schemeClr w14:val="tx1"/>
                        </w14:solidFill>
                      </w14:textFill>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776" w:type="dxa"/>
                  <w:tcBorders>
                    <w:left w:val="single" w:color="auto" w:sz="4" w:space="0"/>
                  </w:tcBorders>
                  <w:vAlign w:val="center"/>
                </w:tcPr>
                <w:p>
                  <w:pPr>
                    <w:adjustRightInd w:val="0"/>
                    <w:spacing w:line="0" w:lineRule="atLeast"/>
                    <w:jc w:val="left"/>
                    <w:rPr>
                      <w:color w:val="000000" w:themeColor="text1"/>
                      <w:spacing w:val="4"/>
                      <w:sz w:val="24"/>
                      <w:szCs w:val="24"/>
                      <w14:textFill>
                        <w14:solidFill>
                          <w14:schemeClr w14:val="tx1"/>
                        </w14:solidFill>
                      </w14:textFill>
                    </w:rPr>
                  </w:pPr>
                  <w:r>
                    <w:rPr>
                      <w:rFonts w:hint="eastAsia"/>
                      <w:color w:val="000000" w:themeColor="text1"/>
                      <w:spacing w:val="4"/>
                      <w:sz w:val="24"/>
                      <w:szCs w:val="24"/>
                      <w14:textFill>
                        <w14:solidFill>
                          <w14:schemeClr w14:val="tx1"/>
                        </w14:solidFill>
                      </w14:textFill>
                    </w:rPr>
                    <w:t>移动式吊车</w:t>
                  </w:r>
                </w:p>
              </w:tc>
              <w:tc>
                <w:tcPr>
                  <w:tcW w:w="875" w:type="dxa"/>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96</w:t>
                  </w:r>
                </w:p>
              </w:tc>
              <w:tc>
                <w:tcPr>
                  <w:tcW w:w="877" w:type="dxa"/>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90</w:t>
                  </w:r>
                </w:p>
              </w:tc>
              <w:tc>
                <w:tcPr>
                  <w:tcW w:w="874" w:type="dxa"/>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84</w:t>
                  </w:r>
                </w:p>
              </w:tc>
              <w:tc>
                <w:tcPr>
                  <w:tcW w:w="876" w:type="dxa"/>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78</w:t>
                  </w:r>
                </w:p>
              </w:tc>
              <w:tc>
                <w:tcPr>
                  <w:tcW w:w="874" w:type="dxa"/>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76</w:t>
                  </w:r>
                </w:p>
              </w:tc>
              <w:tc>
                <w:tcPr>
                  <w:tcW w:w="876" w:type="dxa"/>
                  <w:tcBorders>
                    <w:right w:val="single" w:color="auto" w:sz="4" w:space="0"/>
                  </w:tcBorders>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70</w:t>
                  </w:r>
                </w:p>
              </w:tc>
              <w:tc>
                <w:tcPr>
                  <w:tcW w:w="874" w:type="dxa"/>
                  <w:tcBorders>
                    <w:right w:val="single" w:color="auto" w:sz="4" w:space="0"/>
                  </w:tcBorders>
                  <w:vAlign w:val="center"/>
                </w:tcPr>
                <w:p>
                  <w:pPr>
                    <w:adjustRightInd w:val="0"/>
                    <w:spacing w:line="0" w:lineRule="atLeast"/>
                    <w:jc w:val="left"/>
                    <w:rPr>
                      <w:color w:val="000000" w:themeColor="text1"/>
                      <w:spacing w:val="4"/>
                      <w:sz w:val="24"/>
                      <w:szCs w:val="24"/>
                      <w14:textFill>
                        <w14:solidFill>
                          <w14:schemeClr w14:val="tx1"/>
                        </w14:solidFill>
                      </w14:textFill>
                    </w:rPr>
                  </w:pPr>
                  <w:r>
                    <w:rPr>
                      <w:rFonts w:hint="eastAsia"/>
                      <w:color w:val="000000" w:themeColor="text1"/>
                      <w:spacing w:val="4"/>
                      <w:sz w:val="24"/>
                      <w:szCs w:val="24"/>
                      <w14:textFill>
                        <w14:solidFill>
                          <w14:schemeClr w14:val="tx1"/>
                        </w14:solidFill>
                      </w14:textFill>
                    </w:rPr>
                    <w:t>68</w:t>
                  </w:r>
                </w:p>
              </w:tc>
              <w:tc>
                <w:tcPr>
                  <w:tcW w:w="876" w:type="dxa"/>
                  <w:tcBorders>
                    <w:right w:val="single" w:color="auto" w:sz="4" w:space="0"/>
                  </w:tcBorders>
                  <w:vAlign w:val="center"/>
                </w:tcPr>
                <w:p>
                  <w:pPr>
                    <w:adjustRightInd w:val="0"/>
                    <w:spacing w:line="0" w:lineRule="atLeast"/>
                    <w:jc w:val="left"/>
                    <w:rPr>
                      <w:color w:val="000000" w:themeColor="text1"/>
                      <w:spacing w:val="4"/>
                      <w:sz w:val="24"/>
                      <w:szCs w:val="24"/>
                      <w14:textFill>
                        <w14:solidFill>
                          <w14:schemeClr w14:val="tx1"/>
                        </w14:solidFill>
                      </w14:textFill>
                    </w:rPr>
                  </w:pPr>
                  <w:r>
                    <w:rPr>
                      <w:rFonts w:hint="eastAsia"/>
                      <w:color w:val="000000" w:themeColor="text1"/>
                      <w:spacing w:val="4"/>
                      <w:sz w:val="24"/>
                      <w:szCs w:val="24"/>
                      <w14:textFill>
                        <w14:solidFill>
                          <w14:schemeClr w14:val="tx1"/>
                        </w14:solidFill>
                      </w14:textFill>
                    </w:rP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776" w:type="dxa"/>
                  <w:tcBorders>
                    <w:left w:val="single" w:color="auto" w:sz="4" w:space="0"/>
                  </w:tcBorders>
                  <w:vAlign w:val="center"/>
                </w:tcPr>
                <w:p>
                  <w:pPr>
                    <w:adjustRightInd w:val="0"/>
                    <w:spacing w:line="0" w:lineRule="atLeast"/>
                    <w:jc w:val="left"/>
                    <w:rPr>
                      <w:color w:val="000000" w:themeColor="text1"/>
                      <w:spacing w:val="4"/>
                      <w:sz w:val="24"/>
                      <w:szCs w:val="24"/>
                      <w14:textFill>
                        <w14:solidFill>
                          <w14:schemeClr w14:val="tx1"/>
                        </w14:solidFill>
                      </w14:textFill>
                    </w:rPr>
                  </w:pPr>
                  <w:r>
                    <w:rPr>
                      <w:rFonts w:hint="eastAsia"/>
                      <w:color w:val="000000" w:themeColor="text1"/>
                      <w:spacing w:val="4"/>
                      <w:sz w:val="24"/>
                      <w:szCs w:val="24"/>
                      <w14:textFill>
                        <w14:solidFill>
                          <w14:schemeClr w14:val="tx1"/>
                        </w14:solidFill>
                      </w14:textFill>
                    </w:rPr>
                    <w:t>推土机</w:t>
                  </w:r>
                </w:p>
              </w:tc>
              <w:tc>
                <w:tcPr>
                  <w:tcW w:w="875" w:type="dxa"/>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86</w:t>
                  </w:r>
                </w:p>
              </w:tc>
              <w:tc>
                <w:tcPr>
                  <w:tcW w:w="877" w:type="dxa"/>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80</w:t>
                  </w:r>
                </w:p>
              </w:tc>
              <w:tc>
                <w:tcPr>
                  <w:tcW w:w="874" w:type="dxa"/>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74</w:t>
                  </w:r>
                </w:p>
              </w:tc>
              <w:tc>
                <w:tcPr>
                  <w:tcW w:w="876" w:type="dxa"/>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68</w:t>
                  </w:r>
                </w:p>
              </w:tc>
              <w:tc>
                <w:tcPr>
                  <w:tcW w:w="874" w:type="dxa"/>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66</w:t>
                  </w:r>
                </w:p>
              </w:tc>
              <w:tc>
                <w:tcPr>
                  <w:tcW w:w="876" w:type="dxa"/>
                  <w:tcBorders>
                    <w:right w:val="single" w:color="auto" w:sz="4" w:space="0"/>
                  </w:tcBorders>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60</w:t>
                  </w:r>
                </w:p>
              </w:tc>
              <w:tc>
                <w:tcPr>
                  <w:tcW w:w="874" w:type="dxa"/>
                  <w:tcBorders>
                    <w:right w:val="single" w:color="auto" w:sz="4" w:space="0"/>
                  </w:tcBorders>
                  <w:vAlign w:val="center"/>
                </w:tcPr>
                <w:p>
                  <w:pPr>
                    <w:adjustRightInd w:val="0"/>
                    <w:spacing w:line="0" w:lineRule="atLeast"/>
                    <w:jc w:val="left"/>
                    <w:rPr>
                      <w:color w:val="000000" w:themeColor="text1"/>
                      <w:spacing w:val="4"/>
                      <w:sz w:val="24"/>
                      <w:szCs w:val="24"/>
                      <w14:textFill>
                        <w14:solidFill>
                          <w14:schemeClr w14:val="tx1"/>
                        </w14:solidFill>
                      </w14:textFill>
                    </w:rPr>
                  </w:pPr>
                  <w:r>
                    <w:rPr>
                      <w:rFonts w:hint="eastAsia"/>
                      <w:color w:val="000000" w:themeColor="text1"/>
                      <w:spacing w:val="4"/>
                      <w:sz w:val="24"/>
                      <w:szCs w:val="24"/>
                      <w14:textFill>
                        <w14:solidFill>
                          <w14:schemeClr w14:val="tx1"/>
                        </w14:solidFill>
                      </w14:textFill>
                    </w:rPr>
                    <w:t>58</w:t>
                  </w:r>
                </w:p>
              </w:tc>
              <w:tc>
                <w:tcPr>
                  <w:tcW w:w="876" w:type="dxa"/>
                  <w:tcBorders>
                    <w:right w:val="single" w:color="auto" w:sz="4" w:space="0"/>
                  </w:tcBorders>
                  <w:vAlign w:val="center"/>
                </w:tcPr>
                <w:p>
                  <w:pPr>
                    <w:adjustRightInd w:val="0"/>
                    <w:spacing w:line="0" w:lineRule="atLeast"/>
                    <w:jc w:val="left"/>
                    <w:rPr>
                      <w:color w:val="000000" w:themeColor="text1"/>
                      <w:spacing w:val="4"/>
                      <w:sz w:val="24"/>
                      <w:szCs w:val="24"/>
                      <w14:textFill>
                        <w14:solidFill>
                          <w14:schemeClr w14:val="tx1"/>
                        </w14:solidFill>
                      </w14:textFill>
                    </w:rPr>
                  </w:pPr>
                  <w:r>
                    <w:rPr>
                      <w:rFonts w:hint="eastAsia"/>
                      <w:color w:val="000000" w:themeColor="text1"/>
                      <w:spacing w:val="4"/>
                      <w:sz w:val="24"/>
                      <w:szCs w:val="24"/>
                      <w14:textFill>
                        <w14:solidFill>
                          <w14:schemeClr w14:val="tx1"/>
                        </w14:solidFill>
                      </w14:textFill>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776" w:type="dxa"/>
                  <w:tcBorders>
                    <w:left w:val="single" w:color="auto" w:sz="4" w:space="0"/>
                  </w:tcBorders>
                  <w:vAlign w:val="center"/>
                </w:tcPr>
                <w:p>
                  <w:pPr>
                    <w:adjustRightInd w:val="0"/>
                    <w:spacing w:line="0" w:lineRule="atLeast"/>
                    <w:jc w:val="left"/>
                    <w:rPr>
                      <w:color w:val="000000" w:themeColor="text1"/>
                      <w:spacing w:val="-4"/>
                      <w:sz w:val="24"/>
                      <w:szCs w:val="24"/>
                      <w14:textFill>
                        <w14:solidFill>
                          <w14:schemeClr w14:val="tx1"/>
                        </w14:solidFill>
                      </w14:textFill>
                    </w:rPr>
                  </w:pPr>
                  <w:r>
                    <w:rPr>
                      <w:rFonts w:hint="eastAsia"/>
                      <w:color w:val="000000" w:themeColor="text1"/>
                      <w:spacing w:val="-4"/>
                      <w:sz w:val="24"/>
                      <w:szCs w:val="24"/>
                      <w14:textFill>
                        <w14:solidFill>
                          <w14:schemeClr w14:val="tx1"/>
                        </w14:solidFill>
                      </w14:textFill>
                    </w:rPr>
                    <w:t>轮式液压挖掘机</w:t>
                  </w:r>
                </w:p>
              </w:tc>
              <w:tc>
                <w:tcPr>
                  <w:tcW w:w="875" w:type="dxa"/>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84</w:t>
                  </w:r>
                </w:p>
              </w:tc>
              <w:tc>
                <w:tcPr>
                  <w:tcW w:w="877" w:type="dxa"/>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78</w:t>
                  </w:r>
                </w:p>
              </w:tc>
              <w:tc>
                <w:tcPr>
                  <w:tcW w:w="874" w:type="dxa"/>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72</w:t>
                  </w:r>
                </w:p>
              </w:tc>
              <w:tc>
                <w:tcPr>
                  <w:tcW w:w="876" w:type="dxa"/>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66</w:t>
                  </w:r>
                </w:p>
              </w:tc>
              <w:tc>
                <w:tcPr>
                  <w:tcW w:w="874" w:type="dxa"/>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64</w:t>
                  </w:r>
                </w:p>
              </w:tc>
              <w:tc>
                <w:tcPr>
                  <w:tcW w:w="876" w:type="dxa"/>
                  <w:tcBorders>
                    <w:right w:val="single" w:color="auto" w:sz="4" w:space="0"/>
                  </w:tcBorders>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58</w:t>
                  </w:r>
                </w:p>
              </w:tc>
              <w:tc>
                <w:tcPr>
                  <w:tcW w:w="874" w:type="dxa"/>
                  <w:tcBorders>
                    <w:right w:val="single" w:color="auto" w:sz="4" w:space="0"/>
                  </w:tcBorders>
                  <w:vAlign w:val="center"/>
                </w:tcPr>
                <w:p>
                  <w:pPr>
                    <w:adjustRightInd w:val="0"/>
                    <w:spacing w:line="0" w:lineRule="atLeast"/>
                    <w:jc w:val="left"/>
                    <w:rPr>
                      <w:color w:val="000000" w:themeColor="text1"/>
                      <w:spacing w:val="4"/>
                      <w:sz w:val="24"/>
                      <w:szCs w:val="24"/>
                      <w14:textFill>
                        <w14:solidFill>
                          <w14:schemeClr w14:val="tx1"/>
                        </w14:solidFill>
                      </w14:textFill>
                    </w:rPr>
                  </w:pPr>
                  <w:r>
                    <w:rPr>
                      <w:rFonts w:hint="eastAsia"/>
                      <w:color w:val="000000" w:themeColor="text1"/>
                      <w:spacing w:val="4"/>
                      <w:sz w:val="24"/>
                      <w:szCs w:val="24"/>
                      <w14:textFill>
                        <w14:solidFill>
                          <w14:schemeClr w14:val="tx1"/>
                        </w14:solidFill>
                      </w14:textFill>
                    </w:rPr>
                    <w:t>56</w:t>
                  </w:r>
                </w:p>
              </w:tc>
              <w:tc>
                <w:tcPr>
                  <w:tcW w:w="876" w:type="dxa"/>
                  <w:tcBorders>
                    <w:right w:val="single" w:color="auto" w:sz="4" w:space="0"/>
                  </w:tcBorders>
                  <w:vAlign w:val="center"/>
                </w:tcPr>
                <w:p>
                  <w:pPr>
                    <w:adjustRightInd w:val="0"/>
                    <w:spacing w:line="0" w:lineRule="atLeast"/>
                    <w:jc w:val="left"/>
                    <w:rPr>
                      <w:color w:val="000000" w:themeColor="text1"/>
                      <w:spacing w:val="4"/>
                      <w:sz w:val="24"/>
                      <w:szCs w:val="24"/>
                      <w14:textFill>
                        <w14:solidFill>
                          <w14:schemeClr w14:val="tx1"/>
                        </w14:solidFill>
                      </w14:textFill>
                    </w:rPr>
                  </w:pPr>
                  <w:r>
                    <w:rPr>
                      <w:rFonts w:hint="eastAsia"/>
                      <w:color w:val="000000" w:themeColor="text1"/>
                      <w:spacing w:val="4"/>
                      <w:sz w:val="24"/>
                      <w:szCs w:val="24"/>
                      <w14:textFill>
                        <w14:solidFill>
                          <w14:schemeClr w14:val="tx1"/>
                        </w14:solidFill>
                      </w14:textFill>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776" w:type="dxa"/>
                  <w:tcBorders>
                    <w:left w:val="single" w:color="auto" w:sz="4" w:space="0"/>
                    <w:bottom w:val="single" w:color="auto" w:sz="4" w:space="0"/>
                  </w:tcBorders>
                  <w:vAlign w:val="center"/>
                </w:tcPr>
                <w:p>
                  <w:pPr>
                    <w:adjustRightInd w:val="0"/>
                    <w:spacing w:line="0" w:lineRule="atLeast"/>
                    <w:jc w:val="left"/>
                    <w:rPr>
                      <w:color w:val="000000" w:themeColor="text1"/>
                      <w:spacing w:val="4"/>
                      <w:sz w:val="24"/>
                      <w:szCs w:val="24"/>
                      <w14:textFill>
                        <w14:solidFill>
                          <w14:schemeClr w14:val="tx1"/>
                        </w14:solidFill>
                      </w14:textFill>
                    </w:rPr>
                  </w:pPr>
                  <w:r>
                    <w:rPr>
                      <w:rFonts w:hint="eastAsia"/>
                      <w:color w:val="000000" w:themeColor="text1"/>
                      <w:spacing w:val="4"/>
                      <w:sz w:val="24"/>
                      <w:szCs w:val="24"/>
                      <w14:textFill>
                        <w14:solidFill>
                          <w14:schemeClr w14:val="tx1"/>
                        </w14:solidFill>
                      </w14:textFill>
                    </w:rPr>
                    <w:t>气动扳手</w:t>
                  </w:r>
                </w:p>
              </w:tc>
              <w:tc>
                <w:tcPr>
                  <w:tcW w:w="875" w:type="dxa"/>
                  <w:tcBorders>
                    <w:bottom w:val="single" w:color="auto" w:sz="4" w:space="0"/>
                  </w:tcBorders>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85</w:t>
                  </w:r>
                </w:p>
              </w:tc>
              <w:tc>
                <w:tcPr>
                  <w:tcW w:w="877" w:type="dxa"/>
                  <w:tcBorders>
                    <w:bottom w:val="single" w:color="auto" w:sz="4" w:space="0"/>
                  </w:tcBorders>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79</w:t>
                  </w:r>
                </w:p>
              </w:tc>
              <w:tc>
                <w:tcPr>
                  <w:tcW w:w="874" w:type="dxa"/>
                  <w:tcBorders>
                    <w:bottom w:val="single" w:color="auto" w:sz="4" w:space="0"/>
                  </w:tcBorders>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73</w:t>
                  </w:r>
                </w:p>
              </w:tc>
              <w:tc>
                <w:tcPr>
                  <w:tcW w:w="876" w:type="dxa"/>
                  <w:tcBorders>
                    <w:bottom w:val="single" w:color="auto" w:sz="4" w:space="0"/>
                  </w:tcBorders>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67</w:t>
                  </w:r>
                </w:p>
              </w:tc>
              <w:tc>
                <w:tcPr>
                  <w:tcW w:w="874" w:type="dxa"/>
                  <w:tcBorders>
                    <w:bottom w:val="single" w:color="auto" w:sz="4" w:space="0"/>
                  </w:tcBorders>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65</w:t>
                  </w:r>
                </w:p>
              </w:tc>
              <w:tc>
                <w:tcPr>
                  <w:tcW w:w="876" w:type="dxa"/>
                  <w:tcBorders>
                    <w:bottom w:val="single" w:color="auto" w:sz="4" w:space="0"/>
                    <w:right w:val="single" w:color="auto" w:sz="4" w:space="0"/>
                  </w:tcBorders>
                  <w:vAlign w:val="center"/>
                </w:tcPr>
                <w:p>
                  <w:pPr>
                    <w:adjustRightInd w:val="0"/>
                    <w:spacing w:line="0" w:lineRule="atLeast"/>
                    <w:jc w:val="left"/>
                    <w:rPr>
                      <w:color w:val="000000" w:themeColor="text1"/>
                      <w:spacing w:val="4"/>
                      <w:sz w:val="24"/>
                      <w:szCs w:val="24"/>
                      <w14:textFill>
                        <w14:solidFill>
                          <w14:schemeClr w14:val="tx1"/>
                        </w14:solidFill>
                      </w14:textFill>
                    </w:rPr>
                  </w:pPr>
                  <w:r>
                    <w:rPr>
                      <w:color w:val="000000" w:themeColor="text1"/>
                      <w:spacing w:val="4"/>
                      <w:sz w:val="24"/>
                      <w:szCs w:val="24"/>
                      <w14:textFill>
                        <w14:solidFill>
                          <w14:schemeClr w14:val="tx1"/>
                        </w14:solidFill>
                      </w14:textFill>
                    </w:rPr>
                    <w:t>59</w:t>
                  </w:r>
                </w:p>
              </w:tc>
              <w:tc>
                <w:tcPr>
                  <w:tcW w:w="874" w:type="dxa"/>
                  <w:tcBorders>
                    <w:bottom w:val="single" w:color="auto" w:sz="4" w:space="0"/>
                    <w:right w:val="single" w:color="auto" w:sz="4" w:space="0"/>
                  </w:tcBorders>
                  <w:vAlign w:val="center"/>
                </w:tcPr>
                <w:p>
                  <w:pPr>
                    <w:adjustRightInd w:val="0"/>
                    <w:spacing w:line="0" w:lineRule="atLeast"/>
                    <w:jc w:val="left"/>
                    <w:rPr>
                      <w:color w:val="000000" w:themeColor="text1"/>
                      <w:spacing w:val="4"/>
                      <w:sz w:val="24"/>
                      <w:szCs w:val="24"/>
                      <w14:textFill>
                        <w14:solidFill>
                          <w14:schemeClr w14:val="tx1"/>
                        </w14:solidFill>
                      </w14:textFill>
                    </w:rPr>
                  </w:pPr>
                  <w:r>
                    <w:rPr>
                      <w:rFonts w:hint="eastAsia"/>
                      <w:color w:val="000000" w:themeColor="text1"/>
                      <w:spacing w:val="4"/>
                      <w:sz w:val="24"/>
                      <w:szCs w:val="24"/>
                      <w14:textFill>
                        <w14:solidFill>
                          <w14:schemeClr w14:val="tx1"/>
                        </w14:solidFill>
                      </w14:textFill>
                    </w:rPr>
                    <w:t>57</w:t>
                  </w:r>
                </w:p>
              </w:tc>
              <w:tc>
                <w:tcPr>
                  <w:tcW w:w="876" w:type="dxa"/>
                  <w:tcBorders>
                    <w:bottom w:val="single" w:color="auto" w:sz="4" w:space="0"/>
                    <w:right w:val="single" w:color="auto" w:sz="4" w:space="0"/>
                  </w:tcBorders>
                  <w:vAlign w:val="center"/>
                </w:tcPr>
                <w:p>
                  <w:pPr>
                    <w:adjustRightInd w:val="0"/>
                    <w:spacing w:line="0" w:lineRule="atLeast"/>
                    <w:jc w:val="left"/>
                    <w:rPr>
                      <w:color w:val="000000" w:themeColor="text1"/>
                      <w:spacing w:val="4"/>
                      <w:sz w:val="24"/>
                      <w:szCs w:val="24"/>
                      <w14:textFill>
                        <w14:solidFill>
                          <w14:schemeClr w14:val="tx1"/>
                        </w14:solidFill>
                      </w14:textFill>
                    </w:rPr>
                  </w:pPr>
                  <w:r>
                    <w:rPr>
                      <w:rFonts w:hint="eastAsia"/>
                      <w:color w:val="000000" w:themeColor="text1"/>
                      <w:spacing w:val="4"/>
                      <w:sz w:val="24"/>
                      <w:szCs w:val="24"/>
                      <w14:textFill>
                        <w14:solidFill>
                          <w14:schemeClr w14:val="tx1"/>
                        </w14:solidFill>
                      </w14:textFill>
                    </w:rPr>
                    <w:t>55</w:t>
                  </w:r>
                </w:p>
              </w:tc>
            </w:tr>
          </w:tbl>
          <w:p>
            <w:pPr>
              <w:spacing w:line="480" w:lineRule="exact"/>
              <w:jc w:val="center"/>
              <w:rPr>
                <w:b/>
                <w:bCs/>
                <w:color w:val="000000" w:themeColor="text1"/>
                <w:spacing w:val="4"/>
                <w:sz w:val="24"/>
                <w14:textFill>
                  <w14:solidFill>
                    <w14:schemeClr w14:val="tx1"/>
                  </w14:solidFill>
                </w14:textFill>
              </w:rPr>
            </w:pPr>
            <w:r>
              <w:rPr>
                <w:rFonts w:hint="eastAsia"/>
                <w:b/>
                <w:bCs/>
                <w:color w:val="000000" w:themeColor="text1"/>
                <w:spacing w:val="4"/>
                <w:sz w:val="24"/>
                <w14:textFill>
                  <w14:solidFill>
                    <w14:schemeClr w14:val="tx1"/>
                  </w14:solidFill>
                </w14:textFill>
              </w:rPr>
              <w:t>表7</w:t>
            </w:r>
            <w:r>
              <w:rPr>
                <w:rFonts w:hint="eastAsia"/>
                <w:b/>
                <w:bCs/>
                <w:color w:val="000000" w:themeColor="text1"/>
                <w:spacing w:val="4"/>
                <w:sz w:val="24"/>
                <w:lang w:val="en-US" w:eastAsia="zh-CN"/>
                <w14:textFill>
                  <w14:solidFill>
                    <w14:schemeClr w14:val="tx1"/>
                  </w14:solidFill>
                </w14:textFill>
              </w:rPr>
              <w:t>-2</w:t>
            </w:r>
            <w:r>
              <w:rPr>
                <w:rFonts w:hint="eastAsia"/>
                <w:b/>
                <w:bCs/>
                <w:color w:val="000000" w:themeColor="text1"/>
                <w:spacing w:val="4"/>
                <w:sz w:val="24"/>
                <w14:textFill>
                  <w14:solidFill>
                    <w14:schemeClr w14:val="tx1"/>
                  </w14:solidFill>
                </w14:textFill>
              </w:rPr>
              <w:t xml:space="preserve">  建筑施工场界噪声限值单位：</w:t>
            </w:r>
            <w:r>
              <w:rPr>
                <w:b/>
                <w:bCs/>
                <w:color w:val="000000" w:themeColor="text1"/>
                <w:spacing w:val="4"/>
                <w:sz w:val="24"/>
                <w14:textFill>
                  <w14:solidFill>
                    <w14:schemeClr w14:val="tx1"/>
                  </w14:solidFill>
                </w14:textFill>
              </w:rPr>
              <w:t>d</w:t>
            </w:r>
            <w:r>
              <w:rPr>
                <w:rFonts w:hint="eastAsia"/>
                <w:b/>
                <w:bCs/>
                <w:color w:val="000000" w:themeColor="text1"/>
                <w:spacing w:val="4"/>
                <w:sz w:val="24"/>
                <w14:textFill>
                  <w14:solidFill>
                    <w14:schemeClr w14:val="tx1"/>
                  </w14:solidFill>
                </w14:textFill>
              </w:rPr>
              <w:t>B</w:t>
            </w:r>
            <w:r>
              <w:rPr>
                <w:b/>
                <w:bCs/>
                <w:color w:val="000000" w:themeColor="text1"/>
                <w:spacing w:val="4"/>
                <w:sz w:val="24"/>
                <w14:textFill>
                  <w14:solidFill>
                    <w14:schemeClr w14:val="tx1"/>
                  </w14:solidFill>
                </w14:textFill>
              </w:rPr>
              <w:t>(</w:t>
            </w:r>
            <w:r>
              <w:rPr>
                <w:rFonts w:hint="eastAsia"/>
                <w:b/>
                <w:bCs/>
                <w:color w:val="000000" w:themeColor="text1"/>
                <w:spacing w:val="4"/>
                <w:sz w:val="24"/>
                <w14:textFill>
                  <w14:solidFill>
                    <w14:schemeClr w14:val="tx1"/>
                  </w14:solidFill>
                </w14:textFill>
              </w:rPr>
              <w:t>A</w:t>
            </w:r>
            <w:r>
              <w:rPr>
                <w:b/>
                <w:bCs/>
                <w:color w:val="000000" w:themeColor="text1"/>
                <w:spacing w:val="4"/>
                <w:sz w:val="24"/>
                <w14:textFill>
                  <w14:solidFill>
                    <w14:schemeClr w14:val="tx1"/>
                  </w14:solidFill>
                </w14:textFill>
              </w:rPr>
              <w:t>)</w:t>
            </w:r>
          </w:p>
          <w:tbl>
            <w:tblPr>
              <w:tblStyle w:val="42"/>
              <w:tblW w:w="877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05"/>
              <w:gridCol w:w="40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4705" w:type="dxa"/>
                  <w:vAlign w:val="center"/>
                </w:tcPr>
                <w:p>
                  <w:pPr>
                    <w:adjustRightInd w:val="0"/>
                    <w:spacing w:line="0" w:lineRule="atLeast"/>
                    <w:jc w:val="left"/>
                    <w:rPr>
                      <w:color w:val="000000" w:themeColor="text1"/>
                      <w:spacing w:val="4"/>
                      <w:sz w:val="24"/>
                      <w:szCs w:val="24"/>
                      <w14:textFill>
                        <w14:solidFill>
                          <w14:schemeClr w14:val="tx1"/>
                        </w14:solidFill>
                      </w14:textFill>
                    </w:rPr>
                  </w:pPr>
                  <w:r>
                    <w:rPr>
                      <w:rFonts w:hint="eastAsia"/>
                      <w:color w:val="000000" w:themeColor="text1"/>
                      <w:spacing w:val="4"/>
                      <w:sz w:val="24"/>
                      <w:szCs w:val="24"/>
                      <w14:textFill>
                        <w14:solidFill>
                          <w14:schemeClr w14:val="tx1"/>
                        </w14:solidFill>
                      </w14:textFill>
                    </w:rPr>
                    <w:t>昼间</w:t>
                  </w:r>
                </w:p>
              </w:tc>
              <w:tc>
                <w:tcPr>
                  <w:tcW w:w="4073" w:type="dxa"/>
                  <w:vAlign w:val="center"/>
                </w:tcPr>
                <w:p>
                  <w:pPr>
                    <w:adjustRightInd w:val="0"/>
                    <w:spacing w:line="0" w:lineRule="atLeast"/>
                    <w:jc w:val="left"/>
                    <w:rPr>
                      <w:color w:val="000000" w:themeColor="text1"/>
                      <w:spacing w:val="4"/>
                      <w:sz w:val="24"/>
                      <w:szCs w:val="24"/>
                      <w14:textFill>
                        <w14:solidFill>
                          <w14:schemeClr w14:val="tx1"/>
                        </w14:solidFill>
                      </w14:textFill>
                    </w:rPr>
                  </w:pPr>
                  <w:r>
                    <w:rPr>
                      <w:rFonts w:hint="eastAsia"/>
                      <w:color w:val="000000" w:themeColor="text1"/>
                      <w:spacing w:val="4"/>
                      <w:sz w:val="24"/>
                      <w:szCs w:val="24"/>
                      <w14:textFill>
                        <w14:solidFill>
                          <w14:schemeClr w14:val="tx1"/>
                        </w14:solidFill>
                      </w14:textFill>
                    </w:rPr>
                    <w:t>夜间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4705" w:type="dxa"/>
                  <w:vAlign w:val="center"/>
                </w:tcPr>
                <w:p>
                  <w:pPr>
                    <w:adjustRightInd w:val="0"/>
                    <w:spacing w:line="0" w:lineRule="atLeast"/>
                    <w:jc w:val="left"/>
                    <w:rPr>
                      <w:color w:val="000000" w:themeColor="text1"/>
                      <w:spacing w:val="4"/>
                      <w:sz w:val="24"/>
                      <w:szCs w:val="24"/>
                      <w14:textFill>
                        <w14:solidFill>
                          <w14:schemeClr w14:val="tx1"/>
                        </w14:solidFill>
                      </w14:textFill>
                    </w:rPr>
                  </w:pPr>
                  <w:r>
                    <w:rPr>
                      <w:rFonts w:hint="eastAsia"/>
                      <w:color w:val="000000" w:themeColor="text1"/>
                      <w:spacing w:val="4"/>
                      <w:sz w:val="24"/>
                      <w:szCs w:val="24"/>
                      <w14:textFill>
                        <w14:solidFill>
                          <w14:schemeClr w14:val="tx1"/>
                        </w14:solidFill>
                      </w14:textFill>
                    </w:rPr>
                    <w:t>70</w:t>
                  </w:r>
                </w:p>
              </w:tc>
              <w:tc>
                <w:tcPr>
                  <w:tcW w:w="4073" w:type="dxa"/>
                  <w:vAlign w:val="center"/>
                </w:tcPr>
                <w:p>
                  <w:pPr>
                    <w:adjustRightInd w:val="0"/>
                    <w:spacing w:line="0" w:lineRule="atLeast"/>
                    <w:jc w:val="left"/>
                    <w:rPr>
                      <w:color w:val="000000" w:themeColor="text1"/>
                      <w:spacing w:val="4"/>
                      <w:sz w:val="24"/>
                      <w:szCs w:val="24"/>
                      <w14:textFill>
                        <w14:solidFill>
                          <w14:schemeClr w14:val="tx1"/>
                        </w14:solidFill>
                      </w14:textFill>
                    </w:rPr>
                  </w:pPr>
                  <w:r>
                    <w:rPr>
                      <w:rFonts w:hint="eastAsia"/>
                      <w:color w:val="000000" w:themeColor="text1"/>
                      <w:spacing w:val="4"/>
                      <w:sz w:val="24"/>
                      <w:szCs w:val="24"/>
                      <w14:textFill>
                        <w14:solidFill>
                          <w14:schemeClr w14:val="tx1"/>
                        </w14:solidFill>
                      </w14:textFill>
                    </w:rPr>
                    <w:t>55</w:t>
                  </w:r>
                </w:p>
              </w:tc>
            </w:tr>
          </w:tbl>
          <w:p>
            <w:pPr>
              <w:tabs>
                <w:tab w:val="left" w:pos="1900"/>
              </w:tabs>
              <w:spacing w:line="20" w:lineRule="exact"/>
              <w:ind w:firstLine="480" w:firstLineChars="200"/>
              <w:jc w:val="left"/>
              <w:rPr>
                <w:color w:val="000000" w:themeColor="text1"/>
                <w:sz w:val="24"/>
                <w14:textFill>
                  <w14:solidFill>
                    <w14:schemeClr w14:val="tx1"/>
                  </w14:solidFill>
                </w14:textFill>
              </w:rPr>
            </w:pPr>
          </w:p>
          <w:p>
            <w:pPr>
              <w:tabs>
                <w:tab w:val="left" w:pos="1900"/>
              </w:tabs>
              <w:spacing w:line="20" w:lineRule="exact"/>
              <w:ind w:firstLine="480" w:firstLineChars="200"/>
              <w:jc w:val="left"/>
              <w:rPr>
                <w:color w:val="000000" w:themeColor="text1"/>
                <w:sz w:val="24"/>
                <w14:textFill>
                  <w14:solidFill>
                    <w14:schemeClr w14:val="tx1"/>
                  </w14:solidFill>
                </w14:textFill>
              </w:rPr>
            </w:pPr>
          </w:p>
          <w:p>
            <w:pPr>
              <w:tabs>
                <w:tab w:val="left" w:pos="1900"/>
              </w:tabs>
              <w:spacing w:line="20" w:lineRule="exact"/>
              <w:ind w:firstLine="480" w:firstLineChars="200"/>
              <w:jc w:val="left"/>
              <w:rPr>
                <w:color w:val="000000" w:themeColor="text1"/>
                <w:sz w:val="24"/>
                <w14:textFill>
                  <w14:solidFill>
                    <w14:schemeClr w14:val="tx1"/>
                  </w14:solidFill>
                </w14:textFill>
              </w:rPr>
            </w:pPr>
          </w:p>
          <w:p>
            <w:pPr>
              <w:tabs>
                <w:tab w:val="left" w:pos="1900"/>
              </w:tabs>
              <w:spacing w:line="20" w:lineRule="exact"/>
              <w:ind w:firstLine="480" w:firstLineChars="200"/>
              <w:jc w:val="left"/>
              <w:rPr>
                <w:color w:val="000000" w:themeColor="text1"/>
                <w:sz w:val="24"/>
                <w14:textFill>
                  <w14:solidFill>
                    <w14:schemeClr w14:val="tx1"/>
                  </w14:solidFill>
                </w14:textFill>
              </w:rPr>
            </w:pPr>
          </w:p>
          <w:p>
            <w:pPr>
              <w:spacing w:line="460" w:lineRule="exact"/>
              <w:ind w:firstLine="496"/>
              <w:jc w:val="left"/>
              <w:rPr>
                <w:color w:val="000000" w:themeColor="text1"/>
                <w:spacing w:val="4"/>
                <w:sz w:val="24"/>
                <w14:textFill>
                  <w14:solidFill>
                    <w14:schemeClr w14:val="tx1"/>
                  </w14:solidFill>
                </w14:textFill>
              </w:rPr>
            </w:pPr>
            <w:r>
              <w:rPr>
                <w:rFonts w:hint="eastAsia"/>
                <w:color w:val="000000" w:themeColor="text1"/>
                <w:spacing w:val="4"/>
                <w:sz w:val="24"/>
                <w14:textFill>
                  <w14:solidFill>
                    <w14:schemeClr w14:val="tx1"/>
                  </w14:solidFill>
                </w14:textFill>
              </w:rPr>
              <w:t>从类比调查可知，受施工机械设备噪声影响的主要是本项目施工区150</w:t>
            </w:r>
            <w:r>
              <w:rPr>
                <w:color w:val="000000" w:themeColor="text1"/>
                <w:spacing w:val="4"/>
                <w:sz w:val="24"/>
                <w14:textFill>
                  <w14:solidFill>
                    <w14:schemeClr w14:val="tx1"/>
                  </w14:solidFill>
                </w14:textFill>
              </w:rPr>
              <w:t>m</w:t>
            </w:r>
            <w:r>
              <w:rPr>
                <w:rFonts w:hint="eastAsia"/>
                <w:color w:val="000000" w:themeColor="text1"/>
                <w:spacing w:val="4"/>
                <w:sz w:val="24"/>
                <w14:textFill>
                  <w14:solidFill>
                    <w14:schemeClr w14:val="tx1"/>
                  </w14:solidFill>
                </w14:textFill>
              </w:rPr>
              <w:t>范围内的环境敏感保护目标，而本项目周边150米范围内主要保护目标为项目</w:t>
            </w:r>
            <w:r>
              <w:rPr>
                <w:rFonts w:hint="eastAsia"/>
                <w:bCs/>
                <w:color w:val="000000" w:themeColor="text1"/>
                <w:spacing w:val="4"/>
                <w:sz w:val="24"/>
                <w14:textFill>
                  <w14:solidFill>
                    <w14:schemeClr w14:val="tx1"/>
                  </w14:solidFill>
                </w14:textFill>
              </w:rPr>
              <w:t>沿线的村落</w:t>
            </w:r>
            <w:r>
              <w:rPr>
                <w:rFonts w:hint="eastAsia"/>
                <w:color w:val="000000" w:themeColor="text1"/>
                <w:spacing w:val="4"/>
                <w:sz w:val="24"/>
                <w14:textFill>
                  <w14:solidFill>
                    <w14:schemeClr w14:val="tx1"/>
                  </w14:solidFill>
                </w14:textFill>
              </w:rPr>
              <w:t>。</w:t>
            </w:r>
          </w:p>
          <w:p>
            <w:pPr>
              <w:spacing w:line="460" w:lineRule="exact"/>
              <w:ind w:firstLine="496"/>
              <w:jc w:val="left"/>
              <w:rPr>
                <w:color w:val="000000" w:themeColor="text1"/>
                <w:spacing w:val="4"/>
                <w:sz w:val="24"/>
                <w14:textFill>
                  <w14:solidFill>
                    <w14:schemeClr w14:val="tx1"/>
                  </w14:solidFill>
                </w14:textFill>
              </w:rPr>
            </w:pPr>
            <w:r>
              <w:rPr>
                <w:rFonts w:hint="eastAsia"/>
                <w:color w:val="000000" w:themeColor="text1"/>
                <w:spacing w:val="4"/>
                <w:sz w:val="24"/>
                <w14:textFill>
                  <w14:solidFill>
                    <w14:schemeClr w14:val="tx1"/>
                  </w14:solidFill>
                </w14:textFill>
              </w:rPr>
              <w:t>施工机械噪声往往具有噪声强、阶段性、临时性、突发性和不固定性的的特点，如不采取措施加以控制，往往产生较大的影响。随着新技术的广泛应用，要求施工时采用商品混凝土代替传统的水泥搅拌，采用挖孔桩或钻孔桩取代冲击桩，从根本上减少高噪声源的数量。</w:t>
            </w:r>
          </w:p>
          <w:p>
            <w:pPr>
              <w:spacing w:line="460" w:lineRule="exact"/>
              <w:ind w:firstLine="480"/>
              <w:jc w:val="left"/>
              <w:rPr>
                <w:color w:val="000000" w:themeColor="text1"/>
                <w:spacing w:val="4"/>
                <w:sz w:val="24"/>
                <w14:textFill>
                  <w14:solidFill>
                    <w14:schemeClr w14:val="tx1"/>
                  </w14:solidFill>
                </w14:textFill>
              </w:rPr>
            </w:pPr>
            <w:r>
              <w:rPr>
                <w:rFonts w:hint="eastAsia"/>
                <w:color w:val="000000" w:themeColor="text1"/>
                <w:sz w:val="24"/>
                <w14:textFill>
                  <w14:solidFill>
                    <w14:schemeClr w14:val="tx1"/>
                  </w14:solidFill>
                </w14:textFill>
              </w:rPr>
              <w:t>然而，根据预测，项目150m范围内敏感点受施工噪声的影响不可避免，但为了尽量减小本项目施工对周围声环境的影响，项目建设方须对施工</w:t>
            </w:r>
            <w:r>
              <w:rPr>
                <w:rFonts w:hint="eastAsia"/>
                <w:color w:val="000000" w:themeColor="text1"/>
                <w:spacing w:val="4"/>
                <w:sz w:val="24"/>
                <w14:textFill>
                  <w14:solidFill>
                    <w14:schemeClr w14:val="tx1"/>
                  </w14:solidFill>
                </w14:textFill>
              </w:rPr>
              <w:t>采取有效措施，认真做好以下工作以减少噪声的不利影响，确保施工场界噪声达标。</w:t>
            </w:r>
          </w:p>
          <w:p>
            <w:pPr>
              <w:spacing w:line="460" w:lineRule="exact"/>
              <w:ind w:firstLine="480"/>
              <w:jc w:val="left"/>
              <w:rPr>
                <w:color w:val="000000" w:themeColor="text1"/>
                <w:spacing w:val="4"/>
                <w:sz w:val="24"/>
                <w14:textFill>
                  <w14:solidFill>
                    <w14:schemeClr w14:val="tx1"/>
                  </w14:solidFill>
                </w14:textFill>
              </w:rPr>
            </w:pPr>
            <w:r>
              <w:rPr>
                <w:rFonts w:hint="eastAsia"/>
                <w:color w:val="000000" w:themeColor="text1"/>
                <w:spacing w:val="4"/>
                <w:sz w:val="24"/>
                <w14:textFill>
                  <w14:solidFill>
                    <w14:schemeClr w14:val="tx1"/>
                  </w14:solidFill>
                </w14:textFill>
              </w:rPr>
              <w:t>（1）强化工程施工管理，合理安排施工时间，控制噪声设备的运行避开休息时间，夜间（晚10:00～早6：00）禁止施工；</w:t>
            </w:r>
          </w:p>
          <w:p>
            <w:pPr>
              <w:spacing w:line="460" w:lineRule="exact"/>
              <w:ind w:firstLine="480"/>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（2）合理选择施工方法，合理布置施工现场；建议尽量将高噪声设备安装在项目沿线较为空旷的地方，距离村落较远的地方。</w:t>
            </w:r>
          </w:p>
          <w:p>
            <w:pPr>
              <w:spacing w:line="460" w:lineRule="exact"/>
              <w:ind w:firstLine="480"/>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（3）合理选择施工机械，尽量选用低噪声设备，加强对施工机械和设备维护保养，避免由于设备性能减退而使噪声增大。</w:t>
            </w:r>
          </w:p>
          <w:p>
            <w:pPr>
              <w:spacing w:line="460" w:lineRule="exact"/>
              <w:ind w:firstLine="480"/>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（4）对于车辆产生的交通噪声，主要是控制超载，禁止其高音喇叭鸣放和对其进行限速行驶处理。重型车辆应安装消声器。</w:t>
            </w:r>
          </w:p>
          <w:p>
            <w:pPr>
              <w:spacing w:line="460" w:lineRule="exact"/>
              <w:ind w:firstLine="480"/>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（5）</w:t>
            </w:r>
            <w:r>
              <w:rPr>
                <w:color w:val="000000" w:themeColor="text1"/>
                <w:sz w:val="24"/>
                <w14:textFill>
                  <w14:solidFill>
                    <w14:schemeClr w14:val="tx1"/>
                  </w14:solidFill>
                </w14:textFill>
              </w:rPr>
              <w:t>降低人为噪声：按规定操作机械设备，模板、支架装卸过程中，尽量减少碰撞声音。</w:t>
            </w:r>
          </w:p>
          <w:p>
            <w:pPr>
              <w:spacing w:line="460" w:lineRule="exact"/>
              <w:ind w:firstLine="480"/>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尽管施工噪声对环境产生一定的不利影响，但是施工期影响是短暂的，一旦施工活动结束，施工噪声和振动也就随之结束。</w:t>
            </w:r>
          </w:p>
          <w:p>
            <w:pPr>
              <w:spacing w:line="480" w:lineRule="exact"/>
              <w:ind w:firstLine="456" w:firstLineChars="190"/>
              <w:rPr>
                <w:sz w:val="24"/>
              </w:rPr>
            </w:pPr>
            <w:r>
              <w:rPr>
                <w:sz w:val="24"/>
              </w:rPr>
              <w:t>在采取上述措施后，可最大程度减小施工期间噪声对周围环境的影响。</w:t>
            </w:r>
          </w:p>
          <w:p>
            <w:pPr>
              <w:spacing w:line="500" w:lineRule="exact"/>
              <w:ind w:firstLine="480" w:firstLineChars="200"/>
              <w:rPr>
                <w:sz w:val="24"/>
              </w:rPr>
            </w:pPr>
            <w:r>
              <w:rPr>
                <w:sz w:val="24"/>
              </w:rPr>
              <w:t>4</w:t>
            </w:r>
            <w:r>
              <w:rPr>
                <w:b/>
                <w:sz w:val="24"/>
              </w:rPr>
              <w:t>.</w:t>
            </w:r>
            <w:r>
              <w:rPr>
                <w:sz w:val="24"/>
              </w:rPr>
              <w:t>施工期固体废物影响分析及污染防治措施</w:t>
            </w:r>
          </w:p>
          <w:p>
            <w:pPr>
              <w:tabs>
                <w:tab w:val="left" w:pos="735"/>
              </w:tabs>
              <w:spacing w:line="480" w:lineRule="exact"/>
              <w:ind w:firstLine="504" w:firstLineChars="200"/>
              <w:jc w:val="left"/>
              <w:rPr>
                <w:bCs/>
                <w:color w:val="000000" w:themeColor="text1"/>
                <w:spacing w:val="6"/>
                <w:sz w:val="24"/>
                <w14:textFill>
                  <w14:solidFill>
                    <w14:schemeClr w14:val="tx1"/>
                  </w14:solidFill>
                </w14:textFill>
              </w:rPr>
            </w:pPr>
            <w:r>
              <w:rPr>
                <w:rFonts w:hint="eastAsia"/>
                <w:bCs/>
                <w:color w:val="000000" w:themeColor="text1"/>
                <w:spacing w:val="6"/>
                <w:sz w:val="24"/>
                <w14:textFill>
                  <w14:solidFill>
                    <w14:schemeClr w14:val="tx1"/>
                  </w14:solidFill>
                </w14:textFill>
              </w:rPr>
              <w:t>建筑垃圾主要包括建筑垃圾和施工人员的生活垃圾。建筑垃圾主要包括渣土、包装箱、包装袋、废水泥浇注体。这些废渣如处理不当，不仅占用土地，造成水土流失，破坏生态环境，同时也会对环境造成影响。根据同类型项目类比，可知</w:t>
            </w:r>
            <w:r>
              <w:rPr>
                <w:bCs/>
                <w:color w:val="000000" w:themeColor="text1"/>
                <w:spacing w:val="6"/>
                <w:sz w:val="24"/>
                <w14:textFill>
                  <w14:solidFill>
                    <w14:schemeClr w14:val="tx1"/>
                  </w14:solidFill>
                </w14:textFill>
              </w:rPr>
              <w:t>整个施工期建筑垃圾产生量约</w:t>
            </w:r>
            <w:r>
              <w:rPr>
                <w:rFonts w:hint="eastAsia"/>
                <w:bCs/>
                <w:color w:val="000000" w:themeColor="text1"/>
                <w:spacing w:val="6"/>
                <w:sz w:val="24"/>
                <w14:textFill>
                  <w14:solidFill>
                    <w14:schemeClr w14:val="tx1"/>
                  </w14:solidFill>
                </w14:textFill>
              </w:rPr>
              <w:t>50</w:t>
            </w:r>
            <w:r>
              <w:rPr>
                <w:bCs/>
                <w:color w:val="000000" w:themeColor="text1"/>
                <w:spacing w:val="6"/>
                <w:sz w:val="24"/>
                <w14:textFill>
                  <w14:solidFill>
                    <w14:schemeClr w14:val="tx1"/>
                  </w14:solidFill>
                </w14:textFill>
              </w:rPr>
              <w:t>t</w:t>
            </w:r>
            <w:r>
              <w:rPr>
                <w:rFonts w:hint="eastAsia"/>
                <w:bCs/>
                <w:color w:val="000000" w:themeColor="text1"/>
                <w:spacing w:val="6"/>
                <w:sz w:val="24"/>
                <w14:textFill>
                  <w14:solidFill>
                    <w14:schemeClr w14:val="tx1"/>
                  </w14:solidFill>
                </w14:textFill>
              </w:rPr>
              <w:t>；本项目</w:t>
            </w:r>
            <w:r>
              <w:rPr>
                <w:bCs/>
                <w:color w:val="000000" w:themeColor="text1"/>
                <w:spacing w:val="6"/>
                <w:sz w:val="24"/>
                <w14:textFill>
                  <w14:solidFill>
                    <w14:schemeClr w14:val="tx1"/>
                  </w14:solidFill>
                </w14:textFill>
              </w:rPr>
              <w:t>土石方</w:t>
            </w:r>
            <w:r>
              <w:rPr>
                <w:rFonts w:hint="eastAsia"/>
                <w:bCs/>
                <w:color w:val="000000" w:themeColor="text1"/>
                <w:spacing w:val="6"/>
                <w:sz w:val="24"/>
                <w14:textFill>
                  <w14:solidFill>
                    <w14:schemeClr w14:val="tx1"/>
                  </w14:solidFill>
                </w14:textFill>
              </w:rPr>
              <w:t>开挖</w:t>
            </w:r>
            <w:r>
              <w:rPr>
                <w:bCs/>
                <w:color w:val="000000" w:themeColor="text1"/>
                <w:spacing w:val="6"/>
                <w:sz w:val="24"/>
                <w14:textFill>
                  <w14:solidFill>
                    <w14:schemeClr w14:val="tx1"/>
                  </w14:solidFill>
                </w14:textFill>
              </w:rPr>
              <w:t>总量为</w:t>
            </w:r>
            <w:r>
              <w:rPr>
                <w:rFonts w:hint="eastAsia"/>
                <w:bCs/>
                <w:color w:val="000000" w:themeColor="text1"/>
                <w:spacing w:val="6"/>
                <w:sz w:val="24"/>
                <w:lang w:val="en-US" w:eastAsia="zh-CN"/>
                <w14:textFill>
                  <w14:solidFill>
                    <w14:schemeClr w14:val="tx1"/>
                  </w14:solidFill>
                </w14:textFill>
              </w:rPr>
              <w:t>7.11</w:t>
            </w:r>
            <w:r>
              <w:rPr>
                <w:rFonts w:hint="eastAsia"/>
                <w:bCs/>
                <w:color w:val="000000" w:themeColor="text1"/>
                <w:spacing w:val="6"/>
                <w:sz w:val="24"/>
                <w14:textFill>
                  <w14:solidFill>
                    <w14:schemeClr w14:val="tx1"/>
                  </w14:solidFill>
                </w14:textFill>
              </w:rPr>
              <w:t>万</w:t>
            </w:r>
            <w:r>
              <w:rPr>
                <w:bCs/>
                <w:color w:val="000000" w:themeColor="text1"/>
                <w:spacing w:val="6"/>
                <w:sz w:val="24"/>
                <w14:textFill>
                  <w14:solidFill>
                    <w14:schemeClr w14:val="tx1"/>
                  </w14:solidFill>
                </w14:textFill>
              </w:rPr>
              <w:t xml:space="preserve"> m</w:t>
            </w:r>
            <w:r>
              <w:rPr>
                <w:bCs/>
                <w:color w:val="000000" w:themeColor="text1"/>
                <w:spacing w:val="6"/>
                <w:sz w:val="24"/>
                <w:vertAlign w:val="superscript"/>
                <w14:textFill>
                  <w14:solidFill>
                    <w14:schemeClr w14:val="tx1"/>
                  </w14:solidFill>
                </w14:textFill>
              </w:rPr>
              <w:t>3</w:t>
            </w:r>
            <w:r>
              <w:rPr>
                <w:bCs/>
                <w:color w:val="000000" w:themeColor="text1"/>
                <w:spacing w:val="6"/>
                <w:sz w:val="24"/>
                <w14:textFill>
                  <w14:solidFill>
                    <w14:schemeClr w14:val="tx1"/>
                  </w14:solidFill>
                </w14:textFill>
              </w:rPr>
              <w:t>，</w:t>
            </w:r>
            <w:r>
              <w:rPr>
                <w:rFonts w:hint="eastAsia"/>
                <w:bCs/>
                <w:color w:val="000000" w:themeColor="text1"/>
                <w:spacing w:val="6"/>
                <w:sz w:val="24"/>
                <w14:textFill>
                  <w14:solidFill>
                    <w14:schemeClr w14:val="tx1"/>
                  </w14:solidFill>
                </w14:textFill>
              </w:rPr>
              <w:t>回填量为</w:t>
            </w:r>
            <w:r>
              <w:rPr>
                <w:rFonts w:hint="eastAsia"/>
                <w:bCs/>
                <w:color w:val="000000" w:themeColor="text1"/>
                <w:spacing w:val="6"/>
                <w:sz w:val="24"/>
                <w:lang w:val="en-US" w:eastAsia="zh-CN"/>
                <w14:textFill>
                  <w14:solidFill>
                    <w14:schemeClr w14:val="tx1"/>
                  </w14:solidFill>
                </w14:textFill>
              </w:rPr>
              <w:t>2.41</w:t>
            </w:r>
            <w:r>
              <w:rPr>
                <w:rFonts w:hint="eastAsia"/>
                <w:bCs/>
                <w:color w:val="000000" w:themeColor="text1"/>
                <w:spacing w:val="6"/>
                <w:sz w:val="24"/>
                <w14:textFill>
                  <w14:solidFill>
                    <w14:schemeClr w14:val="tx1"/>
                  </w14:solidFill>
                </w14:textFill>
              </w:rPr>
              <w:t>万m</w:t>
            </w:r>
            <w:r>
              <w:rPr>
                <w:rFonts w:hint="eastAsia"/>
                <w:bCs/>
                <w:color w:val="000000" w:themeColor="text1"/>
                <w:spacing w:val="6"/>
                <w:sz w:val="24"/>
                <w:vertAlign w:val="superscript"/>
                <w14:textFill>
                  <w14:solidFill>
                    <w14:schemeClr w14:val="tx1"/>
                  </w14:solidFill>
                </w14:textFill>
              </w:rPr>
              <w:t>3</w:t>
            </w:r>
            <w:r>
              <w:rPr>
                <w:rFonts w:hint="eastAsia"/>
                <w:bCs/>
                <w:color w:val="000000" w:themeColor="text1"/>
                <w:spacing w:val="6"/>
                <w:sz w:val="24"/>
                <w14:textFill>
                  <w14:solidFill>
                    <w14:schemeClr w14:val="tx1"/>
                  </w14:solidFill>
                </w14:textFill>
              </w:rPr>
              <w:t>，</w:t>
            </w:r>
            <w:r>
              <w:rPr>
                <w:bCs/>
                <w:color w:val="000000" w:themeColor="text1"/>
                <w:spacing w:val="6"/>
                <w:sz w:val="24"/>
                <w14:textFill>
                  <w14:solidFill>
                    <w14:schemeClr w14:val="tx1"/>
                  </w14:solidFill>
                </w14:textFill>
              </w:rPr>
              <w:t>弃方总量为</w:t>
            </w:r>
            <w:r>
              <w:rPr>
                <w:rFonts w:hint="eastAsia"/>
                <w:bCs/>
                <w:color w:val="000000" w:themeColor="text1"/>
                <w:spacing w:val="6"/>
                <w:sz w:val="24"/>
                <w:lang w:val="en-US" w:eastAsia="zh-CN"/>
                <w14:textFill>
                  <w14:solidFill>
                    <w14:schemeClr w14:val="tx1"/>
                  </w14:solidFill>
                </w14:textFill>
              </w:rPr>
              <w:t>4.</w:t>
            </w:r>
            <w:r>
              <w:rPr>
                <w:rFonts w:hint="eastAsia"/>
                <w:bCs/>
                <w:color w:val="000000" w:themeColor="text1"/>
                <w:spacing w:val="6"/>
                <w:sz w:val="24"/>
                <w14:textFill>
                  <w14:solidFill>
                    <w14:schemeClr w14:val="tx1"/>
                  </w14:solidFill>
                </w14:textFill>
              </w:rPr>
              <w:t>7万</w:t>
            </w:r>
            <w:r>
              <w:rPr>
                <w:bCs/>
                <w:color w:val="000000" w:themeColor="text1"/>
                <w:spacing w:val="6"/>
                <w:sz w:val="24"/>
                <w14:textFill>
                  <w14:solidFill>
                    <w14:schemeClr w14:val="tx1"/>
                  </w14:solidFill>
                </w14:textFill>
              </w:rPr>
              <w:t>m</w:t>
            </w:r>
            <w:r>
              <w:rPr>
                <w:bCs/>
                <w:color w:val="000000" w:themeColor="text1"/>
                <w:spacing w:val="6"/>
                <w:sz w:val="24"/>
                <w:vertAlign w:val="superscript"/>
                <w14:textFill>
                  <w14:solidFill>
                    <w14:schemeClr w14:val="tx1"/>
                  </w14:solidFill>
                </w14:textFill>
              </w:rPr>
              <w:t>3</w:t>
            </w:r>
            <w:r>
              <w:rPr>
                <w:rFonts w:hint="eastAsia"/>
                <w:bCs/>
                <w:color w:val="000000" w:themeColor="text1"/>
                <w:spacing w:val="6"/>
                <w:sz w:val="24"/>
                <w14:textFill>
                  <w14:solidFill>
                    <w14:schemeClr w14:val="tx1"/>
                  </w14:solidFill>
                </w14:textFill>
              </w:rPr>
              <w:t>。施工期渣土如果处置不当，运输过程会产生扬尘，对环境产生严重影响。</w:t>
            </w:r>
          </w:p>
          <w:p>
            <w:pPr>
              <w:tabs>
                <w:tab w:val="left" w:pos="735"/>
              </w:tabs>
              <w:spacing w:line="480" w:lineRule="exact"/>
              <w:ind w:firstLine="504" w:firstLineChars="200"/>
              <w:jc w:val="left"/>
              <w:rPr>
                <w:bCs/>
                <w:color w:val="000000" w:themeColor="text1"/>
                <w:spacing w:val="6"/>
                <w:sz w:val="24"/>
                <w14:textFill>
                  <w14:solidFill>
                    <w14:schemeClr w14:val="tx1"/>
                  </w14:solidFill>
                </w14:textFill>
              </w:rPr>
            </w:pPr>
            <w:r>
              <w:rPr>
                <w:rFonts w:hint="eastAsia"/>
                <w:bCs/>
                <w:color w:val="000000" w:themeColor="text1"/>
                <w:spacing w:val="6"/>
                <w:sz w:val="24"/>
                <w14:textFill>
                  <w14:solidFill>
                    <w14:schemeClr w14:val="tx1"/>
                  </w14:solidFill>
                </w14:textFill>
              </w:rPr>
              <w:t>为有效的防治施工过程中固废产生的影响，施工中应采取如下措施：</w:t>
            </w:r>
          </w:p>
          <w:p>
            <w:pPr>
              <w:tabs>
                <w:tab w:val="left" w:pos="735"/>
              </w:tabs>
              <w:spacing w:line="480" w:lineRule="exact"/>
              <w:ind w:firstLine="504" w:firstLineChars="200"/>
              <w:jc w:val="left"/>
              <w:rPr>
                <w:bCs/>
                <w:color w:val="000000" w:themeColor="text1"/>
                <w:spacing w:val="6"/>
                <w:sz w:val="24"/>
                <w:u w:val="none"/>
                <w14:textFill>
                  <w14:solidFill>
                    <w14:schemeClr w14:val="tx1"/>
                  </w14:solidFill>
                </w14:textFill>
              </w:rPr>
            </w:pPr>
            <w:r>
              <w:rPr>
                <w:rFonts w:hint="eastAsia"/>
                <w:bCs/>
                <w:color w:val="000000" w:themeColor="text1"/>
                <w:spacing w:val="6"/>
                <w:sz w:val="24"/>
                <w:u w:val="none"/>
                <w14:textFill>
                  <w14:solidFill>
                    <w14:schemeClr w14:val="tx1"/>
                  </w14:solidFill>
                </w14:textFill>
              </w:rPr>
              <w:t>（1）科学规划，合理安排，挖填方配套作业，在挖填施工场地周围设临时排洪沟，确保暴雨时不出现对开挖面及填方区的冲刷，造成大量水土流失。</w:t>
            </w:r>
          </w:p>
          <w:p>
            <w:pPr>
              <w:tabs>
                <w:tab w:val="left" w:pos="735"/>
              </w:tabs>
              <w:spacing w:line="480" w:lineRule="exact"/>
              <w:ind w:firstLine="504" w:firstLineChars="200"/>
              <w:jc w:val="left"/>
              <w:rPr>
                <w:bCs/>
                <w:color w:val="000000" w:themeColor="text1"/>
                <w:spacing w:val="6"/>
                <w:sz w:val="24"/>
                <w:u w:val="none"/>
                <w14:textFill>
                  <w14:solidFill>
                    <w14:schemeClr w14:val="tx1"/>
                  </w14:solidFill>
                </w14:textFill>
              </w:rPr>
            </w:pPr>
            <w:r>
              <w:rPr>
                <w:rFonts w:hint="eastAsia"/>
                <w:bCs/>
                <w:color w:val="000000" w:themeColor="text1"/>
                <w:spacing w:val="6"/>
                <w:sz w:val="24"/>
                <w:u w:val="none"/>
                <w14:textFill>
                  <w14:solidFill>
                    <w14:schemeClr w14:val="tx1"/>
                  </w14:solidFill>
                </w14:textFill>
              </w:rPr>
              <w:t>（2）开挖出来的土石方由专门的弃渣运输车辆运出，倒入渣土办指定的城市建设用地内，不得随意堆</w:t>
            </w:r>
            <w:r>
              <w:rPr>
                <w:rFonts w:hint="eastAsia"/>
                <w:bCs/>
                <w:color w:val="000000" w:themeColor="text1"/>
                <w:spacing w:val="6"/>
                <w:sz w:val="24"/>
                <w:u w:val="none"/>
                <w:lang w:eastAsia="zh-CN"/>
                <w14:textFill>
                  <w14:solidFill>
                    <w14:schemeClr w14:val="tx1"/>
                  </w14:solidFill>
                </w14:textFill>
              </w:rPr>
              <w:t>。</w:t>
            </w:r>
          </w:p>
          <w:p>
            <w:pPr>
              <w:tabs>
                <w:tab w:val="left" w:pos="735"/>
              </w:tabs>
              <w:spacing w:line="480" w:lineRule="exact"/>
              <w:ind w:firstLine="504" w:firstLineChars="200"/>
              <w:jc w:val="left"/>
              <w:rPr>
                <w:bCs/>
                <w:color w:val="000000" w:themeColor="text1"/>
                <w:spacing w:val="6"/>
                <w:sz w:val="24"/>
                <w:u w:val="none"/>
                <w14:textFill>
                  <w14:solidFill>
                    <w14:schemeClr w14:val="tx1"/>
                  </w14:solidFill>
                </w14:textFill>
              </w:rPr>
            </w:pPr>
            <w:r>
              <w:rPr>
                <w:rFonts w:hint="eastAsia"/>
                <w:bCs/>
                <w:color w:val="000000" w:themeColor="text1"/>
                <w:spacing w:val="6"/>
                <w:sz w:val="24"/>
                <w:u w:val="none"/>
                <w14:textFill>
                  <w14:solidFill>
                    <w14:schemeClr w14:val="tx1"/>
                  </w14:solidFill>
                </w14:textFill>
              </w:rPr>
              <w:t>（3）设备堆放场、材料堆放场的防径流冲刷措施应加强，废土、废渣应及时清运填埋，不得随意堆放，防止出现废土、废渣处置不当而导致的水土流失。</w:t>
            </w:r>
          </w:p>
          <w:p>
            <w:pPr>
              <w:tabs>
                <w:tab w:val="left" w:pos="735"/>
              </w:tabs>
              <w:spacing w:line="480" w:lineRule="exact"/>
              <w:ind w:firstLine="504" w:firstLineChars="200"/>
              <w:jc w:val="left"/>
              <w:rPr>
                <w:bCs/>
                <w:color w:val="000000" w:themeColor="text1"/>
                <w:spacing w:val="6"/>
                <w:sz w:val="24"/>
                <w:u w:val="none"/>
                <w14:textFill>
                  <w14:solidFill>
                    <w14:schemeClr w14:val="tx1"/>
                  </w14:solidFill>
                </w14:textFill>
              </w:rPr>
            </w:pPr>
            <w:r>
              <w:rPr>
                <w:rFonts w:hint="eastAsia"/>
                <w:bCs/>
                <w:color w:val="000000" w:themeColor="text1"/>
                <w:spacing w:val="6"/>
                <w:sz w:val="24"/>
                <w:u w:val="none"/>
                <w14:textFill>
                  <w14:solidFill>
                    <w14:schemeClr w14:val="tx1"/>
                  </w14:solidFill>
                </w14:textFill>
              </w:rPr>
              <w:t>（4）项目施工结束后应及时回填，使其水土保持功能逐步加强。</w:t>
            </w:r>
          </w:p>
          <w:p>
            <w:pPr>
              <w:tabs>
                <w:tab w:val="left" w:pos="735"/>
              </w:tabs>
              <w:spacing w:line="480" w:lineRule="exact"/>
              <w:ind w:firstLine="504" w:firstLineChars="200"/>
              <w:jc w:val="left"/>
              <w:rPr>
                <w:bCs/>
                <w:color w:val="000000" w:themeColor="text1"/>
                <w:spacing w:val="6"/>
                <w:sz w:val="24"/>
                <w:u w:val="none"/>
                <w14:textFill>
                  <w14:solidFill>
                    <w14:schemeClr w14:val="tx1"/>
                  </w14:solidFill>
                </w14:textFill>
              </w:rPr>
            </w:pPr>
            <w:r>
              <w:rPr>
                <w:rFonts w:hint="eastAsia"/>
                <w:bCs/>
                <w:color w:val="000000" w:themeColor="text1"/>
                <w:spacing w:val="6"/>
                <w:sz w:val="24"/>
                <w:u w:val="none"/>
                <w14:textFill>
                  <w14:solidFill>
                    <w14:schemeClr w14:val="tx1"/>
                  </w14:solidFill>
                </w14:textFill>
              </w:rPr>
              <w:t>施工人员产生的生活垃圾收集后由环卫部门送至垃圾填埋场进行填埋处理。</w:t>
            </w:r>
          </w:p>
          <w:p>
            <w:pPr>
              <w:spacing w:line="480" w:lineRule="exact"/>
              <w:ind w:firstLine="480" w:firstLineChars="200"/>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项目采取以上措施后，施工固体废物均可得到有效处理，对区域环境的影响较小。</w:t>
            </w:r>
          </w:p>
          <w:p>
            <w:pPr>
              <w:spacing w:line="500" w:lineRule="exact"/>
              <w:ind w:firstLine="456" w:firstLineChars="190"/>
              <w:rPr>
                <w:sz w:val="24"/>
              </w:rPr>
            </w:pPr>
            <w:r>
              <w:rPr>
                <w:sz w:val="24"/>
              </w:rPr>
              <w:t>5</w:t>
            </w:r>
            <w:r>
              <w:rPr>
                <w:rFonts w:hint="eastAsia"/>
                <w:sz w:val="24"/>
              </w:rPr>
              <w:t>．</w:t>
            </w:r>
            <w:r>
              <w:rPr>
                <w:sz w:val="24"/>
              </w:rPr>
              <w:t>施工期对生态环境的影响及防治措施</w:t>
            </w:r>
          </w:p>
          <w:p>
            <w:pPr>
              <w:spacing w:line="480" w:lineRule="exact"/>
              <w:ind w:firstLine="480" w:firstLineChars="200"/>
              <w:rPr>
                <w:sz w:val="24"/>
              </w:rPr>
            </w:pPr>
            <w:r>
              <w:rPr>
                <w:rFonts w:hint="eastAsia"/>
                <w:sz w:val="24"/>
              </w:rPr>
              <w:t>综合管廊工程</w:t>
            </w:r>
            <w:r>
              <w:rPr>
                <w:rFonts w:hint="eastAsia"/>
                <w:sz w:val="24"/>
                <w:lang w:eastAsia="zh-CN"/>
              </w:rPr>
              <w:t>、</w:t>
            </w:r>
            <w:r>
              <w:rPr>
                <w:rFonts w:hint="eastAsia"/>
                <w:sz w:val="24"/>
                <w:lang w:val="en-US" w:eastAsia="zh-CN"/>
              </w:rPr>
              <w:t>地下通道</w:t>
            </w:r>
            <w:r>
              <w:rPr>
                <w:rFonts w:hint="eastAsia"/>
                <w:sz w:val="24"/>
              </w:rPr>
              <w:t>的建设需对土方进行开挖和回填，开挖过程不可避免地要对自然地表和地下进行挖填，改变地表和地下既有状态，同时工程施工将产生一定量弃土（石），若处置不当或未做好防护措施，严重时将会造成水土流失。在施工期应切实注重生态环境保护建设，</w:t>
            </w:r>
            <w:r>
              <w:rPr>
                <w:sz w:val="24"/>
              </w:rPr>
              <w:t>主要有如下要求：</w:t>
            </w:r>
          </w:p>
          <w:p>
            <w:pPr>
              <w:spacing w:line="500" w:lineRule="exact"/>
              <w:ind w:firstLine="456" w:firstLineChars="190"/>
              <w:rPr>
                <w:sz w:val="24"/>
              </w:rPr>
            </w:pPr>
            <w:r>
              <w:rPr>
                <w:sz w:val="24"/>
              </w:rPr>
              <w:t>（1）尽量缩短挖填土工期；确定适宜的建筑土方临时堆存点和及时回填，避免雨天施工，场界用围档隔离，以减少水土流失对生态环境的影响。</w:t>
            </w:r>
          </w:p>
          <w:p>
            <w:pPr>
              <w:spacing w:line="500" w:lineRule="exact"/>
              <w:ind w:firstLine="456" w:firstLineChars="190"/>
              <w:rPr>
                <w:sz w:val="24"/>
              </w:rPr>
            </w:pPr>
            <w:r>
              <w:rPr>
                <w:sz w:val="24"/>
              </w:rPr>
              <w:t>（</w:t>
            </w:r>
            <w:r>
              <w:rPr>
                <w:rFonts w:hint="eastAsia"/>
                <w:sz w:val="24"/>
              </w:rPr>
              <w:t>2</w:t>
            </w:r>
            <w:r>
              <w:rPr>
                <w:sz w:val="24"/>
              </w:rPr>
              <w:t>）科学规划、精心设计、合理布局。从系统生态工程观点出发，尽最大努力保护现有自然植被，施工过程中尽可能减少挖填方。</w:t>
            </w:r>
          </w:p>
          <w:p>
            <w:pPr>
              <w:spacing w:line="500" w:lineRule="exact"/>
              <w:ind w:firstLine="456" w:firstLineChars="190"/>
              <w:rPr>
                <w:sz w:val="24"/>
              </w:rPr>
            </w:pPr>
            <w:r>
              <w:rPr>
                <w:sz w:val="24"/>
              </w:rPr>
              <w:t>（</w:t>
            </w:r>
            <w:r>
              <w:rPr>
                <w:rFonts w:hint="eastAsia"/>
                <w:sz w:val="24"/>
              </w:rPr>
              <w:t>3</w:t>
            </w:r>
            <w:r>
              <w:rPr>
                <w:sz w:val="24"/>
              </w:rPr>
              <w:t>）在项目规划、设计、建设及营运中，应坚持预防为主，保护环境的方针，尊重和顺应自然规律，加大生态保护力度，重视生态服务功能与价值的开发和建设。</w:t>
            </w:r>
          </w:p>
          <w:p>
            <w:pPr>
              <w:spacing w:line="480" w:lineRule="exact"/>
              <w:ind w:firstLine="480" w:firstLineChars="200"/>
              <w:rPr>
                <w:rFonts w:hint="eastAsia"/>
                <w:sz w:val="24"/>
              </w:rPr>
            </w:pPr>
            <w:r>
              <w:rPr>
                <w:sz w:val="24"/>
              </w:rPr>
              <w:t>施工期间污染环境的因素，可采取一定的措施避免或减轻其污染，使其达标排放</w:t>
            </w:r>
            <w:r>
              <w:rPr>
                <w:rFonts w:hint="eastAsia"/>
                <w:sz w:val="24"/>
              </w:rPr>
              <w:t>。</w:t>
            </w:r>
            <w:r>
              <w:rPr>
                <w:sz w:val="24"/>
              </w:rPr>
              <w:t>采取本</w:t>
            </w:r>
            <w:r>
              <w:rPr>
                <w:rFonts w:hint="eastAsia"/>
                <w:sz w:val="24"/>
              </w:rPr>
              <w:t>报告表</w:t>
            </w:r>
            <w:r>
              <w:rPr>
                <w:sz w:val="24"/>
              </w:rPr>
              <w:t>提出的施工期污染防治措施</w:t>
            </w:r>
            <w:r>
              <w:rPr>
                <w:rFonts w:hint="eastAsia"/>
                <w:sz w:val="24"/>
              </w:rPr>
              <w:t>后</w:t>
            </w:r>
            <w:r>
              <w:rPr>
                <w:sz w:val="24"/>
              </w:rPr>
              <w:t>本项对周围保护目标的影响小，且这些影响是暂时的，随着施工期结束，施工噪声、扬尘和水土流失等问题也会消失。</w:t>
            </w:r>
          </w:p>
          <w:p>
            <w:pPr>
              <w:spacing w:line="480" w:lineRule="exact"/>
              <w:ind w:firstLine="480" w:firstLineChars="20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6、施工期社会影响分析</w:t>
            </w:r>
          </w:p>
          <w:p>
            <w:pPr>
              <w:spacing w:line="500" w:lineRule="exact"/>
              <w:ind w:firstLine="456" w:firstLineChars="190"/>
              <w:rPr>
                <w:rFonts w:hint="eastAsia"/>
                <w:color w:val="000000" w:themeColor="text1"/>
                <w:sz w:val="24"/>
                <w14:textFill>
                  <w14:solidFill>
                    <w14:schemeClr w14:val="tx1"/>
                  </w14:solidFill>
                </w14:textFill>
              </w:rPr>
            </w:pPr>
            <w:r>
              <w:rPr>
                <w:color w:val="000000" w:themeColor="text1"/>
                <w:sz w:val="24"/>
                <w14:textFill>
                  <w14:solidFill>
                    <w14:schemeClr w14:val="tx1"/>
                  </w14:solidFill>
                </w14:textFill>
              </w:rPr>
              <w:t>本项目拟建道路区域内</w:t>
            </w:r>
            <w:r>
              <w:rPr>
                <w:rFonts w:hint="eastAsia"/>
                <w:color w:val="000000" w:themeColor="text1"/>
                <w:sz w:val="24"/>
                <w14:textFill>
                  <w14:solidFill>
                    <w14:schemeClr w14:val="tx1"/>
                  </w14:solidFill>
                </w14:textFill>
              </w:rPr>
              <w:t>涉及的交通道路主要为村庄道路和乡道。</w:t>
            </w:r>
            <w:r>
              <w:rPr>
                <w:color w:val="000000" w:themeColor="text1"/>
                <w:sz w:val="24"/>
                <w14:textFill>
                  <w14:solidFill>
                    <w14:schemeClr w14:val="tx1"/>
                  </w14:solidFill>
                </w14:textFill>
              </w:rPr>
              <w:t>现有村庄道路主要为水泥硬化路面，部分为泥土路面，道路宽度约为 3~6m。 施工期对交通的影响主要表现在两个方面，一是道路施工、开挖土石方、临时堆放和建材运输会对附近区域内居民出行及车辆通行产生一定影响；二是施工车辆的增加会减少其他道路的通行能力，造成当地交通的繁忙。为进一步减缓交通压力，还可采取如下措施：</w:t>
            </w:r>
          </w:p>
          <w:p>
            <w:pPr>
              <w:spacing w:line="500" w:lineRule="exact"/>
              <w:ind w:firstLine="456" w:firstLineChars="19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（1）</w:t>
            </w:r>
            <w:r>
              <w:rPr>
                <w:color w:val="000000" w:themeColor="text1"/>
                <w:sz w:val="24"/>
                <w14:textFill>
                  <w14:solidFill>
                    <w14:schemeClr w14:val="tx1"/>
                  </w14:solidFill>
                </w14:textFill>
              </w:rPr>
              <w:t xml:space="preserve">建议施工前建设单位及时与交通管理部门联系，取得他们的支持与配合， 避免影响现有的交通设施，以减轻对建设项目附近公路的交通影响。 </w:t>
            </w:r>
          </w:p>
          <w:p>
            <w:pPr>
              <w:spacing w:line="500" w:lineRule="exact"/>
              <w:ind w:firstLine="456" w:firstLineChars="19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（2）</w:t>
            </w:r>
            <w:r>
              <w:rPr>
                <w:color w:val="000000" w:themeColor="text1"/>
                <w:sz w:val="24"/>
                <w14:textFill>
                  <w14:solidFill>
                    <w14:schemeClr w14:val="tx1"/>
                  </w14:solidFill>
                </w14:textFill>
              </w:rPr>
              <w:t>施工单位应认真制定施工计划，施工时应分段实施，避免因施工范围过大，施工时间过长而影响交通。</w:t>
            </w:r>
          </w:p>
          <w:p>
            <w:pPr>
              <w:spacing w:line="500" w:lineRule="exact"/>
              <w:ind w:firstLine="456" w:firstLineChars="19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（3）</w:t>
            </w:r>
            <w:r>
              <w:rPr>
                <w:color w:val="000000" w:themeColor="text1"/>
                <w:sz w:val="24"/>
                <w14:textFill>
                  <w14:solidFill>
                    <w14:schemeClr w14:val="tx1"/>
                  </w14:solidFill>
                </w14:textFill>
              </w:rPr>
              <w:t>对于交通繁忙的道路设计临时便道，同时设置必要交通警示标志和安排专人指挥交通，运输车辆应避免在交通高峰期工作，选择车流量较小的道路进行运输，合理安排运输时间和运输路线。</w:t>
            </w:r>
          </w:p>
          <w:p>
            <w:pPr>
              <w:spacing w:line="500" w:lineRule="exact"/>
              <w:ind w:firstLine="456" w:firstLineChars="190"/>
              <w:rPr>
                <w:rFonts w:hint="eastAsia"/>
                <w:color w:val="000000" w:themeColor="text1"/>
                <w:sz w:val="24"/>
                <w14:textFill>
                  <w14:solidFill>
                    <w14:schemeClr w14:val="tx1"/>
                  </w14:solidFill>
                </w14:textFill>
              </w:rPr>
            </w:pPr>
            <w:r>
              <w:rPr>
                <w:color w:val="000000" w:themeColor="text1"/>
                <w:sz w:val="24"/>
                <w14:textFill>
                  <w14:solidFill>
                    <w14:schemeClr w14:val="tx1"/>
                  </w14:solidFill>
                </w14:textFill>
              </w:rPr>
              <w:t xml:space="preserve"> </w:t>
            </w:r>
            <w:r>
              <w:rPr>
                <w:rFonts w:hint="eastAsia"/>
                <w:color w:val="000000" w:themeColor="text1"/>
                <w:sz w:val="24"/>
                <w14:textFill>
                  <w14:solidFill>
                    <w14:schemeClr w14:val="tx1"/>
                  </w14:solidFill>
                </w14:textFill>
              </w:rPr>
              <w:t>（4）</w:t>
            </w:r>
            <w:r>
              <w:rPr>
                <w:color w:val="000000" w:themeColor="text1"/>
                <w:sz w:val="24"/>
                <w14:textFill>
                  <w14:solidFill>
                    <w14:schemeClr w14:val="tx1"/>
                  </w14:solidFill>
                </w14:textFill>
              </w:rPr>
              <w:t>加强施工期道路沿线的排水设施的保护，加强水土保持，防止排水设施的堵塞。</w:t>
            </w:r>
          </w:p>
          <w:p>
            <w:pPr>
              <w:spacing w:line="500" w:lineRule="exact"/>
              <w:ind w:firstLine="456" w:firstLineChars="190"/>
              <w:rPr>
                <w:color w:val="000000" w:themeColor="text1"/>
                <w:sz w:val="24"/>
                <w14:textFill>
                  <w14:solidFill>
                    <w14:schemeClr w14:val="tx1"/>
                  </w14:solidFill>
                </w14:textFill>
              </w:rPr>
            </w:pPr>
            <w:r>
              <w:rPr>
                <w:color w:val="000000" w:themeColor="text1"/>
                <w:sz w:val="24"/>
                <w14:textFill>
                  <w14:solidFill>
                    <w14:schemeClr w14:val="tx1"/>
                  </w14:solidFill>
                </w14:textFill>
              </w:rPr>
              <w:t>本项目施工期将对周边居民生活产生一定的不利影响，包括施工扬尘、噪声、交通阻隔等。施工单位在施工前，应在附近居民集中点发布公告，告知附近村民，得到附近村民的理解，在施工时，严格落实环评的各项的污染防治措施，尽量将对附近居民的影响程度降到最低。由于施工期是短暂的，待项目建成后，则可上述不利影响将消失</w:t>
            </w:r>
            <w:r>
              <w:rPr>
                <w:rFonts w:hint="eastAsia"/>
                <w:color w:val="000000" w:themeColor="text1"/>
                <w:sz w:val="24"/>
                <w14:textFill>
                  <w14:solidFill>
                    <w14:schemeClr w14:val="tx1"/>
                  </w14:solidFill>
                </w14:textFill>
              </w:rPr>
              <w:t>。</w:t>
            </w:r>
          </w:p>
          <w:p>
            <w:pPr>
              <w:pStyle w:val="4"/>
              <w:tabs>
                <w:tab w:val="left" w:pos="720"/>
                <w:tab w:val="left" w:pos="900"/>
                <w:tab w:val="left" w:pos="6690"/>
              </w:tabs>
              <w:spacing w:before="120" w:after="120" w:line="360" w:lineRule="auto"/>
              <w:rPr>
                <w:color w:val="000000"/>
                <w:sz w:val="24"/>
                <w:szCs w:val="24"/>
              </w:rPr>
            </w:pPr>
            <w:bookmarkStart w:id="25" w:name="_Toc461580598"/>
            <w:r>
              <w:rPr>
                <w:color w:val="000000"/>
                <w:sz w:val="24"/>
                <w:szCs w:val="24"/>
              </w:rPr>
              <w:t>2、营运期环境影响分析</w:t>
            </w:r>
            <w:bookmarkEnd w:id="25"/>
          </w:p>
          <w:p>
            <w:pPr>
              <w:spacing w:line="500" w:lineRule="exact"/>
              <w:ind w:firstLine="480" w:firstLineChars="200"/>
              <w:jc w:val="left"/>
              <w:rPr>
                <w:sz w:val="24"/>
                <w:szCs w:val="24"/>
              </w:rPr>
            </w:pPr>
            <w:r>
              <w:rPr>
                <w:rFonts w:hint="eastAsia"/>
                <w:sz w:val="24"/>
                <w:szCs w:val="24"/>
              </w:rPr>
              <w:t>本项目属于非生产性建设项目，营运期对环境产生的影响主要是管廊通风换气。由于废气污染物浓度很低，本项目对地面空气环境质量影响较小。项目营运期噪声主要为检修车的噪声和换气风机。由于检修车在底下所以对周围环境影响不大，风机为低噪风机，且排风口在绿化带中对环境影响不大。</w:t>
            </w:r>
          </w:p>
          <w:p>
            <w:pPr>
              <w:spacing w:line="500" w:lineRule="exact"/>
              <w:ind w:firstLine="480" w:firstLineChars="200"/>
              <w:jc w:val="left"/>
              <w:rPr>
                <w:sz w:val="24"/>
                <w:szCs w:val="24"/>
              </w:rPr>
            </w:pPr>
            <w:r>
              <w:rPr>
                <w:rFonts w:hint="eastAsia"/>
                <w:sz w:val="24"/>
                <w:szCs w:val="24"/>
              </w:rPr>
              <w:t>对于综合管沟开口处进水或者综合管沟内冲洗等产生的排水，</w:t>
            </w:r>
            <w:r>
              <w:rPr>
                <w:rFonts w:hint="eastAsia" w:cs="宋体"/>
                <w:spacing w:val="6"/>
                <w:sz w:val="24"/>
                <w:szCs w:val="24"/>
              </w:rPr>
              <w:t>综合管沟基本按每200m设置建筑防火分区，在</w:t>
            </w:r>
            <w:r>
              <w:rPr>
                <w:rFonts w:hint="eastAsia"/>
                <w:color w:val="000000"/>
                <w:sz w:val="24"/>
                <w:szCs w:val="24"/>
              </w:rPr>
              <w:t>综合舱</w:t>
            </w:r>
            <w:r>
              <w:rPr>
                <w:rFonts w:hint="eastAsia"/>
                <w:color w:val="000000"/>
                <w:sz w:val="24"/>
                <w:szCs w:val="24"/>
                <w:lang w:val="en-US" w:eastAsia="zh-CN"/>
              </w:rPr>
              <w:t>设置</w:t>
            </w:r>
            <w:r>
              <w:rPr>
                <w:rFonts w:hint="eastAsia"/>
                <w:color w:val="000000"/>
                <w:sz w:val="24"/>
                <w:szCs w:val="24"/>
              </w:rPr>
              <w:t>集水坑</w:t>
            </w:r>
            <w:r>
              <w:rPr>
                <w:rFonts w:ascii="TimesNewRomanPSMT" w:hAnsi="TimesNewRomanPSMT"/>
                <w:color w:val="000000"/>
                <w:sz w:val="24"/>
                <w:szCs w:val="24"/>
              </w:rPr>
              <w:t>A</w:t>
            </w:r>
            <w:r>
              <w:rPr>
                <w:rFonts w:hint="eastAsia"/>
                <w:color w:val="000000"/>
                <w:sz w:val="24"/>
                <w:szCs w:val="24"/>
              </w:rPr>
              <w:t>，燃气舱建集水坑</w:t>
            </w:r>
            <w:r>
              <w:rPr>
                <w:rFonts w:ascii="TimesNewRomanPSMT" w:hAnsi="TimesNewRomanPSMT"/>
                <w:color w:val="000000"/>
                <w:sz w:val="24"/>
                <w:szCs w:val="24"/>
              </w:rPr>
              <w:t>B</w:t>
            </w:r>
            <w:r>
              <w:rPr>
                <w:rFonts w:hint="eastAsia"/>
                <w:color w:val="000000"/>
                <w:sz w:val="24"/>
                <w:szCs w:val="24"/>
              </w:rPr>
              <w:t>。其中集水坑的</w:t>
            </w:r>
            <w:r>
              <w:rPr>
                <w:rFonts w:ascii="TimesNewRomanPSMT" w:hAnsi="TimesNewRomanPSMT"/>
                <w:color w:val="000000"/>
                <w:sz w:val="24"/>
                <w:szCs w:val="24"/>
              </w:rPr>
              <w:t>A</w:t>
            </w:r>
            <w:r>
              <w:rPr>
                <w:rFonts w:hint="eastAsia"/>
                <w:color w:val="000000"/>
                <w:sz w:val="24"/>
                <w:szCs w:val="24"/>
              </w:rPr>
              <w:t>安装潜水泵一用一备；集水坑</w:t>
            </w:r>
            <w:r>
              <w:rPr>
                <w:rFonts w:ascii="TimesNewRomanPSMT" w:hAnsi="TimesNewRomanPSMT"/>
                <w:color w:val="000000"/>
                <w:sz w:val="24"/>
                <w:szCs w:val="24"/>
              </w:rPr>
              <w:t xml:space="preserve">B </w:t>
            </w:r>
            <w:r>
              <w:rPr>
                <w:rFonts w:hint="eastAsia"/>
                <w:color w:val="000000"/>
                <w:sz w:val="24"/>
                <w:szCs w:val="24"/>
              </w:rPr>
              <w:t>安装一台潜水泵。每个集水坑顶部设钢格板封盖，对应上方设吊钩</w:t>
            </w:r>
            <w:r>
              <w:rPr>
                <w:rFonts w:hint="eastAsia" w:cs="宋体"/>
                <w:spacing w:val="6"/>
                <w:sz w:val="24"/>
                <w:szCs w:val="24"/>
              </w:rPr>
              <w:t>。正常情况下，项目产生的排水较少，由排水管接出综合管沟后就近接入道路雨水系统，对周围环境影响较小。</w:t>
            </w:r>
          </w:p>
          <w:p>
            <w:pPr>
              <w:spacing w:line="360" w:lineRule="auto"/>
              <w:rPr>
                <w:b/>
                <w:bCs/>
                <w:color w:val="000000"/>
                <w:sz w:val="24"/>
              </w:rPr>
            </w:pPr>
            <w:r>
              <w:rPr>
                <w:b/>
                <w:bCs/>
                <w:color w:val="000000"/>
                <w:sz w:val="24"/>
              </w:rPr>
              <w:t>3、产业政策、选址及平面布置合理性分析</w:t>
            </w:r>
          </w:p>
          <w:p>
            <w:pPr>
              <w:spacing w:line="360" w:lineRule="auto"/>
              <w:rPr>
                <w:b/>
                <w:bCs/>
                <w:color w:val="000000"/>
                <w:sz w:val="24"/>
              </w:rPr>
            </w:pPr>
            <w:r>
              <w:rPr>
                <w:b/>
                <w:bCs/>
                <w:color w:val="000000"/>
                <w:sz w:val="24"/>
              </w:rPr>
              <w:t>3.1 产业政策的符合性分析</w:t>
            </w:r>
          </w:p>
          <w:p>
            <w:pPr>
              <w:adjustRightInd w:val="0"/>
              <w:snapToGrid w:val="0"/>
              <w:spacing w:line="360" w:lineRule="auto"/>
              <w:ind w:firstLine="567" w:firstLineChars="225"/>
              <w:rPr>
                <w:bCs/>
                <w:color w:val="000000"/>
                <w:sz w:val="24"/>
              </w:rPr>
            </w:pPr>
            <w:r>
              <w:rPr>
                <w:rFonts w:hint="eastAsia"/>
                <w:color w:val="000000"/>
                <w:spacing w:val="6"/>
                <w:sz w:val="24"/>
              </w:rPr>
              <w:t>根据国家发展和改革委员会发布的</w:t>
            </w:r>
            <w:r>
              <w:rPr>
                <w:color w:val="000000"/>
                <w:sz w:val="24"/>
                <w:szCs w:val="23"/>
              </w:rPr>
              <w:t>《产业结构调整指导目录(2011年本)》（</w:t>
            </w:r>
            <w:r>
              <w:rPr>
                <w:rFonts w:hint="eastAsia"/>
                <w:color w:val="000000"/>
                <w:sz w:val="24"/>
                <w:szCs w:val="23"/>
              </w:rPr>
              <w:t>2013年</w:t>
            </w:r>
            <w:r>
              <w:rPr>
                <w:color w:val="000000"/>
                <w:sz w:val="24"/>
                <w:szCs w:val="23"/>
              </w:rPr>
              <w:t>修正本）</w:t>
            </w:r>
            <w:r>
              <w:rPr>
                <w:rFonts w:hint="eastAsia"/>
                <w:color w:val="000000"/>
                <w:sz w:val="24"/>
                <w:szCs w:val="23"/>
              </w:rPr>
              <w:t>，本项目属于</w:t>
            </w:r>
            <w:r>
              <w:rPr>
                <w:color w:val="000000"/>
                <w:sz w:val="24"/>
                <w:szCs w:val="23"/>
              </w:rPr>
              <w:t>鼓励类中的</w:t>
            </w:r>
            <w:r>
              <w:rPr>
                <w:rFonts w:hint="eastAsia"/>
                <w:color w:val="000000"/>
                <w:sz w:val="24"/>
                <w:szCs w:val="23"/>
              </w:rPr>
              <w:t>“城市基础设施”</w:t>
            </w:r>
            <w:r>
              <w:rPr>
                <w:color w:val="000000"/>
                <w:sz w:val="24"/>
                <w:szCs w:val="23"/>
              </w:rPr>
              <w:t>，</w:t>
            </w:r>
            <w:r>
              <w:rPr>
                <w:rFonts w:hint="eastAsia"/>
                <w:color w:val="000000"/>
                <w:sz w:val="24"/>
                <w:szCs w:val="23"/>
              </w:rPr>
              <w:t>因此</w:t>
            </w:r>
            <w:r>
              <w:rPr>
                <w:bCs/>
                <w:color w:val="000000"/>
                <w:sz w:val="24"/>
              </w:rPr>
              <w:t>项目建设符合国家政策</w:t>
            </w:r>
            <w:r>
              <w:rPr>
                <w:rFonts w:hint="eastAsia"/>
                <w:bCs/>
                <w:color w:val="000000"/>
                <w:sz w:val="24"/>
              </w:rPr>
              <w:t>的要求</w:t>
            </w:r>
            <w:r>
              <w:rPr>
                <w:bCs/>
                <w:color w:val="000000"/>
                <w:sz w:val="24"/>
              </w:rPr>
              <w:t>。</w:t>
            </w:r>
          </w:p>
          <w:p>
            <w:pPr>
              <w:spacing w:line="360" w:lineRule="auto"/>
              <w:rPr>
                <w:b/>
                <w:bCs/>
                <w:color w:val="000000"/>
                <w:sz w:val="24"/>
              </w:rPr>
            </w:pPr>
            <w:r>
              <w:rPr>
                <w:b/>
                <w:bCs/>
                <w:color w:val="000000"/>
                <w:sz w:val="24"/>
              </w:rPr>
              <w:t>3.2 选址合理性分析</w:t>
            </w:r>
          </w:p>
          <w:p>
            <w:pPr>
              <w:spacing w:line="360" w:lineRule="auto"/>
              <w:ind w:left="103" w:leftChars="49" w:firstLine="480" w:firstLineChars="200"/>
              <w:rPr>
                <w:rFonts w:cs="宋体"/>
                <w:color w:val="000000"/>
                <w:sz w:val="24"/>
                <w:szCs w:val="24"/>
              </w:rPr>
            </w:pPr>
            <w:r>
              <w:rPr>
                <w:rFonts w:hint="eastAsia" w:cs="宋体"/>
                <w:color w:val="000000"/>
                <w:sz w:val="24"/>
                <w:szCs w:val="24"/>
              </w:rPr>
              <w:t>本项目位于</w:t>
            </w:r>
            <w:r>
              <w:rPr>
                <w:rFonts w:hint="eastAsia" w:cs="宋体"/>
                <w:color w:val="000000"/>
                <w:sz w:val="24"/>
                <w:szCs w:val="24"/>
                <w:lang w:eastAsia="zh-CN"/>
              </w:rPr>
              <w:t>岳阳市岳阳经济技术开发区</w:t>
            </w:r>
            <w:r>
              <w:rPr>
                <w:rFonts w:hint="eastAsia" w:cs="宋体"/>
                <w:color w:val="000000"/>
                <w:sz w:val="24"/>
                <w:szCs w:val="24"/>
              </w:rPr>
              <w:t>。</w:t>
            </w:r>
            <w:r>
              <w:rPr>
                <w:rFonts w:hint="eastAsia"/>
                <w:sz w:val="24"/>
                <w:lang w:eastAsia="zh-CN"/>
              </w:rPr>
              <w:t>置田庄路、</w:t>
            </w:r>
            <w:r>
              <w:rPr>
                <w:rFonts w:hint="eastAsia"/>
                <w:sz w:val="24"/>
                <w:lang w:val="en-US" w:eastAsia="zh-CN"/>
              </w:rPr>
              <w:t>分水垄路</w:t>
            </w:r>
            <w:r>
              <w:rPr>
                <w:rFonts w:hint="eastAsia"/>
                <w:sz w:val="24"/>
              </w:rPr>
              <w:t>为</w:t>
            </w:r>
            <w:r>
              <w:rPr>
                <w:rFonts w:hint="eastAsia"/>
                <w:sz w:val="24"/>
                <w:lang w:eastAsia="zh-CN"/>
              </w:rPr>
              <w:t>岳阳市岳阳经济技术开发区</w:t>
            </w:r>
            <w:r>
              <w:rPr>
                <w:rFonts w:hint="eastAsia"/>
                <w:sz w:val="24"/>
              </w:rPr>
              <w:t>中的城市主干路，本项目为</w:t>
            </w:r>
            <w:r>
              <w:rPr>
                <w:rFonts w:hint="eastAsia"/>
                <w:sz w:val="24"/>
                <w:lang w:eastAsia="zh-CN"/>
              </w:rPr>
              <w:t>置田庄路</w:t>
            </w:r>
            <w:r>
              <w:rPr>
                <w:rFonts w:hint="eastAsia"/>
                <w:sz w:val="24"/>
              </w:rPr>
              <w:t>（</w:t>
            </w:r>
            <w:r>
              <w:rPr>
                <w:rFonts w:hint="eastAsia"/>
                <w:sz w:val="24"/>
                <w:lang w:val="en-US" w:eastAsia="zh-CN"/>
              </w:rPr>
              <w:t>长康路</w:t>
            </w:r>
            <w:r>
              <w:rPr>
                <w:rFonts w:hint="eastAsia"/>
                <w:sz w:val="24"/>
              </w:rPr>
              <w:t>—</w:t>
            </w:r>
            <w:r>
              <w:rPr>
                <w:rFonts w:hint="eastAsia"/>
                <w:sz w:val="24"/>
                <w:lang w:val="en-US" w:eastAsia="zh-CN"/>
              </w:rPr>
              <w:t>梅溪港桥</w:t>
            </w:r>
            <w:r>
              <w:rPr>
                <w:rFonts w:hint="eastAsia"/>
                <w:sz w:val="24"/>
              </w:rPr>
              <w:t>）段</w:t>
            </w:r>
            <w:r>
              <w:rPr>
                <w:rFonts w:hint="eastAsia"/>
                <w:sz w:val="24"/>
                <w:lang w:eastAsia="zh-CN"/>
              </w:rPr>
              <w:t>、</w:t>
            </w:r>
            <w:r>
              <w:rPr>
                <w:rFonts w:hint="eastAsia"/>
                <w:sz w:val="24"/>
                <w:lang w:val="en-US" w:eastAsia="zh-CN"/>
              </w:rPr>
              <w:t>部分分水垄路</w:t>
            </w:r>
            <w:r>
              <w:rPr>
                <w:rFonts w:hint="eastAsia"/>
                <w:sz w:val="24"/>
              </w:rPr>
              <w:t>的地下综合管廊工程</w:t>
            </w:r>
            <w:r>
              <w:rPr>
                <w:rFonts w:hint="eastAsia"/>
                <w:sz w:val="24"/>
                <w:lang w:val="en-US" w:eastAsia="zh-CN"/>
              </w:rPr>
              <w:t>和地下通道工程（置田庄路与分水垄路交汇处）</w:t>
            </w:r>
            <w:r>
              <w:rPr>
                <w:rFonts w:hint="eastAsia"/>
                <w:sz w:val="24"/>
              </w:rPr>
              <w:t>，</w:t>
            </w:r>
            <w:r>
              <w:rPr>
                <w:rFonts w:hint="eastAsia" w:cs="宋体"/>
                <w:color w:val="000000"/>
                <w:sz w:val="24"/>
                <w:szCs w:val="24"/>
              </w:rPr>
              <w:t>因此本项目符合规划，选址可行。</w:t>
            </w:r>
          </w:p>
          <w:p>
            <w:pPr>
              <w:spacing w:line="360" w:lineRule="auto"/>
              <w:rPr>
                <w:b/>
                <w:color w:val="000000"/>
                <w:sz w:val="24"/>
              </w:rPr>
            </w:pPr>
            <w:r>
              <w:rPr>
                <w:b/>
                <w:color w:val="000000"/>
                <w:sz w:val="24"/>
              </w:rPr>
              <w:t>4、环保投资</w:t>
            </w:r>
          </w:p>
          <w:p>
            <w:pPr>
              <w:spacing w:line="360" w:lineRule="auto"/>
              <w:ind w:left="103" w:leftChars="49" w:firstLine="480" w:firstLineChars="200"/>
              <w:rPr>
                <w:rFonts w:cs="宋体"/>
                <w:color w:val="000000"/>
                <w:sz w:val="24"/>
                <w:szCs w:val="24"/>
              </w:rPr>
            </w:pPr>
            <w:r>
              <w:rPr>
                <w:rFonts w:cs="宋体"/>
                <w:color w:val="000000"/>
                <w:sz w:val="24"/>
                <w:szCs w:val="24"/>
              </w:rPr>
              <w:t>本项目总投资</w:t>
            </w:r>
            <w:r>
              <w:rPr>
                <w:rFonts w:hint="eastAsia" w:ascii="TimesNewRomanPSMT" w:hAnsi="TimesNewRomanPSMT"/>
                <w:sz w:val="24"/>
                <w:szCs w:val="24"/>
                <w:lang w:val="en-US" w:eastAsia="zh-CN"/>
              </w:rPr>
              <w:t>14195</w:t>
            </w:r>
            <w:r>
              <w:rPr>
                <w:rFonts w:cs="宋体"/>
                <w:color w:val="000000"/>
                <w:sz w:val="24"/>
                <w:szCs w:val="24"/>
              </w:rPr>
              <w:t>万元，环保投资估算为</w:t>
            </w:r>
            <w:r>
              <w:rPr>
                <w:rFonts w:hint="eastAsia" w:cs="宋体"/>
                <w:color w:val="000000"/>
                <w:sz w:val="24"/>
                <w:szCs w:val="24"/>
              </w:rPr>
              <w:t>165</w:t>
            </w:r>
            <w:r>
              <w:rPr>
                <w:rFonts w:cs="宋体"/>
                <w:color w:val="000000"/>
                <w:sz w:val="24"/>
                <w:szCs w:val="24"/>
              </w:rPr>
              <w:t>万元，</w:t>
            </w:r>
            <w:r>
              <w:rPr>
                <w:rFonts w:hint="eastAsia" w:cs="宋体"/>
                <w:color w:val="000000"/>
                <w:sz w:val="24"/>
                <w:szCs w:val="24"/>
              </w:rPr>
              <w:t>约</w:t>
            </w:r>
            <w:r>
              <w:rPr>
                <w:rFonts w:cs="宋体"/>
                <w:color w:val="000000"/>
                <w:sz w:val="24"/>
                <w:szCs w:val="24"/>
              </w:rPr>
              <w:t>占项目总投资的</w:t>
            </w:r>
            <w:r>
              <w:rPr>
                <w:rFonts w:hint="eastAsia" w:cs="宋体"/>
                <w:color w:val="000000"/>
                <w:sz w:val="24"/>
                <w:szCs w:val="24"/>
                <w:lang w:val="en-US" w:eastAsia="zh-CN"/>
              </w:rPr>
              <w:t>1.16</w:t>
            </w:r>
            <w:r>
              <w:rPr>
                <w:rFonts w:cs="宋体"/>
                <w:color w:val="000000"/>
                <w:sz w:val="24"/>
                <w:szCs w:val="24"/>
              </w:rPr>
              <w:t>%。具体见表</w:t>
            </w:r>
            <w:r>
              <w:rPr>
                <w:rFonts w:hint="eastAsia" w:cs="宋体"/>
                <w:color w:val="000000"/>
                <w:sz w:val="24"/>
                <w:szCs w:val="24"/>
                <w:lang w:val="en-US" w:eastAsia="zh-CN"/>
              </w:rPr>
              <w:t>7-3</w:t>
            </w:r>
            <w:r>
              <w:rPr>
                <w:rFonts w:cs="宋体"/>
                <w:color w:val="000000"/>
                <w:sz w:val="24"/>
                <w:szCs w:val="24"/>
              </w:rPr>
              <w:t>。</w:t>
            </w:r>
          </w:p>
          <w:p>
            <w:pPr>
              <w:spacing w:line="400" w:lineRule="exact"/>
              <w:jc w:val="center"/>
              <w:rPr>
                <w:b/>
                <w:color w:val="000000"/>
                <w:kern w:val="28"/>
                <w:szCs w:val="21"/>
              </w:rPr>
            </w:pPr>
            <w:r>
              <w:rPr>
                <w:b/>
                <w:color w:val="000000"/>
                <w:kern w:val="28"/>
                <w:szCs w:val="21"/>
              </w:rPr>
              <w:t xml:space="preserve">表 </w:t>
            </w:r>
            <w:r>
              <w:rPr>
                <w:rFonts w:hint="eastAsia"/>
                <w:b/>
                <w:color w:val="000000"/>
                <w:kern w:val="28"/>
                <w:szCs w:val="21"/>
                <w:lang w:val="en-US" w:eastAsia="zh-CN"/>
              </w:rPr>
              <w:t>7-3</w:t>
            </w:r>
            <w:r>
              <w:rPr>
                <w:rFonts w:hint="eastAsia"/>
                <w:b/>
                <w:color w:val="000000"/>
                <w:kern w:val="28"/>
                <w:szCs w:val="21"/>
              </w:rPr>
              <w:t xml:space="preserve"> </w:t>
            </w:r>
            <w:r>
              <w:rPr>
                <w:b/>
                <w:color w:val="000000"/>
                <w:kern w:val="28"/>
                <w:szCs w:val="21"/>
              </w:rPr>
              <w:t xml:space="preserve"> 本项目环保投资</w:t>
            </w:r>
            <w:r>
              <w:rPr>
                <w:rFonts w:hint="eastAsia"/>
                <w:b/>
                <w:color w:val="000000"/>
                <w:kern w:val="28"/>
                <w:szCs w:val="21"/>
              </w:rPr>
              <w:t>估算</w:t>
            </w:r>
            <w:r>
              <w:rPr>
                <w:b/>
                <w:color w:val="000000"/>
                <w:kern w:val="28"/>
                <w:szCs w:val="21"/>
              </w:rPr>
              <w:t>一览表</w:t>
            </w:r>
          </w:p>
          <w:tbl>
            <w:tblPr>
              <w:tblStyle w:val="42"/>
              <w:tblW w:w="873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
              <w:gridCol w:w="2303"/>
              <w:gridCol w:w="2140"/>
              <w:gridCol w:w="1676"/>
              <w:gridCol w:w="1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974" w:type="dxa"/>
                  <w:vAlign w:val="center"/>
                </w:tcPr>
                <w:p>
                  <w:pPr>
                    <w:spacing w:line="276" w:lineRule="auto"/>
                    <w:jc w:val="center"/>
                    <w:rPr>
                      <w:color w:val="000000"/>
                      <w:szCs w:val="21"/>
                    </w:rPr>
                  </w:pPr>
                  <w:r>
                    <w:rPr>
                      <w:color w:val="000000"/>
                      <w:szCs w:val="21"/>
                    </w:rPr>
                    <w:t>类型</w:t>
                  </w:r>
                </w:p>
              </w:tc>
              <w:tc>
                <w:tcPr>
                  <w:tcW w:w="2303" w:type="dxa"/>
                  <w:vAlign w:val="center"/>
                </w:tcPr>
                <w:p>
                  <w:pPr>
                    <w:spacing w:line="276" w:lineRule="auto"/>
                    <w:jc w:val="center"/>
                    <w:rPr>
                      <w:color w:val="000000"/>
                      <w:szCs w:val="21"/>
                    </w:rPr>
                  </w:pPr>
                  <w:r>
                    <w:rPr>
                      <w:color w:val="000000"/>
                      <w:szCs w:val="21"/>
                    </w:rPr>
                    <w:t>污染源</w:t>
                  </w:r>
                </w:p>
              </w:tc>
              <w:tc>
                <w:tcPr>
                  <w:tcW w:w="2140" w:type="dxa"/>
                  <w:vAlign w:val="center"/>
                </w:tcPr>
                <w:p>
                  <w:pPr>
                    <w:spacing w:line="276" w:lineRule="auto"/>
                    <w:jc w:val="center"/>
                    <w:rPr>
                      <w:color w:val="000000"/>
                      <w:szCs w:val="21"/>
                    </w:rPr>
                  </w:pPr>
                  <w:r>
                    <w:rPr>
                      <w:color w:val="000000"/>
                      <w:szCs w:val="21"/>
                    </w:rPr>
                    <w:t>污染处理措施</w:t>
                  </w:r>
                </w:p>
              </w:tc>
              <w:tc>
                <w:tcPr>
                  <w:tcW w:w="1676" w:type="dxa"/>
                  <w:vAlign w:val="center"/>
                </w:tcPr>
                <w:p>
                  <w:pPr>
                    <w:spacing w:line="276" w:lineRule="auto"/>
                    <w:jc w:val="center"/>
                    <w:rPr>
                      <w:color w:val="000000"/>
                      <w:szCs w:val="21"/>
                    </w:rPr>
                  </w:pPr>
                  <w:r>
                    <w:rPr>
                      <w:color w:val="000000"/>
                      <w:szCs w:val="21"/>
                    </w:rPr>
                    <w:t>环保投资（万元）</w:t>
                  </w:r>
                </w:p>
              </w:tc>
              <w:tc>
                <w:tcPr>
                  <w:tcW w:w="1643" w:type="dxa"/>
                </w:tcPr>
                <w:p>
                  <w:pPr>
                    <w:spacing w:line="276" w:lineRule="auto"/>
                    <w:jc w:val="center"/>
                    <w:rPr>
                      <w:color w:val="000000"/>
                      <w:szCs w:val="21"/>
                    </w:rPr>
                  </w:pPr>
                  <w:r>
                    <w:rPr>
                      <w:rFonts w:hint="eastAsia"/>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7" w:hRule="atLeast"/>
                <w:jc w:val="center"/>
              </w:trPr>
              <w:tc>
                <w:tcPr>
                  <w:tcW w:w="974" w:type="dxa"/>
                  <w:vAlign w:val="center"/>
                </w:tcPr>
                <w:p>
                  <w:pPr>
                    <w:spacing w:line="276" w:lineRule="auto"/>
                    <w:jc w:val="center"/>
                    <w:rPr>
                      <w:color w:val="000000"/>
                      <w:szCs w:val="21"/>
                    </w:rPr>
                  </w:pPr>
                  <w:bookmarkStart w:id="26" w:name="OLE_LINK13" w:colFirst="3" w:colLast="3"/>
                  <w:bookmarkStart w:id="27" w:name="OLE_LINK15" w:colFirst="3" w:colLast="3"/>
                  <w:bookmarkStart w:id="28" w:name="OLE_LINK16" w:colFirst="3" w:colLast="3"/>
                  <w:bookmarkStart w:id="29" w:name="OLE_LINK9" w:colFirst="3" w:colLast="3"/>
                  <w:bookmarkStart w:id="30" w:name="OLE_LINK10" w:colFirst="3" w:colLast="3"/>
                  <w:bookmarkStart w:id="31" w:name="OLE_LINK7" w:colFirst="3" w:colLast="3"/>
                  <w:bookmarkStart w:id="32" w:name="OLE_LINK8" w:colFirst="3" w:colLast="3"/>
                  <w:bookmarkStart w:id="33" w:name="_Hlk197079283"/>
                  <w:bookmarkStart w:id="34" w:name="_Hlk197079615"/>
                  <w:bookmarkStart w:id="35" w:name="_Hlk173502611"/>
                  <w:bookmarkStart w:id="36" w:name="_Hlk179368970"/>
                  <w:bookmarkStart w:id="37" w:name="OLE_LINK14" w:colFirst="3" w:colLast="3"/>
                  <w:bookmarkStart w:id="38" w:name="OLE_LINK1" w:colFirst="3" w:colLast="3"/>
                  <w:bookmarkStart w:id="39" w:name="OLE_LINK2" w:colFirst="3" w:colLast="3"/>
                  <w:bookmarkStart w:id="40" w:name="OLE_LINK17" w:colFirst="3" w:colLast="3"/>
                  <w:bookmarkStart w:id="41" w:name="_Hlk364781672"/>
                  <w:r>
                    <w:rPr>
                      <w:color w:val="000000"/>
                      <w:szCs w:val="21"/>
                    </w:rPr>
                    <w:t>大气污染物</w:t>
                  </w:r>
                </w:p>
              </w:tc>
              <w:tc>
                <w:tcPr>
                  <w:tcW w:w="2303" w:type="dxa"/>
                  <w:vAlign w:val="center"/>
                </w:tcPr>
                <w:p>
                  <w:pPr>
                    <w:autoSpaceDE w:val="0"/>
                    <w:autoSpaceDN w:val="0"/>
                    <w:adjustRightInd w:val="0"/>
                    <w:snapToGrid w:val="0"/>
                    <w:spacing w:line="276" w:lineRule="auto"/>
                    <w:jc w:val="center"/>
                    <w:rPr>
                      <w:color w:val="000000"/>
                      <w:spacing w:val="6"/>
                      <w:szCs w:val="21"/>
                    </w:rPr>
                  </w:pPr>
                  <w:r>
                    <w:rPr>
                      <w:rFonts w:hint="eastAsia"/>
                      <w:color w:val="000000"/>
                      <w:spacing w:val="6"/>
                      <w:szCs w:val="21"/>
                    </w:rPr>
                    <w:t>扬尘</w:t>
                  </w:r>
                </w:p>
              </w:tc>
              <w:tc>
                <w:tcPr>
                  <w:tcW w:w="2140" w:type="dxa"/>
                  <w:vAlign w:val="center"/>
                </w:tcPr>
                <w:p>
                  <w:pPr>
                    <w:ind w:leftChars="-61" w:right="-136" w:rightChars="-65" w:hanging="128" w:hangingChars="61"/>
                    <w:jc w:val="center"/>
                    <w:rPr>
                      <w:color w:val="000000"/>
                      <w:szCs w:val="21"/>
                    </w:rPr>
                  </w:pPr>
                  <w:r>
                    <w:rPr>
                      <w:rFonts w:hint="eastAsia"/>
                      <w:color w:val="000000"/>
                      <w:szCs w:val="21"/>
                    </w:rPr>
                    <w:t>工地围档、洒水系统等</w:t>
                  </w:r>
                </w:p>
              </w:tc>
              <w:tc>
                <w:tcPr>
                  <w:tcW w:w="1676" w:type="dxa"/>
                  <w:vAlign w:val="center"/>
                </w:tcPr>
                <w:p>
                  <w:pPr>
                    <w:spacing w:line="276" w:lineRule="auto"/>
                    <w:jc w:val="center"/>
                    <w:rPr>
                      <w:color w:val="000000"/>
                      <w:szCs w:val="21"/>
                    </w:rPr>
                  </w:pPr>
                  <w:r>
                    <w:rPr>
                      <w:rFonts w:hint="eastAsia"/>
                      <w:color w:val="000000"/>
                      <w:szCs w:val="21"/>
                    </w:rPr>
                    <w:t>20</w:t>
                  </w:r>
                </w:p>
              </w:tc>
              <w:tc>
                <w:tcPr>
                  <w:tcW w:w="1643" w:type="dxa"/>
                </w:tcPr>
                <w:p>
                  <w:pPr>
                    <w:spacing w:line="276" w:lineRule="auto"/>
                    <w:jc w:val="center"/>
                    <w:rPr>
                      <w:color w:val="000000"/>
                      <w:szCs w:val="21"/>
                    </w:rPr>
                  </w:pPr>
                </w:p>
              </w:tc>
            </w:tr>
            <w:bookmarkEnd w:id="26"/>
            <w:bookmarkEnd w:id="27"/>
            <w:bookmarkEnd w:id="28"/>
            <w:bookmarkEnd w:id="29"/>
            <w:bookmarkEnd w:id="30"/>
            <w:bookmarkEnd w:id="31"/>
            <w:bookmarkEnd w:id="32"/>
            <w:bookmarkEnd w:id="33"/>
            <w:bookmarkEnd w:id="34"/>
            <w:bookmarkEnd w:id="35"/>
            <w:bookmarkEnd w:id="36"/>
            <w:bookmarkEnd w:id="3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4" w:hRule="atLeast"/>
                <w:jc w:val="center"/>
              </w:trPr>
              <w:tc>
                <w:tcPr>
                  <w:tcW w:w="974" w:type="dxa"/>
                  <w:vAlign w:val="center"/>
                </w:tcPr>
                <w:p>
                  <w:pPr>
                    <w:spacing w:line="276" w:lineRule="auto"/>
                    <w:jc w:val="center"/>
                    <w:rPr>
                      <w:color w:val="000000"/>
                      <w:szCs w:val="21"/>
                    </w:rPr>
                  </w:pPr>
                  <w:r>
                    <w:rPr>
                      <w:color w:val="000000"/>
                      <w:szCs w:val="21"/>
                    </w:rPr>
                    <w:t>水污染物</w:t>
                  </w:r>
                </w:p>
              </w:tc>
              <w:tc>
                <w:tcPr>
                  <w:tcW w:w="2303" w:type="dxa"/>
                  <w:vAlign w:val="center"/>
                </w:tcPr>
                <w:p>
                  <w:pPr>
                    <w:autoSpaceDE w:val="0"/>
                    <w:autoSpaceDN w:val="0"/>
                    <w:adjustRightInd w:val="0"/>
                    <w:snapToGrid w:val="0"/>
                    <w:jc w:val="center"/>
                    <w:rPr>
                      <w:color w:val="000000"/>
                      <w:spacing w:val="6"/>
                      <w:szCs w:val="21"/>
                    </w:rPr>
                  </w:pPr>
                  <w:r>
                    <w:rPr>
                      <w:rFonts w:hint="eastAsia"/>
                      <w:color w:val="000000"/>
                      <w:spacing w:val="6"/>
                      <w:szCs w:val="21"/>
                    </w:rPr>
                    <w:t>生产废水、生活污水</w:t>
                  </w:r>
                </w:p>
              </w:tc>
              <w:tc>
                <w:tcPr>
                  <w:tcW w:w="2140" w:type="dxa"/>
                  <w:vAlign w:val="center"/>
                </w:tcPr>
                <w:p>
                  <w:pPr>
                    <w:autoSpaceDE w:val="0"/>
                    <w:autoSpaceDN w:val="0"/>
                    <w:adjustRightInd w:val="0"/>
                    <w:snapToGrid w:val="0"/>
                    <w:jc w:val="center"/>
                    <w:rPr>
                      <w:color w:val="000000"/>
                      <w:spacing w:val="-6"/>
                      <w:szCs w:val="21"/>
                    </w:rPr>
                  </w:pPr>
                  <w:r>
                    <w:rPr>
                      <w:rFonts w:hint="eastAsia"/>
                      <w:color w:val="000000"/>
                      <w:spacing w:val="-6"/>
                      <w:szCs w:val="21"/>
                    </w:rPr>
                    <w:t>隔油池、沉淀池</w:t>
                  </w:r>
                </w:p>
              </w:tc>
              <w:tc>
                <w:tcPr>
                  <w:tcW w:w="1676" w:type="dxa"/>
                  <w:vAlign w:val="center"/>
                </w:tcPr>
                <w:p>
                  <w:pPr>
                    <w:jc w:val="center"/>
                    <w:rPr>
                      <w:color w:val="000000"/>
                      <w:szCs w:val="21"/>
                    </w:rPr>
                  </w:pPr>
                  <w:r>
                    <w:rPr>
                      <w:rFonts w:hint="eastAsia"/>
                      <w:color w:val="000000"/>
                      <w:szCs w:val="21"/>
                    </w:rPr>
                    <w:t>10</w:t>
                  </w:r>
                </w:p>
              </w:tc>
              <w:tc>
                <w:tcPr>
                  <w:tcW w:w="1643" w:type="dxa"/>
                </w:tcPr>
                <w:p>
                  <w:pPr>
                    <w:jc w:val="center"/>
                    <w:rPr>
                      <w:color w:val="000000"/>
                      <w:szCs w:val="21"/>
                    </w:rPr>
                  </w:pPr>
                  <w:r>
                    <w:rPr>
                      <w:rFonts w:hint="eastAsia"/>
                      <w:color w:val="000000"/>
                      <w:szCs w:val="21"/>
                    </w:rPr>
                    <w:t>生活污水利用附近民房现有的化粪池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0" w:hRule="atLeast"/>
                <w:jc w:val="center"/>
              </w:trPr>
              <w:tc>
                <w:tcPr>
                  <w:tcW w:w="974" w:type="dxa"/>
                  <w:vAlign w:val="center"/>
                </w:tcPr>
                <w:p>
                  <w:pPr>
                    <w:spacing w:line="276" w:lineRule="auto"/>
                    <w:jc w:val="center"/>
                    <w:rPr>
                      <w:color w:val="000000"/>
                      <w:szCs w:val="21"/>
                    </w:rPr>
                  </w:pPr>
                  <w:r>
                    <w:rPr>
                      <w:color w:val="000000"/>
                      <w:szCs w:val="21"/>
                    </w:rPr>
                    <w:t>噪声</w:t>
                  </w:r>
                </w:p>
              </w:tc>
              <w:tc>
                <w:tcPr>
                  <w:tcW w:w="2303" w:type="dxa"/>
                  <w:tcBorders>
                    <w:bottom w:val="single" w:color="auto" w:sz="4" w:space="0"/>
                  </w:tcBorders>
                  <w:vAlign w:val="center"/>
                </w:tcPr>
                <w:p>
                  <w:pPr>
                    <w:autoSpaceDE w:val="0"/>
                    <w:autoSpaceDN w:val="0"/>
                    <w:adjustRightInd w:val="0"/>
                    <w:snapToGrid w:val="0"/>
                    <w:spacing w:line="276" w:lineRule="auto"/>
                    <w:jc w:val="center"/>
                    <w:rPr>
                      <w:color w:val="000000"/>
                      <w:spacing w:val="6"/>
                      <w:szCs w:val="21"/>
                    </w:rPr>
                  </w:pPr>
                  <w:r>
                    <w:rPr>
                      <w:color w:val="000000"/>
                      <w:spacing w:val="6"/>
                      <w:szCs w:val="21"/>
                    </w:rPr>
                    <w:t>设备噪声</w:t>
                  </w:r>
                </w:p>
              </w:tc>
              <w:tc>
                <w:tcPr>
                  <w:tcW w:w="2140" w:type="dxa"/>
                  <w:tcBorders>
                    <w:bottom w:val="single" w:color="auto" w:sz="4" w:space="0"/>
                  </w:tcBorders>
                  <w:vAlign w:val="center"/>
                </w:tcPr>
                <w:p>
                  <w:pPr>
                    <w:autoSpaceDE w:val="0"/>
                    <w:autoSpaceDN w:val="0"/>
                    <w:adjustRightInd w:val="0"/>
                    <w:snapToGrid w:val="0"/>
                    <w:spacing w:line="276" w:lineRule="auto"/>
                    <w:jc w:val="center"/>
                    <w:rPr>
                      <w:color w:val="000000"/>
                      <w:spacing w:val="6"/>
                      <w:szCs w:val="21"/>
                    </w:rPr>
                  </w:pPr>
                  <w:r>
                    <w:rPr>
                      <w:color w:val="000000"/>
                      <w:spacing w:val="6"/>
                      <w:szCs w:val="21"/>
                    </w:rPr>
                    <w:t>减振、隔声等措施</w:t>
                  </w:r>
                </w:p>
              </w:tc>
              <w:tc>
                <w:tcPr>
                  <w:tcW w:w="1676" w:type="dxa"/>
                  <w:tcBorders>
                    <w:bottom w:val="single" w:color="auto" w:sz="4" w:space="0"/>
                  </w:tcBorders>
                  <w:vAlign w:val="center"/>
                </w:tcPr>
                <w:p>
                  <w:pPr>
                    <w:spacing w:line="276" w:lineRule="auto"/>
                    <w:jc w:val="center"/>
                    <w:rPr>
                      <w:color w:val="000000"/>
                      <w:szCs w:val="21"/>
                    </w:rPr>
                  </w:pPr>
                  <w:r>
                    <w:rPr>
                      <w:rFonts w:hint="eastAsia"/>
                      <w:color w:val="000000"/>
                      <w:szCs w:val="21"/>
                    </w:rPr>
                    <w:t>40</w:t>
                  </w:r>
                </w:p>
              </w:tc>
              <w:tc>
                <w:tcPr>
                  <w:tcW w:w="1643" w:type="dxa"/>
                  <w:tcBorders>
                    <w:bottom w:val="single" w:color="auto" w:sz="4" w:space="0"/>
                  </w:tcBorders>
                </w:tcPr>
                <w:p>
                  <w:pPr>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64" w:hRule="atLeast"/>
                <w:jc w:val="center"/>
              </w:trPr>
              <w:tc>
                <w:tcPr>
                  <w:tcW w:w="974" w:type="dxa"/>
                  <w:vMerge w:val="restart"/>
                  <w:vAlign w:val="center"/>
                </w:tcPr>
                <w:p>
                  <w:pPr>
                    <w:spacing w:line="276" w:lineRule="auto"/>
                    <w:jc w:val="center"/>
                    <w:rPr>
                      <w:color w:val="000000"/>
                      <w:szCs w:val="21"/>
                    </w:rPr>
                  </w:pPr>
                  <w:r>
                    <w:rPr>
                      <w:color w:val="000000"/>
                      <w:szCs w:val="21"/>
                    </w:rPr>
                    <w:t>固体废物</w:t>
                  </w:r>
                </w:p>
              </w:tc>
              <w:tc>
                <w:tcPr>
                  <w:tcW w:w="2303" w:type="dxa"/>
                  <w:vAlign w:val="center"/>
                </w:tcPr>
                <w:p>
                  <w:pPr>
                    <w:autoSpaceDE w:val="0"/>
                    <w:autoSpaceDN w:val="0"/>
                    <w:adjustRightInd w:val="0"/>
                    <w:snapToGrid w:val="0"/>
                    <w:spacing w:line="276" w:lineRule="auto"/>
                    <w:jc w:val="center"/>
                    <w:rPr>
                      <w:color w:val="000000"/>
                      <w:szCs w:val="21"/>
                    </w:rPr>
                  </w:pPr>
                  <w:r>
                    <w:rPr>
                      <w:rFonts w:hint="eastAsia"/>
                      <w:color w:val="000000"/>
                      <w:szCs w:val="21"/>
                    </w:rPr>
                    <w:t>建筑垃圾</w:t>
                  </w:r>
                </w:p>
              </w:tc>
              <w:tc>
                <w:tcPr>
                  <w:tcW w:w="2140" w:type="dxa"/>
                  <w:vAlign w:val="center"/>
                </w:tcPr>
                <w:p>
                  <w:pPr>
                    <w:autoSpaceDE w:val="0"/>
                    <w:autoSpaceDN w:val="0"/>
                    <w:adjustRightInd w:val="0"/>
                    <w:snapToGrid w:val="0"/>
                    <w:spacing w:line="276" w:lineRule="auto"/>
                    <w:jc w:val="center"/>
                    <w:rPr>
                      <w:color w:val="000000"/>
                      <w:szCs w:val="21"/>
                    </w:rPr>
                  </w:pPr>
                  <w:r>
                    <w:rPr>
                      <w:rFonts w:hint="eastAsia"/>
                      <w:color w:val="000000"/>
                      <w:szCs w:val="21"/>
                    </w:rPr>
                    <w:t>由有资质单位收集外运</w:t>
                  </w:r>
                </w:p>
              </w:tc>
              <w:tc>
                <w:tcPr>
                  <w:tcW w:w="1676" w:type="dxa"/>
                  <w:vAlign w:val="center"/>
                </w:tcPr>
                <w:p>
                  <w:pPr>
                    <w:spacing w:line="276" w:lineRule="auto"/>
                    <w:jc w:val="center"/>
                    <w:rPr>
                      <w:color w:val="000000"/>
                      <w:szCs w:val="21"/>
                    </w:rPr>
                  </w:pPr>
                  <w:r>
                    <w:rPr>
                      <w:rFonts w:hint="eastAsia"/>
                      <w:color w:val="000000"/>
                      <w:szCs w:val="21"/>
                    </w:rPr>
                    <w:t>12</w:t>
                  </w:r>
                </w:p>
              </w:tc>
              <w:tc>
                <w:tcPr>
                  <w:tcW w:w="1643" w:type="dxa"/>
                </w:tcPr>
                <w:p>
                  <w:pPr>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64" w:hRule="atLeast"/>
                <w:jc w:val="center"/>
              </w:trPr>
              <w:tc>
                <w:tcPr>
                  <w:tcW w:w="974" w:type="dxa"/>
                  <w:vMerge w:val="continue"/>
                  <w:vAlign w:val="center"/>
                </w:tcPr>
                <w:p>
                  <w:pPr>
                    <w:spacing w:line="276" w:lineRule="auto"/>
                    <w:jc w:val="center"/>
                    <w:rPr>
                      <w:color w:val="000000"/>
                      <w:szCs w:val="21"/>
                    </w:rPr>
                  </w:pPr>
                </w:p>
              </w:tc>
              <w:tc>
                <w:tcPr>
                  <w:tcW w:w="2303" w:type="dxa"/>
                  <w:vAlign w:val="center"/>
                </w:tcPr>
                <w:p>
                  <w:pPr>
                    <w:autoSpaceDE w:val="0"/>
                    <w:autoSpaceDN w:val="0"/>
                    <w:adjustRightInd w:val="0"/>
                    <w:snapToGrid w:val="0"/>
                    <w:spacing w:line="276" w:lineRule="auto"/>
                    <w:jc w:val="center"/>
                    <w:rPr>
                      <w:color w:val="000000"/>
                      <w:szCs w:val="21"/>
                    </w:rPr>
                  </w:pPr>
                  <w:r>
                    <w:rPr>
                      <w:rFonts w:hint="eastAsia"/>
                      <w:color w:val="000000"/>
                      <w:szCs w:val="21"/>
                    </w:rPr>
                    <w:t>弃土方</w:t>
                  </w:r>
                </w:p>
              </w:tc>
              <w:tc>
                <w:tcPr>
                  <w:tcW w:w="2140" w:type="dxa"/>
                  <w:vAlign w:val="center"/>
                </w:tcPr>
                <w:p>
                  <w:pPr>
                    <w:autoSpaceDE w:val="0"/>
                    <w:autoSpaceDN w:val="0"/>
                    <w:adjustRightInd w:val="0"/>
                    <w:snapToGrid w:val="0"/>
                    <w:spacing w:line="276" w:lineRule="auto"/>
                    <w:jc w:val="center"/>
                    <w:rPr>
                      <w:color w:val="000000"/>
                      <w:szCs w:val="21"/>
                    </w:rPr>
                  </w:pPr>
                  <w:r>
                    <w:rPr>
                      <w:rFonts w:hint="eastAsia"/>
                      <w:color w:val="000000"/>
                      <w:szCs w:val="21"/>
                    </w:rPr>
                    <w:t>有有资质单位运往渣土办指定的卸土区</w:t>
                  </w:r>
                </w:p>
              </w:tc>
              <w:tc>
                <w:tcPr>
                  <w:tcW w:w="1676" w:type="dxa"/>
                  <w:vAlign w:val="center"/>
                </w:tcPr>
                <w:p>
                  <w:pPr>
                    <w:spacing w:line="276" w:lineRule="auto"/>
                    <w:jc w:val="center"/>
                    <w:rPr>
                      <w:color w:val="000000"/>
                      <w:szCs w:val="21"/>
                    </w:rPr>
                  </w:pPr>
                  <w:r>
                    <w:rPr>
                      <w:rFonts w:hint="eastAsia"/>
                      <w:color w:val="000000"/>
                      <w:szCs w:val="21"/>
                    </w:rPr>
                    <w:t>30</w:t>
                  </w:r>
                </w:p>
              </w:tc>
              <w:tc>
                <w:tcPr>
                  <w:tcW w:w="1643" w:type="dxa"/>
                </w:tcPr>
                <w:p>
                  <w:pPr>
                    <w:spacing w:line="276" w:lineRule="auto"/>
                    <w:jc w:val="center"/>
                    <w:rPr>
                      <w:color w:val="000000"/>
                      <w:szCs w:val="21"/>
                    </w:rPr>
                  </w:pPr>
                </w:p>
              </w:tc>
            </w:tr>
            <w:bookmarkEnd w:id="38"/>
            <w:bookmarkEnd w:id="39"/>
            <w:bookmarkEnd w:id="40"/>
            <w:bookmarkEnd w:id="4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4" w:hRule="atLeast"/>
                <w:jc w:val="center"/>
              </w:trPr>
              <w:tc>
                <w:tcPr>
                  <w:tcW w:w="974" w:type="dxa"/>
                  <w:vMerge w:val="continue"/>
                  <w:vAlign w:val="center"/>
                </w:tcPr>
                <w:p>
                  <w:pPr>
                    <w:spacing w:line="276" w:lineRule="auto"/>
                    <w:jc w:val="center"/>
                    <w:rPr>
                      <w:color w:val="000000"/>
                      <w:szCs w:val="21"/>
                    </w:rPr>
                  </w:pPr>
                </w:p>
              </w:tc>
              <w:tc>
                <w:tcPr>
                  <w:tcW w:w="2303" w:type="dxa"/>
                  <w:vAlign w:val="center"/>
                </w:tcPr>
                <w:p>
                  <w:pPr>
                    <w:autoSpaceDE w:val="0"/>
                    <w:autoSpaceDN w:val="0"/>
                    <w:adjustRightInd w:val="0"/>
                    <w:snapToGrid w:val="0"/>
                    <w:spacing w:line="276" w:lineRule="auto"/>
                    <w:jc w:val="center"/>
                    <w:rPr>
                      <w:color w:val="000000"/>
                      <w:szCs w:val="21"/>
                    </w:rPr>
                  </w:pPr>
                  <w:r>
                    <w:rPr>
                      <w:color w:val="000000"/>
                      <w:szCs w:val="21"/>
                    </w:rPr>
                    <w:t>生活垃圾</w:t>
                  </w:r>
                </w:p>
              </w:tc>
              <w:tc>
                <w:tcPr>
                  <w:tcW w:w="2140" w:type="dxa"/>
                  <w:vAlign w:val="center"/>
                </w:tcPr>
                <w:p>
                  <w:pPr>
                    <w:autoSpaceDE w:val="0"/>
                    <w:autoSpaceDN w:val="0"/>
                    <w:adjustRightInd w:val="0"/>
                    <w:snapToGrid w:val="0"/>
                    <w:spacing w:line="276" w:lineRule="auto"/>
                    <w:jc w:val="center"/>
                    <w:rPr>
                      <w:color w:val="000000"/>
                      <w:szCs w:val="21"/>
                    </w:rPr>
                  </w:pPr>
                  <w:r>
                    <w:rPr>
                      <w:rFonts w:hint="eastAsia"/>
                      <w:color w:val="000000"/>
                      <w:szCs w:val="21"/>
                    </w:rPr>
                    <w:t>由环卫部门清运</w:t>
                  </w:r>
                </w:p>
              </w:tc>
              <w:tc>
                <w:tcPr>
                  <w:tcW w:w="1676" w:type="dxa"/>
                  <w:vAlign w:val="center"/>
                </w:tcPr>
                <w:p>
                  <w:pPr>
                    <w:spacing w:line="276" w:lineRule="auto"/>
                    <w:jc w:val="center"/>
                    <w:rPr>
                      <w:color w:val="000000"/>
                      <w:szCs w:val="21"/>
                    </w:rPr>
                  </w:pPr>
                  <w:r>
                    <w:rPr>
                      <w:rFonts w:hint="eastAsia"/>
                      <w:color w:val="000000"/>
                      <w:szCs w:val="21"/>
                    </w:rPr>
                    <w:t>8</w:t>
                  </w:r>
                </w:p>
              </w:tc>
              <w:tc>
                <w:tcPr>
                  <w:tcW w:w="1643" w:type="dxa"/>
                </w:tcPr>
                <w:p>
                  <w:pPr>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4" w:hRule="atLeast"/>
                <w:jc w:val="center"/>
              </w:trPr>
              <w:tc>
                <w:tcPr>
                  <w:tcW w:w="974" w:type="dxa"/>
                  <w:vMerge w:val="restart"/>
                  <w:vAlign w:val="center"/>
                </w:tcPr>
                <w:p>
                  <w:pPr>
                    <w:spacing w:line="276" w:lineRule="auto"/>
                    <w:jc w:val="center"/>
                    <w:rPr>
                      <w:color w:val="000000"/>
                      <w:szCs w:val="21"/>
                    </w:rPr>
                  </w:pPr>
                  <w:r>
                    <w:rPr>
                      <w:rFonts w:hint="eastAsia"/>
                      <w:color w:val="000000"/>
                      <w:szCs w:val="21"/>
                    </w:rPr>
                    <w:t>生态环境保护</w:t>
                  </w:r>
                </w:p>
              </w:tc>
              <w:tc>
                <w:tcPr>
                  <w:tcW w:w="4443" w:type="dxa"/>
                  <w:gridSpan w:val="2"/>
                  <w:vAlign w:val="center"/>
                </w:tcPr>
                <w:p>
                  <w:pPr>
                    <w:autoSpaceDE w:val="0"/>
                    <w:autoSpaceDN w:val="0"/>
                    <w:adjustRightInd w:val="0"/>
                    <w:snapToGrid w:val="0"/>
                    <w:spacing w:line="276" w:lineRule="auto"/>
                    <w:jc w:val="center"/>
                    <w:rPr>
                      <w:color w:val="000000"/>
                      <w:szCs w:val="21"/>
                    </w:rPr>
                  </w:pPr>
                  <w:r>
                    <w:rPr>
                      <w:rFonts w:hint="eastAsia"/>
                      <w:color w:val="000000"/>
                      <w:szCs w:val="21"/>
                    </w:rPr>
                    <w:t>水土保持</w:t>
                  </w:r>
                </w:p>
              </w:tc>
              <w:tc>
                <w:tcPr>
                  <w:tcW w:w="1676" w:type="dxa"/>
                  <w:vAlign w:val="center"/>
                </w:tcPr>
                <w:p>
                  <w:pPr>
                    <w:spacing w:line="276" w:lineRule="auto"/>
                    <w:jc w:val="center"/>
                    <w:rPr>
                      <w:color w:val="000000"/>
                      <w:szCs w:val="21"/>
                    </w:rPr>
                  </w:pPr>
                  <w:r>
                    <w:rPr>
                      <w:rFonts w:hint="eastAsia"/>
                      <w:color w:val="000000"/>
                      <w:szCs w:val="21"/>
                    </w:rPr>
                    <w:t>35</w:t>
                  </w:r>
                </w:p>
              </w:tc>
              <w:tc>
                <w:tcPr>
                  <w:tcW w:w="1643" w:type="dxa"/>
                </w:tcPr>
                <w:p>
                  <w:pPr>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4" w:hRule="atLeast"/>
                <w:jc w:val="center"/>
              </w:trPr>
              <w:tc>
                <w:tcPr>
                  <w:tcW w:w="974" w:type="dxa"/>
                  <w:vMerge w:val="continue"/>
                  <w:vAlign w:val="center"/>
                </w:tcPr>
                <w:p>
                  <w:pPr>
                    <w:spacing w:line="276" w:lineRule="auto"/>
                    <w:jc w:val="center"/>
                    <w:rPr>
                      <w:color w:val="000000"/>
                      <w:szCs w:val="21"/>
                    </w:rPr>
                  </w:pPr>
                </w:p>
              </w:tc>
              <w:tc>
                <w:tcPr>
                  <w:tcW w:w="4443" w:type="dxa"/>
                  <w:gridSpan w:val="2"/>
                  <w:vAlign w:val="center"/>
                </w:tcPr>
                <w:p>
                  <w:pPr>
                    <w:autoSpaceDE w:val="0"/>
                    <w:autoSpaceDN w:val="0"/>
                    <w:adjustRightInd w:val="0"/>
                    <w:snapToGrid w:val="0"/>
                    <w:spacing w:line="276" w:lineRule="auto"/>
                    <w:jc w:val="center"/>
                    <w:rPr>
                      <w:color w:val="000000"/>
                      <w:szCs w:val="21"/>
                    </w:rPr>
                  </w:pPr>
                  <w:r>
                    <w:rPr>
                      <w:rFonts w:hint="eastAsia"/>
                      <w:color w:val="000000"/>
                      <w:szCs w:val="21"/>
                    </w:rPr>
                    <w:t>施工场地清理及恢复</w:t>
                  </w:r>
                </w:p>
              </w:tc>
              <w:tc>
                <w:tcPr>
                  <w:tcW w:w="1676" w:type="dxa"/>
                  <w:vAlign w:val="center"/>
                </w:tcPr>
                <w:p>
                  <w:pPr>
                    <w:spacing w:line="276" w:lineRule="auto"/>
                    <w:jc w:val="center"/>
                    <w:rPr>
                      <w:color w:val="000000"/>
                      <w:szCs w:val="21"/>
                    </w:rPr>
                  </w:pPr>
                  <w:r>
                    <w:rPr>
                      <w:rFonts w:hint="eastAsia"/>
                      <w:color w:val="000000"/>
                      <w:szCs w:val="21"/>
                    </w:rPr>
                    <w:t>10</w:t>
                  </w:r>
                </w:p>
              </w:tc>
              <w:tc>
                <w:tcPr>
                  <w:tcW w:w="1643" w:type="dxa"/>
                </w:tcPr>
                <w:p>
                  <w:pPr>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5" w:hRule="atLeast"/>
                <w:jc w:val="center"/>
              </w:trPr>
              <w:tc>
                <w:tcPr>
                  <w:tcW w:w="5417" w:type="dxa"/>
                  <w:gridSpan w:val="3"/>
                  <w:vAlign w:val="center"/>
                </w:tcPr>
                <w:p>
                  <w:pPr>
                    <w:spacing w:line="276" w:lineRule="auto"/>
                    <w:jc w:val="center"/>
                    <w:rPr>
                      <w:color w:val="000000"/>
                      <w:szCs w:val="21"/>
                    </w:rPr>
                  </w:pPr>
                  <w:r>
                    <w:rPr>
                      <w:color w:val="000000"/>
                      <w:szCs w:val="21"/>
                    </w:rPr>
                    <w:t>合计</w:t>
                  </w:r>
                </w:p>
              </w:tc>
              <w:tc>
                <w:tcPr>
                  <w:tcW w:w="1676" w:type="dxa"/>
                </w:tcPr>
                <w:p>
                  <w:pPr>
                    <w:spacing w:line="276" w:lineRule="auto"/>
                    <w:jc w:val="center"/>
                    <w:rPr>
                      <w:color w:val="000000"/>
                      <w:szCs w:val="21"/>
                    </w:rPr>
                  </w:pPr>
                  <w:r>
                    <w:rPr>
                      <w:color w:val="000000"/>
                      <w:szCs w:val="21"/>
                    </w:rPr>
                    <w:fldChar w:fldCharType="begin"/>
                  </w:r>
                  <w:r>
                    <w:rPr>
                      <w:color w:val="000000"/>
                      <w:szCs w:val="21"/>
                    </w:rPr>
                    <w:instrText xml:space="preserve"> </w:instrText>
                  </w:r>
                  <w:r>
                    <w:rPr>
                      <w:rFonts w:hint="eastAsia"/>
                      <w:color w:val="000000"/>
                      <w:szCs w:val="21"/>
                    </w:rPr>
                    <w:instrText xml:space="preserve">=SUM(ABOVE)</w:instrText>
                  </w:r>
                  <w:r>
                    <w:rPr>
                      <w:color w:val="000000"/>
                      <w:szCs w:val="21"/>
                    </w:rPr>
                    <w:instrText xml:space="preserve"> </w:instrText>
                  </w:r>
                  <w:r>
                    <w:rPr>
                      <w:color w:val="000000"/>
                      <w:szCs w:val="21"/>
                    </w:rPr>
                    <w:fldChar w:fldCharType="separate"/>
                  </w:r>
                  <w:r>
                    <w:rPr>
                      <w:color w:val="000000"/>
                      <w:szCs w:val="21"/>
                    </w:rPr>
                    <w:t>165</w:t>
                  </w:r>
                  <w:r>
                    <w:rPr>
                      <w:color w:val="000000"/>
                      <w:szCs w:val="21"/>
                    </w:rPr>
                    <w:fldChar w:fldCharType="end"/>
                  </w:r>
                </w:p>
              </w:tc>
              <w:tc>
                <w:tcPr>
                  <w:tcW w:w="1643" w:type="dxa"/>
                  <w:vAlign w:val="center"/>
                </w:tcPr>
                <w:p>
                  <w:pPr>
                    <w:spacing w:line="276" w:lineRule="auto"/>
                    <w:jc w:val="center"/>
                    <w:rPr>
                      <w:color w:val="000000"/>
                      <w:szCs w:val="21"/>
                    </w:rPr>
                  </w:pPr>
                </w:p>
              </w:tc>
            </w:tr>
          </w:tbl>
          <w:p>
            <w:pPr>
              <w:spacing w:line="400" w:lineRule="exact"/>
              <w:rPr>
                <w:b/>
                <w:color w:val="000000"/>
                <w:kern w:val="28"/>
                <w:sz w:val="24"/>
              </w:rPr>
            </w:pPr>
          </w:p>
          <w:p>
            <w:pPr>
              <w:spacing w:line="360" w:lineRule="auto"/>
              <w:rPr>
                <w:b/>
                <w:color w:val="000000"/>
                <w:sz w:val="24"/>
              </w:rPr>
            </w:pPr>
            <w:r>
              <w:rPr>
                <w:b/>
                <w:color w:val="000000"/>
                <w:sz w:val="24"/>
              </w:rPr>
              <w:t>5、</w:t>
            </w:r>
            <w:r>
              <w:rPr>
                <w:rFonts w:hint="eastAsia"/>
                <w:b/>
                <w:color w:val="000000"/>
                <w:sz w:val="24"/>
              </w:rPr>
              <w:t>“三同时”验收</w:t>
            </w:r>
          </w:p>
          <w:p>
            <w:pPr>
              <w:spacing w:line="400" w:lineRule="exact"/>
              <w:jc w:val="center"/>
              <w:rPr>
                <w:b/>
                <w:color w:val="000000"/>
                <w:szCs w:val="21"/>
              </w:rPr>
            </w:pPr>
            <w:r>
              <w:rPr>
                <w:b/>
                <w:color w:val="000000"/>
                <w:kern w:val="28"/>
                <w:szCs w:val="21"/>
              </w:rPr>
              <w:t xml:space="preserve">表 </w:t>
            </w:r>
            <w:r>
              <w:rPr>
                <w:rFonts w:hint="eastAsia"/>
                <w:b/>
                <w:color w:val="000000"/>
                <w:kern w:val="28"/>
                <w:szCs w:val="21"/>
              </w:rPr>
              <w:t>9</w:t>
            </w:r>
            <w:r>
              <w:rPr>
                <w:b/>
                <w:color w:val="000000"/>
                <w:kern w:val="28"/>
                <w:szCs w:val="21"/>
              </w:rPr>
              <w:t xml:space="preserve"> </w:t>
            </w:r>
            <w:r>
              <w:rPr>
                <w:rFonts w:hint="eastAsia"/>
                <w:b/>
                <w:color w:val="000000"/>
                <w:kern w:val="28"/>
                <w:szCs w:val="21"/>
              </w:rPr>
              <w:t xml:space="preserve"> </w:t>
            </w:r>
            <w:r>
              <w:rPr>
                <w:b/>
                <w:color w:val="000000"/>
                <w:kern w:val="28"/>
                <w:szCs w:val="21"/>
              </w:rPr>
              <w:t>本项目“三同时”验收一览表</w:t>
            </w:r>
          </w:p>
          <w:tbl>
            <w:tblPr>
              <w:tblStyle w:val="42"/>
              <w:tblW w:w="8411" w:type="dxa"/>
              <w:jc w:val="center"/>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749"/>
              <w:gridCol w:w="4527"/>
              <w:gridCol w:w="213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749" w:type="dxa"/>
                  <w:vAlign w:val="center"/>
                </w:tcPr>
                <w:p>
                  <w:pPr>
                    <w:jc w:val="center"/>
                    <w:rPr>
                      <w:color w:val="000000"/>
                      <w:szCs w:val="21"/>
                    </w:rPr>
                  </w:pPr>
                  <w:r>
                    <w:rPr>
                      <w:rFonts w:hint="eastAsia"/>
                      <w:color w:val="000000"/>
                      <w:szCs w:val="21"/>
                    </w:rPr>
                    <w:t>项目</w:t>
                  </w:r>
                </w:p>
              </w:tc>
              <w:tc>
                <w:tcPr>
                  <w:tcW w:w="4527" w:type="dxa"/>
                  <w:vAlign w:val="center"/>
                </w:tcPr>
                <w:p>
                  <w:pPr>
                    <w:jc w:val="center"/>
                    <w:rPr>
                      <w:color w:val="000000"/>
                      <w:szCs w:val="21"/>
                    </w:rPr>
                  </w:pPr>
                  <w:r>
                    <w:rPr>
                      <w:rFonts w:hint="eastAsia"/>
                      <w:color w:val="000000"/>
                      <w:szCs w:val="21"/>
                    </w:rPr>
                    <w:t>环保措施</w:t>
                  </w:r>
                </w:p>
              </w:tc>
              <w:tc>
                <w:tcPr>
                  <w:tcW w:w="2135" w:type="dxa"/>
                  <w:vAlign w:val="center"/>
                </w:tcPr>
                <w:p>
                  <w:pPr>
                    <w:jc w:val="center"/>
                    <w:rPr>
                      <w:color w:val="000000"/>
                      <w:szCs w:val="21"/>
                    </w:rPr>
                  </w:pPr>
                  <w:r>
                    <w:rPr>
                      <w:color w:val="000000"/>
                      <w:szCs w:val="21"/>
                    </w:rPr>
                    <w:t>预期治理效果</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749" w:type="dxa"/>
                  <w:vAlign w:val="center"/>
                </w:tcPr>
                <w:p>
                  <w:pPr>
                    <w:ind w:leftChars="-61" w:right="-136" w:rightChars="-65" w:hanging="128" w:hangingChars="61"/>
                    <w:jc w:val="center"/>
                    <w:rPr>
                      <w:color w:val="000000"/>
                      <w:szCs w:val="21"/>
                    </w:rPr>
                  </w:pPr>
                  <w:r>
                    <w:rPr>
                      <w:rFonts w:hint="eastAsia"/>
                      <w:color w:val="000000"/>
                      <w:szCs w:val="21"/>
                    </w:rPr>
                    <w:t>废气防治</w:t>
                  </w:r>
                </w:p>
              </w:tc>
              <w:tc>
                <w:tcPr>
                  <w:tcW w:w="4527" w:type="dxa"/>
                  <w:vAlign w:val="center"/>
                </w:tcPr>
                <w:p>
                  <w:pPr>
                    <w:jc w:val="left"/>
                    <w:rPr>
                      <w:color w:val="000000"/>
                      <w:szCs w:val="21"/>
                    </w:rPr>
                  </w:pPr>
                  <w:r>
                    <w:rPr>
                      <w:rFonts w:hint="eastAsia"/>
                      <w:color w:val="000000"/>
                      <w:szCs w:val="21"/>
                    </w:rPr>
                    <w:t xml:space="preserve">①施工设备及运输车辆及时清洗； </w:t>
                  </w:r>
                </w:p>
                <w:p>
                  <w:pPr>
                    <w:jc w:val="left"/>
                    <w:rPr>
                      <w:color w:val="000000"/>
                      <w:szCs w:val="21"/>
                    </w:rPr>
                  </w:pPr>
                  <w:r>
                    <w:rPr>
                      <w:rFonts w:hint="eastAsia"/>
                      <w:color w:val="000000"/>
                      <w:szCs w:val="21"/>
                    </w:rPr>
                    <w:t xml:space="preserve">②施工场地定期洒水； </w:t>
                  </w:r>
                </w:p>
                <w:p>
                  <w:pPr>
                    <w:jc w:val="left"/>
                    <w:rPr>
                      <w:color w:val="000000"/>
                      <w:szCs w:val="21"/>
                    </w:rPr>
                  </w:pPr>
                  <w:r>
                    <w:rPr>
                      <w:rFonts w:hint="eastAsia" w:cs="宋体"/>
                    </w:rPr>
                    <w:t>③</w:t>
                  </w:r>
                  <w:r>
                    <w:rPr>
                      <w:rFonts w:hint="eastAsia"/>
                      <w:color w:val="000000"/>
                      <w:szCs w:val="21"/>
                    </w:rPr>
                    <w:t xml:space="preserve">设置围挡，控制扬尘 </w:t>
                  </w:r>
                </w:p>
              </w:tc>
              <w:tc>
                <w:tcPr>
                  <w:tcW w:w="2135" w:type="dxa"/>
                  <w:vAlign w:val="center"/>
                </w:tcPr>
                <w:p>
                  <w:pPr>
                    <w:jc w:val="center"/>
                    <w:rPr>
                      <w:color w:val="000000"/>
                      <w:szCs w:val="21"/>
                    </w:rPr>
                  </w:pPr>
                  <w:r>
                    <w:rPr>
                      <w:rFonts w:hint="eastAsia"/>
                      <w:color w:val="000000"/>
                      <w:szCs w:val="21"/>
                    </w:rPr>
                    <w:t>达</w:t>
                  </w:r>
                  <w:r>
                    <w:rPr>
                      <w:color w:val="000000"/>
                      <w:szCs w:val="21"/>
                    </w:rPr>
                    <w:t>GBl6297-1996 中 的无组织排放标准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749" w:type="dxa"/>
                  <w:vAlign w:val="center"/>
                </w:tcPr>
                <w:p>
                  <w:pPr>
                    <w:jc w:val="center"/>
                    <w:rPr>
                      <w:color w:val="000000"/>
                      <w:szCs w:val="21"/>
                    </w:rPr>
                  </w:pPr>
                  <w:r>
                    <w:rPr>
                      <w:rFonts w:hint="eastAsia"/>
                      <w:color w:val="000000"/>
                      <w:szCs w:val="21"/>
                    </w:rPr>
                    <w:t>废水防治</w:t>
                  </w:r>
                </w:p>
              </w:tc>
              <w:tc>
                <w:tcPr>
                  <w:tcW w:w="4527" w:type="dxa"/>
                  <w:vAlign w:val="center"/>
                </w:tcPr>
                <w:p>
                  <w:pPr>
                    <w:jc w:val="left"/>
                    <w:rPr>
                      <w:rFonts w:cs="宋体"/>
                    </w:rPr>
                  </w:pPr>
                  <w:r>
                    <w:rPr>
                      <w:rFonts w:hint="eastAsia"/>
                      <w:color w:val="000000"/>
                      <w:szCs w:val="21"/>
                    </w:rPr>
                    <w:t>①</w:t>
                  </w:r>
                  <w:r>
                    <w:rPr>
                      <w:rFonts w:cs="宋体"/>
                    </w:rPr>
                    <w:t>生活污水</w:t>
                  </w:r>
                  <w:r>
                    <w:rPr>
                      <w:rFonts w:hint="eastAsia" w:cs="宋体"/>
                    </w:rPr>
                    <w:t>：</w:t>
                  </w:r>
                  <w:r>
                    <w:rPr>
                      <w:rFonts w:hint="eastAsia"/>
                    </w:rPr>
                    <w:t>利用民房</w:t>
                  </w:r>
                  <w:r>
                    <w:t>已有污水处理设施（如旱厕、化粪池等）进行处理，处理后用于农业、林业灌溉，不排放</w:t>
                  </w:r>
                  <w:r>
                    <w:rPr>
                      <w:rFonts w:hint="eastAsia"/>
                    </w:rPr>
                    <w:t>；</w:t>
                  </w:r>
                </w:p>
                <w:p>
                  <w:pPr>
                    <w:jc w:val="left"/>
                    <w:rPr>
                      <w:color w:val="000000"/>
                      <w:szCs w:val="21"/>
                    </w:rPr>
                  </w:pPr>
                  <w:r>
                    <w:rPr>
                      <w:rFonts w:hint="eastAsia" w:cs="宋体"/>
                    </w:rPr>
                    <w:t>②</w:t>
                  </w:r>
                  <w:r>
                    <w:t>生产废水经隔油池沉淀池处理后回用做洒水抑尘，禁止直接排入周边水体。</w:t>
                  </w:r>
                </w:p>
              </w:tc>
              <w:tc>
                <w:tcPr>
                  <w:tcW w:w="2135" w:type="dxa"/>
                  <w:vAlign w:val="center"/>
                </w:tcPr>
                <w:p>
                  <w:pPr>
                    <w:jc w:val="center"/>
                    <w:rPr>
                      <w:color w:val="000000"/>
                      <w:szCs w:val="21"/>
                    </w:rPr>
                  </w:pPr>
                  <w:r>
                    <w:rPr>
                      <w:color w:val="000000"/>
                      <w:szCs w:val="21"/>
                    </w:rPr>
                    <w:t>达到环保要求</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71" w:hRule="atLeast"/>
                <w:jc w:val="center"/>
              </w:trPr>
              <w:tc>
                <w:tcPr>
                  <w:tcW w:w="1749" w:type="dxa"/>
                  <w:vAlign w:val="center"/>
                </w:tcPr>
                <w:p>
                  <w:pPr>
                    <w:jc w:val="center"/>
                    <w:rPr>
                      <w:color w:val="000000"/>
                      <w:szCs w:val="21"/>
                    </w:rPr>
                  </w:pPr>
                  <w:r>
                    <w:rPr>
                      <w:rFonts w:hint="eastAsia"/>
                      <w:color w:val="000000"/>
                      <w:spacing w:val="6"/>
                      <w:szCs w:val="21"/>
                    </w:rPr>
                    <w:t>噪声防治</w:t>
                  </w:r>
                </w:p>
              </w:tc>
              <w:tc>
                <w:tcPr>
                  <w:tcW w:w="4527" w:type="dxa"/>
                  <w:vAlign w:val="center"/>
                </w:tcPr>
                <w:p>
                  <w:r>
                    <w:rPr>
                      <w:rFonts w:hint="eastAsia"/>
                      <w:color w:val="000000"/>
                      <w:szCs w:val="21"/>
                    </w:rPr>
                    <w:t>①</w:t>
                  </w:r>
                  <w:r>
                    <w:t>合理安排施工场地；</w:t>
                  </w:r>
                </w:p>
                <w:p>
                  <w:r>
                    <w:rPr>
                      <w:rFonts w:hint="eastAsia" w:cs="宋体"/>
                    </w:rPr>
                    <w:t>②</w:t>
                  </w:r>
                  <w:r>
                    <w:t xml:space="preserve">在居民集中区施工时间尽量安排在昼间，夜间禁止施工； </w:t>
                  </w:r>
                </w:p>
              </w:tc>
              <w:tc>
                <w:tcPr>
                  <w:tcW w:w="2135" w:type="dxa"/>
                  <w:vAlign w:val="center"/>
                </w:tcPr>
                <w:p>
                  <w:pPr>
                    <w:jc w:val="center"/>
                    <w:rPr>
                      <w:color w:val="000000"/>
                      <w:szCs w:val="21"/>
                    </w:rPr>
                  </w:pPr>
                  <w:r>
                    <w:t>场界噪声达 GB12523-2011 要求</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749" w:type="dxa"/>
                  <w:vAlign w:val="center"/>
                </w:tcPr>
                <w:p>
                  <w:pPr>
                    <w:jc w:val="center"/>
                    <w:rPr>
                      <w:color w:val="000000"/>
                      <w:szCs w:val="21"/>
                    </w:rPr>
                  </w:pPr>
                  <w:r>
                    <w:rPr>
                      <w:rFonts w:hint="eastAsia"/>
                      <w:color w:val="000000"/>
                      <w:spacing w:val="6"/>
                      <w:szCs w:val="21"/>
                    </w:rPr>
                    <w:t>固体废物处置</w:t>
                  </w:r>
                </w:p>
              </w:tc>
              <w:tc>
                <w:tcPr>
                  <w:tcW w:w="4527" w:type="dxa"/>
                  <w:vAlign w:val="center"/>
                </w:tcPr>
                <w:p>
                  <w:pPr>
                    <w:rPr>
                      <w:color w:val="000000"/>
                      <w:szCs w:val="21"/>
                    </w:rPr>
                  </w:pPr>
                  <w:r>
                    <w:rPr>
                      <w:rFonts w:hint="eastAsia"/>
                      <w:color w:val="000000"/>
                      <w:szCs w:val="21"/>
                    </w:rPr>
                    <w:t>①</w:t>
                  </w:r>
                  <w:r>
                    <w:rPr>
                      <w:color w:val="000000"/>
                      <w:szCs w:val="21"/>
                    </w:rPr>
                    <w:t>建筑垃圾、弃土交由渣土部门处理；</w:t>
                  </w:r>
                </w:p>
                <w:p>
                  <w:pPr>
                    <w:rPr>
                      <w:color w:val="000000"/>
                      <w:szCs w:val="21"/>
                    </w:rPr>
                  </w:pPr>
                  <w:r>
                    <w:rPr>
                      <w:rFonts w:hint="eastAsia" w:cs="宋体"/>
                    </w:rPr>
                    <w:t>②</w:t>
                  </w:r>
                  <w:r>
                    <w:rPr>
                      <w:color w:val="000000"/>
                      <w:szCs w:val="21"/>
                    </w:rPr>
                    <w:t>生活垃圾送往垃圾填埋场。</w:t>
                  </w:r>
                </w:p>
              </w:tc>
              <w:tc>
                <w:tcPr>
                  <w:tcW w:w="2135" w:type="dxa"/>
                  <w:vAlign w:val="center"/>
                </w:tcPr>
                <w:p>
                  <w:pPr>
                    <w:jc w:val="center"/>
                    <w:rPr>
                      <w:color w:val="000000"/>
                      <w:szCs w:val="21"/>
                    </w:rPr>
                  </w:pPr>
                  <w:r>
                    <w:rPr>
                      <w:color w:val="000000"/>
                      <w:szCs w:val="21"/>
                    </w:rPr>
                    <w:t>达到环保要求</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749" w:type="dxa"/>
                  <w:vAlign w:val="center"/>
                </w:tcPr>
                <w:p>
                  <w:pPr>
                    <w:jc w:val="center"/>
                    <w:rPr>
                      <w:color w:val="000000"/>
                      <w:spacing w:val="6"/>
                      <w:szCs w:val="21"/>
                    </w:rPr>
                  </w:pPr>
                  <w:r>
                    <w:rPr>
                      <w:rFonts w:hint="eastAsia"/>
                      <w:color w:val="000000"/>
                      <w:spacing w:val="6"/>
                      <w:szCs w:val="21"/>
                    </w:rPr>
                    <w:t>水土保持</w:t>
                  </w:r>
                </w:p>
              </w:tc>
              <w:tc>
                <w:tcPr>
                  <w:tcW w:w="4527" w:type="dxa"/>
                  <w:vAlign w:val="center"/>
                </w:tcPr>
                <w:p>
                  <w:pPr>
                    <w:rPr>
                      <w:color w:val="000000"/>
                      <w:szCs w:val="21"/>
                    </w:rPr>
                  </w:pPr>
                  <w:r>
                    <w:rPr>
                      <w:rFonts w:hint="eastAsia"/>
                      <w:color w:val="000000"/>
                      <w:szCs w:val="21"/>
                    </w:rPr>
                    <w:t xml:space="preserve">①善处理剥离的表土； </w:t>
                  </w:r>
                </w:p>
                <w:p>
                  <w:pPr>
                    <w:rPr>
                      <w:color w:val="000000"/>
                      <w:szCs w:val="21"/>
                    </w:rPr>
                  </w:pPr>
                  <w:r>
                    <w:rPr>
                      <w:rFonts w:hint="eastAsia" w:cs="宋体"/>
                    </w:rPr>
                    <w:t>②</w:t>
                  </w:r>
                  <w:r>
                    <w:rPr>
                      <w:rFonts w:hint="eastAsia"/>
                      <w:color w:val="000000"/>
                      <w:szCs w:val="21"/>
                    </w:rPr>
                    <w:t>设置简易沉淀池，处理地表径流；</w:t>
                  </w:r>
                </w:p>
              </w:tc>
              <w:tc>
                <w:tcPr>
                  <w:tcW w:w="2135" w:type="dxa"/>
                  <w:vAlign w:val="center"/>
                </w:tcPr>
                <w:p>
                  <w:pPr>
                    <w:jc w:val="center"/>
                    <w:rPr>
                      <w:color w:val="000000"/>
                      <w:szCs w:val="21"/>
                    </w:rPr>
                  </w:pPr>
                  <w:r>
                    <w:rPr>
                      <w:rFonts w:hint="eastAsia"/>
                      <w:color w:val="000000"/>
                      <w:szCs w:val="21"/>
                    </w:rPr>
                    <w:t>达环保要求</w:t>
                  </w:r>
                </w:p>
              </w:tc>
            </w:tr>
          </w:tbl>
          <w:p/>
        </w:tc>
      </w:tr>
    </w:tbl>
    <w:p/>
    <w:p>
      <w:pPr>
        <w:pStyle w:val="2"/>
        <w:numPr>
          <w:ilvl w:val="0"/>
          <w:numId w:val="0"/>
        </w:numPr>
        <w:rPr>
          <w:rFonts w:hint="eastAsia"/>
          <w:b/>
          <w:color w:val="000000"/>
        </w:rPr>
      </w:pPr>
      <w:bookmarkStart w:id="42" w:name="_Toc461580599"/>
    </w:p>
    <w:p>
      <w:pPr>
        <w:pStyle w:val="2"/>
        <w:numPr>
          <w:ilvl w:val="0"/>
          <w:numId w:val="0"/>
        </w:numPr>
        <w:rPr>
          <w:rFonts w:hint="eastAsia"/>
          <w:b/>
          <w:color w:val="000000"/>
        </w:rPr>
      </w:pPr>
    </w:p>
    <w:p>
      <w:pPr>
        <w:pStyle w:val="2"/>
        <w:numPr>
          <w:ilvl w:val="0"/>
          <w:numId w:val="0"/>
        </w:numPr>
        <w:rPr>
          <w:rFonts w:hint="eastAsia"/>
          <w:b/>
          <w:color w:val="000000"/>
        </w:rPr>
      </w:pPr>
    </w:p>
    <w:p>
      <w:pPr>
        <w:pStyle w:val="2"/>
        <w:numPr>
          <w:ilvl w:val="0"/>
          <w:numId w:val="0"/>
        </w:numPr>
        <w:rPr>
          <w:rFonts w:hint="eastAsia"/>
          <w:b/>
          <w:color w:val="000000"/>
        </w:rPr>
      </w:pPr>
    </w:p>
    <w:p>
      <w:pPr>
        <w:pStyle w:val="2"/>
        <w:numPr>
          <w:ilvl w:val="0"/>
          <w:numId w:val="0"/>
        </w:numPr>
        <w:rPr>
          <w:rFonts w:hint="eastAsia"/>
          <w:b/>
          <w:color w:val="000000"/>
        </w:rPr>
      </w:pPr>
    </w:p>
    <w:p>
      <w:pPr>
        <w:pStyle w:val="2"/>
        <w:numPr>
          <w:ilvl w:val="0"/>
          <w:numId w:val="0"/>
        </w:numPr>
        <w:rPr>
          <w:rFonts w:hint="eastAsia"/>
          <w:b/>
          <w:color w:val="000000"/>
        </w:rPr>
      </w:pPr>
    </w:p>
    <w:p>
      <w:pPr>
        <w:pStyle w:val="2"/>
        <w:numPr>
          <w:ilvl w:val="0"/>
          <w:numId w:val="0"/>
        </w:numPr>
        <w:rPr>
          <w:rFonts w:hint="eastAsia"/>
          <w:b/>
          <w:color w:val="000000"/>
        </w:rPr>
      </w:pPr>
    </w:p>
    <w:p>
      <w:pPr>
        <w:pStyle w:val="2"/>
        <w:numPr>
          <w:ilvl w:val="0"/>
          <w:numId w:val="0"/>
        </w:numPr>
        <w:rPr>
          <w:rFonts w:hint="eastAsia"/>
          <w:b/>
          <w:color w:val="000000"/>
        </w:rPr>
      </w:pPr>
    </w:p>
    <w:p>
      <w:pPr>
        <w:pStyle w:val="2"/>
        <w:numPr>
          <w:ilvl w:val="0"/>
          <w:numId w:val="0"/>
        </w:numPr>
        <w:rPr>
          <w:rFonts w:hint="eastAsia"/>
          <w:b/>
          <w:color w:val="000000"/>
        </w:rPr>
      </w:pPr>
    </w:p>
    <w:p>
      <w:pPr>
        <w:rPr>
          <w:rFonts w:hint="eastAsia"/>
          <w:b/>
          <w:color w:val="000000"/>
        </w:rPr>
      </w:pPr>
    </w:p>
    <w:p>
      <w:pPr>
        <w:rPr>
          <w:rFonts w:hint="eastAsia"/>
          <w:b/>
          <w:color w:val="000000"/>
        </w:rPr>
      </w:pPr>
    </w:p>
    <w:p>
      <w:pPr>
        <w:rPr>
          <w:rFonts w:hint="eastAsia"/>
          <w:b/>
          <w:color w:val="000000"/>
        </w:rPr>
      </w:pPr>
    </w:p>
    <w:p>
      <w:pPr>
        <w:rPr>
          <w:rFonts w:hint="eastAsia"/>
          <w:b/>
          <w:color w:val="000000"/>
        </w:rPr>
      </w:pPr>
    </w:p>
    <w:p>
      <w:pPr>
        <w:rPr>
          <w:rFonts w:hint="eastAsia"/>
          <w:b/>
          <w:color w:val="000000"/>
        </w:rPr>
      </w:pPr>
    </w:p>
    <w:p>
      <w:pPr>
        <w:rPr>
          <w:rFonts w:hint="eastAsia"/>
          <w:b/>
          <w:color w:val="000000"/>
        </w:rPr>
      </w:pPr>
    </w:p>
    <w:p>
      <w:pPr>
        <w:rPr>
          <w:rFonts w:hint="eastAsia"/>
          <w:b/>
          <w:color w:val="000000"/>
        </w:rPr>
      </w:pPr>
    </w:p>
    <w:p>
      <w:pPr>
        <w:pStyle w:val="2"/>
        <w:numPr>
          <w:ilvl w:val="0"/>
          <w:numId w:val="0"/>
        </w:numPr>
        <w:rPr>
          <w:b/>
          <w:color w:val="000000"/>
        </w:rPr>
      </w:pPr>
      <w:r>
        <w:rPr>
          <w:rFonts w:hint="eastAsia"/>
          <w:b/>
          <w:color w:val="000000"/>
        </w:rPr>
        <w:t>八、</w:t>
      </w:r>
      <w:r>
        <w:rPr>
          <w:b/>
          <w:color w:val="000000"/>
        </w:rPr>
        <w:t>建设项目拟采取的防治措施及预期治理效果</w:t>
      </w:r>
      <w:bookmarkEnd w:id="42"/>
    </w:p>
    <w:tbl>
      <w:tblPr>
        <w:tblStyle w:val="42"/>
        <w:tblW w:w="9277" w:type="dxa"/>
        <w:tblInd w:w="1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1134"/>
        <w:gridCol w:w="1239"/>
        <w:gridCol w:w="36"/>
        <w:gridCol w:w="2670"/>
        <w:gridCol w:w="24"/>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2048" w:type="dxa"/>
            <w:tcBorders>
              <w:tl2br w:val="single" w:color="auto" w:sz="4" w:space="0"/>
            </w:tcBorders>
          </w:tcPr>
          <w:p>
            <w:pPr>
              <w:rPr>
                <w:color w:val="000000"/>
                <w:sz w:val="24"/>
                <w:szCs w:val="24"/>
              </w:rPr>
            </w:pPr>
            <w:r>
              <w:rPr>
                <w:color w:val="000000"/>
                <w:sz w:val="24"/>
                <w:szCs w:val="24"/>
              </w:rPr>
              <w:t xml:space="preserve">  </w:t>
            </w:r>
            <w:r>
              <w:rPr>
                <w:rFonts w:hint="eastAsia"/>
                <w:color w:val="000000"/>
                <w:sz w:val="24"/>
                <w:szCs w:val="24"/>
              </w:rPr>
              <w:t xml:space="preserve"> </w:t>
            </w:r>
            <w:r>
              <w:rPr>
                <w:color w:val="000000"/>
                <w:sz w:val="24"/>
                <w:szCs w:val="24"/>
              </w:rPr>
              <w:t xml:space="preserve"> 内容</w:t>
            </w:r>
          </w:p>
          <w:p>
            <w:pPr>
              <w:rPr>
                <w:color w:val="000000"/>
                <w:sz w:val="24"/>
                <w:szCs w:val="24"/>
              </w:rPr>
            </w:pPr>
            <w:r>
              <w:rPr>
                <w:color w:val="000000"/>
                <w:sz w:val="24"/>
                <w:szCs w:val="24"/>
              </w:rPr>
              <w:t>类型</w:t>
            </w:r>
          </w:p>
        </w:tc>
        <w:tc>
          <w:tcPr>
            <w:tcW w:w="1134" w:type="dxa"/>
            <w:vAlign w:val="center"/>
          </w:tcPr>
          <w:p>
            <w:pPr>
              <w:jc w:val="center"/>
              <w:rPr>
                <w:color w:val="000000"/>
                <w:sz w:val="24"/>
                <w:szCs w:val="24"/>
              </w:rPr>
            </w:pPr>
            <w:r>
              <w:rPr>
                <w:color w:val="000000"/>
                <w:sz w:val="24"/>
                <w:szCs w:val="24"/>
              </w:rPr>
              <w:t>排放源</w:t>
            </w:r>
          </w:p>
          <w:p>
            <w:pPr>
              <w:jc w:val="center"/>
              <w:rPr>
                <w:color w:val="000000"/>
                <w:sz w:val="24"/>
                <w:szCs w:val="24"/>
              </w:rPr>
            </w:pPr>
            <w:r>
              <w:rPr>
                <w:color w:val="000000"/>
                <w:sz w:val="24"/>
                <w:szCs w:val="24"/>
              </w:rPr>
              <w:t>（编号）</w:t>
            </w:r>
          </w:p>
        </w:tc>
        <w:tc>
          <w:tcPr>
            <w:tcW w:w="1239" w:type="dxa"/>
            <w:vAlign w:val="center"/>
          </w:tcPr>
          <w:p>
            <w:pPr>
              <w:jc w:val="center"/>
              <w:rPr>
                <w:color w:val="000000"/>
                <w:sz w:val="24"/>
                <w:szCs w:val="24"/>
              </w:rPr>
            </w:pPr>
            <w:r>
              <w:rPr>
                <w:color w:val="000000"/>
                <w:sz w:val="24"/>
                <w:szCs w:val="24"/>
              </w:rPr>
              <w:t>污染物</w:t>
            </w:r>
          </w:p>
          <w:p>
            <w:pPr>
              <w:jc w:val="center"/>
              <w:rPr>
                <w:color w:val="000000"/>
                <w:sz w:val="24"/>
                <w:szCs w:val="24"/>
              </w:rPr>
            </w:pPr>
            <w:r>
              <w:rPr>
                <w:color w:val="000000"/>
                <w:sz w:val="24"/>
                <w:szCs w:val="24"/>
              </w:rPr>
              <w:t>名  称</w:t>
            </w:r>
          </w:p>
        </w:tc>
        <w:tc>
          <w:tcPr>
            <w:tcW w:w="2706" w:type="dxa"/>
            <w:gridSpan w:val="2"/>
            <w:vAlign w:val="center"/>
          </w:tcPr>
          <w:p>
            <w:pPr>
              <w:jc w:val="center"/>
              <w:rPr>
                <w:color w:val="000000"/>
                <w:sz w:val="24"/>
                <w:szCs w:val="24"/>
              </w:rPr>
            </w:pPr>
            <w:r>
              <w:rPr>
                <w:color w:val="000000"/>
                <w:sz w:val="24"/>
                <w:szCs w:val="24"/>
              </w:rPr>
              <w:t>防治措施</w:t>
            </w:r>
          </w:p>
        </w:tc>
        <w:tc>
          <w:tcPr>
            <w:tcW w:w="2150" w:type="dxa"/>
            <w:gridSpan w:val="2"/>
            <w:vAlign w:val="center"/>
          </w:tcPr>
          <w:p>
            <w:pPr>
              <w:jc w:val="center"/>
              <w:rPr>
                <w:color w:val="000000"/>
                <w:sz w:val="24"/>
                <w:szCs w:val="24"/>
              </w:rPr>
            </w:pPr>
            <w:r>
              <w:rPr>
                <w:color w:val="000000"/>
                <w:sz w:val="24"/>
                <w:szCs w:val="24"/>
              </w:rPr>
              <w:t>预期治理效果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6" w:hRule="atLeast"/>
        </w:trPr>
        <w:tc>
          <w:tcPr>
            <w:tcW w:w="2048" w:type="dxa"/>
            <w:vAlign w:val="center"/>
          </w:tcPr>
          <w:p>
            <w:pPr>
              <w:spacing w:line="276" w:lineRule="auto"/>
              <w:jc w:val="center"/>
              <w:rPr>
                <w:color w:val="000000"/>
                <w:sz w:val="24"/>
                <w:szCs w:val="24"/>
              </w:rPr>
            </w:pPr>
            <w:r>
              <w:rPr>
                <w:rFonts w:hint="eastAsia"/>
                <w:color w:val="000000"/>
                <w:sz w:val="24"/>
                <w:szCs w:val="24"/>
              </w:rPr>
              <w:t>大气污染物</w:t>
            </w:r>
          </w:p>
          <w:p>
            <w:pPr>
              <w:spacing w:line="276" w:lineRule="auto"/>
              <w:jc w:val="center"/>
              <w:rPr>
                <w:color w:val="000000"/>
                <w:spacing w:val="6"/>
                <w:sz w:val="24"/>
                <w:szCs w:val="24"/>
              </w:rPr>
            </w:pPr>
          </w:p>
        </w:tc>
        <w:tc>
          <w:tcPr>
            <w:tcW w:w="1134" w:type="dxa"/>
            <w:vAlign w:val="center"/>
          </w:tcPr>
          <w:p>
            <w:pPr>
              <w:spacing w:line="276" w:lineRule="auto"/>
              <w:jc w:val="center"/>
              <w:rPr>
                <w:color w:val="000000"/>
                <w:sz w:val="24"/>
                <w:szCs w:val="24"/>
              </w:rPr>
            </w:pPr>
            <w:r>
              <w:rPr>
                <w:rFonts w:hint="eastAsia"/>
                <w:color w:val="000000"/>
                <w:sz w:val="24"/>
                <w:szCs w:val="24"/>
              </w:rPr>
              <w:t>施工区</w:t>
            </w:r>
          </w:p>
        </w:tc>
        <w:tc>
          <w:tcPr>
            <w:tcW w:w="1275" w:type="dxa"/>
            <w:gridSpan w:val="2"/>
            <w:vAlign w:val="center"/>
          </w:tcPr>
          <w:p>
            <w:pPr>
              <w:spacing w:line="276" w:lineRule="auto"/>
              <w:jc w:val="center"/>
              <w:rPr>
                <w:color w:val="000000"/>
                <w:sz w:val="24"/>
                <w:szCs w:val="24"/>
              </w:rPr>
            </w:pPr>
            <w:r>
              <w:rPr>
                <w:rFonts w:hint="eastAsia"/>
                <w:color w:val="000000"/>
                <w:sz w:val="24"/>
                <w:szCs w:val="24"/>
              </w:rPr>
              <w:t>扬尘</w:t>
            </w:r>
          </w:p>
        </w:tc>
        <w:tc>
          <w:tcPr>
            <w:tcW w:w="2694" w:type="dxa"/>
            <w:gridSpan w:val="2"/>
            <w:vAlign w:val="center"/>
          </w:tcPr>
          <w:p>
            <w:pPr>
              <w:jc w:val="left"/>
              <w:rPr>
                <w:color w:val="000000"/>
                <w:sz w:val="24"/>
                <w:szCs w:val="24"/>
              </w:rPr>
            </w:pPr>
            <w:r>
              <w:rPr>
                <w:rFonts w:hint="eastAsia"/>
                <w:color w:val="000000"/>
                <w:sz w:val="24"/>
                <w:szCs w:val="24"/>
              </w:rPr>
              <w:t xml:space="preserve">①施工设备及运输车辆及时清洗； </w:t>
            </w:r>
          </w:p>
          <w:p>
            <w:pPr>
              <w:jc w:val="left"/>
              <w:rPr>
                <w:color w:val="000000"/>
                <w:sz w:val="24"/>
                <w:szCs w:val="24"/>
              </w:rPr>
            </w:pPr>
            <w:r>
              <w:rPr>
                <w:rFonts w:hint="eastAsia"/>
                <w:color w:val="000000"/>
                <w:sz w:val="24"/>
                <w:szCs w:val="24"/>
              </w:rPr>
              <w:t xml:space="preserve">②施工场地定期洒水； </w:t>
            </w:r>
          </w:p>
          <w:p>
            <w:pPr>
              <w:spacing w:line="276" w:lineRule="auto"/>
              <w:rPr>
                <w:color w:val="000000"/>
                <w:sz w:val="24"/>
                <w:szCs w:val="24"/>
              </w:rPr>
            </w:pPr>
            <w:r>
              <w:rPr>
                <w:rFonts w:hint="eastAsia" w:cs="宋体"/>
                <w:sz w:val="24"/>
                <w:szCs w:val="24"/>
              </w:rPr>
              <w:t>③</w:t>
            </w:r>
            <w:r>
              <w:rPr>
                <w:rFonts w:hint="eastAsia"/>
                <w:color w:val="000000"/>
                <w:sz w:val="24"/>
                <w:szCs w:val="24"/>
              </w:rPr>
              <w:t>设置围挡，控制扬尘</w:t>
            </w:r>
          </w:p>
        </w:tc>
        <w:tc>
          <w:tcPr>
            <w:tcW w:w="2126" w:type="dxa"/>
            <w:vAlign w:val="center"/>
          </w:tcPr>
          <w:p>
            <w:pPr>
              <w:spacing w:line="276" w:lineRule="auto"/>
              <w:jc w:val="center"/>
              <w:rPr>
                <w:color w:val="000000"/>
                <w:sz w:val="24"/>
                <w:szCs w:val="24"/>
              </w:rPr>
            </w:pPr>
            <w:r>
              <w:rPr>
                <w:bCs/>
                <w:color w:val="000000"/>
                <w:sz w:val="24"/>
                <w:szCs w:val="24"/>
              </w:rPr>
              <w:t>达到环保要求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trPr>
        <w:tc>
          <w:tcPr>
            <w:tcW w:w="2048" w:type="dxa"/>
            <w:vMerge w:val="restart"/>
            <w:vAlign w:val="center"/>
          </w:tcPr>
          <w:p>
            <w:pPr>
              <w:spacing w:line="276" w:lineRule="auto"/>
              <w:jc w:val="center"/>
              <w:rPr>
                <w:color w:val="000000"/>
                <w:sz w:val="24"/>
                <w:szCs w:val="24"/>
              </w:rPr>
            </w:pPr>
            <w:r>
              <w:rPr>
                <w:rFonts w:hint="eastAsia"/>
                <w:color w:val="000000"/>
                <w:sz w:val="24"/>
                <w:szCs w:val="24"/>
              </w:rPr>
              <w:t>水污染物</w:t>
            </w:r>
          </w:p>
        </w:tc>
        <w:tc>
          <w:tcPr>
            <w:tcW w:w="1134" w:type="dxa"/>
            <w:vAlign w:val="center"/>
          </w:tcPr>
          <w:p>
            <w:pPr>
              <w:spacing w:line="276" w:lineRule="auto"/>
              <w:jc w:val="center"/>
              <w:rPr>
                <w:color w:val="000000"/>
                <w:sz w:val="24"/>
                <w:szCs w:val="24"/>
              </w:rPr>
            </w:pPr>
            <w:r>
              <w:rPr>
                <w:rFonts w:hint="eastAsia"/>
                <w:color w:val="000000"/>
                <w:sz w:val="24"/>
                <w:szCs w:val="24"/>
              </w:rPr>
              <w:t>施工生活</w:t>
            </w:r>
          </w:p>
        </w:tc>
        <w:tc>
          <w:tcPr>
            <w:tcW w:w="1275" w:type="dxa"/>
            <w:gridSpan w:val="2"/>
            <w:vAlign w:val="center"/>
          </w:tcPr>
          <w:p>
            <w:pPr>
              <w:spacing w:line="276" w:lineRule="auto"/>
              <w:jc w:val="center"/>
              <w:rPr>
                <w:color w:val="000000"/>
                <w:sz w:val="24"/>
                <w:szCs w:val="24"/>
              </w:rPr>
            </w:pPr>
            <w:r>
              <w:rPr>
                <w:rFonts w:hint="eastAsia"/>
                <w:color w:val="000000"/>
                <w:sz w:val="24"/>
                <w:szCs w:val="24"/>
              </w:rPr>
              <w:t>生活污水</w:t>
            </w:r>
          </w:p>
        </w:tc>
        <w:tc>
          <w:tcPr>
            <w:tcW w:w="2694" w:type="dxa"/>
            <w:gridSpan w:val="2"/>
            <w:vAlign w:val="center"/>
          </w:tcPr>
          <w:p>
            <w:pPr>
              <w:jc w:val="left"/>
              <w:rPr>
                <w:rFonts w:cs="宋体"/>
              </w:rPr>
            </w:pPr>
            <w:r>
              <w:rPr>
                <w:rFonts w:hint="eastAsia"/>
              </w:rPr>
              <w:t>利用民房</w:t>
            </w:r>
            <w:r>
              <w:t>已有污水处理设施（如旱厕、化粪池等）进行处理，处理后用于农业、林业灌溉，不排放</w:t>
            </w:r>
          </w:p>
        </w:tc>
        <w:tc>
          <w:tcPr>
            <w:tcW w:w="2126" w:type="dxa"/>
            <w:vAlign w:val="center"/>
          </w:tcPr>
          <w:p>
            <w:pPr>
              <w:spacing w:line="276" w:lineRule="auto"/>
              <w:jc w:val="center"/>
              <w:rPr>
                <w:color w:val="000000"/>
                <w:sz w:val="24"/>
                <w:szCs w:val="24"/>
              </w:rPr>
            </w:pPr>
            <w:r>
              <w:rPr>
                <w:bCs/>
                <w:color w:val="000000"/>
                <w:sz w:val="24"/>
                <w:szCs w:val="24"/>
              </w:rPr>
              <w:t>达到环保要求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2048" w:type="dxa"/>
            <w:vMerge w:val="continue"/>
            <w:vAlign w:val="center"/>
          </w:tcPr>
          <w:p>
            <w:pPr>
              <w:spacing w:line="276" w:lineRule="auto"/>
              <w:jc w:val="center"/>
              <w:rPr>
                <w:color w:val="000000"/>
                <w:sz w:val="24"/>
                <w:szCs w:val="24"/>
              </w:rPr>
            </w:pPr>
          </w:p>
        </w:tc>
        <w:tc>
          <w:tcPr>
            <w:tcW w:w="1134" w:type="dxa"/>
            <w:vAlign w:val="center"/>
          </w:tcPr>
          <w:p>
            <w:pPr>
              <w:spacing w:line="276" w:lineRule="auto"/>
              <w:jc w:val="center"/>
              <w:rPr>
                <w:color w:val="000000"/>
                <w:sz w:val="24"/>
                <w:szCs w:val="24"/>
              </w:rPr>
            </w:pPr>
            <w:r>
              <w:rPr>
                <w:rFonts w:hint="eastAsia"/>
                <w:color w:val="000000"/>
                <w:spacing w:val="6"/>
                <w:sz w:val="24"/>
                <w:szCs w:val="24"/>
              </w:rPr>
              <w:t>施工区</w:t>
            </w:r>
          </w:p>
        </w:tc>
        <w:tc>
          <w:tcPr>
            <w:tcW w:w="1275" w:type="dxa"/>
            <w:gridSpan w:val="2"/>
            <w:vAlign w:val="center"/>
          </w:tcPr>
          <w:p>
            <w:pPr>
              <w:spacing w:line="276" w:lineRule="auto"/>
              <w:jc w:val="center"/>
              <w:rPr>
                <w:color w:val="000000"/>
                <w:sz w:val="24"/>
                <w:szCs w:val="24"/>
              </w:rPr>
            </w:pPr>
            <w:r>
              <w:rPr>
                <w:rFonts w:hint="eastAsia"/>
                <w:color w:val="000000"/>
                <w:sz w:val="24"/>
                <w:szCs w:val="24"/>
              </w:rPr>
              <w:t>施工废水</w:t>
            </w:r>
          </w:p>
        </w:tc>
        <w:tc>
          <w:tcPr>
            <w:tcW w:w="2694" w:type="dxa"/>
            <w:gridSpan w:val="2"/>
            <w:vAlign w:val="center"/>
          </w:tcPr>
          <w:p>
            <w:pPr>
              <w:spacing w:line="276" w:lineRule="auto"/>
              <w:jc w:val="left"/>
              <w:rPr>
                <w:color w:val="000000"/>
                <w:sz w:val="24"/>
                <w:szCs w:val="24"/>
              </w:rPr>
            </w:pPr>
            <w:r>
              <w:rPr>
                <w:rFonts w:hint="eastAsia"/>
                <w:sz w:val="24"/>
                <w:szCs w:val="24"/>
              </w:rPr>
              <w:t>收集后经隔油、沉淀处理达标后回用</w:t>
            </w:r>
          </w:p>
        </w:tc>
        <w:tc>
          <w:tcPr>
            <w:tcW w:w="2126" w:type="dxa"/>
            <w:vAlign w:val="center"/>
          </w:tcPr>
          <w:p>
            <w:pPr>
              <w:spacing w:line="240" w:lineRule="atLeast"/>
              <w:jc w:val="center"/>
              <w:rPr>
                <w:color w:val="000000"/>
                <w:sz w:val="24"/>
                <w:szCs w:val="24"/>
              </w:rPr>
            </w:pPr>
            <w:r>
              <w:rPr>
                <w:bCs/>
                <w:color w:val="000000"/>
                <w:sz w:val="24"/>
                <w:szCs w:val="24"/>
              </w:rPr>
              <w:t>达到环保要求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2048" w:type="dxa"/>
            <w:vAlign w:val="center"/>
          </w:tcPr>
          <w:p>
            <w:pPr>
              <w:spacing w:line="276" w:lineRule="auto"/>
              <w:jc w:val="center"/>
              <w:rPr>
                <w:color w:val="000000"/>
                <w:spacing w:val="6"/>
                <w:sz w:val="24"/>
                <w:szCs w:val="24"/>
              </w:rPr>
            </w:pPr>
            <w:r>
              <w:rPr>
                <w:rFonts w:hint="eastAsia"/>
                <w:color w:val="000000"/>
                <w:spacing w:val="6"/>
                <w:sz w:val="24"/>
                <w:szCs w:val="24"/>
              </w:rPr>
              <w:t>噪声</w:t>
            </w:r>
          </w:p>
        </w:tc>
        <w:tc>
          <w:tcPr>
            <w:tcW w:w="1134" w:type="dxa"/>
            <w:vAlign w:val="center"/>
          </w:tcPr>
          <w:p>
            <w:pPr>
              <w:spacing w:line="240" w:lineRule="atLeast"/>
              <w:jc w:val="center"/>
              <w:rPr>
                <w:color w:val="000000"/>
                <w:sz w:val="24"/>
                <w:szCs w:val="24"/>
              </w:rPr>
            </w:pPr>
            <w:r>
              <w:rPr>
                <w:rFonts w:hint="eastAsia"/>
                <w:color w:val="000000"/>
                <w:spacing w:val="6"/>
                <w:sz w:val="24"/>
                <w:szCs w:val="24"/>
              </w:rPr>
              <w:t>施工机械</w:t>
            </w:r>
          </w:p>
        </w:tc>
        <w:tc>
          <w:tcPr>
            <w:tcW w:w="1275" w:type="dxa"/>
            <w:gridSpan w:val="2"/>
            <w:vAlign w:val="center"/>
          </w:tcPr>
          <w:p>
            <w:pPr>
              <w:spacing w:line="240" w:lineRule="atLeast"/>
              <w:jc w:val="center"/>
              <w:rPr>
                <w:color w:val="000000"/>
                <w:sz w:val="24"/>
                <w:szCs w:val="24"/>
                <w:vertAlign w:val="subscript"/>
              </w:rPr>
            </w:pPr>
            <w:r>
              <w:rPr>
                <w:rFonts w:hint="eastAsia"/>
                <w:color w:val="000000"/>
                <w:spacing w:val="6"/>
                <w:sz w:val="24"/>
                <w:szCs w:val="24"/>
              </w:rPr>
              <w:t>噪声</w:t>
            </w:r>
          </w:p>
        </w:tc>
        <w:tc>
          <w:tcPr>
            <w:tcW w:w="2694" w:type="dxa"/>
            <w:gridSpan w:val="2"/>
            <w:vAlign w:val="center"/>
          </w:tcPr>
          <w:p>
            <w:pPr>
              <w:rPr>
                <w:sz w:val="24"/>
                <w:szCs w:val="24"/>
              </w:rPr>
            </w:pPr>
            <w:r>
              <w:rPr>
                <w:rFonts w:hint="eastAsia"/>
                <w:color w:val="000000"/>
                <w:sz w:val="24"/>
                <w:szCs w:val="24"/>
              </w:rPr>
              <w:t>①</w:t>
            </w:r>
            <w:r>
              <w:rPr>
                <w:sz w:val="24"/>
                <w:szCs w:val="24"/>
              </w:rPr>
              <w:t>合理安排施工场地；</w:t>
            </w:r>
          </w:p>
          <w:p>
            <w:pPr>
              <w:spacing w:line="240" w:lineRule="atLeast"/>
              <w:jc w:val="center"/>
              <w:rPr>
                <w:color w:val="000000"/>
                <w:sz w:val="24"/>
                <w:szCs w:val="24"/>
              </w:rPr>
            </w:pPr>
            <w:r>
              <w:rPr>
                <w:rFonts w:hint="eastAsia" w:cs="宋体"/>
                <w:sz w:val="24"/>
                <w:szCs w:val="24"/>
              </w:rPr>
              <w:t>②</w:t>
            </w:r>
            <w:r>
              <w:rPr>
                <w:sz w:val="24"/>
                <w:szCs w:val="24"/>
              </w:rPr>
              <w:t>在居民集中区施工时间尽量安排在昼间，夜间禁止施工</w:t>
            </w:r>
          </w:p>
        </w:tc>
        <w:tc>
          <w:tcPr>
            <w:tcW w:w="2126" w:type="dxa"/>
            <w:vAlign w:val="center"/>
          </w:tcPr>
          <w:p>
            <w:pPr>
              <w:spacing w:line="240" w:lineRule="atLeast"/>
              <w:jc w:val="center"/>
              <w:rPr>
                <w:color w:val="000000"/>
                <w:sz w:val="24"/>
                <w:szCs w:val="24"/>
              </w:rPr>
            </w:pPr>
            <w:r>
              <w:rPr>
                <w:rFonts w:hint="eastAsia"/>
              </w:rPr>
              <w:t>达</w:t>
            </w:r>
            <w:r>
              <w:t>（GB12523-2011）标准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2048" w:type="dxa"/>
            <w:vMerge w:val="restart"/>
            <w:vAlign w:val="center"/>
          </w:tcPr>
          <w:p>
            <w:pPr>
              <w:spacing w:line="276" w:lineRule="auto"/>
              <w:jc w:val="center"/>
              <w:rPr>
                <w:color w:val="000000"/>
                <w:spacing w:val="6"/>
                <w:sz w:val="24"/>
                <w:szCs w:val="24"/>
              </w:rPr>
            </w:pPr>
            <w:r>
              <w:rPr>
                <w:rFonts w:hint="eastAsia"/>
                <w:color w:val="000000"/>
                <w:spacing w:val="6"/>
                <w:sz w:val="24"/>
                <w:szCs w:val="24"/>
              </w:rPr>
              <w:t>固体污染物</w:t>
            </w:r>
          </w:p>
        </w:tc>
        <w:tc>
          <w:tcPr>
            <w:tcW w:w="1134" w:type="dxa"/>
            <w:vAlign w:val="center"/>
          </w:tcPr>
          <w:p>
            <w:pPr>
              <w:spacing w:line="240" w:lineRule="atLeast"/>
              <w:jc w:val="center"/>
              <w:rPr>
                <w:color w:val="000000"/>
                <w:spacing w:val="6"/>
                <w:sz w:val="24"/>
                <w:szCs w:val="24"/>
              </w:rPr>
            </w:pPr>
            <w:r>
              <w:rPr>
                <w:rFonts w:hint="eastAsia"/>
                <w:color w:val="000000"/>
                <w:spacing w:val="6"/>
                <w:sz w:val="24"/>
                <w:szCs w:val="24"/>
              </w:rPr>
              <w:t>建筑垃圾</w:t>
            </w:r>
          </w:p>
        </w:tc>
        <w:tc>
          <w:tcPr>
            <w:tcW w:w="1275" w:type="dxa"/>
            <w:gridSpan w:val="2"/>
            <w:vAlign w:val="center"/>
          </w:tcPr>
          <w:p>
            <w:pPr>
              <w:spacing w:line="240" w:lineRule="atLeast"/>
              <w:jc w:val="center"/>
              <w:rPr>
                <w:color w:val="000000"/>
                <w:spacing w:val="6"/>
                <w:sz w:val="24"/>
                <w:szCs w:val="24"/>
              </w:rPr>
            </w:pPr>
            <w:r>
              <w:rPr>
                <w:rFonts w:hint="eastAsia"/>
                <w:color w:val="000000"/>
                <w:spacing w:val="6"/>
                <w:sz w:val="24"/>
                <w:szCs w:val="24"/>
              </w:rPr>
              <w:t>建筑垃圾</w:t>
            </w:r>
          </w:p>
        </w:tc>
        <w:tc>
          <w:tcPr>
            <w:tcW w:w="2694" w:type="dxa"/>
            <w:gridSpan w:val="2"/>
            <w:vAlign w:val="center"/>
          </w:tcPr>
          <w:p>
            <w:pPr>
              <w:rPr>
                <w:color w:val="000000"/>
                <w:sz w:val="24"/>
                <w:szCs w:val="24"/>
              </w:rPr>
            </w:pPr>
            <w:r>
              <w:rPr>
                <w:rFonts w:hint="eastAsia"/>
                <w:sz w:val="24"/>
              </w:rPr>
              <w:t>有资质单位外运到</w:t>
            </w:r>
            <w:r>
              <w:rPr>
                <w:sz w:val="24"/>
              </w:rPr>
              <w:t>城市渣土办指定地方堆放</w:t>
            </w:r>
          </w:p>
        </w:tc>
        <w:tc>
          <w:tcPr>
            <w:tcW w:w="2126" w:type="dxa"/>
            <w:vAlign w:val="center"/>
          </w:tcPr>
          <w:p>
            <w:pPr>
              <w:spacing w:line="240" w:lineRule="atLeast"/>
              <w:jc w:val="center"/>
              <w:rPr>
                <w:color w:val="000000"/>
                <w:sz w:val="24"/>
                <w:szCs w:val="24"/>
              </w:rPr>
            </w:pPr>
            <w:r>
              <w:rPr>
                <w:bCs/>
                <w:color w:val="000000"/>
                <w:sz w:val="24"/>
                <w:szCs w:val="24"/>
              </w:rPr>
              <w:t>达到环保要求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2048" w:type="dxa"/>
            <w:vMerge w:val="continue"/>
            <w:vAlign w:val="center"/>
          </w:tcPr>
          <w:p>
            <w:pPr>
              <w:spacing w:line="276" w:lineRule="auto"/>
              <w:jc w:val="center"/>
              <w:rPr>
                <w:color w:val="000000"/>
                <w:spacing w:val="6"/>
                <w:sz w:val="24"/>
                <w:szCs w:val="24"/>
              </w:rPr>
            </w:pPr>
          </w:p>
        </w:tc>
        <w:tc>
          <w:tcPr>
            <w:tcW w:w="1134" w:type="dxa"/>
            <w:vAlign w:val="center"/>
          </w:tcPr>
          <w:p>
            <w:pPr>
              <w:spacing w:line="240" w:lineRule="atLeast"/>
              <w:jc w:val="center"/>
              <w:rPr>
                <w:color w:val="000000"/>
                <w:spacing w:val="6"/>
                <w:sz w:val="24"/>
                <w:szCs w:val="24"/>
              </w:rPr>
            </w:pPr>
            <w:r>
              <w:rPr>
                <w:rFonts w:hint="eastAsia"/>
                <w:color w:val="000000"/>
                <w:spacing w:val="6"/>
                <w:sz w:val="24"/>
                <w:szCs w:val="24"/>
              </w:rPr>
              <w:t>土石方</w:t>
            </w:r>
          </w:p>
        </w:tc>
        <w:tc>
          <w:tcPr>
            <w:tcW w:w="1275" w:type="dxa"/>
            <w:gridSpan w:val="2"/>
            <w:vAlign w:val="center"/>
          </w:tcPr>
          <w:p>
            <w:pPr>
              <w:spacing w:line="240" w:lineRule="atLeast"/>
              <w:jc w:val="center"/>
              <w:rPr>
                <w:color w:val="000000"/>
                <w:spacing w:val="6"/>
                <w:sz w:val="24"/>
                <w:szCs w:val="24"/>
              </w:rPr>
            </w:pPr>
            <w:r>
              <w:rPr>
                <w:rFonts w:hint="eastAsia"/>
                <w:color w:val="000000"/>
                <w:spacing w:val="6"/>
                <w:sz w:val="24"/>
                <w:szCs w:val="24"/>
              </w:rPr>
              <w:t>弃方</w:t>
            </w:r>
          </w:p>
        </w:tc>
        <w:tc>
          <w:tcPr>
            <w:tcW w:w="2694" w:type="dxa"/>
            <w:gridSpan w:val="2"/>
            <w:vAlign w:val="center"/>
          </w:tcPr>
          <w:p>
            <w:pPr>
              <w:rPr>
                <w:color w:val="000000"/>
                <w:sz w:val="24"/>
                <w:szCs w:val="24"/>
              </w:rPr>
            </w:pPr>
            <w:r>
              <w:rPr>
                <w:rFonts w:hint="eastAsia"/>
                <w:sz w:val="24"/>
              </w:rPr>
              <w:t>有资质单位外运到</w:t>
            </w:r>
            <w:r>
              <w:rPr>
                <w:sz w:val="24"/>
              </w:rPr>
              <w:t>城市渣土办指定地方堆放</w:t>
            </w:r>
          </w:p>
        </w:tc>
        <w:tc>
          <w:tcPr>
            <w:tcW w:w="2126" w:type="dxa"/>
            <w:vAlign w:val="center"/>
          </w:tcPr>
          <w:p>
            <w:pPr>
              <w:spacing w:line="240" w:lineRule="atLeast"/>
              <w:jc w:val="center"/>
              <w:rPr>
                <w:color w:val="000000"/>
                <w:sz w:val="24"/>
                <w:szCs w:val="24"/>
              </w:rPr>
            </w:pPr>
            <w:r>
              <w:rPr>
                <w:bCs/>
                <w:color w:val="000000"/>
                <w:sz w:val="24"/>
                <w:szCs w:val="24"/>
              </w:rPr>
              <w:t>达到环保要求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2048" w:type="dxa"/>
            <w:vMerge w:val="continue"/>
            <w:vAlign w:val="center"/>
          </w:tcPr>
          <w:p>
            <w:pPr>
              <w:spacing w:line="276" w:lineRule="auto"/>
              <w:jc w:val="center"/>
              <w:rPr>
                <w:color w:val="000000"/>
                <w:spacing w:val="6"/>
                <w:sz w:val="24"/>
                <w:szCs w:val="24"/>
              </w:rPr>
            </w:pPr>
          </w:p>
        </w:tc>
        <w:tc>
          <w:tcPr>
            <w:tcW w:w="1134" w:type="dxa"/>
            <w:vAlign w:val="center"/>
          </w:tcPr>
          <w:p>
            <w:pPr>
              <w:spacing w:line="240" w:lineRule="atLeast"/>
              <w:jc w:val="center"/>
              <w:rPr>
                <w:color w:val="000000"/>
                <w:spacing w:val="6"/>
                <w:sz w:val="24"/>
                <w:szCs w:val="24"/>
              </w:rPr>
            </w:pPr>
            <w:r>
              <w:rPr>
                <w:rFonts w:hint="eastAsia"/>
                <w:color w:val="000000"/>
                <w:spacing w:val="6"/>
                <w:sz w:val="24"/>
                <w:szCs w:val="24"/>
              </w:rPr>
              <w:t>生活垃圾</w:t>
            </w:r>
          </w:p>
        </w:tc>
        <w:tc>
          <w:tcPr>
            <w:tcW w:w="1275" w:type="dxa"/>
            <w:gridSpan w:val="2"/>
            <w:vAlign w:val="center"/>
          </w:tcPr>
          <w:p>
            <w:pPr>
              <w:spacing w:line="240" w:lineRule="atLeast"/>
              <w:jc w:val="center"/>
              <w:rPr>
                <w:color w:val="000000"/>
                <w:spacing w:val="6"/>
                <w:sz w:val="24"/>
                <w:szCs w:val="24"/>
              </w:rPr>
            </w:pPr>
            <w:r>
              <w:rPr>
                <w:rFonts w:hint="eastAsia"/>
                <w:color w:val="000000"/>
                <w:spacing w:val="6"/>
                <w:sz w:val="24"/>
                <w:szCs w:val="24"/>
              </w:rPr>
              <w:t>生活垃圾</w:t>
            </w:r>
          </w:p>
        </w:tc>
        <w:tc>
          <w:tcPr>
            <w:tcW w:w="2694" w:type="dxa"/>
            <w:gridSpan w:val="2"/>
            <w:vAlign w:val="center"/>
          </w:tcPr>
          <w:p>
            <w:pPr>
              <w:rPr>
                <w:color w:val="000000"/>
                <w:sz w:val="24"/>
                <w:szCs w:val="24"/>
              </w:rPr>
            </w:pPr>
            <w:r>
              <w:rPr>
                <w:rFonts w:hint="eastAsia"/>
                <w:color w:val="000000"/>
                <w:sz w:val="24"/>
                <w:szCs w:val="24"/>
              </w:rPr>
              <w:t>交由环卫部门清运</w:t>
            </w:r>
          </w:p>
        </w:tc>
        <w:tc>
          <w:tcPr>
            <w:tcW w:w="2126" w:type="dxa"/>
            <w:vAlign w:val="center"/>
          </w:tcPr>
          <w:p>
            <w:pPr>
              <w:spacing w:line="240" w:lineRule="atLeast"/>
              <w:jc w:val="center"/>
              <w:rPr>
                <w:color w:val="000000"/>
                <w:sz w:val="24"/>
                <w:szCs w:val="24"/>
              </w:rPr>
            </w:pPr>
            <w:r>
              <w:rPr>
                <w:bCs/>
                <w:color w:val="000000"/>
                <w:sz w:val="24"/>
                <w:szCs w:val="24"/>
              </w:rPr>
              <w:t>达到环保要求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2048" w:type="dxa"/>
            <w:vAlign w:val="center"/>
          </w:tcPr>
          <w:p>
            <w:pPr>
              <w:spacing w:line="276" w:lineRule="auto"/>
              <w:jc w:val="center"/>
              <w:rPr>
                <w:color w:val="000000"/>
                <w:spacing w:val="6"/>
                <w:sz w:val="24"/>
                <w:szCs w:val="24"/>
              </w:rPr>
            </w:pPr>
            <w:r>
              <w:rPr>
                <w:rFonts w:hint="eastAsia"/>
                <w:color w:val="000000"/>
                <w:spacing w:val="6"/>
                <w:sz w:val="24"/>
                <w:szCs w:val="24"/>
              </w:rPr>
              <w:t>生态破坏</w:t>
            </w:r>
          </w:p>
        </w:tc>
        <w:tc>
          <w:tcPr>
            <w:tcW w:w="1134" w:type="dxa"/>
            <w:vAlign w:val="center"/>
          </w:tcPr>
          <w:p>
            <w:pPr>
              <w:spacing w:line="240" w:lineRule="atLeast"/>
              <w:rPr>
                <w:color w:val="000000"/>
                <w:spacing w:val="6"/>
                <w:sz w:val="24"/>
                <w:szCs w:val="24"/>
              </w:rPr>
            </w:pPr>
            <w:r>
              <w:rPr>
                <w:rFonts w:hint="eastAsia"/>
                <w:color w:val="000000"/>
                <w:spacing w:val="6"/>
                <w:sz w:val="24"/>
                <w:szCs w:val="24"/>
              </w:rPr>
              <w:t>施工区</w:t>
            </w:r>
          </w:p>
        </w:tc>
        <w:tc>
          <w:tcPr>
            <w:tcW w:w="1275" w:type="dxa"/>
            <w:gridSpan w:val="2"/>
            <w:vAlign w:val="center"/>
          </w:tcPr>
          <w:p>
            <w:pPr>
              <w:spacing w:line="240" w:lineRule="atLeast"/>
              <w:jc w:val="center"/>
              <w:rPr>
                <w:color w:val="000000"/>
                <w:spacing w:val="6"/>
                <w:sz w:val="24"/>
                <w:szCs w:val="24"/>
              </w:rPr>
            </w:pPr>
            <w:r>
              <w:rPr>
                <w:rFonts w:hint="eastAsia"/>
                <w:color w:val="000000"/>
                <w:spacing w:val="6"/>
                <w:sz w:val="24"/>
                <w:szCs w:val="24"/>
              </w:rPr>
              <w:t>水土流失</w:t>
            </w:r>
          </w:p>
        </w:tc>
        <w:tc>
          <w:tcPr>
            <w:tcW w:w="2694" w:type="dxa"/>
            <w:gridSpan w:val="2"/>
            <w:vAlign w:val="center"/>
          </w:tcPr>
          <w:p>
            <w:pPr>
              <w:rPr>
                <w:color w:val="000000"/>
                <w:sz w:val="24"/>
                <w:szCs w:val="24"/>
              </w:rPr>
            </w:pPr>
            <w:r>
              <w:rPr>
                <w:sz w:val="24"/>
                <w:szCs w:val="24"/>
              </w:rPr>
              <w:t>合理安排工期，及时</w:t>
            </w:r>
            <w:r>
              <w:rPr>
                <w:rFonts w:hint="eastAsia"/>
                <w:sz w:val="24"/>
                <w:szCs w:val="24"/>
              </w:rPr>
              <w:t>回填</w:t>
            </w:r>
          </w:p>
        </w:tc>
        <w:tc>
          <w:tcPr>
            <w:tcW w:w="2126" w:type="dxa"/>
            <w:vAlign w:val="center"/>
          </w:tcPr>
          <w:p>
            <w:pPr>
              <w:spacing w:line="240" w:lineRule="atLeast"/>
              <w:jc w:val="center"/>
              <w:rPr>
                <w:color w:val="000000"/>
                <w:sz w:val="24"/>
                <w:szCs w:val="24"/>
              </w:rPr>
            </w:pPr>
            <w:r>
              <w:rPr>
                <w:bCs/>
                <w:color w:val="000000"/>
                <w:sz w:val="24"/>
                <w:szCs w:val="24"/>
              </w:rPr>
              <w:t>达到环保要求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trPr>
        <w:tc>
          <w:tcPr>
            <w:tcW w:w="2048" w:type="dxa"/>
            <w:vAlign w:val="center"/>
          </w:tcPr>
          <w:p>
            <w:pPr>
              <w:spacing w:before="120" w:after="120"/>
              <w:jc w:val="center"/>
              <w:rPr>
                <w:color w:val="000000"/>
                <w:spacing w:val="6"/>
                <w:sz w:val="24"/>
                <w:szCs w:val="24"/>
              </w:rPr>
            </w:pPr>
            <w:r>
              <w:rPr>
                <w:color w:val="000000"/>
                <w:spacing w:val="6"/>
                <w:sz w:val="24"/>
                <w:szCs w:val="24"/>
              </w:rPr>
              <w:t>其它</w:t>
            </w:r>
          </w:p>
        </w:tc>
        <w:tc>
          <w:tcPr>
            <w:tcW w:w="7229" w:type="dxa"/>
            <w:gridSpan w:val="6"/>
            <w:vAlign w:val="center"/>
          </w:tcPr>
          <w:p>
            <w:pPr>
              <w:jc w:val="center"/>
              <w:rPr>
                <w:color w:val="000000"/>
                <w:spacing w:val="6"/>
                <w:sz w:val="24"/>
                <w:szCs w:val="24"/>
              </w:rPr>
            </w:pPr>
            <w:r>
              <w:rPr>
                <w:rFonts w:hint="eastAsia"/>
                <w:color w:val="000000"/>
                <w:spacing w:val="6"/>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1" w:hRule="atLeast"/>
        </w:trPr>
        <w:tc>
          <w:tcPr>
            <w:tcW w:w="9277" w:type="dxa"/>
            <w:gridSpan w:val="7"/>
            <w:vAlign w:val="center"/>
          </w:tcPr>
          <w:p>
            <w:pPr>
              <w:jc w:val="left"/>
            </w:pPr>
            <w:r>
              <w:rPr>
                <w:b/>
                <w:color w:val="000000"/>
                <w:sz w:val="24"/>
              </w:rPr>
              <w:t>生态保护措施及预期效果</w:t>
            </w:r>
          </w:p>
          <w:p>
            <w:pPr>
              <w:spacing w:line="360" w:lineRule="auto"/>
              <w:ind w:left="103" w:leftChars="49" w:firstLine="480" w:firstLineChars="200"/>
              <w:rPr>
                <w:rFonts w:cs="宋体"/>
                <w:color w:val="000000"/>
                <w:sz w:val="24"/>
                <w:szCs w:val="24"/>
              </w:rPr>
            </w:pPr>
            <w:r>
              <w:rPr>
                <w:rFonts w:hint="eastAsia" w:cs="宋体"/>
                <w:color w:val="000000"/>
                <w:sz w:val="24"/>
                <w:szCs w:val="24"/>
              </w:rPr>
              <w:t>本工程施工时，原有植被和雨水径流将受到破坏，施工材料和渣土堆积，易引起水土漫流，造成水土流失。施工过程加强疏水导流，完成部分尽快进行植被绿化和道路硬化，防止暴雨冲刷裸露地面造成水土流失。尽可能抓紧施工，缩短工期，避免雨季施工，可减轻施工期对生态环境的影响。</w:t>
            </w:r>
          </w:p>
          <w:p>
            <w:pPr>
              <w:jc w:val="left"/>
            </w:pPr>
          </w:p>
          <w:p>
            <w:pPr>
              <w:jc w:val="left"/>
            </w:pPr>
          </w:p>
          <w:p>
            <w:pPr>
              <w:jc w:val="left"/>
            </w:pPr>
          </w:p>
          <w:p>
            <w:pPr>
              <w:jc w:val="left"/>
            </w:pPr>
          </w:p>
          <w:p>
            <w:pPr>
              <w:jc w:val="left"/>
            </w:pPr>
          </w:p>
          <w:p>
            <w:pPr>
              <w:jc w:val="left"/>
            </w:pPr>
          </w:p>
          <w:p>
            <w:pPr>
              <w:jc w:val="left"/>
              <w:rPr>
                <w:color w:val="000000"/>
                <w:spacing w:val="6"/>
                <w:szCs w:val="21"/>
              </w:rPr>
            </w:pPr>
          </w:p>
        </w:tc>
      </w:tr>
    </w:tbl>
    <w:p>
      <w:pPr>
        <w:pStyle w:val="2"/>
        <w:numPr>
          <w:ilvl w:val="0"/>
          <w:numId w:val="0"/>
        </w:numPr>
        <w:rPr>
          <w:b/>
          <w:color w:val="000000"/>
        </w:rPr>
      </w:pPr>
      <w:bookmarkStart w:id="43" w:name="_Toc461580600"/>
      <w:r>
        <w:rPr>
          <w:rFonts w:hint="eastAsia"/>
          <w:b/>
          <w:color w:val="000000"/>
        </w:rPr>
        <w:t>九、</w:t>
      </w:r>
      <w:r>
        <w:rPr>
          <w:b/>
          <w:color w:val="000000"/>
        </w:rPr>
        <w:t>结论与建议</w:t>
      </w:r>
      <w:bookmarkEnd w:id="43"/>
    </w:p>
    <w:tbl>
      <w:tblPr>
        <w:tblStyle w:val="43"/>
        <w:tblW w:w="94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63" w:type="dxa"/>
          </w:tcPr>
          <w:p>
            <w:pPr>
              <w:spacing w:line="360" w:lineRule="auto"/>
              <w:rPr>
                <w:b/>
                <w:color w:val="000000"/>
                <w:sz w:val="24"/>
              </w:rPr>
            </w:pPr>
            <w:r>
              <w:rPr>
                <w:b/>
                <w:color w:val="000000"/>
                <w:sz w:val="24"/>
              </w:rPr>
              <w:t>1、结论</w:t>
            </w:r>
          </w:p>
          <w:p>
            <w:pPr>
              <w:spacing w:line="360" w:lineRule="auto"/>
              <w:rPr>
                <w:b/>
                <w:color w:val="000000"/>
                <w:sz w:val="24"/>
              </w:rPr>
            </w:pPr>
            <w:r>
              <w:rPr>
                <w:b/>
                <w:color w:val="000000"/>
                <w:sz w:val="24"/>
              </w:rPr>
              <w:t>1.1项目概况</w:t>
            </w:r>
          </w:p>
          <w:p>
            <w:pPr>
              <w:spacing w:line="360" w:lineRule="auto"/>
              <w:ind w:firstLine="480" w:firstLineChars="200"/>
              <w:rPr>
                <w:sz w:val="24"/>
              </w:rPr>
            </w:pPr>
            <w:r>
              <w:rPr>
                <w:rFonts w:hint="eastAsia"/>
                <w:sz w:val="24"/>
              </w:rPr>
              <w:t>综合管廊是一种新型的建于城市地下的用于容纳城市市政管线的构筑物及附属设施。市政管线在综合管廊内敷设，受管廊结构的保护，在外界开挖时不会被挖断从而影响正常运行。管廊内具备人员巡视通道，方便工作人员对管线进行维护，延长了管线运行寿命。管廊可预留远期管线敷设的空间，远期如果需要增加管线时无需再行开挖道路。综合管廊具有一次投资，长期受益的优点。</w:t>
            </w:r>
          </w:p>
          <w:p>
            <w:pPr>
              <w:spacing w:line="480" w:lineRule="exact"/>
              <w:ind w:firstLine="480" w:firstLineChars="200"/>
              <w:rPr>
                <w:spacing w:val="6"/>
                <w:sz w:val="24"/>
              </w:rPr>
            </w:pPr>
            <w:r>
              <w:rPr>
                <w:rFonts w:hint="eastAsia"/>
                <w:sz w:val="24"/>
              </w:rPr>
              <w:t>本项目为</w:t>
            </w:r>
            <w:r>
              <w:rPr>
                <w:rFonts w:hint="eastAsia"/>
                <w:sz w:val="24"/>
                <w:lang w:val="zh-CN"/>
              </w:rPr>
              <w:t>置田庄路</w:t>
            </w:r>
            <w:r>
              <w:rPr>
                <w:rFonts w:hint="eastAsia"/>
                <w:sz w:val="24"/>
                <w:lang w:val="en-US" w:eastAsia="zh-CN"/>
              </w:rPr>
              <w:t>地下</w:t>
            </w:r>
            <w:r>
              <w:rPr>
                <w:rFonts w:hint="eastAsia"/>
                <w:sz w:val="24"/>
                <w:lang w:val="zh-CN"/>
              </w:rPr>
              <w:t>综合管廊(入廊管线为电力、电信、给水、燃气)工程，</w:t>
            </w:r>
            <w:r>
              <w:rPr>
                <w:rFonts w:hint="eastAsia"/>
                <w:sz w:val="24"/>
                <w:lang w:val="en-US" w:eastAsia="zh-CN"/>
              </w:rPr>
              <w:t>西</w:t>
            </w:r>
            <w:r>
              <w:rPr>
                <w:rFonts w:hint="eastAsia"/>
                <w:sz w:val="24"/>
                <w:lang w:val="zh-CN"/>
              </w:rPr>
              <w:t>起长康路，</w:t>
            </w:r>
            <w:r>
              <w:rPr>
                <w:rFonts w:hint="eastAsia"/>
                <w:sz w:val="24"/>
                <w:lang w:val="en-US" w:eastAsia="zh-CN"/>
              </w:rPr>
              <w:t>东</w:t>
            </w:r>
            <w:r>
              <w:rPr>
                <w:rFonts w:hint="eastAsia"/>
                <w:sz w:val="24"/>
                <w:lang w:val="zh-CN"/>
              </w:rPr>
              <w:t>至梅溪港桥，采用双舱舱，分燃气舱、综合舱，总宽5.4m，总高3.9m，总长约1900m；另外包含分水垄路支线管廊共135m，按总宽5.6m，总高3.8m考虑。在位于分水垄路与置田庄路交叉口范围内新建一处地下人行通道，主通道砼箱净高3.65米，结构净宽为7m；副通道砼箱净高3.65米，结构净宽为5.5m。本报告不包括道路工程。</w:t>
            </w:r>
          </w:p>
          <w:p>
            <w:pPr>
              <w:spacing w:line="360" w:lineRule="auto"/>
              <w:rPr>
                <w:b/>
                <w:color w:val="000000"/>
                <w:sz w:val="24"/>
              </w:rPr>
            </w:pPr>
            <w:r>
              <w:rPr>
                <w:b/>
                <w:color w:val="000000"/>
                <w:sz w:val="24"/>
              </w:rPr>
              <w:t>1.2环境质量现状</w:t>
            </w:r>
          </w:p>
          <w:p>
            <w:pPr>
              <w:adjustRightInd w:val="0"/>
              <w:snapToGrid w:val="0"/>
              <w:spacing w:line="360" w:lineRule="auto"/>
              <w:ind w:firstLine="555"/>
              <w:rPr>
                <w:rFonts w:hint="eastAsia"/>
                <w:kern w:val="0"/>
                <w:sz w:val="24"/>
              </w:rPr>
            </w:pPr>
            <w:r>
              <w:rPr>
                <w:kern w:val="0"/>
                <w:sz w:val="24"/>
              </w:rPr>
              <w:t>（1）环境空气</w:t>
            </w:r>
            <w:r>
              <w:rPr>
                <w:rFonts w:hint="eastAsia"/>
                <w:kern w:val="0"/>
                <w:sz w:val="24"/>
              </w:rPr>
              <w:t>：</w:t>
            </w:r>
            <w:r>
              <w:rPr>
                <w:sz w:val="24"/>
              </w:rPr>
              <w:t>监测结果表明</w:t>
            </w:r>
            <w:r>
              <w:rPr>
                <w:rFonts w:hint="eastAsia"/>
                <w:sz w:val="24"/>
              </w:rPr>
              <w:t>项目所在区</w:t>
            </w:r>
            <w:r>
              <w:rPr>
                <w:sz w:val="24"/>
              </w:rPr>
              <w:t>域</w:t>
            </w:r>
            <w:r>
              <w:rPr>
                <w:rFonts w:hint="eastAsia"/>
                <w:sz w:val="24"/>
              </w:rPr>
              <w:t>各常规监测因子</w:t>
            </w:r>
            <w:r>
              <w:rPr>
                <w:sz w:val="24"/>
              </w:rPr>
              <w:t>浓度均</w:t>
            </w:r>
            <w:r>
              <w:rPr>
                <w:rFonts w:hint="eastAsia"/>
                <w:sz w:val="24"/>
              </w:rPr>
              <w:t>满足</w:t>
            </w:r>
            <w:r>
              <w:rPr>
                <w:sz w:val="24"/>
              </w:rPr>
              <w:t>《环境空气质量标准》(GB3095-2012)中二级标准要求</w:t>
            </w:r>
            <w:r>
              <w:rPr>
                <w:rFonts w:hint="eastAsia"/>
                <w:sz w:val="24"/>
              </w:rPr>
              <w:t>，表明项目拟建区域</w:t>
            </w:r>
            <w:r>
              <w:rPr>
                <w:sz w:val="24"/>
              </w:rPr>
              <w:t>气环境质量现状良好</w:t>
            </w:r>
            <w:r>
              <w:rPr>
                <w:rFonts w:hint="eastAsia"/>
                <w:sz w:val="24"/>
              </w:rPr>
              <w:t>。</w:t>
            </w:r>
          </w:p>
          <w:p>
            <w:pPr>
              <w:autoSpaceDE w:val="0"/>
              <w:autoSpaceDN w:val="0"/>
              <w:adjustRightInd w:val="0"/>
              <w:spacing w:line="360" w:lineRule="auto"/>
              <w:ind w:firstLine="480"/>
              <w:jc w:val="left"/>
              <w:rPr>
                <w:rFonts w:hint="eastAsia"/>
                <w:kern w:val="0"/>
                <w:sz w:val="24"/>
              </w:rPr>
            </w:pPr>
            <w:r>
              <w:rPr>
                <w:sz w:val="24"/>
                <w:lang w:val="zh-CN"/>
              </w:rPr>
              <w:t>（2）水环境</w:t>
            </w:r>
            <w:r>
              <w:rPr>
                <w:rFonts w:hint="eastAsia"/>
                <w:sz w:val="24"/>
                <w:lang w:val="zh-CN"/>
              </w:rPr>
              <w:t>：</w:t>
            </w:r>
            <w:r>
              <w:rPr>
                <w:kern w:val="0"/>
                <w:sz w:val="24"/>
              </w:rPr>
              <w:t>地表水监测结果表明</w:t>
            </w:r>
            <w:r>
              <w:rPr>
                <w:rFonts w:hint="eastAsia"/>
                <w:kern w:val="0"/>
                <w:sz w:val="24"/>
              </w:rPr>
              <w:t>南湖和北港河各监测因子均能满足</w:t>
            </w:r>
            <w:r>
              <w:rPr>
                <w:kern w:val="0"/>
                <w:sz w:val="24"/>
              </w:rPr>
              <w:t>《地表水环境质量标准》（GB3838-2002）</w:t>
            </w:r>
            <w:r>
              <w:rPr>
                <w:rFonts w:hint="eastAsia"/>
                <w:kern w:val="0"/>
                <w:sz w:val="24"/>
              </w:rPr>
              <w:t>Ⅲ</w:t>
            </w:r>
            <w:r>
              <w:rPr>
                <w:kern w:val="0"/>
                <w:sz w:val="24"/>
              </w:rPr>
              <w:t>类标准</w:t>
            </w:r>
            <w:r>
              <w:rPr>
                <w:rFonts w:hint="eastAsia"/>
                <w:kern w:val="0"/>
                <w:sz w:val="24"/>
              </w:rPr>
              <w:t>要求，说明项目所在地表水环境质量现状较好；根据监测结果可知梅溪港水质均能满足</w:t>
            </w:r>
            <w:r>
              <w:rPr>
                <w:kern w:val="0"/>
                <w:sz w:val="24"/>
              </w:rPr>
              <w:t>《</w:t>
            </w:r>
            <w:r>
              <w:rPr>
                <w:rFonts w:hint="eastAsia"/>
                <w:kern w:val="0"/>
                <w:sz w:val="24"/>
              </w:rPr>
              <w:t>地表水环境质量标准</w:t>
            </w:r>
            <w:r>
              <w:rPr>
                <w:kern w:val="0"/>
                <w:sz w:val="24"/>
              </w:rPr>
              <w:t>》（GB3838-2002）中的</w:t>
            </w:r>
            <w:r>
              <w:rPr>
                <w:rFonts w:hint="eastAsia" w:ascii="宋体" w:hAnsi="宋体"/>
                <w:sz w:val="24"/>
              </w:rPr>
              <w:t>Ⅳ</w:t>
            </w:r>
            <w:r>
              <w:rPr>
                <w:kern w:val="0"/>
                <w:sz w:val="24"/>
              </w:rPr>
              <w:t>类标准</w:t>
            </w:r>
            <w:r>
              <w:rPr>
                <w:rFonts w:hint="eastAsia"/>
                <w:kern w:val="0"/>
                <w:sz w:val="24"/>
              </w:rPr>
              <w:t>要求。</w:t>
            </w:r>
          </w:p>
          <w:p>
            <w:pPr>
              <w:spacing w:line="360" w:lineRule="auto"/>
              <w:ind w:firstLine="360" w:firstLineChars="150"/>
              <w:rPr>
                <w:color w:val="000000"/>
                <w:sz w:val="24"/>
              </w:rPr>
            </w:pPr>
            <w:r>
              <w:rPr>
                <w:color w:val="000000"/>
                <w:sz w:val="24"/>
              </w:rPr>
              <w:t>（3）声环境质量：</w:t>
            </w:r>
            <w:r>
              <w:rPr>
                <w:rFonts w:hint="eastAsia"/>
                <w:color w:val="000000"/>
                <w:sz w:val="24"/>
              </w:rPr>
              <w:t>项目起点、中间段和终点昼夜间噪声均能满足《声环境质量标准》（GB3096-2008）中的2类标准，项目区域声环境质量较好。</w:t>
            </w:r>
          </w:p>
          <w:p>
            <w:pPr>
              <w:spacing w:line="360" w:lineRule="auto"/>
              <w:ind w:firstLine="360" w:firstLineChars="150"/>
              <w:rPr>
                <w:color w:val="000000"/>
                <w:sz w:val="24"/>
              </w:rPr>
            </w:pPr>
            <w:r>
              <w:rPr>
                <w:color w:val="000000"/>
                <w:sz w:val="24"/>
              </w:rPr>
              <w:t>（4）生态环境质量：项目</w:t>
            </w:r>
            <w:r>
              <w:rPr>
                <w:rFonts w:hint="eastAsia"/>
                <w:color w:val="000000"/>
                <w:sz w:val="24"/>
              </w:rPr>
              <w:t>区域</w:t>
            </w:r>
            <w:r>
              <w:rPr>
                <w:color w:val="000000"/>
                <w:sz w:val="24"/>
              </w:rPr>
              <w:t>用地多为农地</w:t>
            </w:r>
            <w:r>
              <w:rPr>
                <w:rFonts w:hint="eastAsia"/>
                <w:color w:val="000000"/>
                <w:sz w:val="24"/>
              </w:rPr>
              <w:t>、鱼塘</w:t>
            </w:r>
            <w:r>
              <w:rPr>
                <w:color w:val="000000"/>
                <w:sz w:val="24"/>
              </w:rPr>
              <w:t>，局部分布有村庄，村中以低矮民宅为主。</w:t>
            </w:r>
            <w:r>
              <w:rPr>
                <w:rFonts w:hint="eastAsia"/>
                <w:color w:val="000000"/>
                <w:sz w:val="24"/>
              </w:rPr>
              <w:t>主要植被为低矮道路绿化景观树、杂草、蔬菜等</w:t>
            </w:r>
            <w:r>
              <w:rPr>
                <w:color w:val="000000"/>
                <w:sz w:val="24"/>
              </w:rPr>
              <w:t>。根据现场调查，</w:t>
            </w:r>
            <w:r>
              <w:rPr>
                <w:rFonts w:hint="eastAsia"/>
                <w:color w:val="000000"/>
                <w:sz w:val="24"/>
              </w:rPr>
              <w:t>区域内</w:t>
            </w:r>
            <w:r>
              <w:rPr>
                <w:color w:val="000000"/>
                <w:sz w:val="24"/>
              </w:rPr>
              <w:t>未发现珍稀植物物种，也没有需要特殊保护的名树古树</w:t>
            </w:r>
            <w:r>
              <w:rPr>
                <w:rFonts w:hint="eastAsia"/>
                <w:color w:val="000000"/>
                <w:sz w:val="24"/>
              </w:rPr>
              <w:t>。</w:t>
            </w:r>
          </w:p>
          <w:p>
            <w:pPr>
              <w:spacing w:line="360" w:lineRule="auto"/>
              <w:rPr>
                <w:b/>
                <w:color w:val="000000"/>
                <w:sz w:val="24"/>
              </w:rPr>
            </w:pPr>
            <w:r>
              <w:rPr>
                <w:b/>
                <w:color w:val="000000"/>
                <w:sz w:val="24"/>
              </w:rPr>
              <w:t>1.3施工期环境影响简要分析</w:t>
            </w:r>
          </w:p>
          <w:p>
            <w:pPr>
              <w:spacing w:line="360" w:lineRule="auto"/>
              <w:ind w:firstLine="504" w:firstLineChars="200"/>
              <w:rPr>
                <w:color w:val="000000"/>
                <w:spacing w:val="6"/>
                <w:sz w:val="24"/>
              </w:rPr>
            </w:pPr>
            <w:r>
              <w:rPr>
                <w:color w:val="000000"/>
                <w:spacing w:val="6"/>
                <w:sz w:val="24"/>
              </w:rPr>
              <w:t>（1）大气环境影响分析</w:t>
            </w:r>
          </w:p>
          <w:p>
            <w:pPr>
              <w:pStyle w:val="59"/>
              <w:ind w:firstLine="480"/>
              <w:rPr>
                <w:rFonts w:ascii="Times New Roman" w:hAnsi="Times New Roman"/>
              </w:rPr>
            </w:pPr>
            <w:r>
              <w:rPr>
                <w:rFonts w:ascii="Times New Roman" w:hAnsi="Times New Roman"/>
              </w:rPr>
              <w:t>本项目废气主要来源于</w:t>
            </w:r>
            <w:r>
              <w:rPr>
                <w:rFonts w:hint="eastAsia" w:ascii="Times New Roman" w:hAnsi="Times New Roman"/>
              </w:rPr>
              <w:t>施工期建筑拆除、管廊施工、物料运输过程产生的扬尘，施工机械、运输车辆产生的尾气。工程施工中，筑路材料的装卸运输过程有大量的粉尘散落到周围的大气环境中；建筑材料堆放时，尤其在风速较大或装卸、汽车行驶速度较快情况下，粉尘污染会更严重。</w:t>
            </w:r>
          </w:p>
          <w:p>
            <w:pPr>
              <w:pStyle w:val="59"/>
              <w:ind w:firstLine="480"/>
              <w:rPr>
                <w:rFonts w:ascii="Times New Roman" w:hAnsi="Times New Roman"/>
              </w:rPr>
            </w:pPr>
            <w:r>
              <w:rPr>
                <w:rFonts w:hint="eastAsia" w:ascii="Times New Roman" w:hAnsi="Times New Roman"/>
              </w:rPr>
              <w:t>施工方在施工时应严格执行《防治城市扬尘污染技术规范》（HJ/T393-2007）以减少扬尘对工程所在地空气环境的影响。</w:t>
            </w:r>
          </w:p>
          <w:p>
            <w:pPr>
              <w:pStyle w:val="59"/>
              <w:ind w:firstLine="480"/>
              <w:rPr>
                <w:rFonts w:ascii="Times New Roman" w:hAnsi="Times New Roman"/>
              </w:rPr>
            </w:pPr>
            <w:r>
              <w:rPr>
                <w:rFonts w:hint="eastAsia" w:ascii="Times New Roman" w:hAnsi="Times New Roman"/>
              </w:rPr>
              <w:t>施工期施工机械、运输车辆产生的尾气，其</w:t>
            </w:r>
            <w:r>
              <w:rPr>
                <w:rFonts w:ascii="Times New Roman" w:hAnsi="Times New Roman"/>
              </w:rPr>
              <w:t>污染源较分散且为流动性，污染物排放量不大，表现为间歇性特征，影响是短期和局部的，该项污染源将随着施工工程的结束而不再存在</w:t>
            </w:r>
            <w:r>
              <w:rPr>
                <w:rFonts w:hint="eastAsia" w:ascii="Times New Roman" w:hAnsi="Times New Roman"/>
              </w:rPr>
              <w:t>。</w:t>
            </w:r>
          </w:p>
          <w:p>
            <w:pPr>
              <w:pStyle w:val="114"/>
              <w:rPr>
                <w:rFonts w:cs="Times New Roman"/>
                <w:color w:val="000000"/>
              </w:rPr>
            </w:pPr>
            <w:r>
              <w:rPr>
                <w:rFonts w:cs="Times New Roman"/>
                <w:color w:val="000000"/>
              </w:rPr>
              <w:t>（2）水环境影响分析</w:t>
            </w:r>
          </w:p>
          <w:p>
            <w:pPr>
              <w:spacing w:line="480" w:lineRule="exact"/>
              <w:ind w:firstLine="456" w:firstLineChars="190"/>
              <w:rPr>
                <w:sz w:val="24"/>
              </w:rPr>
            </w:pPr>
            <w:r>
              <w:rPr>
                <w:rFonts w:hint="eastAsia"/>
                <w:sz w:val="24"/>
              </w:rPr>
              <w:t>项目产生的废水主要来自施工生产废水、施工人员生活污水等两个方面，施工生产废水主要来自于基坑排水。主要污染物为</w:t>
            </w:r>
            <w:r>
              <w:rPr>
                <w:sz w:val="24"/>
              </w:rPr>
              <w:t>COD、SS</w:t>
            </w:r>
            <w:r>
              <w:rPr>
                <w:rFonts w:hint="eastAsia"/>
                <w:sz w:val="24"/>
              </w:rPr>
              <w:t>。此外，施工机具检修冲洗水中，含有油类，若不经处理直接排放，排入河流会影响河流水质。</w:t>
            </w:r>
            <w:r>
              <w:rPr>
                <w:sz w:val="24"/>
              </w:rPr>
              <w:t>为减少石油类污染，必须加强施工期的管理，车辆及机械设备维修的废油必须收集集中处置，以减少油污对水环境的影响。</w:t>
            </w:r>
            <w:r>
              <w:rPr>
                <w:rFonts w:hint="eastAsia"/>
                <w:sz w:val="24"/>
              </w:rPr>
              <w:t>施工生产废水经隔油沉淀处理后回用不外排，对河流水质影响较小。施工期施工人员生活租用附近民房住宿，</w:t>
            </w:r>
            <w:r>
              <w:rPr>
                <w:rFonts w:hint="eastAsia"/>
                <w:sz w:val="24"/>
                <w:szCs w:val="24"/>
              </w:rPr>
              <w:t>利用民房现有污水处理设施（旱厕、化粪池等）</w:t>
            </w:r>
            <w:r>
              <w:rPr>
                <w:sz w:val="24"/>
                <w:szCs w:val="24"/>
              </w:rPr>
              <w:t>进行处理，处理后用于农业、林业灌溉，不排放</w:t>
            </w:r>
            <w:r>
              <w:rPr>
                <w:rFonts w:hint="eastAsia"/>
                <w:sz w:val="24"/>
              </w:rPr>
              <w:t>。</w:t>
            </w:r>
          </w:p>
          <w:p>
            <w:pPr>
              <w:pStyle w:val="114"/>
              <w:ind w:left="480" w:firstLine="0" w:firstLineChars="0"/>
              <w:rPr>
                <w:rFonts w:cs="Times New Roman"/>
                <w:color w:val="000000"/>
              </w:rPr>
            </w:pPr>
            <w:r>
              <w:rPr>
                <w:rFonts w:cs="Times New Roman"/>
                <w:color w:val="000000"/>
              </w:rPr>
              <w:t>（</w:t>
            </w:r>
            <w:r>
              <w:rPr>
                <w:rFonts w:hint="eastAsia" w:cs="Times New Roman"/>
                <w:color w:val="000000"/>
              </w:rPr>
              <w:t>3</w:t>
            </w:r>
            <w:r>
              <w:rPr>
                <w:rFonts w:cs="Times New Roman"/>
                <w:color w:val="000000"/>
              </w:rPr>
              <w:t>）固体废物环境影响分析</w:t>
            </w:r>
          </w:p>
          <w:p>
            <w:pPr>
              <w:spacing w:line="500" w:lineRule="exact"/>
              <w:ind w:firstLine="480" w:firstLineChars="200"/>
              <w:rPr>
                <w:sz w:val="24"/>
              </w:rPr>
            </w:pPr>
            <w:r>
              <w:rPr>
                <w:rFonts w:hint="eastAsia"/>
                <w:sz w:val="24"/>
              </w:rPr>
              <w:t>本项目固体废物主要来源于施工期在施工过程产生的建筑垃圾、渣土和工人员产生的生活垃圾等。弃渣土由有资质单位外运到</w:t>
            </w:r>
            <w:r>
              <w:rPr>
                <w:sz w:val="24"/>
              </w:rPr>
              <w:t>城市渣土办指定地方堆放</w:t>
            </w:r>
            <w:r>
              <w:rPr>
                <w:rFonts w:hint="eastAsia"/>
                <w:sz w:val="24"/>
              </w:rPr>
              <w:t>，建筑垃圾回收可利用部分后，其余的交由城市渣土办处置。弃渣土和建筑垃圾</w:t>
            </w:r>
            <w:r>
              <w:rPr>
                <w:sz w:val="24"/>
              </w:rPr>
              <w:t>不得随意堆放，防止出现废土、废渣处置不当而导致的水土流失。</w:t>
            </w:r>
            <w:r>
              <w:rPr>
                <w:rFonts w:hint="eastAsia"/>
                <w:sz w:val="24"/>
              </w:rPr>
              <w:t>临时堆存的回填土采取覆盖防尘布、防尘网等措施，防止风蚀起尘及水蚀迁移。施工人员产生的生活垃圾分类收集后送往生活垃圾处理场处理。</w:t>
            </w:r>
          </w:p>
          <w:p>
            <w:pPr>
              <w:pStyle w:val="114"/>
              <w:rPr>
                <w:rFonts w:cs="Times New Roman"/>
                <w:color w:val="000000"/>
              </w:rPr>
            </w:pPr>
            <w:r>
              <w:rPr>
                <w:rFonts w:cs="Times New Roman"/>
                <w:color w:val="000000"/>
              </w:rPr>
              <w:t>（4）声环境影响分析</w:t>
            </w:r>
          </w:p>
          <w:p>
            <w:pPr>
              <w:spacing w:line="500" w:lineRule="exact"/>
              <w:ind w:firstLine="540" w:firstLineChars="225"/>
              <w:rPr>
                <w:sz w:val="24"/>
              </w:rPr>
            </w:pPr>
            <w:r>
              <w:rPr>
                <w:sz w:val="24"/>
              </w:rPr>
              <w:t>本项目</w:t>
            </w:r>
            <w:r>
              <w:rPr>
                <w:rFonts w:hint="eastAsia"/>
                <w:sz w:val="24"/>
              </w:rPr>
              <w:t>噪声</w:t>
            </w:r>
            <w:r>
              <w:rPr>
                <w:sz w:val="24"/>
              </w:rPr>
              <w:t>主要来源于</w:t>
            </w:r>
            <w:r>
              <w:rPr>
                <w:rFonts w:hint="eastAsia"/>
                <w:sz w:val="24"/>
              </w:rPr>
              <w:t>施工期推土机、装载机、卷扬机、切割机和汽车等施工机械设备噪声。这些非稳态噪声源将对周围环境产生较大影响。在施工过程中应严格规定强噪声设备的作业时间，夜间</w:t>
            </w:r>
            <w:r>
              <w:rPr>
                <w:sz w:val="24"/>
              </w:rPr>
              <w:t>10</w:t>
            </w:r>
            <w:r>
              <w:rPr>
                <w:rFonts w:hint="eastAsia"/>
                <w:sz w:val="24"/>
              </w:rPr>
              <w:t>时至凌晨</w:t>
            </w:r>
            <w:r>
              <w:rPr>
                <w:sz w:val="24"/>
              </w:rPr>
              <w:t>6</w:t>
            </w:r>
            <w:r>
              <w:rPr>
                <w:rFonts w:hint="eastAsia"/>
                <w:sz w:val="24"/>
              </w:rPr>
              <w:t>时，应停止强噪声设备作业，特别是高噪声设备应严禁夜间作业，以减轻施工噪声对周边居民的影响。尽量选用低噪声设备，在施工过程中，应经常对施工设备进行维修保养，避免由于设备性能减退而使噪声增强。</w:t>
            </w:r>
          </w:p>
          <w:p>
            <w:pPr>
              <w:spacing w:line="360" w:lineRule="auto"/>
              <w:ind w:firstLine="480"/>
              <w:rPr>
                <w:sz w:val="24"/>
              </w:rPr>
            </w:pPr>
            <w:r>
              <w:rPr>
                <w:color w:val="000000"/>
                <w:sz w:val="24"/>
                <w:szCs w:val="24"/>
              </w:rPr>
              <w:t>（5）</w:t>
            </w:r>
            <w:r>
              <w:rPr>
                <w:rFonts w:hint="eastAsia"/>
                <w:sz w:val="24"/>
              </w:rPr>
              <w:t>生态环境影响</w:t>
            </w:r>
          </w:p>
          <w:p>
            <w:pPr>
              <w:pStyle w:val="96"/>
              <w:ind w:firstLine="480" w:firstLineChars="200"/>
              <w:rPr>
                <w:rFonts w:eastAsia="宋体"/>
                <w:sz w:val="24"/>
                <w:szCs w:val="24"/>
              </w:rPr>
            </w:pPr>
            <w:r>
              <w:rPr>
                <w:rFonts w:hint="eastAsia" w:eastAsia="宋体"/>
                <w:sz w:val="24"/>
                <w:szCs w:val="24"/>
              </w:rPr>
              <w:t>本项目施工时，原有植被和雨水径流受到破坏，施工材料和渣土堆积，易引起水土漫流，造成水土流失。建议施工过程加强疏水导流，完成部分尽快进行植被绿化和道路硬化，防止暴雨冲刷裸露地面造成水土流失。并应尽可能抓紧施工，缩短工期，避免雨季施工，以减轻施工期对生态环境的影响。</w:t>
            </w:r>
          </w:p>
          <w:p>
            <w:pPr>
              <w:spacing w:line="360" w:lineRule="auto"/>
              <w:rPr>
                <w:b/>
                <w:color w:val="000000"/>
                <w:sz w:val="24"/>
              </w:rPr>
            </w:pPr>
            <w:bookmarkStart w:id="44" w:name="_Toc350511683"/>
            <w:bookmarkStart w:id="45" w:name="_Toc350430043"/>
            <w:bookmarkStart w:id="46" w:name="_Toc350416930"/>
            <w:r>
              <w:rPr>
                <w:b/>
                <w:color w:val="000000"/>
                <w:sz w:val="24"/>
              </w:rPr>
              <w:t>1.4营运期环境影响简要分析</w:t>
            </w:r>
            <w:bookmarkEnd w:id="44"/>
            <w:bookmarkEnd w:id="45"/>
            <w:bookmarkEnd w:id="46"/>
          </w:p>
          <w:p>
            <w:pPr>
              <w:spacing w:line="480" w:lineRule="exact"/>
              <w:ind w:firstLine="480"/>
              <w:rPr>
                <w:sz w:val="24"/>
                <w:szCs w:val="24"/>
              </w:rPr>
            </w:pPr>
            <w:r>
              <w:rPr>
                <w:rFonts w:hint="eastAsia"/>
                <w:sz w:val="24"/>
                <w:szCs w:val="24"/>
              </w:rPr>
              <w:t>本项目属于非生产性建设项目，营运期对环境产生的影响主要是管廊通风换气。由于废气污染物浓度很低，本项目对地面空气环境质量影响较小。项目营运期噪声主要为检修车的噪声和换气风机。由于检修车在底下所以对周围环境影响不大，风机为低噪风机，在绿化带中对环境影响不大。对于综合管沟开口处进水或者综合管沟内冲洗等产生的排水，正常情况下，产生的排水较少，由排水管接出综合管沟后就近接入道路雨水系统，对周围环境影响较小。</w:t>
            </w:r>
          </w:p>
          <w:p>
            <w:pPr>
              <w:spacing w:line="360" w:lineRule="auto"/>
              <w:rPr>
                <w:b/>
                <w:color w:val="000000"/>
                <w:sz w:val="24"/>
              </w:rPr>
            </w:pPr>
            <w:bookmarkStart w:id="47" w:name="_Toc350511684"/>
            <w:bookmarkStart w:id="48" w:name="_Toc350430044"/>
            <w:bookmarkStart w:id="49" w:name="_Toc350416931"/>
            <w:r>
              <w:rPr>
                <w:b/>
                <w:color w:val="000000"/>
                <w:sz w:val="24"/>
              </w:rPr>
              <w:t>1.7综合评价结论</w:t>
            </w:r>
            <w:bookmarkEnd w:id="47"/>
            <w:bookmarkEnd w:id="48"/>
            <w:bookmarkEnd w:id="49"/>
          </w:p>
          <w:p>
            <w:pPr>
              <w:spacing w:line="480" w:lineRule="exact"/>
              <w:ind w:firstLine="480"/>
              <w:rPr>
                <w:sz w:val="24"/>
                <w:szCs w:val="24"/>
              </w:rPr>
            </w:pPr>
            <w:r>
              <w:rPr>
                <w:sz w:val="24"/>
                <w:szCs w:val="24"/>
              </w:rPr>
              <w:t>综上所述，本建设项目</w:t>
            </w:r>
            <w:r>
              <w:rPr>
                <w:rFonts w:hint="eastAsia"/>
                <w:sz w:val="24"/>
                <w:szCs w:val="24"/>
              </w:rPr>
              <w:t>符合国家相关产业政策，</w:t>
            </w:r>
            <w:r>
              <w:rPr>
                <w:sz w:val="24"/>
                <w:szCs w:val="24"/>
              </w:rPr>
              <w:t>选址符合规划要求；本</w:t>
            </w:r>
            <w:r>
              <w:rPr>
                <w:rFonts w:hint="eastAsia"/>
                <w:sz w:val="24"/>
                <w:szCs w:val="24"/>
              </w:rPr>
              <w:t>项目</w:t>
            </w:r>
            <w:r>
              <w:rPr>
                <w:sz w:val="24"/>
                <w:szCs w:val="24"/>
              </w:rPr>
              <w:t>主要对环境的影响在施工期，</w:t>
            </w:r>
            <w:r>
              <w:rPr>
                <w:spacing w:val="6"/>
                <w:sz w:val="24"/>
              </w:rPr>
              <w:t>采取本</w:t>
            </w:r>
            <w:r>
              <w:rPr>
                <w:rFonts w:hint="eastAsia"/>
                <w:spacing w:val="6"/>
                <w:sz w:val="24"/>
              </w:rPr>
              <w:t>报告</w:t>
            </w:r>
            <w:r>
              <w:rPr>
                <w:spacing w:val="6"/>
                <w:sz w:val="24"/>
              </w:rPr>
              <w:t>表提出的污染防治措施并在</w:t>
            </w:r>
            <w:r>
              <w:rPr>
                <w:sz w:val="24"/>
                <w:szCs w:val="24"/>
              </w:rPr>
              <w:t>工程施工期做好环境管理、保证各项环保措施正确实施的情况下，本污染源可做到达标排放，对外环境的污染影响小，从环境保护的角度考虑，本项目建设可行。</w:t>
            </w:r>
          </w:p>
          <w:p>
            <w:pPr>
              <w:spacing w:line="360" w:lineRule="auto"/>
              <w:rPr>
                <w:b/>
                <w:color w:val="000000"/>
                <w:sz w:val="24"/>
              </w:rPr>
            </w:pPr>
            <w:bookmarkStart w:id="50" w:name="_Toc350430045"/>
            <w:bookmarkStart w:id="51" w:name="_Toc350511685"/>
            <w:bookmarkStart w:id="52" w:name="_Toc350416932"/>
            <w:r>
              <w:rPr>
                <w:b/>
                <w:color w:val="000000"/>
                <w:sz w:val="24"/>
              </w:rPr>
              <w:t>2、</w:t>
            </w:r>
            <w:bookmarkEnd w:id="50"/>
            <w:bookmarkEnd w:id="51"/>
            <w:bookmarkEnd w:id="52"/>
            <w:r>
              <w:rPr>
                <w:b/>
                <w:color w:val="000000"/>
                <w:sz w:val="24"/>
              </w:rPr>
              <w:t>建议</w:t>
            </w:r>
          </w:p>
          <w:p>
            <w:pPr>
              <w:pStyle w:val="77"/>
              <w:spacing w:line="480" w:lineRule="exact"/>
              <w:ind w:firstLine="480"/>
              <w:rPr>
                <w:rFonts w:ascii="Times New Roman" w:hAnsi="Times New Roman" w:cs="Times New Roman"/>
                <w:color w:val="auto"/>
                <w:spacing w:val="0"/>
                <w:sz w:val="24"/>
              </w:rPr>
            </w:pPr>
            <w:r>
              <w:rPr>
                <w:rFonts w:ascii="Times New Roman" w:hAnsi="Times New Roman" w:cs="Times New Roman"/>
                <w:color w:val="auto"/>
                <w:spacing w:val="0"/>
                <w:sz w:val="24"/>
              </w:rPr>
              <w:t>（1）施工期应做好护坡挡土、疏排水工作，妥善处置施工渣土和建筑垃圾，做好水土保持工作，防止水土流失。</w:t>
            </w:r>
          </w:p>
          <w:p>
            <w:pPr>
              <w:pStyle w:val="77"/>
              <w:spacing w:line="480" w:lineRule="exact"/>
              <w:ind w:firstLine="480"/>
              <w:rPr>
                <w:rFonts w:ascii="Times New Roman" w:hAnsi="Times New Roman" w:cs="Times New Roman"/>
                <w:color w:val="auto"/>
                <w:spacing w:val="0"/>
                <w:sz w:val="24"/>
              </w:rPr>
            </w:pPr>
            <w:r>
              <w:rPr>
                <w:rFonts w:ascii="Times New Roman" w:hAnsi="Times New Roman" w:cs="Times New Roman"/>
                <w:color w:val="auto"/>
                <w:spacing w:val="0"/>
                <w:sz w:val="24"/>
              </w:rPr>
              <w:t>（2）在每条路的端头设车轮清洗装置，设置沉淀池，施工渣土必须覆盖，严禁将渣土带入交通道路。</w:t>
            </w:r>
          </w:p>
          <w:p>
            <w:pPr>
              <w:pStyle w:val="77"/>
              <w:spacing w:line="480" w:lineRule="exact"/>
              <w:ind w:firstLine="480"/>
              <w:rPr>
                <w:rFonts w:ascii="Times New Roman" w:hAnsi="Times New Roman" w:cs="Times New Roman"/>
                <w:color w:val="auto"/>
                <w:spacing w:val="0"/>
              </w:rPr>
            </w:pPr>
            <w:r>
              <w:rPr>
                <w:rFonts w:ascii="Times New Roman" w:hAnsi="Times New Roman" w:cs="Times New Roman"/>
                <w:color w:val="auto"/>
                <w:spacing w:val="0"/>
                <w:sz w:val="24"/>
              </w:rPr>
              <w:t>（</w:t>
            </w:r>
            <w:r>
              <w:rPr>
                <w:rFonts w:hint="eastAsia" w:ascii="Times New Roman" w:hAnsi="Times New Roman" w:cs="Times New Roman"/>
                <w:color w:val="auto"/>
                <w:spacing w:val="0"/>
                <w:sz w:val="24"/>
              </w:rPr>
              <w:t>3</w:t>
            </w:r>
            <w:r>
              <w:rPr>
                <w:rFonts w:ascii="Times New Roman" w:hAnsi="Times New Roman" w:cs="Times New Roman"/>
                <w:color w:val="auto"/>
                <w:spacing w:val="0"/>
                <w:sz w:val="24"/>
              </w:rPr>
              <w:t>）施工期间，须接受有关部门的监督检查，严格按照《防治城市扬尘污染技术规范》（HJ/T 393-2007）和《城区建设项目环境影响评价扬尘污染控制若干规定》采取有效防尘措施。</w:t>
            </w:r>
          </w:p>
          <w:p/>
        </w:tc>
      </w:tr>
    </w:tbl>
    <w:p>
      <w:pPr>
        <w:spacing w:line="460" w:lineRule="exact"/>
        <w:rPr>
          <w:b/>
          <w:color w:val="000000"/>
          <w:spacing w:val="6"/>
          <w:sz w:val="28"/>
        </w:rPr>
      </w:pPr>
    </w:p>
    <w:tbl>
      <w:tblPr>
        <w:tblStyle w:val="42"/>
        <w:tblW w:w="9500" w:type="dxa"/>
        <w:tblInd w:w="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854" w:hRule="atLeast"/>
        </w:trPr>
        <w:tc>
          <w:tcPr>
            <w:tcW w:w="9500" w:type="dxa"/>
            <w:tcBorders>
              <w:bottom w:val="single" w:color="auto" w:sz="4" w:space="0"/>
            </w:tcBorders>
          </w:tcPr>
          <w:p>
            <w:pPr>
              <w:spacing w:line="460" w:lineRule="exact"/>
              <w:rPr>
                <w:color w:val="000000"/>
                <w:spacing w:val="6"/>
                <w:sz w:val="28"/>
              </w:rPr>
            </w:pPr>
            <w:r>
              <w:rPr>
                <w:color w:val="000000"/>
                <w:spacing w:val="6"/>
                <w:sz w:val="28"/>
              </w:rPr>
              <w:t>审批意见：</w:t>
            </w:r>
          </w:p>
          <w:p>
            <w:pPr>
              <w:spacing w:line="460" w:lineRule="exact"/>
              <w:rPr>
                <w:color w:val="000000"/>
                <w:spacing w:val="6"/>
                <w:sz w:val="28"/>
              </w:rPr>
            </w:pPr>
          </w:p>
          <w:p>
            <w:pPr>
              <w:spacing w:line="460" w:lineRule="exact"/>
              <w:rPr>
                <w:color w:val="000000"/>
                <w:spacing w:val="6"/>
                <w:sz w:val="28"/>
              </w:rPr>
            </w:pPr>
          </w:p>
          <w:p>
            <w:pPr>
              <w:spacing w:line="460" w:lineRule="exact"/>
              <w:rPr>
                <w:color w:val="000000"/>
                <w:spacing w:val="6"/>
                <w:sz w:val="28"/>
              </w:rPr>
            </w:pPr>
          </w:p>
          <w:p>
            <w:pPr>
              <w:spacing w:line="460" w:lineRule="exact"/>
              <w:rPr>
                <w:color w:val="000000"/>
                <w:spacing w:val="6"/>
                <w:sz w:val="28"/>
              </w:rPr>
            </w:pPr>
          </w:p>
          <w:p>
            <w:pPr>
              <w:spacing w:line="460" w:lineRule="exact"/>
              <w:rPr>
                <w:color w:val="000000"/>
                <w:spacing w:val="6"/>
                <w:sz w:val="28"/>
              </w:rPr>
            </w:pPr>
          </w:p>
          <w:p>
            <w:pPr>
              <w:spacing w:line="460" w:lineRule="exact"/>
              <w:rPr>
                <w:color w:val="000000"/>
                <w:spacing w:val="6"/>
                <w:sz w:val="28"/>
              </w:rPr>
            </w:pPr>
          </w:p>
          <w:p>
            <w:pPr>
              <w:spacing w:line="460" w:lineRule="exact"/>
              <w:rPr>
                <w:color w:val="000000"/>
                <w:spacing w:val="6"/>
                <w:sz w:val="28"/>
              </w:rPr>
            </w:pPr>
          </w:p>
          <w:p>
            <w:pPr>
              <w:spacing w:line="460" w:lineRule="exact"/>
              <w:rPr>
                <w:color w:val="000000"/>
                <w:spacing w:val="6"/>
                <w:sz w:val="28"/>
              </w:rPr>
            </w:pPr>
          </w:p>
          <w:p>
            <w:pPr>
              <w:spacing w:line="460" w:lineRule="exact"/>
              <w:rPr>
                <w:color w:val="000000"/>
                <w:spacing w:val="6"/>
                <w:sz w:val="28"/>
              </w:rPr>
            </w:pPr>
          </w:p>
          <w:p>
            <w:pPr>
              <w:spacing w:line="460" w:lineRule="exact"/>
              <w:rPr>
                <w:color w:val="000000"/>
                <w:spacing w:val="6"/>
                <w:sz w:val="28"/>
              </w:rPr>
            </w:pPr>
          </w:p>
          <w:p>
            <w:pPr>
              <w:spacing w:line="460" w:lineRule="exact"/>
              <w:rPr>
                <w:color w:val="000000"/>
                <w:spacing w:val="6"/>
                <w:sz w:val="28"/>
              </w:rPr>
            </w:pPr>
          </w:p>
          <w:p>
            <w:pPr>
              <w:spacing w:line="460" w:lineRule="exact"/>
              <w:rPr>
                <w:color w:val="000000"/>
                <w:spacing w:val="6"/>
                <w:sz w:val="28"/>
              </w:rPr>
            </w:pPr>
          </w:p>
          <w:p>
            <w:pPr>
              <w:spacing w:line="460" w:lineRule="exact"/>
              <w:rPr>
                <w:color w:val="000000"/>
                <w:spacing w:val="6"/>
                <w:sz w:val="28"/>
              </w:rPr>
            </w:pPr>
          </w:p>
          <w:p>
            <w:pPr>
              <w:spacing w:line="460" w:lineRule="exact"/>
              <w:rPr>
                <w:color w:val="000000"/>
                <w:spacing w:val="6"/>
                <w:sz w:val="28"/>
              </w:rPr>
            </w:pPr>
          </w:p>
          <w:p>
            <w:pPr>
              <w:spacing w:line="460" w:lineRule="exact"/>
              <w:rPr>
                <w:color w:val="000000"/>
                <w:spacing w:val="6"/>
                <w:sz w:val="28"/>
              </w:rPr>
            </w:pPr>
          </w:p>
          <w:p>
            <w:pPr>
              <w:spacing w:line="460" w:lineRule="exact"/>
              <w:rPr>
                <w:color w:val="000000"/>
                <w:spacing w:val="6"/>
                <w:sz w:val="28"/>
              </w:rPr>
            </w:pPr>
          </w:p>
          <w:p>
            <w:pPr>
              <w:spacing w:line="460" w:lineRule="exact"/>
              <w:rPr>
                <w:color w:val="000000"/>
                <w:spacing w:val="6"/>
                <w:sz w:val="28"/>
              </w:rPr>
            </w:pPr>
          </w:p>
          <w:p>
            <w:pPr>
              <w:spacing w:line="460" w:lineRule="exact"/>
              <w:rPr>
                <w:color w:val="000000"/>
                <w:spacing w:val="6"/>
                <w:sz w:val="28"/>
              </w:rPr>
            </w:pPr>
          </w:p>
          <w:p>
            <w:pPr>
              <w:spacing w:line="460" w:lineRule="exact"/>
              <w:rPr>
                <w:color w:val="000000"/>
                <w:spacing w:val="6"/>
                <w:sz w:val="28"/>
              </w:rPr>
            </w:pPr>
          </w:p>
          <w:p>
            <w:pPr>
              <w:spacing w:line="460" w:lineRule="exact"/>
              <w:rPr>
                <w:color w:val="000000"/>
                <w:spacing w:val="6"/>
                <w:sz w:val="28"/>
              </w:rPr>
            </w:pPr>
          </w:p>
          <w:p>
            <w:pPr>
              <w:spacing w:line="460" w:lineRule="exact"/>
              <w:rPr>
                <w:color w:val="000000"/>
                <w:spacing w:val="6"/>
                <w:sz w:val="28"/>
              </w:rPr>
            </w:pPr>
          </w:p>
          <w:p>
            <w:pPr>
              <w:spacing w:line="460" w:lineRule="exact"/>
              <w:rPr>
                <w:color w:val="000000"/>
                <w:spacing w:val="6"/>
                <w:sz w:val="28"/>
              </w:rPr>
            </w:pPr>
          </w:p>
          <w:p>
            <w:pPr>
              <w:spacing w:line="460" w:lineRule="exact"/>
              <w:rPr>
                <w:color w:val="000000"/>
                <w:spacing w:val="6"/>
                <w:sz w:val="28"/>
              </w:rPr>
            </w:pPr>
          </w:p>
          <w:p>
            <w:pPr>
              <w:spacing w:line="460" w:lineRule="exact"/>
              <w:rPr>
                <w:color w:val="000000"/>
                <w:spacing w:val="6"/>
                <w:sz w:val="28"/>
              </w:rPr>
            </w:pPr>
            <w:r>
              <w:rPr>
                <w:color w:val="000000"/>
                <w:spacing w:val="6"/>
                <w:sz w:val="28"/>
              </w:rPr>
              <w:t xml:space="preserve">                                           公    章</w:t>
            </w:r>
          </w:p>
          <w:p>
            <w:pPr>
              <w:spacing w:line="460" w:lineRule="exact"/>
              <w:rPr>
                <w:color w:val="000000"/>
                <w:spacing w:val="6"/>
                <w:sz w:val="28"/>
              </w:rPr>
            </w:pPr>
          </w:p>
          <w:p>
            <w:pPr>
              <w:spacing w:line="460" w:lineRule="exact"/>
              <w:rPr>
                <w:color w:val="000000"/>
                <w:spacing w:val="6"/>
                <w:sz w:val="28"/>
              </w:rPr>
            </w:pPr>
            <w:r>
              <w:rPr>
                <w:color w:val="000000"/>
                <w:spacing w:val="6"/>
                <w:sz w:val="28"/>
              </w:rPr>
              <w:t>经办人：                                 年   月   日</w:t>
            </w:r>
          </w:p>
          <w:p>
            <w:pPr>
              <w:spacing w:line="460" w:lineRule="exact"/>
              <w:rPr>
                <w:color w:val="000000"/>
                <w:spacing w:val="6"/>
                <w:sz w:val="28"/>
              </w:rPr>
            </w:pPr>
          </w:p>
        </w:tc>
      </w:tr>
    </w:tbl>
    <w:p>
      <w:pPr>
        <w:spacing w:line="460" w:lineRule="exact"/>
        <w:rPr>
          <w:color w:val="000000"/>
          <w:spacing w:val="6"/>
          <w:sz w:val="28"/>
        </w:rPr>
      </w:pPr>
    </w:p>
    <w:tbl>
      <w:tblPr>
        <w:tblStyle w:val="42"/>
        <w:tblW w:w="95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94" w:hRule="atLeast"/>
        </w:trPr>
        <w:tc>
          <w:tcPr>
            <w:tcW w:w="9540" w:type="dxa"/>
          </w:tcPr>
          <w:p>
            <w:pPr>
              <w:spacing w:line="600" w:lineRule="exact"/>
              <w:rPr>
                <w:color w:val="000000"/>
                <w:spacing w:val="6"/>
                <w:sz w:val="28"/>
              </w:rPr>
            </w:pPr>
          </w:p>
          <w:p>
            <w:pPr>
              <w:spacing w:line="600" w:lineRule="exact"/>
              <w:jc w:val="center"/>
              <w:rPr>
                <w:b/>
                <w:color w:val="000000"/>
                <w:spacing w:val="6"/>
                <w:sz w:val="32"/>
              </w:rPr>
            </w:pPr>
            <w:r>
              <w:rPr>
                <w:b/>
                <w:color w:val="000000"/>
                <w:spacing w:val="6"/>
                <w:sz w:val="32"/>
              </w:rPr>
              <w:t>注    释</w:t>
            </w:r>
          </w:p>
          <w:p>
            <w:pPr>
              <w:spacing w:line="600" w:lineRule="exact"/>
              <w:rPr>
                <w:color w:val="000000"/>
                <w:spacing w:val="6"/>
                <w:sz w:val="28"/>
              </w:rPr>
            </w:pPr>
          </w:p>
          <w:p>
            <w:pPr>
              <w:spacing w:line="600" w:lineRule="exact"/>
              <w:ind w:left="615"/>
              <w:rPr>
                <w:color w:val="000000"/>
                <w:spacing w:val="6"/>
                <w:sz w:val="28"/>
              </w:rPr>
            </w:pPr>
            <w:r>
              <w:rPr>
                <w:color w:val="000000"/>
                <w:spacing w:val="6"/>
                <w:sz w:val="28"/>
              </w:rPr>
              <w:t>一、本报告表应附以附件、附图：</w:t>
            </w:r>
          </w:p>
          <w:p>
            <w:pPr>
              <w:spacing w:line="600" w:lineRule="exact"/>
              <w:ind w:left="1715" w:hanging="1100"/>
              <w:rPr>
                <w:color w:val="000000"/>
                <w:spacing w:val="6"/>
                <w:sz w:val="28"/>
              </w:rPr>
            </w:pPr>
            <w:r>
              <w:rPr>
                <w:color w:val="000000"/>
                <w:spacing w:val="6"/>
                <w:sz w:val="28"/>
              </w:rPr>
              <w:t>附图1  项目地理位置</w:t>
            </w:r>
            <w:r>
              <w:rPr>
                <w:rFonts w:hint="eastAsia"/>
                <w:color w:val="000000"/>
                <w:spacing w:val="6"/>
                <w:sz w:val="28"/>
              </w:rPr>
              <w:t>及声环境质量现状监测布点</w:t>
            </w:r>
            <w:r>
              <w:rPr>
                <w:color w:val="000000"/>
                <w:spacing w:val="6"/>
                <w:sz w:val="28"/>
              </w:rPr>
              <w:t>图</w:t>
            </w:r>
          </w:p>
          <w:p>
            <w:pPr>
              <w:spacing w:line="600" w:lineRule="exact"/>
              <w:ind w:left="615"/>
              <w:rPr>
                <w:color w:val="000000"/>
                <w:spacing w:val="6"/>
                <w:sz w:val="28"/>
              </w:rPr>
            </w:pPr>
            <w:r>
              <w:rPr>
                <w:color w:val="000000"/>
                <w:spacing w:val="6"/>
                <w:sz w:val="28"/>
              </w:rPr>
              <w:t>附图2  项目</w:t>
            </w:r>
            <w:r>
              <w:rPr>
                <w:rFonts w:hint="eastAsia"/>
                <w:color w:val="000000"/>
                <w:spacing w:val="6"/>
                <w:sz w:val="28"/>
              </w:rPr>
              <w:t>交通位置及大气、水环境质量现状监测布点</w:t>
            </w:r>
            <w:r>
              <w:rPr>
                <w:color w:val="000000"/>
                <w:spacing w:val="6"/>
                <w:sz w:val="28"/>
              </w:rPr>
              <w:t>图</w:t>
            </w:r>
          </w:p>
          <w:p>
            <w:pPr>
              <w:spacing w:line="600" w:lineRule="exact"/>
              <w:ind w:left="1715" w:hanging="1100"/>
              <w:rPr>
                <w:color w:val="000000"/>
                <w:spacing w:val="6"/>
                <w:sz w:val="28"/>
              </w:rPr>
            </w:pPr>
            <w:r>
              <w:rPr>
                <w:color w:val="000000"/>
                <w:spacing w:val="6"/>
                <w:sz w:val="28"/>
              </w:rPr>
              <w:t>附图</w:t>
            </w:r>
            <w:r>
              <w:rPr>
                <w:rFonts w:hint="eastAsia"/>
                <w:color w:val="000000"/>
                <w:spacing w:val="6"/>
                <w:sz w:val="28"/>
              </w:rPr>
              <w:t>3</w:t>
            </w:r>
            <w:r>
              <w:rPr>
                <w:color w:val="000000"/>
                <w:spacing w:val="6"/>
                <w:sz w:val="28"/>
              </w:rPr>
              <w:t xml:space="preserve">  项目</w:t>
            </w:r>
            <w:r>
              <w:rPr>
                <w:rFonts w:hint="eastAsia"/>
                <w:color w:val="000000"/>
                <w:spacing w:val="6"/>
                <w:sz w:val="28"/>
              </w:rPr>
              <w:t>现状</w:t>
            </w:r>
            <w:r>
              <w:rPr>
                <w:color w:val="000000"/>
                <w:spacing w:val="6"/>
                <w:sz w:val="28"/>
              </w:rPr>
              <w:t>图</w:t>
            </w:r>
          </w:p>
          <w:p>
            <w:pPr>
              <w:spacing w:line="600" w:lineRule="exact"/>
              <w:ind w:left="615"/>
              <w:rPr>
                <w:color w:val="000000"/>
                <w:spacing w:val="6"/>
                <w:sz w:val="28"/>
              </w:rPr>
            </w:pPr>
            <w:r>
              <w:rPr>
                <w:color w:val="000000"/>
                <w:spacing w:val="6"/>
                <w:sz w:val="28"/>
              </w:rPr>
              <w:t>附图</w:t>
            </w:r>
            <w:r>
              <w:rPr>
                <w:rFonts w:hint="eastAsia"/>
                <w:color w:val="000000"/>
                <w:spacing w:val="6"/>
                <w:sz w:val="28"/>
              </w:rPr>
              <w:t>4</w:t>
            </w:r>
            <w:r>
              <w:rPr>
                <w:color w:val="000000"/>
                <w:spacing w:val="6"/>
                <w:sz w:val="28"/>
              </w:rPr>
              <w:t xml:space="preserve">  项目</w:t>
            </w:r>
            <w:r>
              <w:rPr>
                <w:rFonts w:hint="eastAsia"/>
                <w:color w:val="000000"/>
                <w:spacing w:val="6"/>
                <w:sz w:val="28"/>
              </w:rPr>
              <w:t>平面布置</w:t>
            </w:r>
            <w:r>
              <w:rPr>
                <w:color w:val="000000"/>
                <w:spacing w:val="6"/>
                <w:sz w:val="28"/>
              </w:rPr>
              <w:t>图</w:t>
            </w:r>
          </w:p>
          <w:p>
            <w:pPr>
              <w:spacing w:line="600" w:lineRule="exact"/>
              <w:ind w:left="1715" w:hanging="1100"/>
              <w:rPr>
                <w:color w:val="000000"/>
                <w:spacing w:val="6"/>
                <w:sz w:val="28"/>
              </w:rPr>
            </w:pPr>
            <w:r>
              <w:rPr>
                <w:color w:val="000000"/>
                <w:spacing w:val="6"/>
                <w:sz w:val="28"/>
              </w:rPr>
              <w:t>附图</w:t>
            </w:r>
            <w:r>
              <w:rPr>
                <w:rFonts w:hint="eastAsia"/>
                <w:color w:val="000000"/>
                <w:spacing w:val="6"/>
                <w:sz w:val="28"/>
              </w:rPr>
              <w:t>5</w:t>
            </w:r>
            <w:r>
              <w:rPr>
                <w:color w:val="000000"/>
                <w:spacing w:val="6"/>
                <w:sz w:val="28"/>
              </w:rPr>
              <w:t xml:space="preserve">  项目</w:t>
            </w:r>
            <w:r>
              <w:rPr>
                <w:rFonts w:hint="eastAsia"/>
                <w:color w:val="000000"/>
                <w:spacing w:val="6"/>
                <w:sz w:val="28"/>
              </w:rPr>
              <w:t>管廊标准断面图</w:t>
            </w:r>
          </w:p>
          <w:p>
            <w:pPr>
              <w:spacing w:line="600" w:lineRule="exact"/>
              <w:ind w:left="1715" w:hanging="1100"/>
              <w:rPr>
                <w:color w:val="000000"/>
                <w:spacing w:val="6"/>
                <w:sz w:val="28"/>
              </w:rPr>
            </w:pPr>
            <w:r>
              <w:rPr>
                <w:rFonts w:hint="eastAsia"/>
                <w:color w:val="000000"/>
                <w:spacing w:val="6"/>
                <w:sz w:val="28"/>
              </w:rPr>
              <w:t>附图6  项目道路标准断面图</w:t>
            </w:r>
          </w:p>
          <w:p>
            <w:pPr>
              <w:spacing w:line="600" w:lineRule="exact"/>
              <w:ind w:left="1218" w:hanging="603"/>
              <w:rPr>
                <w:color w:val="000000"/>
                <w:spacing w:val="6"/>
                <w:sz w:val="28"/>
              </w:rPr>
            </w:pPr>
            <w:r>
              <w:rPr>
                <w:color w:val="000000"/>
                <w:spacing w:val="6"/>
                <w:sz w:val="28"/>
              </w:rPr>
              <w:t>二、如果本报告表不能说明项目产生的污染及对环境造成的影响，应进行专项评价。根据建设项目的特点和当地环境特征，应选下列1—2项进行专项评价。</w:t>
            </w:r>
          </w:p>
          <w:p>
            <w:pPr>
              <w:tabs>
                <w:tab w:val="left" w:pos="1113"/>
              </w:tabs>
              <w:spacing w:line="600" w:lineRule="exact"/>
              <w:ind w:left="615"/>
              <w:rPr>
                <w:color w:val="000000"/>
                <w:spacing w:val="6"/>
                <w:sz w:val="28"/>
              </w:rPr>
            </w:pPr>
            <w:r>
              <w:rPr>
                <w:color w:val="000000"/>
                <w:spacing w:val="6"/>
                <w:sz w:val="28"/>
              </w:rPr>
              <w:t>1、大气环境影响专项评价</w:t>
            </w:r>
          </w:p>
          <w:p>
            <w:pPr>
              <w:tabs>
                <w:tab w:val="left" w:pos="1113"/>
              </w:tabs>
              <w:spacing w:line="600" w:lineRule="exact"/>
              <w:ind w:left="615"/>
              <w:rPr>
                <w:color w:val="000000"/>
                <w:spacing w:val="6"/>
                <w:sz w:val="28"/>
              </w:rPr>
            </w:pPr>
            <w:r>
              <w:rPr>
                <w:color w:val="000000"/>
                <w:spacing w:val="6"/>
                <w:sz w:val="28"/>
              </w:rPr>
              <w:t>2、水环境影响专项评价（包括地表水和地下水）</w:t>
            </w:r>
          </w:p>
          <w:p>
            <w:pPr>
              <w:tabs>
                <w:tab w:val="left" w:pos="1113"/>
              </w:tabs>
              <w:spacing w:line="600" w:lineRule="exact"/>
              <w:ind w:left="615"/>
              <w:rPr>
                <w:color w:val="000000"/>
                <w:spacing w:val="6"/>
                <w:sz w:val="28"/>
              </w:rPr>
            </w:pPr>
            <w:r>
              <w:rPr>
                <w:color w:val="000000"/>
                <w:spacing w:val="6"/>
                <w:sz w:val="28"/>
              </w:rPr>
              <w:t>3、生态影响专项评价</w:t>
            </w:r>
          </w:p>
          <w:p>
            <w:pPr>
              <w:tabs>
                <w:tab w:val="left" w:pos="1113"/>
              </w:tabs>
              <w:spacing w:line="600" w:lineRule="exact"/>
              <w:ind w:left="615"/>
              <w:rPr>
                <w:color w:val="000000"/>
                <w:spacing w:val="6"/>
                <w:sz w:val="28"/>
              </w:rPr>
            </w:pPr>
            <w:r>
              <w:rPr>
                <w:color w:val="000000"/>
                <w:spacing w:val="6"/>
                <w:sz w:val="28"/>
              </w:rPr>
              <w:t>4、声影响专项评价</w:t>
            </w:r>
          </w:p>
          <w:p>
            <w:pPr>
              <w:tabs>
                <w:tab w:val="left" w:pos="1113"/>
              </w:tabs>
              <w:spacing w:line="600" w:lineRule="exact"/>
              <w:ind w:left="615"/>
              <w:rPr>
                <w:color w:val="000000"/>
                <w:spacing w:val="6"/>
                <w:sz w:val="28"/>
              </w:rPr>
            </w:pPr>
            <w:r>
              <w:rPr>
                <w:color w:val="000000"/>
                <w:spacing w:val="6"/>
                <w:sz w:val="28"/>
              </w:rPr>
              <w:t>5、土壤影响专项评价</w:t>
            </w:r>
          </w:p>
          <w:p>
            <w:pPr>
              <w:tabs>
                <w:tab w:val="left" w:pos="1113"/>
              </w:tabs>
              <w:spacing w:line="600" w:lineRule="exact"/>
              <w:ind w:left="615"/>
              <w:rPr>
                <w:color w:val="000000"/>
                <w:spacing w:val="6"/>
                <w:sz w:val="28"/>
              </w:rPr>
            </w:pPr>
            <w:r>
              <w:rPr>
                <w:color w:val="000000"/>
                <w:spacing w:val="6"/>
                <w:sz w:val="28"/>
              </w:rPr>
              <w:t>6、固体废物影响专项评价</w:t>
            </w:r>
          </w:p>
          <w:p>
            <w:pPr>
              <w:tabs>
                <w:tab w:val="left" w:pos="1113"/>
              </w:tabs>
              <w:spacing w:line="600" w:lineRule="exact"/>
              <w:ind w:left="-42" w:firstLine="657"/>
              <w:rPr>
                <w:color w:val="000000"/>
                <w:spacing w:val="6"/>
                <w:sz w:val="28"/>
              </w:rPr>
            </w:pPr>
            <w:r>
              <w:rPr>
                <w:color w:val="000000"/>
                <w:spacing w:val="6"/>
                <w:sz w:val="28"/>
              </w:rPr>
              <w:t>以上专项评价未包括的可列专项，专项评价按照《环境影响评价技术导则》中的要求进行。</w:t>
            </w:r>
          </w:p>
        </w:tc>
      </w:tr>
    </w:tbl>
    <w:p>
      <w:pPr>
        <w:tabs>
          <w:tab w:val="left" w:pos="938"/>
        </w:tabs>
        <w:adjustRightInd w:val="0"/>
        <w:snapToGrid w:val="0"/>
        <w:spacing w:line="360" w:lineRule="auto"/>
        <w:rPr>
          <w:color w:val="000000"/>
        </w:rPr>
      </w:pPr>
      <w:r>
        <w:rPr>
          <w:color w:val="000000"/>
        </w:rPr>
        <w:tab/>
      </w:r>
    </w:p>
    <w:sectPr>
      <w:pgSz w:w="11906" w:h="16838"/>
      <w:pgMar w:top="1440" w:right="1219" w:bottom="1440" w:left="144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TimesNewRomanPSMT">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昆仑仿宋">
    <w:altName w:val="黑体"/>
    <w:panose1 w:val="00000000000000000000"/>
    <w:charset w:val="86"/>
    <w:family w:val="modern"/>
    <w:pitch w:val="default"/>
    <w:sig w:usb0="00000000" w:usb1="00000000" w:usb2="00000010" w:usb3="00000000" w:csb0="00040000" w:csb1="00000000"/>
  </w:font>
  <w:font w:name="”“Times New Roman”“">
    <w:altName w:val="宋体"/>
    <w:panose1 w:val="00000000000000000000"/>
    <w:charset w:val="86"/>
    <w:family w:val="roma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幼圆">
    <w:panose1 w:val="02010509060101010101"/>
    <w:charset w:val="86"/>
    <w:family w:val="modern"/>
    <w:pitch w:val="default"/>
    <w:sig w:usb0="00000001" w:usb1="080E0000" w:usb2="00000000" w:usb3="00000000" w:csb0="00040000" w:csb1="00000000"/>
  </w:font>
  <w:font w:name="??¡§??">
    <w:altName w:val="Courier New"/>
    <w:panose1 w:val="00000000000000000000"/>
    <w:charset w:val="00"/>
    <w:family w:val="auto"/>
    <w:pitch w:val="default"/>
    <w:sig w:usb0="00000000" w:usb1="00000000" w:usb2="00000000" w:usb3="00000000" w:csb0="00000001" w:csb1="00000000"/>
  </w:font>
  <w:font w:name="κ">
    <w:altName w:val="宋体"/>
    <w:panose1 w:val="00000000000000000000"/>
    <w:charset w:val="86"/>
    <w:family w:val="roman"/>
    <w:pitch w:val="default"/>
    <w:sig w:usb0="00000000" w:usb1="00000000" w:usb2="00000010" w:usb3="00000000" w:csb0="00040000" w:csb1="00000000"/>
  </w:font>
  <w:font w:name="汉鼎简书宋">
    <w:altName w:val="宋体"/>
    <w:panose1 w:val="00000000000000000000"/>
    <w:charset w:val="86"/>
    <w:family w:val="modern"/>
    <w:pitch w:val="default"/>
    <w:sig w:usb0="00000000" w:usb1="00000000" w:usb2="00000010" w:usb3="00000000" w:csb0="00040000" w:csb1="00000000"/>
  </w:font>
  <w:font w:name="CG Times (WN)">
    <w:altName w:val="Courier New"/>
    <w:panose1 w:val="00000000000000000000"/>
    <w:charset w:val="00"/>
    <w:family w:val="roman"/>
    <w:pitch w:val="default"/>
    <w:sig w:usb0="00000000" w:usb1="00000000" w:usb2="00000000" w:usb3="00000000" w:csb0="00000001" w:csb1="00000000"/>
  </w:font>
  <w:font w:name="行书体">
    <w:altName w:val="宋体"/>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隶书">
    <w:panose1 w:val="02010509060101010101"/>
    <w:charset w:val="86"/>
    <w:family w:val="modern"/>
    <w:pitch w:val="default"/>
    <w:sig w:usb0="00000001" w:usb1="080E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方正黑体简体">
    <w:altName w:val="黑体"/>
    <w:panose1 w:val="00000000000000000000"/>
    <w:charset w:val="86"/>
    <w:family w:val="script"/>
    <w:pitch w:val="default"/>
    <w:sig w:usb0="00000000" w:usb1="00000000" w:usb2="00000010" w:usb3="00000000" w:csb0="00040000" w:csb1="00000000"/>
  </w:font>
  <w:font w:name="Dutch801 Rm BT">
    <w:altName w:val="Times New Roman"/>
    <w:panose1 w:val="02020603060505020304"/>
    <w:charset w:val="00"/>
    <w:family w:val="roman"/>
    <w:pitch w:val="default"/>
    <w:sig w:usb0="00000000" w:usb1="00000000" w:usb2="00000000" w:usb3="00000000" w:csb0="0000001B"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Century">
    <w:panose1 w:val="02040604050505020304"/>
    <w:charset w:val="00"/>
    <w:family w:val="roman"/>
    <w:pitch w:val="default"/>
    <w:sig w:usb0="00000287" w:usb1="00000000" w:usb2="00000000" w:usb3="00000000" w:csb0="2000009F" w:csb1="DFD70000"/>
  </w:font>
  <w:font w:name="Century Gothic">
    <w:panose1 w:val="020B0502020202020204"/>
    <w:charset w:val="00"/>
    <w:family w:val="swiss"/>
    <w:pitch w:val="default"/>
    <w:sig w:usb0="00000287" w:usb1="00000000" w:usb2="00000000" w:usb3="00000000" w:csb0="2000009F" w:csb1="DFD70000"/>
  </w:font>
  <w:font w:name="华文仿宋">
    <w:panose1 w:val="02010600040101010101"/>
    <w:charset w:val="86"/>
    <w:family w:val="auto"/>
    <w:pitch w:val="default"/>
    <w:sig w:usb0="00000287" w:usb1="080F0000" w:usb2="00000000" w:usb3="00000000" w:csb0="0004009F" w:csb1="DFD70000"/>
  </w:font>
  <w:font w:name="Arial Black">
    <w:panose1 w:val="020B0A04020102020204"/>
    <w:charset w:val="00"/>
    <w:family w:val="swiss"/>
    <w:pitch w:val="default"/>
    <w:sig w:usb0="00000287"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7" name="文本框 7"/>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ffectLst/>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z4vdRNAAAAACAQAADwAAAAAAAAABACAAAAAiAAAAZHJzL2Rvd25yZXYueG1sUEsBAhQAFAAAAAgA&#10;h07iQIDE7/r0AQAAwQMAAA4AAAAAAAAAAQAgAAAAHwEAAGRycy9lMm9Eb2MueG1sUEsFBgAAAAAG&#10;AAYAWQEAAIU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center" w:y="2"/>
      <w:rPr>
        <w:rStyle w:val="36"/>
      </w:rPr>
    </w:pPr>
    <w:r>
      <w:fldChar w:fldCharType="begin"/>
    </w:r>
    <w:r>
      <w:rPr>
        <w:rStyle w:val="36"/>
      </w:rPr>
      <w:instrText xml:space="preserve">PAGE  </w:instrText>
    </w:r>
    <w:r>
      <w:fldChar w:fldCharType="end"/>
    </w:r>
  </w:p>
  <w:p>
    <w:pPr>
      <w:pStyle w:val="2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tentative="0">
      <w:start w:val="1"/>
      <w:numFmt w:val="decimal"/>
      <w:pStyle w:val="2"/>
      <w:lvlText w:val="%1"/>
      <w:lvlJc w:val="left"/>
      <w:pPr>
        <w:tabs>
          <w:tab w:val="left" w:pos="858"/>
        </w:tabs>
        <w:ind w:left="858" w:hanging="432"/>
      </w:pPr>
    </w:lvl>
    <w:lvl w:ilvl="1" w:tentative="0">
      <w:start w:val="1"/>
      <w:numFmt w:val="decimal"/>
      <w:pStyle w:val="3"/>
      <w:lvlText w:val="%1.%2"/>
      <w:lvlJc w:val="left"/>
      <w:pPr>
        <w:tabs>
          <w:tab w:val="left" w:pos="1002"/>
        </w:tabs>
        <w:ind w:left="1002" w:hanging="576"/>
      </w:pPr>
    </w:lvl>
    <w:lvl w:ilvl="2" w:tentative="0">
      <w:start w:val="1"/>
      <w:numFmt w:val="decimal"/>
      <w:pStyle w:val="99"/>
      <w:lvlText w:val="%1.%2.%3"/>
      <w:lvlJc w:val="left"/>
      <w:pPr>
        <w:tabs>
          <w:tab w:val="left" w:pos="1146"/>
        </w:tabs>
        <w:ind w:left="1146" w:hanging="720"/>
      </w:pPr>
    </w:lvl>
    <w:lvl w:ilvl="3" w:tentative="0">
      <w:start w:val="1"/>
      <w:numFmt w:val="decimal"/>
      <w:lvlText w:val="%1.%2.%3.%4"/>
      <w:lvlJc w:val="left"/>
      <w:pPr>
        <w:tabs>
          <w:tab w:val="left" w:pos="1290"/>
        </w:tabs>
        <w:ind w:left="1290" w:hanging="864"/>
      </w:pPr>
    </w:lvl>
    <w:lvl w:ilvl="4" w:tentative="0">
      <w:start w:val="1"/>
      <w:numFmt w:val="decimal"/>
      <w:lvlText w:val="%1.%2.%3.%4.%5"/>
      <w:lvlJc w:val="left"/>
      <w:pPr>
        <w:tabs>
          <w:tab w:val="left" w:pos="1434"/>
        </w:tabs>
        <w:ind w:left="1434" w:hanging="1008"/>
      </w:pPr>
    </w:lvl>
    <w:lvl w:ilvl="5" w:tentative="0">
      <w:start w:val="1"/>
      <w:numFmt w:val="decimal"/>
      <w:lvlText w:val="%1.%2.%3.%4.%5.%6"/>
      <w:lvlJc w:val="left"/>
      <w:pPr>
        <w:tabs>
          <w:tab w:val="left" w:pos="1578"/>
        </w:tabs>
        <w:ind w:left="1578" w:hanging="1152"/>
      </w:pPr>
    </w:lvl>
    <w:lvl w:ilvl="6" w:tentative="0">
      <w:start w:val="1"/>
      <w:numFmt w:val="decimal"/>
      <w:lvlText w:val="%1.%2.%3.%4.%5.%6.%7"/>
      <w:lvlJc w:val="left"/>
      <w:pPr>
        <w:tabs>
          <w:tab w:val="left" w:pos="1722"/>
        </w:tabs>
        <w:ind w:left="1722" w:hanging="1296"/>
      </w:pPr>
    </w:lvl>
    <w:lvl w:ilvl="7" w:tentative="0">
      <w:start w:val="1"/>
      <w:numFmt w:val="decimal"/>
      <w:lvlText w:val="%1.%2.%3.%4.%5.%6.%7.%8"/>
      <w:lvlJc w:val="left"/>
      <w:pPr>
        <w:tabs>
          <w:tab w:val="left" w:pos="1866"/>
        </w:tabs>
        <w:ind w:left="1866" w:hanging="1440"/>
      </w:pPr>
    </w:lvl>
    <w:lvl w:ilvl="8" w:tentative="0">
      <w:start w:val="1"/>
      <w:numFmt w:val="decimal"/>
      <w:lvlText w:val="%1.%2.%3.%4.%5.%6.%7.%8.%9"/>
      <w:lvlJc w:val="left"/>
      <w:pPr>
        <w:tabs>
          <w:tab w:val="left" w:pos="2010"/>
        </w:tabs>
        <w:ind w:left="2010" w:hanging="1584"/>
      </w:pPr>
    </w:lvl>
  </w:abstractNum>
  <w:abstractNum w:abstractNumId="1">
    <w:nsid w:val="00000004"/>
    <w:multiLevelType w:val="multilevel"/>
    <w:tmpl w:val="00000004"/>
    <w:lvl w:ilvl="0" w:tentative="0">
      <w:start w:val="1"/>
      <w:numFmt w:val="decimal"/>
      <w:lvlText w:val="%1."/>
      <w:lvlJc w:val="left"/>
    </w:lvl>
    <w:lvl w:ilvl="1" w:tentative="0">
      <w:start w:val="1"/>
      <w:numFmt w:val="decimal"/>
      <w:lvlText w:val="%1.%2"/>
      <w:lvlJc w:val="left"/>
    </w:lvl>
    <w:lvl w:ilvl="2" w:tentative="0">
      <w:start w:val="1"/>
      <w:numFmt w:val="decimal"/>
      <w:lvlText w:val="%1.%2.%3"/>
      <w:lvlJc w:val="left"/>
    </w:lvl>
    <w:lvl w:ilvl="3" w:tentative="0">
      <w:start w:val="1"/>
      <w:numFmt w:val="decimal"/>
      <w:pStyle w:val="5"/>
      <w:lvlText w:val="%1.%2.%3.%4"/>
      <w:lvlJc w:val="left"/>
    </w:lvl>
    <w:lvl w:ilvl="4" w:tentative="0">
      <w:start w:val="1"/>
      <w:numFmt w:val="decimal"/>
      <w:pStyle w:val="8"/>
      <w:lvlText w:val="%1.%2.%3.%4.%5"/>
      <w:lvlJc w:val="left"/>
    </w:lvl>
    <w:lvl w:ilvl="5" w:tentative="0">
      <w:start w:val="1"/>
      <w:numFmt w:val="decimal"/>
      <w:pStyle w:val="9"/>
      <w:lvlText w:val="%1.%2.%3.%4.%5.%6"/>
      <w:lvlJc w:val="left"/>
    </w:lvl>
    <w:lvl w:ilvl="6" w:tentative="0">
      <w:start w:val="1"/>
      <w:numFmt w:val="decimal"/>
      <w:pStyle w:val="10"/>
      <w:lvlText w:val="%1.%2.%3.%4.%5.%6.%7"/>
      <w:lvlJc w:val="left"/>
    </w:lvl>
    <w:lvl w:ilvl="7" w:tentative="0">
      <w:start w:val="1"/>
      <w:numFmt w:val="decimal"/>
      <w:pStyle w:val="11"/>
      <w:lvlText w:val="%1.%2.%3.%4.%5.%6.%7.%8"/>
      <w:lvlJc w:val="left"/>
    </w:lvl>
    <w:lvl w:ilvl="8" w:tentative="0">
      <w:start w:val="1"/>
      <w:numFmt w:val="decimal"/>
      <w:pStyle w:val="12"/>
      <w:lvlText w:val="%1.%2.%3.%4.%5.%6.%7.%8.%9"/>
      <w:lvlJc w:val="left"/>
    </w:lvl>
  </w:abstractNum>
  <w:abstractNum w:abstractNumId="2">
    <w:nsid w:val="0000000D"/>
    <w:multiLevelType w:val="singleLevel"/>
    <w:tmpl w:val="0000000D"/>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7783"/>
    <w:rsid w:val="00044976"/>
    <w:rsid w:val="000B1B3D"/>
    <w:rsid w:val="000F2046"/>
    <w:rsid w:val="00120A03"/>
    <w:rsid w:val="001210E5"/>
    <w:rsid w:val="00123398"/>
    <w:rsid w:val="00151DCF"/>
    <w:rsid w:val="00151F13"/>
    <w:rsid w:val="0015693B"/>
    <w:rsid w:val="001634F7"/>
    <w:rsid w:val="00176F07"/>
    <w:rsid w:val="001D5C6C"/>
    <w:rsid w:val="00202124"/>
    <w:rsid w:val="002173D4"/>
    <w:rsid w:val="0024079C"/>
    <w:rsid w:val="0029083F"/>
    <w:rsid w:val="002D4F42"/>
    <w:rsid w:val="002E0BEB"/>
    <w:rsid w:val="0030096F"/>
    <w:rsid w:val="00330121"/>
    <w:rsid w:val="0035166F"/>
    <w:rsid w:val="003638B4"/>
    <w:rsid w:val="003700AB"/>
    <w:rsid w:val="00397BBF"/>
    <w:rsid w:val="003A0609"/>
    <w:rsid w:val="003D1C5F"/>
    <w:rsid w:val="003E44F0"/>
    <w:rsid w:val="0040766D"/>
    <w:rsid w:val="004121FC"/>
    <w:rsid w:val="00453905"/>
    <w:rsid w:val="00473CB2"/>
    <w:rsid w:val="004C00F8"/>
    <w:rsid w:val="004C1413"/>
    <w:rsid w:val="004D1AF5"/>
    <w:rsid w:val="004F01C3"/>
    <w:rsid w:val="004F6DAD"/>
    <w:rsid w:val="00510F2A"/>
    <w:rsid w:val="00521393"/>
    <w:rsid w:val="005224C6"/>
    <w:rsid w:val="005D1A31"/>
    <w:rsid w:val="00601B21"/>
    <w:rsid w:val="00611C12"/>
    <w:rsid w:val="00642766"/>
    <w:rsid w:val="00655D46"/>
    <w:rsid w:val="00670632"/>
    <w:rsid w:val="006832AF"/>
    <w:rsid w:val="00685415"/>
    <w:rsid w:val="006B0DF0"/>
    <w:rsid w:val="006C7BC8"/>
    <w:rsid w:val="00712D58"/>
    <w:rsid w:val="007268E9"/>
    <w:rsid w:val="00771AF5"/>
    <w:rsid w:val="00777D1E"/>
    <w:rsid w:val="00795504"/>
    <w:rsid w:val="007A41F2"/>
    <w:rsid w:val="007A6E0F"/>
    <w:rsid w:val="007C0EE1"/>
    <w:rsid w:val="007D6334"/>
    <w:rsid w:val="007E4F1B"/>
    <w:rsid w:val="007F1949"/>
    <w:rsid w:val="008116EB"/>
    <w:rsid w:val="008300FD"/>
    <w:rsid w:val="008339BA"/>
    <w:rsid w:val="00862941"/>
    <w:rsid w:val="0089521A"/>
    <w:rsid w:val="008B1E0B"/>
    <w:rsid w:val="008E0315"/>
    <w:rsid w:val="008E7C89"/>
    <w:rsid w:val="00915A68"/>
    <w:rsid w:val="00983EBE"/>
    <w:rsid w:val="009955FE"/>
    <w:rsid w:val="009F4DE6"/>
    <w:rsid w:val="00A2428C"/>
    <w:rsid w:val="00A478BB"/>
    <w:rsid w:val="00A833A6"/>
    <w:rsid w:val="00AF1C83"/>
    <w:rsid w:val="00B30779"/>
    <w:rsid w:val="00B307AC"/>
    <w:rsid w:val="00B509D0"/>
    <w:rsid w:val="00BB18D2"/>
    <w:rsid w:val="00BB7783"/>
    <w:rsid w:val="00BC5876"/>
    <w:rsid w:val="00C40C11"/>
    <w:rsid w:val="00C65024"/>
    <w:rsid w:val="00C73C08"/>
    <w:rsid w:val="00C7790B"/>
    <w:rsid w:val="00CA2090"/>
    <w:rsid w:val="00CC4D10"/>
    <w:rsid w:val="00CE58DF"/>
    <w:rsid w:val="00CF3B31"/>
    <w:rsid w:val="00D04118"/>
    <w:rsid w:val="00D17814"/>
    <w:rsid w:val="00D73860"/>
    <w:rsid w:val="00DB2084"/>
    <w:rsid w:val="00DD2D30"/>
    <w:rsid w:val="00DD72C8"/>
    <w:rsid w:val="00DE0BDA"/>
    <w:rsid w:val="00E05FE4"/>
    <w:rsid w:val="00E15937"/>
    <w:rsid w:val="00E7047F"/>
    <w:rsid w:val="00E81336"/>
    <w:rsid w:val="00E817A1"/>
    <w:rsid w:val="00EA4627"/>
    <w:rsid w:val="00EA6198"/>
    <w:rsid w:val="00EC2C95"/>
    <w:rsid w:val="00F062FB"/>
    <w:rsid w:val="00F22E7C"/>
    <w:rsid w:val="00F518E6"/>
    <w:rsid w:val="00F855CE"/>
    <w:rsid w:val="00FE1439"/>
    <w:rsid w:val="15C7796B"/>
    <w:rsid w:val="1D905E58"/>
    <w:rsid w:val="20B80D66"/>
    <w:rsid w:val="2C4B6129"/>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uiPriority="39" w:name="toc 4"/>
    <w:lsdException w:uiPriority="39" w:name="toc 5"/>
    <w:lsdException w:qFormat="1" w:unhideWhenUsed="0" w:uiPriority="0"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link w:val="44"/>
    <w:qFormat/>
    <w:uiPriority w:val="0"/>
    <w:pPr>
      <w:keepNext/>
      <w:numPr>
        <w:ilvl w:val="0"/>
        <w:numId w:val="1"/>
      </w:numPr>
      <w:tabs>
        <w:tab w:val="left" w:pos="432"/>
      </w:tabs>
      <w:spacing w:before="120" w:line="240" w:lineRule="atLeast"/>
      <w:outlineLvl w:val="0"/>
    </w:pPr>
    <w:rPr>
      <w:rFonts w:ascii="宋体"/>
      <w:spacing w:val="6"/>
      <w:sz w:val="28"/>
    </w:rPr>
  </w:style>
  <w:style w:type="paragraph" w:styleId="3">
    <w:name w:val="heading 2"/>
    <w:basedOn w:val="1"/>
    <w:next w:val="1"/>
    <w:link w:val="45"/>
    <w:qFormat/>
    <w:uiPriority w:val="0"/>
    <w:pPr>
      <w:keepNext/>
      <w:numPr>
        <w:ilvl w:val="1"/>
        <w:numId w:val="1"/>
      </w:numPr>
      <w:tabs>
        <w:tab w:val="left" w:pos="576"/>
      </w:tabs>
      <w:spacing w:before="120"/>
      <w:outlineLvl w:val="1"/>
    </w:pPr>
    <w:rPr>
      <w:rFonts w:ascii="宋体" w:hAnsi="宋体"/>
      <w:spacing w:val="6"/>
      <w:sz w:val="28"/>
    </w:rPr>
  </w:style>
  <w:style w:type="paragraph" w:styleId="4">
    <w:name w:val="heading 3"/>
    <w:basedOn w:val="1"/>
    <w:next w:val="1"/>
    <w:link w:val="46"/>
    <w:qFormat/>
    <w:uiPriority w:val="0"/>
    <w:pPr>
      <w:keepNext/>
      <w:keepLines/>
      <w:spacing w:before="260" w:after="260" w:line="416" w:lineRule="auto"/>
      <w:outlineLvl w:val="2"/>
    </w:pPr>
    <w:rPr>
      <w:b/>
      <w:bCs/>
      <w:sz w:val="32"/>
      <w:szCs w:val="32"/>
    </w:rPr>
  </w:style>
  <w:style w:type="paragraph" w:styleId="5">
    <w:name w:val="heading 4"/>
    <w:basedOn w:val="1"/>
    <w:next w:val="6"/>
    <w:link w:val="47"/>
    <w:qFormat/>
    <w:uiPriority w:val="0"/>
    <w:pPr>
      <w:numPr>
        <w:ilvl w:val="3"/>
        <w:numId w:val="2"/>
      </w:numPr>
      <w:overflowPunct w:val="0"/>
      <w:autoSpaceDE w:val="0"/>
      <w:autoSpaceDN w:val="0"/>
      <w:adjustRightInd w:val="0"/>
      <w:spacing w:line="360" w:lineRule="auto"/>
      <w:textAlignment w:val="baseline"/>
      <w:outlineLvl w:val="3"/>
    </w:pPr>
    <w:rPr>
      <w:kern w:val="20"/>
      <w:sz w:val="28"/>
    </w:rPr>
  </w:style>
  <w:style w:type="paragraph" w:styleId="8">
    <w:name w:val="heading 5"/>
    <w:basedOn w:val="1"/>
    <w:next w:val="6"/>
    <w:link w:val="48"/>
    <w:qFormat/>
    <w:uiPriority w:val="0"/>
    <w:pPr>
      <w:numPr>
        <w:ilvl w:val="4"/>
        <w:numId w:val="2"/>
      </w:numPr>
      <w:overflowPunct w:val="0"/>
      <w:autoSpaceDE w:val="0"/>
      <w:autoSpaceDN w:val="0"/>
      <w:adjustRightInd w:val="0"/>
      <w:spacing w:line="360" w:lineRule="auto"/>
      <w:textAlignment w:val="baseline"/>
      <w:outlineLvl w:val="4"/>
    </w:pPr>
    <w:rPr>
      <w:rFonts w:eastAsia="仿宋_GB2312"/>
      <w:kern w:val="20"/>
      <w:sz w:val="28"/>
    </w:rPr>
  </w:style>
  <w:style w:type="paragraph" w:styleId="9">
    <w:name w:val="heading 6"/>
    <w:basedOn w:val="1"/>
    <w:next w:val="1"/>
    <w:link w:val="49"/>
    <w:qFormat/>
    <w:uiPriority w:val="0"/>
    <w:pPr>
      <w:keepNext/>
      <w:keepLines/>
      <w:numPr>
        <w:ilvl w:val="5"/>
        <w:numId w:val="2"/>
      </w:numPr>
      <w:overflowPunct w:val="0"/>
      <w:autoSpaceDE w:val="0"/>
      <w:autoSpaceDN w:val="0"/>
      <w:adjustRightInd w:val="0"/>
      <w:spacing w:line="360" w:lineRule="auto"/>
      <w:textAlignment w:val="baseline"/>
      <w:outlineLvl w:val="5"/>
    </w:pPr>
    <w:rPr>
      <w:rFonts w:ascii="Arial" w:hAnsi="Arial" w:eastAsia="仿宋_GB2312"/>
      <w:b/>
      <w:spacing w:val="-4"/>
      <w:kern w:val="20"/>
      <w:sz w:val="18"/>
    </w:rPr>
  </w:style>
  <w:style w:type="paragraph" w:styleId="10">
    <w:name w:val="heading 7"/>
    <w:basedOn w:val="1"/>
    <w:next w:val="1"/>
    <w:link w:val="50"/>
    <w:qFormat/>
    <w:uiPriority w:val="0"/>
    <w:pPr>
      <w:keepNext/>
      <w:keepLines/>
      <w:numPr>
        <w:ilvl w:val="6"/>
        <w:numId w:val="2"/>
      </w:numPr>
      <w:overflowPunct w:val="0"/>
      <w:autoSpaceDE w:val="0"/>
      <w:autoSpaceDN w:val="0"/>
      <w:adjustRightInd w:val="0"/>
      <w:spacing w:line="360" w:lineRule="auto"/>
      <w:textAlignment w:val="baseline"/>
      <w:outlineLvl w:val="6"/>
    </w:pPr>
    <w:rPr>
      <w:rFonts w:eastAsia="仿宋_GB2312"/>
      <w:spacing w:val="-4"/>
      <w:kern w:val="20"/>
      <w:sz w:val="28"/>
    </w:rPr>
  </w:style>
  <w:style w:type="paragraph" w:styleId="11">
    <w:name w:val="heading 8"/>
    <w:basedOn w:val="1"/>
    <w:next w:val="1"/>
    <w:link w:val="51"/>
    <w:qFormat/>
    <w:uiPriority w:val="0"/>
    <w:pPr>
      <w:keepNext/>
      <w:keepLines/>
      <w:numPr>
        <w:ilvl w:val="7"/>
        <w:numId w:val="2"/>
      </w:numPr>
      <w:overflowPunct w:val="0"/>
      <w:autoSpaceDE w:val="0"/>
      <w:autoSpaceDN w:val="0"/>
      <w:adjustRightInd w:val="0"/>
      <w:spacing w:line="360" w:lineRule="auto"/>
      <w:textAlignment w:val="baseline"/>
      <w:outlineLvl w:val="7"/>
    </w:pPr>
    <w:rPr>
      <w:rFonts w:ascii="Arial" w:hAnsi="Arial" w:eastAsia="仿宋_GB2312"/>
      <w:b/>
      <w:spacing w:val="-4"/>
      <w:kern w:val="20"/>
      <w:sz w:val="18"/>
    </w:rPr>
  </w:style>
  <w:style w:type="paragraph" w:styleId="12">
    <w:name w:val="heading 9"/>
    <w:basedOn w:val="1"/>
    <w:next w:val="1"/>
    <w:link w:val="52"/>
    <w:qFormat/>
    <w:uiPriority w:val="0"/>
    <w:pPr>
      <w:keepNext/>
      <w:keepLines/>
      <w:numPr>
        <w:ilvl w:val="8"/>
        <w:numId w:val="2"/>
      </w:numPr>
      <w:overflowPunct w:val="0"/>
      <w:autoSpaceDE w:val="0"/>
      <w:autoSpaceDN w:val="0"/>
      <w:adjustRightInd w:val="0"/>
      <w:spacing w:line="360" w:lineRule="auto"/>
      <w:textAlignment w:val="baseline"/>
      <w:outlineLvl w:val="8"/>
    </w:pPr>
    <w:rPr>
      <w:rFonts w:ascii="Arial" w:hAnsi="Arial" w:eastAsia="仿宋_GB2312"/>
      <w:spacing w:val="-6"/>
      <w:kern w:val="20"/>
      <w:sz w:val="18"/>
    </w:rPr>
  </w:style>
  <w:style w:type="character" w:default="1" w:styleId="35">
    <w:name w:val="Default Paragraph Font"/>
    <w:unhideWhenUsed/>
    <w:qFormat/>
    <w:uiPriority w:val="1"/>
  </w:style>
  <w:style w:type="table" w:default="1" w:styleId="42">
    <w:name w:val="Normal Table"/>
    <w:unhideWhenUsed/>
    <w:qFormat/>
    <w:uiPriority w:val="99"/>
    <w:tblPr>
      <w:tblLayout w:type="fixed"/>
      <w:tblCellMar>
        <w:top w:w="0" w:type="dxa"/>
        <w:left w:w="108" w:type="dxa"/>
        <w:bottom w:w="0" w:type="dxa"/>
        <w:right w:w="108" w:type="dxa"/>
      </w:tblCellMar>
    </w:tblPr>
  </w:style>
  <w:style w:type="paragraph" w:styleId="6">
    <w:name w:val="Body Text First Indent"/>
    <w:basedOn w:val="7"/>
    <w:link w:val="68"/>
    <w:qFormat/>
    <w:uiPriority w:val="0"/>
    <w:pPr>
      <w:ind w:firstLine="420" w:firstLineChars="100"/>
    </w:pPr>
    <w:rPr>
      <w:rFonts w:asciiTheme="minorHAnsi" w:hAnsiTheme="minorHAnsi" w:cstheme="minorBidi"/>
      <w:szCs w:val="24"/>
    </w:rPr>
  </w:style>
  <w:style w:type="paragraph" w:styleId="7">
    <w:name w:val="Body Text"/>
    <w:basedOn w:val="1"/>
    <w:link w:val="82"/>
    <w:unhideWhenUsed/>
    <w:qFormat/>
    <w:uiPriority w:val="0"/>
    <w:pPr>
      <w:spacing w:after="120"/>
    </w:pPr>
  </w:style>
  <w:style w:type="paragraph" w:styleId="13">
    <w:name w:val="annotation subject"/>
    <w:basedOn w:val="14"/>
    <w:next w:val="14"/>
    <w:link w:val="64"/>
    <w:qFormat/>
    <w:uiPriority w:val="0"/>
    <w:rPr>
      <w:rFonts w:asciiTheme="minorHAnsi" w:hAnsiTheme="minorHAnsi" w:eastAsiaTheme="minorEastAsia" w:cstheme="minorBidi"/>
      <w:szCs w:val="24"/>
    </w:rPr>
  </w:style>
  <w:style w:type="paragraph" w:styleId="14">
    <w:name w:val="annotation text"/>
    <w:basedOn w:val="1"/>
    <w:link w:val="86"/>
    <w:unhideWhenUsed/>
    <w:qFormat/>
    <w:uiPriority w:val="0"/>
    <w:pPr>
      <w:jc w:val="left"/>
    </w:pPr>
  </w:style>
  <w:style w:type="paragraph" w:styleId="15">
    <w:name w:val="Normal Indent"/>
    <w:basedOn w:val="1"/>
    <w:qFormat/>
    <w:uiPriority w:val="0"/>
    <w:pPr>
      <w:widowControl/>
      <w:ind w:firstLine="420"/>
      <w:jc w:val="left"/>
    </w:pPr>
    <w:rPr>
      <w:kern w:val="0"/>
      <w:sz w:val="20"/>
    </w:rPr>
  </w:style>
  <w:style w:type="paragraph" w:styleId="16">
    <w:name w:val="caption"/>
    <w:basedOn w:val="1"/>
    <w:next w:val="1"/>
    <w:qFormat/>
    <w:uiPriority w:val="0"/>
    <w:rPr>
      <w:rFonts w:ascii="Arial" w:hAnsi="Arial" w:eastAsia="黑体" w:cs="Arial"/>
      <w:sz w:val="20"/>
    </w:rPr>
  </w:style>
  <w:style w:type="paragraph" w:styleId="17">
    <w:name w:val="Document Map"/>
    <w:basedOn w:val="1"/>
    <w:link w:val="91"/>
    <w:qFormat/>
    <w:uiPriority w:val="0"/>
    <w:pPr>
      <w:shd w:val="clear" w:color="auto" w:fill="000080"/>
    </w:pPr>
  </w:style>
  <w:style w:type="paragraph" w:styleId="18">
    <w:name w:val="Body Text 3"/>
    <w:basedOn w:val="1"/>
    <w:link w:val="80"/>
    <w:qFormat/>
    <w:uiPriority w:val="0"/>
    <w:pPr>
      <w:spacing w:after="120"/>
    </w:pPr>
    <w:rPr>
      <w:sz w:val="16"/>
      <w:szCs w:val="16"/>
    </w:rPr>
  </w:style>
  <w:style w:type="paragraph" w:styleId="19">
    <w:name w:val="Body Text Indent"/>
    <w:basedOn w:val="1"/>
    <w:link w:val="95"/>
    <w:qFormat/>
    <w:uiPriority w:val="0"/>
    <w:pPr>
      <w:ind w:firstLine="630"/>
    </w:pPr>
    <w:rPr>
      <w:rFonts w:ascii="宋体"/>
      <w:spacing w:val="6"/>
      <w:sz w:val="28"/>
    </w:rPr>
  </w:style>
  <w:style w:type="paragraph" w:styleId="20">
    <w:name w:val="Block Text"/>
    <w:basedOn w:val="1"/>
    <w:qFormat/>
    <w:uiPriority w:val="0"/>
    <w:pPr>
      <w:spacing w:line="360" w:lineRule="auto"/>
      <w:ind w:left="18" w:right="259" w:firstLine="1032"/>
    </w:pPr>
    <w:rPr>
      <w:rFonts w:ascii="宋体"/>
      <w:spacing w:val="6"/>
      <w:sz w:val="28"/>
    </w:rPr>
  </w:style>
  <w:style w:type="paragraph" w:styleId="21">
    <w:name w:val="toc 3"/>
    <w:basedOn w:val="1"/>
    <w:next w:val="1"/>
    <w:unhideWhenUsed/>
    <w:qFormat/>
    <w:uiPriority w:val="39"/>
    <w:pPr>
      <w:ind w:left="840" w:leftChars="400"/>
    </w:pPr>
  </w:style>
  <w:style w:type="paragraph" w:styleId="22">
    <w:name w:val="Plain Text"/>
    <w:basedOn w:val="1"/>
    <w:link w:val="98"/>
    <w:qFormat/>
    <w:uiPriority w:val="0"/>
    <w:rPr>
      <w:rFonts w:ascii="宋体" w:hAnsi="Courier New"/>
      <w:snapToGrid w:val="0"/>
      <w:kern w:val="0"/>
      <w:sz w:val="28"/>
    </w:rPr>
  </w:style>
  <w:style w:type="paragraph" w:styleId="23">
    <w:name w:val="Date"/>
    <w:basedOn w:val="1"/>
    <w:next w:val="1"/>
    <w:link w:val="85"/>
    <w:qFormat/>
    <w:uiPriority w:val="0"/>
    <w:pPr>
      <w:ind w:left="100" w:leftChars="2500"/>
    </w:pPr>
    <w:rPr>
      <w:rFonts w:ascii="宋体" w:hAnsi="宋体"/>
      <w:snapToGrid w:val="0"/>
      <w:kern w:val="0"/>
      <w:sz w:val="28"/>
    </w:rPr>
  </w:style>
  <w:style w:type="paragraph" w:styleId="24">
    <w:name w:val="Body Text Indent 2"/>
    <w:basedOn w:val="1"/>
    <w:link w:val="100"/>
    <w:qFormat/>
    <w:uiPriority w:val="0"/>
    <w:pPr>
      <w:spacing w:line="520" w:lineRule="exact"/>
      <w:ind w:firstLine="705"/>
    </w:pPr>
    <w:rPr>
      <w:rFonts w:ascii="宋体"/>
      <w:sz w:val="28"/>
    </w:rPr>
  </w:style>
  <w:style w:type="paragraph" w:styleId="25">
    <w:name w:val="Balloon Text"/>
    <w:basedOn w:val="1"/>
    <w:link w:val="93"/>
    <w:semiHidden/>
    <w:qFormat/>
    <w:uiPriority w:val="0"/>
    <w:rPr>
      <w:sz w:val="18"/>
      <w:szCs w:val="18"/>
    </w:rPr>
  </w:style>
  <w:style w:type="paragraph" w:styleId="26">
    <w:name w:val="footer"/>
    <w:basedOn w:val="1"/>
    <w:link w:val="102"/>
    <w:qFormat/>
    <w:uiPriority w:val="0"/>
    <w:pPr>
      <w:tabs>
        <w:tab w:val="center" w:pos="4153"/>
        <w:tab w:val="right" w:pos="8306"/>
      </w:tabs>
      <w:snapToGrid w:val="0"/>
      <w:jc w:val="left"/>
    </w:pPr>
    <w:rPr>
      <w:sz w:val="18"/>
    </w:rPr>
  </w:style>
  <w:style w:type="paragraph" w:styleId="27">
    <w:name w:val="header"/>
    <w:basedOn w:val="1"/>
    <w:link w:val="89"/>
    <w:qFormat/>
    <w:uiPriority w:val="0"/>
    <w:pPr>
      <w:pBdr>
        <w:bottom w:val="single" w:color="auto" w:sz="6" w:space="1"/>
      </w:pBdr>
      <w:tabs>
        <w:tab w:val="center" w:pos="4153"/>
        <w:tab w:val="right" w:pos="8306"/>
      </w:tabs>
      <w:snapToGrid w:val="0"/>
      <w:jc w:val="center"/>
    </w:pPr>
    <w:rPr>
      <w:sz w:val="18"/>
    </w:rPr>
  </w:style>
  <w:style w:type="paragraph" w:styleId="28">
    <w:name w:val="toc 1"/>
    <w:basedOn w:val="1"/>
    <w:next w:val="1"/>
    <w:qFormat/>
    <w:uiPriority w:val="39"/>
  </w:style>
  <w:style w:type="paragraph" w:styleId="29">
    <w:name w:val="toc 6"/>
    <w:basedOn w:val="1"/>
    <w:next w:val="1"/>
    <w:qFormat/>
    <w:uiPriority w:val="0"/>
    <w:pPr>
      <w:ind w:left="1050"/>
      <w:jc w:val="left"/>
    </w:pPr>
    <w:rPr>
      <w:sz w:val="18"/>
    </w:rPr>
  </w:style>
  <w:style w:type="paragraph" w:styleId="30">
    <w:name w:val="Body Text Indent 3"/>
    <w:basedOn w:val="1"/>
    <w:link w:val="104"/>
    <w:qFormat/>
    <w:uiPriority w:val="0"/>
    <w:pPr>
      <w:spacing w:line="520" w:lineRule="exact"/>
      <w:ind w:firstLine="560" w:firstLineChars="200"/>
    </w:pPr>
    <w:rPr>
      <w:rFonts w:ascii="宋体"/>
      <w:sz w:val="28"/>
    </w:rPr>
  </w:style>
  <w:style w:type="paragraph" w:styleId="31">
    <w:name w:val="toc 2"/>
    <w:basedOn w:val="1"/>
    <w:next w:val="1"/>
    <w:qFormat/>
    <w:uiPriority w:val="39"/>
    <w:pPr>
      <w:tabs>
        <w:tab w:val="right" w:leader="dot" w:pos="9350"/>
      </w:tabs>
      <w:ind w:left="420" w:leftChars="200"/>
      <w:jc w:val="center"/>
    </w:pPr>
    <w:rPr>
      <w:b/>
      <w:sz w:val="28"/>
      <w:szCs w:val="28"/>
    </w:rPr>
  </w:style>
  <w:style w:type="paragraph" w:styleId="32">
    <w:name w:val="Body Text 2"/>
    <w:basedOn w:val="1"/>
    <w:link w:val="106"/>
    <w:qFormat/>
    <w:uiPriority w:val="0"/>
    <w:pPr>
      <w:spacing w:line="600" w:lineRule="exact"/>
    </w:pPr>
    <w:rPr>
      <w:rFonts w:ascii="宋体"/>
      <w:b/>
      <w:spacing w:val="6"/>
      <w:sz w:val="28"/>
    </w:rPr>
  </w:style>
  <w:style w:type="paragraph" w:styleId="33">
    <w:name w:val="HTML Preformatted"/>
    <w:basedOn w:val="1"/>
    <w:link w:val="94"/>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34">
    <w:name w:val="Normal (Web)"/>
    <w:basedOn w:val="1"/>
    <w:qFormat/>
    <w:uiPriority w:val="0"/>
    <w:pPr>
      <w:widowControl/>
      <w:spacing w:before="100" w:beforeAutospacing="1" w:after="100" w:afterAutospacing="1"/>
      <w:jc w:val="left"/>
    </w:pPr>
    <w:rPr>
      <w:rFonts w:ascii="宋体" w:hAnsi="宋体"/>
      <w:kern w:val="0"/>
      <w:sz w:val="24"/>
    </w:rPr>
  </w:style>
  <w:style w:type="character" w:styleId="36">
    <w:name w:val="page number"/>
    <w:basedOn w:val="35"/>
    <w:qFormat/>
    <w:uiPriority w:val="0"/>
    <w:rPr>
      <w:szCs w:val="24"/>
    </w:rPr>
  </w:style>
  <w:style w:type="character" w:styleId="37">
    <w:name w:val="Emphasis"/>
    <w:qFormat/>
    <w:uiPriority w:val="0"/>
    <w:rPr>
      <w:color w:val="CC0033"/>
      <w:szCs w:val="24"/>
    </w:rPr>
  </w:style>
  <w:style w:type="character" w:styleId="38">
    <w:name w:val="HTML Typewriter"/>
    <w:qFormat/>
    <w:uiPriority w:val="0"/>
    <w:rPr>
      <w:rFonts w:ascii="Courier New" w:hAnsi="Courier New" w:cs="Courier New"/>
      <w:sz w:val="20"/>
      <w:szCs w:val="20"/>
    </w:rPr>
  </w:style>
  <w:style w:type="character" w:styleId="39">
    <w:name w:val="Hyperlink"/>
    <w:qFormat/>
    <w:uiPriority w:val="99"/>
    <w:rPr>
      <w:color w:val="0000FF"/>
      <w:szCs w:val="24"/>
      <w:u w:val="single"/>
    </w:rPr>
  </w:style>
  <w:style w:type="character" w:styleId="40">
    <w:name w:val="annotation reference"/>
    <w:qFormat/>
    <w:uiPriority w:val="0"/>
    <w:rPr>
      <w:sz w:val="21"/>
      <w:szCs w:val="21"/>
    </w:rPr>
  </w:style>
  <w:style w:type="character" w:styleId="41">
    <w:name w:val="HTML Sample"/>
    <w:qFormat/>
    <w:uiPriority w:val="0"/>
    <w:rPr>
      <w:rFonts w:ascii="Courier New" w:hAnsi="Courier New" w:cs="Courier New"/>
      <w:szCs w:val="24"/>
    </w:rPr>
  </w:style>
  <w:style w:type="table" w:styleId="43">
    <w:name w:val="Table Grid"/>
    <w:basedOn w:val="4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44">
    <w:name w:val="标题 1 Char"/>
    <w:basedOn w:val="35"/>
    <w:link w:val="2"/>
    <w:qFormat/>
    <w:uiPriority w:val="0"/>
    <w:rPr>
      <w:rFonts w:ascii="宋体" w:hAnsi="Times New Roman" w:eastAsia="宋体" w:cs="Times New Roman"/>
      <w:spacing w:val="6"/>
      <w:sz w:val="28"/>
      <w:szCs w:val="20"/>
    </w:rPr>
  </w:style>
  <w:style w:type="character" w:customStyle="1" w:styleId="45">
    <w:name w:val="标题 2 Char"/>
    <w:basedOn w:val="35"/>
    <w:link w:val="3"/>
    <w:qFormat/>
    <w:uiPriority w:val="0"/>
    <w:rPr>
      <w:rFonts w:ascii="宋体" w:hAnsi="宋体" w:eastAsia="宋体" w:cs="Times New Roman"/>
      <w:spacing w:val="6"/>
      <w:sz w:val="28"/>
      <w:szCs w:val="20"/>
    </w:rPr>
  </w:style>
  <w:style w:type="character" w:customStyle="1" w:styleId="46">
    <w:name w:val="标题 3 Char"/>
    <w:basedOn w:val="35"/>
    <w:link w:val="4"/>
    <w:qFormat/>
    <w:uiPriority w:val="0"/>
    <w:rPr>
      <w:rFonts w:ascii="Times New Roman" w:hAnsi="Times New Roman" w:eastAsia="宋体" w:cs="Times New Roman"/>
      <w:b/>
      <w:bCs/>
      <w:sz w:val="32"/>
      <w:szCs w:val="32"/>
    </w:rPr>
  </w:style>
  <w:style w:type="character" w:customStyle="1" w:styleId="47">
    <w:name w:val="标题 4 Char"/>
    <w:basedOn w:val="35"/>
    <w:link w:val="5"/>
    <w:qFormat/>
    <w:uiPriority w:val="0"/>
    <w:rPr>
      <w:rFonts w:ascii="Times New Roman" w:hAnsi="Times New Roman" w:eastAsia="宋体" w:cs="Times New Roman"/>
      <w:kern w:val="20"/>
      <w:sz w:val="28"/>
      <w:szCs w:val="20"/>
    </w:rPr>
  </w:style>
  <w:style w:type="character" w:customStyle="1" w:styleId="48">
    <w:name w:val="标题 5 Char"/>
    <w:basedOn w:val="35"/>
    <w:link w:val="8"/>
    <w:qFormat/>
    <w:uiPriority w:val="0"/>
    <w:rPr>
      <w:rFonts w:ascii="Times New Roman" w:hAnsi="Times New Roman" w:eastAsia="仿宋_GB2312" w:cs="Times New Roman"/>
      <w:kern w:val="20"/>
      <w:sz w:val="28"/>
      <w:szCs w:val="20"/>
    </w:rPr>
  </w:style>
  <w:style w:type="character" w:customStyle="1" w:styleId="49">
    <w:name w:val="标题 6 Char"/>
    <w:basedOn w:val="35"/>
    <w:link w:val="9"/>
    <w:qFormat/>
    <w:uiPriority w:val="0"/>
    <w:rPr>
      <w:rFonts w:ascii="Arial" w:hAnsi="Arial" w:eastAsia="仿宋_GB2312" w:cs="Times New Roman"/>
      <w:b/>
      <w:spacing w:val="-4"/>
      <w:kern w:val="20"/>
      <w:sz w:val="18"/>
      <w:szCs w:val="20"/>
    </w:rPr>
  </w:style>
  <w:style w:type="character" w:customStyle="1" w:styleId="50">
    <w:name w:val="标题 7 Char"/>
    <w:basedOn w:val="35"/>
    <w:link w:val="10"/>
    <w:qFormat/>
    <w:uiPriority w:val="0"/>
    <w:rPr>
      <w:rFonts w:ascii="Times New Roman" w:hAnsi="Times New Roman" w:eastAsia="仿宋_GB2312" w:cs="Times New Roman"/>
      <w:spacing w:val="-4"/>
      <w:kern w:val="20"/>
      <w:sz w:val="28"/>
      <w:szCs w:val="20"/>
    </w:rPr>
  </w:style>
  <w:style w:type="character" w:customStyle="1" w:styleId="51">
    <w:name w:val="标题 8 Char"/>
    <w:basedOn w:val="35"/>
    <w:link w:val="11"/>
    <w:qFormat/>
    <w:uiPriority w:val="0"/>
    <w:rPr>
      <w:rFonts w:ascii="Arial" w:hAnsi="Arial" w:eastAsia="仿宋_GB2312" w:cs="Times New Roman"/>
      <w:b/>
      <w:spacing w:val="-4"/>
      <w:kern w:val="20"/>
      <w:sz w:val="18"/>
      <w:szCs w:val="20"/>
    </w:rPr>
  </w:style>
  <w:style w:type="character" w:customStyle="1" w:styleId="52">
    <w:name w:val="标题 9 Char"/>
    <w:basedOn w:val="35"/>
    <w:link w:val="12"/>
    <w:qFormat/>
    <w:uiPriority w:val="0"/>
    <w:rPr>
      <w:rFonts w:ascii="Arial" w:hAnsi="Arial" w:eastAsia="仿宋_GB2312" w:cs="Times New Roman"/>
      <w:spacing w:val="-6"/>
      <w:kern w:val="20"/>
      <w:sz w:val="18"/>
      <w:szCs w:val="20"/>
    </w:rPr>
  </w:style>
  <w:style w:type="character" w:customStyle="1" w:styleId="53">
    <w:name w:val="样式 报告书正文 + 首行缩进:  2 字符 行距: 1.5 倍行距 Char Char"/>
    <w:link w:val="54"/>
    <w:qFormat/>
    <w:uiPriority w:val="0"/>
    <w:rPr>
      <w:rFonts w:eastAsia="宋体" w:cs="宋体"/>
      <w:sz w:val="24"/>
    </w:rPr>
  </w:style>
  <w:style w:type="paragraph" w:customStyle="1" w:styleId="54">
    <w:name w:val="样式 报告书正文 + 首行缩进:  2 字符 行距: 1.5 倍行距"/>
    <w:basedOn w:val="1"/>
    <w:link w:val="53"/>
    <w:qFormat/>
    <w:uiPriority w:val="0"/>
    <w:pPr>
      <w:spacing w:line="360" w:lineRule="auto"/>
      <w:ind w:firstLine="384" w:firstLineChars="200"/>
    </w:pPr>
    <w:rPr>
      <w:rFonts w:cs="宋体" w:asciiTheme="minorHAnsi" w:hAnsiTheme="minorHAnsi"/>
      <w:sz w:val="24"/>
      <w:szCs w:val="22"/>
    </w:rPr>
  </w:style>
  <w:style w:type="character" w:customStyle="1" w:styleId="55">
    <w:name w:val="段落 Char Char"/>
    <w:link w:val="56"/>
    <w:qFormat/>
    <w:uiPriority w:val="0"/>
    <w:rPr>
      <w:rFonts w:ascii="宋体" w:hAnsi="宋体"/>
      <w:b/>
      <w:kern w:val="24"/>
      <w:sz w:val="24"/>
      <w:szCs w:val="24"/>
    </w:rPr>
  </w:style>
  <w:style w:type="paragraph" w:customStyle="1" w:styleId="56">
    <w:name w:val="段落"/>
    <w:basedOn w:val="1"/>
    <w:link w:val="55"/>
    <w:qFormat/>
    <w:uiPriority w:val="0"/>
    <w:pPr>
      <w:spacing w:line="540" w:lineRule="exact"/>
      <w:ind w:firstLine="482"/>
      <w:jc w:val="center"/>
    </w:pPr>
    <w:rPr>
      <w:rFonts w:ascii="宋体" w:hAnsi="宋体" w:eastAsiaTheme="minorEastAsia" w:cstheme="minorBidi"/>
      <w:b/>
      <w:kern w:val="24"/>
      <w:sz w:val="24"/>
      <w:szCs w:val="24"/>
    </w:rPr>
  </w:style>
  <w:style w:type="character" w:customStyle="1" w:styleId="57">
    <w:name w:val="apple-style-span"/>
    <w:basedOn w:val="35"/>
    <w:qFormat/>
    <w:uiPriority w:val="0"/>
    <w:rPr>
      <w:szCs w:val="24"/>
    </w:rPr>
  </w:style>
  <w:style w:type="character" w:customStyle="1" w:styleId="58">
    <w:name w:val="正文01 Char Char"/>
    <w:link w:val="59"/>
    <w:qFormat/>
    <w:uiPriority w:val="0"/>
    <w:rPr>
      <w:rFonts w:eastAsia="宋体"/>
      <w:color w:val="000000"/>
      <w:sz w:val="24"/>
      <w:szCs w:val="24"/>
    </w:rPr>
  </w:style>
  <w:style w:type="paragraph" w:customStyle="1" w:styleId="59">
    <w:name w:val="正文01"/>
    <w:basedOn w:val="1"/>
    <w:link w:val="58"/>
    <w:qFormat/>
    <w:uiPriority w:val="0"/>
    <w:pPr>
      <w:adjustRightInd w:val="0"/>
      <w:spacing w:line="360" w:lineRule="auto"/>
      <w:ind w:firstLine="527"/>
      <w:textAlignment w:val="baseline"/>
    </w:pPr>
    <w:rPr>
      <w:rFonts w:asciiTheme="minorHAnsi" w:hAnsiTheme="minorHAnsi" w:cstheme="minorBidi"/>
      <w:color w:val="000000"/>
      <w:sz w:val="24"/>
      <w:szCs w:val="24"/>
    </w:rPr>
  </w:style>
  <w:style w:type="character" w:customStyle="1" w:styleId="60">
    <w:name w:val="表文字 Char Char"/>
    <w:link w:val="61"/>
    <w:qFormat/>
    <w:uiPriority w:val="0"/>
    <w:rPr>
      <w:rFonts w:eastAsia="宋体"/>
      <w:sz w:val="24"/>
    </w:rPr>
  </w:style>
  <w:style w:type="paragraph" w:customStyle="1" w:styleId="61">
    <w:name w:val="表文字"/>
    <w:basedOn w:val="1"/>
    <w:link w:val="60"/>
    <w:qFormat/>
    <w:uiPriority w:val="0"/>
    <w:pPr>
      <w:overflowPunct w:val="0"/>
      <w:autoSpaceDE w:val="0"/>
      <w:autoSpaceDN w:val="0"/>
      <w:adjustRightInd w:val="0"/>
      <w:spacing w:line="240" w:lineRule="atLeast"/>
      <w:jc w:val="center"/>
      <w:textAlignment w:val="baseline"/>
    </w:pPr>
    <w:rPr>
      <w:rFonts w:asciiTheme="minorHAnsi" w:hAnsiTheme="minorHAnsi" w:cstheme="minorBidi"/>
      <w:sz w:val="24"/>
      <w:szCs w:val="22"/>
    </w:rPr>
  </w:style>
  <w:style w:type="character" w:customStyle="1" w:styleId="62">
    <w:name w:val="表头 Char Char Char Char"/>
    <w:link w:val="63"/>
    <w:qFormat/>
    <w:uiPriority w:val="0"/>
    <w:rPr>
      <w:rFonts w:hAnsi="宋体" w:eastAsia="宋体"/>
      <w:szCs w:val="24"/>
    </w:rPr>
  </w:style>
  <w:style w:type="paragraph" w:customStyle="1" w:styleId="63">
    <w:name w:val="表头"/>
    <w:basedOn w:val="1"/>
    <w:link w:val="62"/>
    <w:qFormat/>
    <w:uiPriority w:val="0"/>
    <w:pPr>
      <w:autoSpaceDE w:val="0"/>
      <w:autoSpaceDN w:val="0"/>
      <w:adjustRightInd w:val="0"/>
      <w:snapToGrid w:val="0"/>
    </w:pPr>
    <w:rPr>
      <w:rFonts w:hAnsi="宋体" w:asciiTheme="minorHAnsi" w:cstheme="minorBidi"/>
      <w:szCs w:val="24"/>
    </w:rPr>
  </w:style>
  <w:style w:type="character" w:customStyle="1" w:styleId="64">
    <w:name w:val="批注主题 Char"/>
    <w:basedOn w:val="65"/>
    <w:link w:val="13"/>
    <w:qFormat/>
    <w:uiPriority w:val="0"/>
    <w:rPr>
      <w:kern w:val="2"/>
      <w:sz w:val="21"/>
      <w:szCs w:val="24"/>
    </w:rPr>
  </w:style>
  <w:style w:type="character" w:customStyle="1" w:styleId="65">
    <w:name w:val="批注文字 Char"/>
    <w:qFormat/>
    <w:uiPriority w:val="0"/>
    <w:rPr>
      <w:kern w:val="2"/>
      <w:sz w:val="21"/>
      <w:szCs w:val="24"/>
    </w:rPr>
  </w:style>
  <w:style w:type="character" w:customStyle="1" w:styleId="66">
    <w:name w:val="表格 Char Char"/>
    <w:link w:val="67"/>
    <w:qFormat/>
    <w:uiPriority w:val="0"/>
    <w:rPr>
      <w:rFonts w:eastAsia="宋体"/>
      <w:sz w:val="24"/>
    </w:rPr>
  </w:style>
  <w:style w:type="paragraph" w:customStyle="1" w:styleId="67">
    <w:name w:val="表格"/>
    <w:basedOn w:val="1"/>
    <w:link w:val="66"/>
    <w:qFormat/>
    <w:uiPriority w:val="0"/>
    <w:pPr>
      <w:jc w:val="center"/>
    </w:pPr>
    <w:rPr>
      <w:rFonts w:asciiTheme="minorHAnsi" w:hAnsiTheme="minorHAnsi" w:cstheme="minorBidi"/>
      <w:sz w:val="24"/>
      <w:szCs w:val="22"/>
    </w:rPr>
  </w:style>
  <w:style w:type="character" w:customStyle="1" w:styleId="68">
    <w:name w:val="正文首行缩进 Char"/>
    <w:link w:val="6"/>
    <w:qFormat/>
    <w:uiPriority w:val="0"/>
    <w:rPr>
      <w:rFonts w:eastAsia="宋体"/>
      <w:szCs w:val="24"/>
    </w:rPr>
  </w:style>
  <w:style w:type="character" w:customStyle="1" w:styleId="69">
    <w:name w:val="表格文字 Char Char"/>
    <w:link w:val="70"/>
    <w:qFormat/>
    <w:uiPriority w:val="0"/>
    <w:rPr>
      <w:rFonts w:eastAsia="宋体"/>
    </w:rPr>
  </w:style>
  <w:style w:type="paragraph" w:customStyle="1" w:styleId="70">
    <w:name w:val="表格文字"/>
    <w:basedOn w:val="6"/>
    <w:link w:val="69"/>
    <w:qFormat/>
    <w:uiPriority w:val="0"/>
    <w:pPr>
      <w:adjustRightInd w:val="0"/>
      <w:snapToGrid w:val="0"/>
      <w:spacing w:after="0"/>
      <w:ind w:firstLine="0" w:firstLineChars="0"/>
      <w:jc w:val="center"/>
    </w:pPr>
    <w:rPr>
      <w:szCs w:val="22"/>
    </w:rPr>
  </w:style>
  <w:style w:type="character" w:customStyle="1" w:styleId="71">
    <w:name w:val="样式 (符号) 宋体 小四 行距: 1.5 倍行距 Char Char"/>
    <w:link w:val="72"/>
    <w:qFormat/>
    <w:uiPriority w:val="0"/>
    <w:rPr>
      <w:rFonts w:hAnsi="宋体" w:eastAsia="宋体" w:cs="宋体"/>
      <w:sz w:val="24"/>
      <w:szCs w:val="24"/>
    </w:rPr>
  </w:style>
  <w:style w:type="paragraph" w:customStyle="1" w:styleId="72">
    <w:name w:val="样式 (符号) 宋体 小四 行距: 1.5 倍行距"/>
    <w:basedOn w:val="1"/>
    <w:link w:val="71"/>
    <w:qFormat/>
    <w:uiPriority w:val="0"/>
    <w:pPr>
      <w:spacing w:line="360" w:lineRule="auto"/>
      <w:ind w:firstLine="480" w:firstLineChars="200"/>
    </w:pPr>
    <w:rPr>
      <w:rFonts w:hAnsi="宋体" w:cs="宋体" w:asciiTheme="minorHAnsi"/>
      <w:sz w:val="24"/>
      <w:szCs w:val="24"/>
    </w:rPr>
  </w:style>
  <w:style w:type="character" w:customStyle="1" w:styleId="73">
    <w:name w:val="报告书正文 Char2"/>
    <w:link w:val="74"/>
    <w:qFormat/>
    <w:uiPriority w:val="0"/>
    <w:rPr>
      <w:rFonts w:eastAsia="宋体"/>
      <w:sz w:val="24"/>
    </w:rPr>
  </w:style>
  <w:style w:type="paragraph" w:customStyle="1" w:styleId="74">
    <w:name w:val="报告书正文"/>
    <w:basedOn w:val="1"/>
    <w:link w:val="73"/>
    <w:qFormat/>
    <w:uiPriority w:val="0"/>
    <w:pPr>
      <w:spacing w:line="300" w:lineRule="auto"/>
      <w:ind w:firstLine="200" w:firstLineChars="200"/>
    </w:pPr>
    <w:rPr>
      <w:rFonts w:asciiTheme="minorHAnsi" w:hAnsiTheme="minorHAnsi" w:cstheme="minorBidi"/>
      <w:sz w:val="24"/>
      <w:szCs w:val="22"/>
    </w:rPr>
  </w:style>
  <w:style w:type="character" w:customStyle="1" w:styleId="75">
    <w:name w:val="表格 Char1"/>
    <w:qFormat/>
    <w:uiPriority w:val="0"/>
    <w:rPr>
      <w:rFonts w:eastAsia="宋体"/>
      <w:kern w:val="2"/>
      <w:sz w:val="18"/>
      <w:szCs w:val="18"/>
      <w:lang w:val="en-US" w:eastAsia="zh-CN" w:bidi="ar-SA"/>
    </w:rPr>
  </w:style>
  <w:style w:type="character" w:customStyle="1" w:styleId="76">
    <w:name w:val="样式 小四 黑色 行距: 固定值 26 磅 Char Char"/>
    <w:link w:val="77"/>
    <w:qFormat/>
    <w:uiPriority w:val="0"/>
    <w:rPr>
      <w:rFonts w:eastAsia="宋体" w:cs="宋体"/>
      <w:color w:val="000000"/>
      <w:spacing w:val="6"/>
      <w:szCs w:val="24"/>
    </w:rPr>
  </w:style>
  <w:style w:type="paragraph" w:customStyle="1" w:styleId="77">
    <w:name w:val="样式 小四 黑色 行距: 固定值 26 磅"/>
    <w:basedOn w:val="1"/>
    <w:link w:val="76"/>
    <w:qFormat/>
    <w:uiPriority w:val="0"/>
    <w:pPr>
      <w:spacing w:line="520" w:lineRule="exact"/>
      <w:ind w:firstLine="504" w:firstLineChars="200"/>
    </w:pPr>
    <w:rPr>
      <w:rFonts w:cs="宋体" w:asciiTheme="minorHAnsi" w:hAnsiTheme="minorHAnsi"/>
      <w:color w:val="000000"/>
      <w:spacing w:val="6"/>
      <w:szCs w:val="24"/>
    </w:rPr>
  </w:style>
  <w:style w:type="paragraph" w:customStyle="1" w:styleId="78">
    <w:name w:val="Char"/>
    <w:basedOn w:val="1"/>
    <w:qFormat/>
    <w:uiPriority w:val="0"/>
  </w:style>
  <w:style w:type="paragraph" w:customStyle="1" w:styleId="79">
    <w:name w:val="样式1"/>
    <w:basedOn w:val="16"/>
    <w:qFormat/>
    <w:uiPriority w:val="0"/>
    <w:pPr>
      <w:spacing w:line="480" w:lineRule="exact"/>
      <w:ind w:firstLine="482" w:firstLineChars="200"/>
      <w:jc w:val="center"/>
    </w:pPr>
    <w:rPr>
      <w:rFonts w:eastAsia="宋体"/>
      <w:b/>
      <w:sz w:val="24"/>
      <w:szCs w:val="24"/>
    </w:rPr>
  </w:style>
  <w:style w:type="character" w:customStyle="1" w:styleId="80">
    <w:name w:val="正文文本 3 Char"/>
    <w:basedOn w:val="35"/>
    <w:link w:val="18"/>
    <w:qFormat/>
    <w:uiPriority w:val="0"/>
    <w:rPr>
      <w:rFonts w:ascii="Times New Roman" w:hAnsi="Times New Roman" w:eastAsia="宋体" w:cs="Times New Roman"/>
      <w:sz w:val="16"/>
      <w:szCs w:val="16"/>
    </w:rPr>
  </w:style>
  <w:style w:type="paragraph" w:customStyle="1" w:styleId="81">
    <w:name w:val="正文02"/>
    <w:basedOn w:val="1"/>
    <w:qFormat/>
    <w:uiPriority w:val="0"/>
    <w:pPr>
      <w:adjustRightInd w:val="0"/>
      <w:spacing w:line="360" w:lineRule="auto"/>
      <w:ind w:firstLine="200" w:firstLineChars="200"/>
    </w:pPr>
    <w:rPr>
      <w:sz w:val="28"/>
    </w:rPr>
  </w:style>
  <w:style w:type="character" w:customStyle="1" w:styleId="82">
    <w:name w:val="正文文本 Char"/>
    <w:basedOn w:val="35"/>
    <w:link w:val="7"/>
    <w:semiHidden/>
    <w:qFormat/>
    <w:uiPriority w:val="99"/>
    <w:rPr>
      <w:rFonts w:ascii="Times New Roman" w:hAnsi="Times New Roman" w:eastAsia="宋体" w:cs="Times New Roman"/>
      <w:szCs w:val="20"/>
    </w:rPr>
  </w:style>
  <w:style w:type="character" w:customStyle="1" w:styleId="83">
    <w:name w:val="正文首行缩进 Char1"/>
    <w:basedOn w:val="82"/>
    <w:semiHidden/>
    <w:qFormat/>
    <w:uiPriority w:val="99"/>
    <w:rPr>
      <w:rFonts w:ascii="Times New Roman" w:hAnsi="Times New Roman" w:eastAsia="宋体" w:cs="Times New Roman"/>
      <w:szCs w:val="20"/>
    </w:rPr>
  </w:style>
  <w:style w:type="paragraph" w:customStyle="1" w:styleId="84">
    <w:name w:val="表格文字2"/>
    <w:qFormat/>
    <w:uiPriority w:val="0"/>
    <w:pPr>
      <w:adjustRightInd w:val="0"/>
      <w:spacing w:before="60"/>
      <w:jc w:val="center"/>
      <w:textAlignment w:val="baseline"/>
    </w:pPr>
    <w:rPr>
      <w:rFonts w:ascii="宋体" w:hAnsi="Times New Roman" w:eastAsia="宋体" w:cs="Times New Roman"/>
      <w:kern w:val="0"/>
      <w:sz w:val="24"/>
      <w:szCs w:val="20"/>
      <w:lang w:val="en-US" w:eastAsia="zh-CN" w:bidi="ar-SA"/>
    </w:rPr>
  </w:style>
  <w:style w:type="character" w:customStyle="1" w:styleId="85">
    <w:name w:val="日期 Char"/>
    <w:basedOn w:val="35"/>
    <w:link w:val="23"/>
    <w:qFormat/>
    <w:uiPriority w:val="0"/>
    <w:rPr>
      <w:rFonts w:ascii="宋体" w:hAnsi="宋体" w:eastAsia="宋体" w:cs="Times New Roman"/>
      <w:snapToGrid w:val="0"/>
      <w:kern w:val="0"/>
      <w:sz w:val="28"/>
      <w:szCs w:val="20"/>
    </w:rPr>
  </w:style>
  <w:style w:type="character" w:customStyle="1" w:styleId="86">
    <w:name w:val="批注文字 Char1"/>
    <w:basedOn w:val="35"/>
    <w:link w:val="14"/>
    <w:semiHidden/>
    <w:qFormat/>
    <w:uiPriority w:val="99"/>
    <w:rPr>
      <w:rFonts w:ascii="Times New Roman" w:hAnsi="Times New Roman" w:eastAsia="宋体" w:cs="Times New Roman"/>
      <w:szCs w:val="20"/>
    </w:rPr>
  </w:style>
  <w:style w:type="character" w:customStyle="1" w:styleId="87">
    <w:name w:val="批注主题 Char1"/>
    <w:basedOn w:val="86"/>
    <w:semiHidden/>
    <w:qFormat/>
    <w:uiPriority w:val="99"/>
    <w:rPr>
      <w:rFonts w:ascii="Times New Roman" w:hAnsi="Times New Roman" w:eastAsia="宋体" w:cs="Times New Roman"/>
      <w:b/>
      <w:bCs/>
      <w:szCs w:val="20"/>
    </w:rPr>
  </w:style>
  <w:style w:type="paragraph" w:customStyle="1" w:styleId="88">
    <w:name w:val="p0"/>
    <w:basedOn w:val="1"/>
    <w:qFormat/>
    <w:uiPriority w:val="0"/>
    <w:pPr>
      <w:widowControl/>
      <w:jc w:val="left"/>
    </w:pPr>
    <w:rPr>
      <w:kern w:val="0"/>
      <w:szCs w:val="21"/>
    </w:rPr>
  </w:style>
  <w:style w:type="character" w:customStyle="1" w:styleId="89">
    <w:name w:val="页眉 Char"/>
    <w:basedOn w:val="35"/>
    <w:link w:val="27"/>
    <w:uiPriority w:val="0"/>
    <w:rPr>
      <w:rFonts w:ascii="Times New Roman" w:hAnsi="Times New Roman" w:eastAsia="宋体" w:cs="Times New Roman"/>
      <w:sz w:val="18"/>
      <w:szCs w:val="20"/>
    </w:rPr>
  </w:style>
  <w:style w:type="paragraph" w:customStyle="1" w:styleId="90">
    <w:name w:val="标题01"/>
    <w:basedOn w:val="2"/>
    <w:qFormat/>
    <w:uiPriority w:val="0"/>
    <w:pPr>
      <w:numPr>
        <w:ilvl w:val="0"/>
        <w:numId w:val="0"/>
      </w:numPr>
      <w:spacing w:beforeLines="50" w:afterLines="50" w:line="240" w:lineRule="auto"/>
    </w:pPr>
    <w:rPr>
      <w:rFonts w:ascii="楷体_GB2312"/>
      <w:b/>
      <w:spacing w:val="0"/>
    </w:rPr>
  </w:style>
  <w:style w:type="character" w:customStyle="1" w:styleId="91">
    <w:name w:val="文档结构图 Char"/>
    <w:basedOn w:val="35"/>
    <w:link w:val="17"/>
    <w:qFormat/>
    <w:uiPriority w:val="0"/>
    <w:rPr>
      <w:rFonts w:ascii="Times New Roman" w:hAnsi="Times New Roman" w:eastAsia="宋体" w:cs="Times New Roman"/>
      <w:szCs w:val="20"/>
      <w:shd w:val="clear" w:color="auto" w:fill="000080"/>
    </w:rPr>
  </w:style>
  <w:style w:type="paragraph" w:customStyle="1" w:styleId="92">
    <w:name w:val="1"/>
    <w:basedOn w:val="1"/>
    <w:qFormat/>
    <w:uiPriority w:val="0"/>
    <w:pPr>
      <w:keepNext/>
      <w:keepLines/>
      <w:tabs>
        <w:tab w:val="left" w:pos="2160"/>
      </w:tabs>
      <w:adjustRightInd w:val="0"/>
      <w:snapToGrid w:val="0"/>
      <w:spacing w:before="120" w:after="120" w:line="360" w:lineRule="auto"/>
      <w:ind w:left="2160" w:hanging="420"/>
      <w:textAlignment w:val="baseline"/>
      <w:outlineLvl w:val="3"/>
    </w:pPr>
    <w:rPr>
      <w:sz w:val="24"/>
    </w:rPr>
  </w:style>
  <w:style w:type="character" w:customStyle="1" w:styleId="93">
    <w:name w:val="批注框文本 Char"/>
    <w:basedOn w:val="35"/>
    <w:link w:val="25"/>
    <w:semiHidden/>
    <w:qFormat/>
    <w:uiPriority w:val="0"/>
    <w:rPr>
      <w:rFonts w:ascii="Times New Roman" w:hAnsi="Times New Roman" w:eastAsia="宋体" w:cs="Times New Roman"/>
      <w:sz w:val="18"/>
      <w:szCs w:val="18"/>
    </w:rPr>
  </w:style>
  <w:style w:type="character" w:customStyle="1" w:styleId="94">
    <w:name w:val="HTML 预设格式 Char"/>
    <w:basedOn w:val="35"/>
    <w:link w:val="33"/>
    <w:qFormat/>
    <w:uiPriority w:val="0"/>
    <w:rPr>
      <w:rFonts w:ascii="宋体" w:hAnsi="宋体" w:eastAsia="宋体" w:cs="宋体"/>
      <w:kern w:val="0"/>
      <w:sz w:val="24"/>
      <w:szCs w:val="24"/>
    </w:rPr>
  </w:style>
  <w:style w:type="character" w:customStyle="1" w:styleId="95">
    <w:name w:val="正文文本缩进 Char"/>
    <w:basedOn w:val="35"/>
    <w:link w:val="19"/>
    <w:qFormat/>
    <w:uiPriority w:val="0"/>
    <w:rPr>
      <w:rFonts w:ascii="宋体" w:hAnsi="Times New Roman" w:eastAsia="宋体" w:cs="Times New Roman"/>
      <w:spacing w:val="6"/>
      <w:sz w:val="28"/>
      <w:szCs w:val="20"/>
    </w:rPr>
  </w:style>
  <w:style w:type="paragraph" w:customStyle="1" w:styleId="96">
    <w:name w:val="1文章"/>
    <w:basedOn w:val="1"/>
    <w:qFormat/>
    <w:uiPriority w:val="0"/>
    <w:pPr>
      <w:snapToGrid w:val="0"/>
      <w:spacing w:line="360" w:lineRule="auto"/>
      <w:ind w:firstLine="573"/>
    </w:pPr>
    <w:rPr>
      <w:rFonts w:eastAsia="仿宋_GB2312"/>
      <w:sz w:val="28"/>
    </w:rPr>
  </w:style>
  <w:style w:type="paragraph" w:customStyle="1" w:styleId="97">
    <w:name w:val="表名1"/>
    <w:basedOn w:val="1"/>
    <w:qFormat/>
    <w:uiPriority w:val="0"/>
    <w:pPr>
      <w:adjustRightInd w:val="0"/>
      <w:snapToGrid w:val="0"/>
      <w:spacing w:beforeLines="100" w:afterLines="50"/>
      <w:jc w:val="center"/>
    </w:pPr>
    <w:rPr>
      <w:rFonts w:eastAsia="黑体"/>
      <w:sz w:val="24"/>
      <w:szCs w:val="24"/>
    </w:rPr>
  </w:style>
  <w:style w:type="character" w:customStyle="1" w:styleId="98">
    <w:name w:val="纯文本 Char"/>
    <w:basedOn w:val="35"/>
    <w:link w:val="22"/>
    <w:qFormat/>
    <w:uiPriority w:val="0"/>
    <w:rPr>
      <w:rFonts w:ascii="宋体" w:hAnsi="Courier New" w:eastAsia="宋体" w:cs="Times New Roman"/>
      <w:snapToGrid w:val="0"/>
      <w:kern w:val="0"/>
      <w:sz w:val="28"/>
      <w:szCs w:val="20"/>
    </w:rPr>
  </w:style>
  <w:style w:type="paragraph" w:customStyle="1" w:styleId="99">
    <w:name w:val="样式 样式 样式 标题 3条标题1.1.1H3B Head标题 3 Char3h33rd levell3CT段b3H... + ...2"/>
    <w:basedOn w:val="1"/>
    <w:qFormat/>
    <w:uiPriority w:val="0"/>
    <w:pPr>
      <w:numPr>
        <w:ilvl w:val="2"/>
        <w:numId w:val="1"/>
      </w:numPr>
      <w:tabs>
        <w:tab w:val="left" w:pos="720"/>
      </w:tabs>
      <w:adjustRightInd w:val="0"/>
      <w:snapToGrid w:val="0"/>
      <w:spacing w:beforeLines="50" w:afterLines="30" w:line="360" w:lineRule="auto"/>
      <w:jc w:val="left"/>
      <w:outlineLvl w:val="2"/>
    </w:pPr>
    <w:rPr>
      <w:rFonts w:eastAsia="黑体"/>
      <w:b/>
      <w:snapToGrid w:val="0"/>
      <w:kern w:val="28"/>
      <w:sz w:val="24"/>
    </w:rPr>
  </w:style>
  <w:style w:type="character" w:customStyle="1" w:styleId="100">
    <w:name w:val="正文文本缩进 2 Char"/>
    <w:basedOn w:val="35"/>
    <w:link w:val="24"/>
    <w:qFormat/>
    <w:uiPriority w:val="0"/>
    <w:rPr>
      <w:rFonts w:ascii="宋体" w:hAnsi="Times New Roman" w:eastAsia="宋体" w:cs="Times New Roman"/>
      <w:sz w:val="28"/>
      <w:szCs w:val="20"/>
    </w:rPr>
  </w:style>
  <w:style w:type="paragraph" w:customStyle="1" w:styleId="101">
    <w:name w:val="样式 样式 (符号) 宋体 小四 行距: 1.5 倍行距 + 首行缩进:  2 字符"/>
    <w:basedOn w:val="72"/>
    <w:qFormat/>
    <w:uiPriority w:val="0"/>
    <w:pPr>
      <w:ind w:firstLine="456"/>
    </w:pPr>
  </w:style>
  <w:style w:type="character" w:customStyle="1" w:styleId="102">
    <w:name w:val="页脚 Char"/>
    <w:basedOn w:val="35"/>
    <w:link w:val="26"/>
    <w:qFormat/>
    <w:uiPriority w:val="0"/>
    <w:rPr>
      <w:rFonts w:ascii="Times New Roman" w:hAnsi="Times New Roman" w:eastAsia="宋体" w:cs="Times New Roman"/>
      <w:sz w:val="18"/>
      <w:szCs w:val="20"/>
    </w:rPr>
  </w:style>
  <w:style w:type="paragraph" w:customStyle="1" w:styleId="103">
    <w:name w:val="样式 行距: 固定值 24 磅 首行缩进:  2 字符"/>
    <w:basedOn w:val="1"/>
    <w:qFormat/>
    <w:uiPriority w:val="0"/>
    <w:pPr>
      <w:spacing w:line="480" w:lineRule="exact"/>
      <w:ind w:firstLine="480" w:firstLineChars="200"/>
    </w:pPr>
    <w:rPr>
      <w:rFonts w:cs="宋体"/>
      <w:sz w:val="24"/>
    </w:rPr>
  </w:style>
  <w:style w:type="character" w:customStyle="1" w:styleId="104">
    <w:name w:val="正文文本缩进 3 Char"/>
    <w:basedOn w:val="35"/>
    <w:link w:val="30"/>
    <w:qFormat/>
    <w:uiPriority w:val="0"/>
    <w:rPr>
      <w:rFonts w:ascii="宋体" w:hAnsi="Times New Roman" w:eastAsia="宋体" w:cs="Times New Roman"/>
      <w:sz w:val="28"/>
      <w:szCs w:val="20"/>
    </w:rPr>
  </w:style>
  <w:style w:type="paragraph" w:customStyle="1" w:styleId="105">
    <w:name w:val="正文-小四宋体ctrl+`"/>
    <w:basedOn w:val="1"/>
    <w:qFormat/>
    <w:uiPriority w:val="0"/>
    <w:pPr>
      <w:spacing w:line="360" w:lineRule="auto"/>
      <w:ind w:firstLine="480" w:firstLineChars="200"/>
    </w:pPr>
  </w:style>
  <w:style w:type="character" w:customStyle="1" w:styleId="106">
    <w:name w:val="正文文本 2 Char"/>
    <w:basedOn w:val="35"/>
    <w:link w:val="32"/>
    <w:qFormat/>
    <w:uiPriority w:val="0"/>
    <w:rPr>
      <w:rFonts w:ascii="宋体" w:hAnsi="Times New Roman" w:eastAsia="宋体" w:cs="Times New Roman"/>
      <w:b/>
      <w:spacing w:val="6"/>
      <w:sz w:val="28"/>
      <w:szCs w:val="20"/>
    </w:rPr>
  </w:style>
  <w:style w:type="paragraph" w:customStyle="1" w:styleId="107">
    <w:name w:val="Char Char Char Char Char Char1 Char Char Char Char Char Char Char Char Char Char Char Char Char"/>
    <w:basedOn w:val="1"/>
    <w:qFormat/>
    <w:uiPriority w:val="0"/>
    <w:rPr>
      <w:szCs w:val="24"/>
    </w:rPr>
  </w:style>
  <w:style w:type="paragraph" w:customStyle="1" w:styleId="108">
    <w:name w:val="1表格"/>
    <w:basedOn w:val="96"/>
    <w:qFormat/>
    <w:uiPriority w:val="0"/>
    <w:pPr>
      <w:spacing w:line="160" w:lineRule="atLeast"/>
      <w:ind w:firstLine="0"/>
      <w:jc w:val="center"/>
    </w:pPr>
    <w:rPr>
      <w:sz w:val="21"/>
    </w:rPr>
  </w:style>
  <w:style w:type="paragraph" w:customStyle="1" w:styleId="109">
    <w:name w:val="_Style 6"/>
    <w:basedOn w:val="1"/>
    <w:qFormat/>
    <w:uiPriority w:val="0"/>
    <w:pPr>
      <w:spacing w:line="360" w:lineRule="auto"/>
      <w:ind w:firstLine="200" w:firstLineChars="200"/>
    </w:pPr>
    <w:rPr>
      <w:szCs w:val="24"/>
    </w:rPr>
  </w:style>
  <w:style w:type="paragraph" w:customStyle="1" w:styleId="110">
    <w:name w:val="样式 行距: 固定值 24 磅 首行缩进:  2.67 字符"/>
    <w:basedOn w:val="1"/>
    <w:qFormat/>
    <w:uiPriority w:val="0"/>
    <w:pPr>
      <w:spacing w:line="480" w:lineRule="exact"/>
      <w:ind w:firstLine="200" w:firstLineChars="200"/>
    </w:pPr>
    <w:rPr>
      <w:rFonts w:cs="宋体"/>
    </w:rPr>
  </w:style>
  <w:style w:type="paragraph" w:customStyle="1" w:styleId="111">
    <w:name w:val="样式 行距: 固定值 24 磅 首行缩进:  1.47 字符"/>
    <w:basedOn w:val="1"/>
    <w:qFormat/>
    <w:uiPriority w:val="0"/>
    <w:pPr>
      <w:adjustRightInd w:val="0"/>
      <w:snapToGrid w:val="0"/>
      <w:spacing w:line="480" w:lineRule="exact"/>
      <w:ind w:firstLine="200" w:firstLineChars="200"/>
    </w:pPr>
    <w:rPr>
      <w:rFonts w:cs="宋体"/>
      <w:sz w:val="24"/>
    </w:rPr>
  </w:style>
  <w:style w:type="paragraph" w:customStyle="1" w:styleId="112">
    <w:name w:val="样式 行距: 1.5 倍行距1"/>
    <w:basedOn w:val="1"/>
    <w:qFormat/>
    <w:uiPriority w:val="0"/>
    <w:pPr>
      <w:spacing w:line="360" w:lineRule="auto"/>
      <w:ind w:firstLine="400" w:firstLineChars="200"/>
    </w:pPr>
    <w:rPr>
      <w:rFonts w:cs="宋体"/>
      <w:sz w:val="24"/>
    </w:rPr>
  </w:style>
  <w:style w:type="paragraph" w:customStyle="1" w:styleId="113">
    <w:name w:val="注释"/>
    <w:basedOn w:val="1"/>
    <w:qFormat/>
    <w:uiPriority w:val="0"/>
    <w:pPr>
      <w:adjustRightInd w:val="0"/>
      <w:snapToGrid w:val="0"/>
      <w:spacing w:line="360" w:lineRule="auto"/>
      <w:textAlignment w:val="baseline"/>
    </w:pPr>
    <w:rPr>
      <w:rFonts w:ascii="宋体"/>
      <w:snapToGrid w:val="0"/>
      <w:spacing w:val="4"/>
      <w:kern w:val="0"/>
    </w:rPr>
  </w:style>
  <w:style w:type="paragraph" w:customStyle="1" w:styleId="114">
    <w:name w:val="样式 小四 行距: 1.5 倍行距"/>
    <w:basedOn w:val="1"/>
    <w:qFormat/>
    <w:uiPriority w:val="0"/>
    <w:pPr>
      <w:spacing w:line="360" w:lineRule="auto"/>
      <w:ind w:firstLine="480" w:firstLineChars="200"/>
    </w:pPr>
    <w:rPr>
      <w:rFonts w:cs="宋体"/>
      <w:sz w:val="24"/>
    </w:rPr>
  </w:style>
  <w:style w:type="paragraph" w:customStyle="1" w:styleId="115">
    <w:name w:val="Body Text 22"/>
    <w:basedOn w:val="1"/>
    <w:qFormat/>
    <w:uiPriority w:val="0"/>
    <w:pPr>
      <w:adjustRightInd w:val="0"/>
      <w:spacing w:line="440" w:lineRule="atLeast"/>
      <w:ind w:firstLine="480"/>
      <w:textAlignment w:val="baseline"/>
    </w:pPr>
    <w:rPr>
      <w:rFonts w:eastAsia="仿宋_GB2312"/>
      <w:sz w:val="24"/>
    </w:rPr>
  </w:style>
  <w:style w:type="paragraph" w:customStyle="1" w:styleId="116">
    <w:name w:val="正文1"/>
    <w:basedOn w:val="1"/>
    <w:qFormat/>
    <w:uiPriority w:val="0"/>
    <w:pPr>
      <w:adjustRightInd w:val="0"/>
      <w:spacing w:line="288" w:lineRule="auto"/>
      <w:jc w:val="center"/>
      <w:textAlignment w:val="baseline"/>
    </w:pPr>
    <w:rPr>
      <w:rFonts w:eastAsia="楷体_GB2312"/>
      <w:sz w:val="24"/>
    </w:rPr>
  </w:style>
  <w:style w:type="paragraph" w:customStyle="1" w:styleId="117">
    <w:name w:val="表格内容"/>
    <w:basedOn w:val="1"/>
    <w:qFormat/>
    <w:uiPriority w:val="0"/>
    <w:pPr>
      <w:adjustRightInd w:val="0"/>
      <w:snapToGrid w:val="0"/>
      <w:spacing w:line="280" w:lineRule="exact"/>
      <w:ind w:left="-31" w:leftChars="-15" w:right="-31" w:rightChars="-15"/>
      <w:jc w:val="center"/>
    </w:pPr>
    <w:rPr>
      <w:color w:val="000000"/>
      <w:sz w:val="18"/>
      <w:szCs w:val="18"/>
    </w:rPr>
  </w:style>
  <w:style w:type="paragraph" w:customStyle="1" w:styleId="118">
    <w:name w:val="样式 小四 行距: 1.5 倍行距 首行缩进:  2 字符"/>
    <w:basedOn w:val="1"/>
    <w:qFormat/>
    <w:uiPriority w:val="0"/>
    <w:pPr>
      <w:spacing w:line="360" w:lineRule="auto"/>
      <w:ind w:firstLine="480" w:firstLineChars="200"/>
    </w:pPr>
    <w:rPr>
      <w:rFonts w:cs="宋体"/>
      <w:sz w:val="24"/>
    </w:rPr>
  </w:style>
  <w:style w:type="paragraph" w:customStyle="1" w:styleId="119">
    <w:name w:val="zhang正文"/>
    <w:basedOn w:val="19"/>
    <w:qFormat/>
    <w:uiPriority w:val="0"/>
    <w:pPr>
      <w:autoSpaceDE w:val="0"/>
      <w:autoSpaceDN w:val="0"/>
      <w:adjustRightInd w:val="0"/>
      <w:snapToGrid w:val="0"/>
      <w:spacing w:line="360" w:lineRule="auto"/>
      <w:ind w:firstLine="539"/>
      <w:textAlignment w:val="baseline"/>
    </w:pPr>
    <w:rPr>
      <w:rFonts w:ascii="Times New Roman" w:eastAsia="楷体_GB2312"/>
      <w:spacing w:val="0"/>
      <w:kern w:val="0"/>
    </w:rPr>
  </w:style>
  <w:style w:type="paragraph" w:customStyle="1" w:styleId="120">
    <w:name w:val="样式 表文字 + 黑体 行距: 单倍行距"/>
    <w:basedOn w:val="1"/>
    <w:qFormat/>
    <w:uiPriority w:val="0"/>
    <w:pPr>
      <w:overflowPunct w:val="0"/>
      <w:autoSpaceDE w:val="0"/>
      <w:autoSpaceDN w:val="0"/>
      <w:adjustRightInd w:val="0"/>
      <w:spacing w:line="360" w:lineRule="auto"/>
      <w:jc w:val="center"/>
      <w:textAlignment w:val="baseline"/>
    </w:pPr>
    <w:rPr>
      <w:rFonts w:ascii="黑体" w:eastAsia="黑体" w:cs="宋体"/>
      <w:sz w:val="24"/>
    </w:rPr>
  </w:style>
  <w:style w:type="paragraph" w:customStyle="1" w:styleId="121">
    <w:name w:val="xl2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122">
    <w:name w:val="样式 (符号) 宋体 小四 行距: 固定值 26 磅"/>
    <w:basedOn w:val="1"/>
    <w:qFormat/>
    <w:uiPriority w:val="0"/>
    <w:pPr>
      <w:spacing w:line="520" w:lineRule="exact"/>
      <w:ind w:firstLine="480" w:firstLineChars="200"/>
    </w:pPr>
    <w:rPr>
      <w:rFonts w:hAnsi="宋体" w:cs="宋体"/>
      <w:sz w:val="24"/>
    </w:rPr>
  </w:style>
  <w:style w:type="paragraph" w:customStyle="1" w:styleId="123">
    <w:name w:val="简单回函地址"/>
    <w:basedOn w:val="1"/>
    <w:qFormat/>
    <w:uiPriority w:val="0"/>
    <w:rPr>
      <w:sz w:val="24"/>
    </w:rPr>
  </w:style>
  <w:style w:type="paragraph" w:customStyle="1" w:styleId="124">
    <w:name w:val="样式 行距: 1.5 倍行距 首行缩进:  2.5 字符"/>
    <w:basedOn w:val="1"/>
    <w:qFormat/>
    <w:uiPriority w:val="0"/>
    <w:pPr>
      <w:adjustRightInd w:val="0"/>
      <w:snapToGrid w:val="0"/>
      <w:spacing w:line="360" w:lineRule="auto"/>
      <w:ind w:firstLine="200" w:firstLineChars="200"/>
    </w:pPr>
    <w:rPr>
      <w:rFonts w:cs="宋体"/>
      <w:sz w:val="24"/>
    </w:rPr>
  </w:style>
  <w:style w:type="paragraph" w:customStyle="1" w:styleId="125">
    <w:name w:val="正文缩近"/>
    <w:basedOn w:val="1"/>
    <w:qFormat/>
    <w:uiPriority w:val="0"/>
    <w:pPr>
      <w:spacing w:line="360" w:lineRule="auto"/>
      <w:ind w:firstLine="560" w:firstLineChars="200"/>
    </w:pPr>
    <w:rPr>
      <w:sz w:val="28"/>
    </w:rPr>
  </w:style>
  <w:style w:type="paragraph" w:customStyle="1" w:styleId="126">
    <w:name w:val="xl3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宋体" w:hAnsi="宋体"/>
      <w:color w:val="000000"/>
      <w:kern w:val="0"/>
      <w:sz w:val="24"/>
    </w:rPr>
  </w:style>
  <w:style w:type="paragraph" w:customStyle="1" w:styleId="127">
    <w:name w:val="样式 首行缩进:  2 字符3"/>
    <w:basedOn w:val="1"/>
    <w:qFormat/>
    <w:uiPriority w:val="0"/>
    <w:pPr>
      <w:adjustRightInd w:val="0"/>
      <w:snapToGrid w:val="0"/>
      <w:spacing w:line="360" w:lineRule="auto"/>
      <w:ind w:firstLine="200" w:firstLineChars="200"/>
    </w:pPr>
    <w:rPr>
      <w:rFonts w:cs="宋体"/>
      <w:kern w:val="10"/>
      <w:sz w:val="24"/>
      <w:szCs w:val="24"/>
    </w:rPr>
  </w:style>
  <w:style w:type="paragraph" w:customStyle="1" w:styleId="128">
    <w:name w:val="表格正文"/>
    <w:basedOn w:val="7"/>
    <w:qFormat/>
    <w:uiPriority w:val="0"/>
    <w:pPr>
      <w:spacing w:after="0"/>
    </w:pPr>
    <w:rPr>
      <w:szCs w:val="24"/>
    </w:rPr>
  </w:style>
  <w:style w:type="paragraph" w:customStyle="1" w:styleId="129">
    <w:name w:val="特殊标题３"/>
    <w:basedOn w:val="1"/>
    <w:qFormat/>
    <w:uiPriority w:val="0"/>
    <w:pPr>
      <w:overflowPunct w:val="0"/>
      <w:autoSpaceDE w:val="0"/>
      <w:autoSpaceDN w:val="0"/>
      <w:adjustRightInd w:val="0"/>
      <w:spacing w:line="360" w:lineRule="auto"/>
      <w:textAlignment w:val="baseline"/>
    </w:pPr>
    <w:rPr>
      <w:rFonts w:eastAsia="仿宋_GB2312"/>
      <w:kern w:val="0"/>
      <w:sz w:val="28"/>
    </w:rPr>
  </w:style>
  <w:style w:type="paragraph" w:customStyle="1" w:styleId="130">
    <w:name w:val="样式3"/>
    <w:basedOn w:val="6"/>
    <w:qFormat/>
    <w:uiPriority w:val="0"/>
    <w:pPr>
      <w:adjustRightInd w:val="0"/>
      <w:snapToGrid w:val="0"/>
      <w:spacing w:after="0" w:line="360" w:lineRule="auto"/>
      <w:ind w:firstLine="480" w:firstLineChars="200"/>
    </w:pPr>
    <w:rPr>
      <w:sz w:val="24"/>
    </w:rPr>
  </w:style>
  <w:style w:type="paragraph" w:customStyle="1" w:styleId="131">
    <w:name w:val="表格字"/>
    <w:basedOn w:val="1"/>
    <w:qFormat/>
    <w:uiPriority w:val="0"/>
    <w:pPr>
      <w:adjustRightInd w:val="0"/>
      <w:spacing w:before="60" w:after="60"/>
      <w:jc w:val="center"/>
      <w:textAlignment w:val="baseline"/>
    </w:pPr>
    <w:rPr>
      <w:rFonts w:eastAsia="仿宋_GB2312"/>
      <w:kern w:val="0"/>
      <w:szCs w:val="24"/>
    </w:rPr>
  </w:style>
  <w:style w:type="paragraph" w:customStyle="1" w:styleId="132">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FF0000"/>
      <w:kern w:val="0"/>
      <w:szCs w:val="24"/>
    </w:rPr>
  </w:style>
  <w:style w:type="paragraph" w:customStyle="1" w:styleId="133">
    <w:name w:val="默认段落字体 Para Char Char Char Char"/>
    <w:basedOn w:val="1"/>
    <w:qFormat/>
    <w:uiPriority w:val="0"/>
    <w:pPr>
      <w:spacing w:line="360" w:lineRule="auto"/>
      <w:ind w:firstLine="200" w:firstLineChars="200"/>
    </w:pPr>
    <w:rPr>
      <w:rFonts w:ascii="宋体" w:hAnsi="宋体"/>
      <w:sz w:val="24"/>
    </w:rPr>
  </w:style>
  <w:style w:type="paragraph" w:customStyle="1" w:styleId="134">
    <w:name w:val="3 Char Char Char Char"/>
    <w:basedOn w:val="1"/>
    <w:next w:val="3"/>
    <w:qFormat/>
    <w:uiPriority w:val="0"/>
    <w:rPr>
      <w:rFonts w:eastAsia="黑体"/>
      <w:sz w:val="24"/>
      <w:szCs w:val="24"/>
    </w:rPr>
  </w:style>
  <w:style w:type="paragraph" w:customStyle="1" w:styleId="135">
    <w:name w:val="样式 小四 行距: 1.5 倍行距 首行缩进:  2 字符1"/>
    <w:qFormat/>
    <w:uiPriority w:val="0"/>
    <w:pPr>
      <w:spacing w:line="360" w:lineRule="auto"/>
      <w:ind w:firstLine="480" w:firstLineChars="200"/>
    </w:pPr>
    <w:rPr>
      <w:rFonts w:ascii="Times New Roman" w:hAnsi="Times New Roman" w:eastAsia="宋体" w:cs="宋体"/>
      <w:kern w:val="0"/>
      <w:sz w:val="24"/>
      <w:szCs w:val="20"/>
      <w:lang w:val="en-US" w:eastAsia="zh-CN" w:bidi="ar-SA"/>
    </w:rPr>
  </w:style>
  <w:style w:type="paragraph" w:customStyle="1" w:styleId="136">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137">
    <w:name w:val="表内文字"/>
    <w:basedOn w:val="1"/>
    <w:qFormat/>
    <w:uiPriority w:val="0"/>
    <w:pPr>
      <w:spacing w:line="320" w:lineRule="exact"/>
      <w:jc w:val="center"/>
    </w:pPr>
    <w:rPr>
      <w:rFonts w:eastAsia="仿宋_GB2312" w:cs="宋体"/>
      <w:szCs w:val="21"/>
    </w:rPr>
  </w:style>
  <w:style w:type="paragraph" w:customStyle="1" w:styleId="138">
    <w:name w:val="罗英样式"/>
    <w:basedOn w:val="1"/>
    <w:qFormat/>
    <w:uiPriority w:val="0"/>
    <w:pPr>
      <w:spacing w:line="500" w:lineRule="exact"/>
      <w:ind w:firstLine="200" w:firstLineChars="200"/>
    </w:pPr>
    <w:rPr>
      <w:rFonts w:ascii="宋体" w:hAnsi="宋体"/>
      <w:sz w:val="24"/>
      <w:szCs w:val="24"/>
    </w:rPr>
  </w:style>
  <w:style w:type="paragraph" w:customStyle="1" w:styleId="139">
    <w:name w:val="表名"/>
    <w:basedOn w:val="1"/>
    <w:qFormat/>
    <w:uiPriority w:val="0"/>
    <w:pPr>
      <w:spacing w:after="60" w:line="560" w:lineRule="exact"/>
      <w:ind w:firstLine="240" w:firstLineChars="100"/>
    </w:pPr>
    <w:rPr>
      <w:rFonts w:ascii="黑体" w:eastAsia="黑体"/>
      <w:szCs w:val="24"/>
    </w:rPr>
  </w:style>
  <w:style w:type="paragraph" w:customStyle="1" w:styleId="140">
    <w:name w:val="1 Char Char Char Char Char Char Char Char"/>
    <w:basedOn w:val="1"/>
    <w:qFormat/>
    <w:uiPriority w:val="0"/>
  </w:style>
  <w:style w:type="paragraph" w:customStyle="1" w:styleId="141">
    <w:name w:val="Char1"/>
    <w:basedOn w:val="1"/>
    <w:qFormat/>
    <w:uiPriority w:val="0"/>
    <w:pPr>
      <w:keepNext/>
      <w:keepLines/>
      <w:tabs>
        <w:tab w:val="left" w:pos="2160"/>
      </w:tabs>
      <w:adjustRightInd w:val="0"/>
      <w:snapToGrid w:val="0"/>
      <w:spacing w:before="120" w:after="120" w:line="360" w:lineRule="auto"/>
      <w:ind w:left="2160" w:hanging="420"/>
      <w:outlineLvl w:val="3"/>
    </w:pPr>
    <w:rPr>
      <w:rFonts w:ascii="Arial" w:hAnsi="Arial"/>
      <w:kern w:val="0"/>
      <w:sz w:val="28"/>
    </w:rPr>
  </w:style>
  <w:style w:type="character" w:customStyle="1" w:styleId="142">
    <w:name w:val="正文文字 Char1"/>
    <w:link w:val="143"/>
    <w:qFormat/>
    <w:uiPriority w:val="0"/>
    <w:rPr>
      <w:rFonts w:eastAsia="宋体"/>
      <w:sz w:val="24"/>
      <w:szCs w:val="24"/>
    </w:rPr>
  </w:style>
  <w:style w:type="paragraph" w:customStyle="1" w:styleId="143">
    <w:name w:val="正文文字"/>
    <w:basedOn w:val="15"/>
    <w:link w:val="142"/>
    <w:qFormat/>
    <w:uiPriority w:val="0"/>
    <w:pPr>
      <w:widowControl w:val="0"/>
      <w:adjustRightInd w:val="0"/>
      <w:snapToGrid w:val="0"/>
      <w:spacing w:afterLines="20" w:line="360" w:lineRule="auto"/>
      <w:ind w:firstLine="200" w:firstLineChars="200"/>
      <w:textAlignment w:val="baseline"/>
    </w:pPr>
    <w:rPr>
      <w:rFonts w:asciiTheme="minorHAnsi" w:hAnsiTheme="minorHAnsi" w:cstheme="minorBidi"/>
      <w:kern w:val="2"/>
      <w:sz w:val="24"/>
      <w:szCs w:val="24"/>
    </w:rPr>
  </w:style>
  <w:style w:type="paragraph" w:customStyle="1" w:styleId="144">
    <w:name w:val="List Paragraph"/>
    <w:basedOn w:val="1"/>
    <w:qFormat/>
    <w:uiPriority w:val="34"/>
    <w:pPr>
      <w:ind w:firstLine="420" w:firstLineChars="200"/>
    </w:pPr>
  </w:style>
  <w:style w:type="character" w:customStyle="1" w:styleId="145">
    <w:name w:val="样式 小四 黑色 行距: 固定值 26 磅 Char"/>
    <w:qFormat/>
    <w:uiPriority w:val="0"/>
    <w:rPr>
      <w:rFonts w:cs="宋体"/>
      <w:color w:val="000000"/>
      <w:spacing w:val="6"/>
      <w:kern w:val="2"/>
      <w:sz w:val="24"/>
    </w:rPr>
  </w:style>
  <w:style w:type="paragraph" w:customStyle="1" w:styleId="146">
    <w:name w:val="TOC Heading"/>
    <w:basedOn w:val="2"/>
    <w:next w:val="1"/>
    <w:unhideWhenUsed/>
    <w:qFormat/>
    <w:uiPriority w:val="39"/>
    <w:pPr>
      <w:keepLines/>
      <w:widowControl/>
      <w:numPr>
        <w:numId w:val="0"/>
      </w:numPr>
      <w:tabs>
        <w:tab w:val="clear" w:pos="432"/>
      </w:tabs>
      <w:spacing w:before="480" w:line="276" w:lineRule="auto"/>
      <w:jc w:val="left"/>
      <w:outlineLvl w:val="9"/>
    </w:pPr>
    <w:rPr>
      <w:rFonts w:asciiTheme="majorHAnsi" w:hAnsiTheme="majorHAnsi" w:eastAsiaTheme="majorEastAsia" w:cstheme="majorBidi"/>
      <w:b/>
      <w:bCs/>
      <w:color w:val="376092" w:themeColor="accent1" w:themeShade="BF"/>
      <w:spacing w:val="0"/>
      <w:kern w:val="0"/>
      <w:szCs w:val="28"/>
    </w:rPr>
  </w:style>
  <w:style w:type="paragraph" w:customStyle="1" w:styleId="147">
    <w:name w:val="表头文字"/>
    <w:basedOn w:val="7"/>
    <w:uiPriority w:val="0"/>
    <w:pPr>
      <w:jc w:val="center"/>
    </w:pPr>
    <w:rPr>
      <w:rFonts w:eastAsia="黑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7D0117-C1C8-44E1-93E3-8F790C9A0EC7}">
  <ds:schemaRefs/>
</ds:datastoreItem>
</file>

<file path=docProps/app.xml><?xml version="1.0" encoding="utf-8"?>
<Properties xmlns="http://schemas.openxmlformats.org/officeDocument/2006/extended-properties" xmlns:vt="http://schemas.openxmlformats.org/officeDocument/2006/docPropsVTypes">
  <Template>Normal</Template>
  <Pages>38</Pages>
  <Words>4084</Words>
  <Characters>23282</Characters>
  <Lines>194</Lines>
  <Paragraphs>54</Paragraphs>
  <ScaleCrop>false</ScaleCrop>
  <LinksUpToDate>false</LinksUpToDate>
  <CharactersWithSpaces>27312</CharactersWithSpaces>
  <Application>WPS Office_10.1.0.6207_F1E327BC-269C-435d-A152-05C5408002CA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2016-05-24T15:45:00Z</dcterms:created>
  <dc:creator>e40</dc:creator>
  <cp:lastModifiedBy>admin</cp:lastModifiedBy>
  <dcterms:modified xsi:type="dcterms:W3CDTF">2017-04-03T09:29:59Z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